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2"/>
        <w:ind w:firstLine="0"/>
        <w:rPr>
          <w:rFonts w:hint="eastAsia" w:ascii="Times New Roman" w:hAnsi="Times New Roman" w:eastAsia="黑体"/>
          <w:b/>
          <w:bCs/>
          <w:sz w:val="84"/>
        </w:rPr>
      </w:pPr>
      <w:r>
        <w:rPr>
          <w:rFonts w:hint="eastAsia" w:ascii="Times New Roman" w:hAnsi="Times New Roman" w:eastAsia="黑体"/>
          <w:b/>
          <w:bCs/>
          <w:sz w:val="84"/>
        </w:rPr>
      </w:r>
      <w:r/>
    </w:p>
    <w:p>
      <w:pPr>
        <w:pStyle w:val="1142"/>
        <w:ind w:firstLine="0"/>
        <w:rPr>
          <w:rFonts w:hint="eastAsia" w:ascii="Times New Roman" w:hAnsi="Times New Roman" w:eastAsia="黑体"/>
          <w:b/>
          <w:bCs/>
          <w:sz w:val="84"/>
        </w:rPr>
      </w:pPr>
      <w:r>
        <w:rPr>
          <w:rFonts w:hint="eastAsia" w:ascii="Times New Roman" w:hAnsi="Times New Roman" w:eastAsia="黑体"/>
          <w:b/>
          <w:bCs/>
          <w:sz w:val="84"/>
        </w:rPr>
      </w:r>
      <w:r/>
    </w:p>
    <w:p>
      <w:pPr>
        <w:pStyle w:val="1142"/>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ind w:firstLine="1285"/>
        <w:keepLines w:val="0"/>
        <w:keepNext w:val="0"/>
        <w:pageBreakBefore w:val="0"/>
        <w:spacing w:line="360" w:lineRule="auto"/>
        <w:widowControl w:val="off"/>
        <w:rPr>
          <w:rFonts w:hint="eastAsia"/>
          <w:b/>
          <w:bCs/>
          <w:color w:val="auto"/>
          <w:sz w:val="32"/>
          <w:highlight w:val="none"/>
          <w:lang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泗阳县2025年度重大动物疫病免疫补助项目（疫苗、标识）</w:t>
      </w:r>
      <w:r/>
    </w:p>
    <w:p>
      <w:pPr>
        <w:ind w:firstLine="1285"/>
        <w:keepLines w:val="0"/>
        <w:keepNext w:val="0"/>
        <w:pageBreakBefore w:val="0"/>
        <w:spacing w:line="360" w:lineRule="auto"/>
        <w:widowControl w:val="off"/>
        <w:rPr>
          <w:rFonts w:hint="eastAsia"/>
          <w:b/>
          <w:bCs/>
          <w:color w:val="auto"/>
          <w:sz w:val="32"/>
          <w:highlight w:val="none"/>
        </w:rPr>
      </w:pPr>
      <w:r>
        <w:rPr>
          <w:rFonts w:hint="eastAsia"/>
          <w:b/>
          <w:bCs/>
          <w:color w:val="auto"/>
          <w:sz w:val="32"/>
          <w:highlight w:val="none"/>
        </w:rPr>
        <w:t xml:space="preserve">项目编号：JSZC-321323-DTZB-G2026-0002</w:t>
      </w:r>
      <w:r/>
    </w:p>
    <w:p>
      <w:pPr>
        <w:ind w:firstLine="1807"/>
        <w:keepLines w:val="0"/>
        <w:keepNext w:val="0"/>
        <w:pageBreakBefore w:val="0"/>
        <w:spacing w:line="360" w:lineRule="auto"/>
        <w:widowControl w:val="off"/>
        <w:rPr>
          <w:rFonts w:hint="eastAsia"/>
          <w:b/>
          <w:color w:val="auto"/>
          <w:sz w:val="30"/>
          <w:szCs w:val="30"/>
          <w:highlight w:val="none"/>
        </w:rPr>
      </w:pPr>
      <w:r>
        <w:rPr>
          <w:rFonts w:hint="eastAsia"/>
          <w:b/>
          <w:color w:val="auto"/>
          <w:sz w:val="30"/>
          <w:szCs w:val="30"/>
          <w:highlight w:val="none"/>
        </w:rPr>
        <w:t xml:space="preserve">（货物类项目</w:t>
      </w:r>
      <w:r>
        <w:rPr>
          <w:b/>
          <w:color w:val="auto"/>
          <w:sz w:val="30"/>
          <w:szCs w:val="30"/>
          <w:highlight w:val="none"/>
        </w:rPr>
        <w:t xml:space="preserve">，本项目</w:t>
      </w:r>
      <w:r>
        <w:rPr>
          <w:rFonts w:hint="eastAsia"/>
          <w:b/>
          <w:color w:val="auto"/>
          <w:sz w:val="30"/>
          <w:szCs w:val="30"/>
          <w:highlight w:val="none"/>
          <w:u w:val="none"/>
        </w:rPr>
        <w:t xml:space="preserve">专门</w:t>
      </w:r>
      <w:r>
        <w:rPr>
          <w:rFonts w:hint="eastAsia"/>
          <w:b/>
          <w:color w:val="auto"/>
          <w:sz w:val="30"/>
          <w:szCs w:val="30"/>
          <w:highlight w:val="none"/>
        </w:rPr>
        <w:t xml:space="preserve">面向中小企业</w:t>
      </w:r>
      <w:r>
        <w:rPr>
          <w:rFonts w:hint="eastAsia"/>
          <w:b/>
          <w:color w:val="auto"/>
          <w:sz w:val="30"/>
          <w:szCs w:val="30"/>
          <w:highlight w:val="none"/>
          <w:lang w:val="en-US" w:eastAsia="zh-CN"/>
        </w:rPr>
        <w:t xml:space="preserve">采购</w:t>
      </w:r>
      <w:r>
        <w:rPr>
          <w:rFonts w:hint="eastAsia"/>
          <w:b/>
          <w:color w:val="auto"/>
          <w:sz w:val="30"/>
          <w:szCs w:val="30"/>
          <w:highlight w:val="none"/>
        </w:rPr>
        <w:t xml:space="preserve">）</w:t>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42"/>
        <w:ind w:firstLine="1690"/>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 xml:space="preserve">泗阳县畜牧兽医站</w:t>
      </w:r>
      <w:r>
        <w:rPr>
          <w:rFonts w:hint="eastAsia" w:ascii="Times New Roman" w:hAnsi="Times New Roman"/>
          <w:b/>
          <w:bCs/>
          <w:color w:val="auto"/>
          <w:sz w:val="32"/>
          <w:highlight w:val="none"/>
          <w:u w:val="single"/>
        </w:rPr>
        <w:t xml:space="preserve">   </w:t>
      </w:r>
      <w:r/>
    </w:p>
    <w:p>
      <w:pPr>
        <w:pStyle w:val="1142"/>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江苏东田招标管理有限公司</w:t>
      </w:r>
      <w:r>
        <w:rPr>
          <w:rFonts w:hint="eastAsia" w:ascii="Times New Roman" w:hAnsi="Times New Roman"/>
          <w:b/>
          <w:bCs/>
          <w:color w:val="auto"/>
          <w:sz w:val="32"/>
          <w:highlight w:val="none"/>
          <w:u w:val="single"/>
        </w:rPr>
        <w:t xml:space="preserve"> </w:t>
      </w:r>
      <w:r/>
    </w:p>
    <w:p>
      <w:pPr>
        <w:pStyle w:val="1142"/>
        <w:ind w:firstLine="1606"/>
        <w:rPr>
          <w:rFonts w:hint="eastAsia" w:ascii="Times New Roman" w:hAnsi="Times New Roman"/>
          <w:color w:val="auto"/>
          <w:highlight w:val="none"/>
          <w:u w:val="single"/>
        </w:rPr>
      </w:pPr>
      <w:r>
        <w:rPr>
          <w:rFonts w:hint="eastAsia" w:ascii="Times New Roman" w:hAnsi="Times New Roman"/>
          <w:b/>
          <w:bCs/>
          <w:color w:val="auto"/>
          <w:sz w:val="32"/>
          <w:highlight w:val="none"/>
          <w:lang w:eastAsia="zh-CN"/>
        </w:rPr>
        <w:t xml:space="preserve">202</w:t>
      </w:r>
      <w:r>
        <w:rPr>
          <w:rFonts w:hint="eastAsia" w:ascii="Times New Roman" w:hAnsi="Times New Roman"/>
          <w:b/>
          <w:bCs/>
          <w:color w:val="auto"/>
          <w:sz w:val="32"/>
          <w:highlight w:val="none"/>
          <w:lang w:val="en-US" w:eastAsia="zh-CN"/>
        </w:rPr>
        <w:t xml:space="preserve">6</w:t>
      </w:r>
      <w:r>
        <w:rPr>
          <w:rFonts w:hint="eastAsia" w:ascii="Times New Roman" w:hAnsi="Times New Roman"/>
          <w:b/>
          <w:bCs/>
          <w:color w:val="auto"/>
          <w:sz w:val="32"/>
          <w:highlight w:val="none"/>
          <w:lang w:eastAsia="zh-CN"/>
        </w:rPr>
        <w:t xml:space="preserve">年</w:t>
      </w:r>
      <w:r>
        <w:rPr>
          <w:rFonts w:hint="eastAsia" w:ascii="Times New Roman" w:hAnsi="Times New Roman"/>
          <w:b/>
          <w:bCs/>
          <w:color w:val="auto"/>
          <w:sz w:val="32"/>
          <w:highlight w:val="none"/>
          <w:lang w:val="en-US" w:eastAsia="zh-CN"/>
        </w:rPr>
        <w:t xml:space="preserve">03</w:t>
      </w:r>
      <w:r>
        <w:rPr>
          <w:rFonts w:hint="eastAsia" w:ascii="Times New Roman" w:hAnsi="Times New Roman"/>
          <w:b/>
          <w:bCs/>
          <w:color w:val="auto"/>
          <w:sz w:val="32"/>
          <w:highlight w:val="none"/>
          <w:lang w:eastAsia="zh-CN"/>
        </w:rPr>
        <w:t xml:space="preserve">月</w:t>
      </w:r>
      <w:r>
        <w:rPr>
          <w:rFonts w:hint="eastAsia" w:ascii="Times New Roman" w:hAnsi="Times New Roman"/>
          <w:b/>
          <w:bCs/>
          <w:color w:val="auto"/>
          <w:sz w:val="32"/>
          <w:highlight w:val="none"/>
          <w:lang w:val="en-US" w:eastAsia="zh-CN"/>
        </w:rPr>
        <w:t xml:space="preserve">02</w:t>
      </w:r>
      <w:r>
        <w:rPr>
          <w:rFonts w:hint="eastAsia" w:ascii="Times New Roman" w:hAnsi="Times New Roman"/>
          <w:b/>
          <w:bCs/>
          <w:color w:val="auto"/>
          <w:sz w:val="32"/>
          <w:highlight w:val="none"/>
          <w:lang w:eastAsia="zh-CN"/>
        </w:rPr>
        <w:t xml:space="preserve">日</w:t>
      </w:r>
      <w:r>
        <w:rPr>
          <w:rFonts w:hint="eastAsia" w:ascii="Times New Roman" w:hAnsi="Times New Roman"/>
          <w:color w:val="auto"/>
          <w:highlight w:val="none"/>
        </w:rPr>
        <w:t xml:space="preserve">                        </w:t>
      </w:r>
      <w:r/>
    </w:p>
    <w:p>
      <w:pPr>
        <w:pStyle w:val="1142"/>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eastAsia="黑体"/>
          <w:b/>
          <w:color w:val="auto"/>
          <w:sz w:val="44"/>
          <w:highlight w:val="none"/>
        </w:rPr>
        <w:sectPr>
          <w:headerReference w:type="default" r:id="rId9"/>
          <w:headerReference w:type="firs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outlineLvl w:val="9"/>
      </w:pPr>
      <w:r/>
      <w:bookmarkStart w:id="0" w:name="_Toc120614210"/>
      <w:r/>
      <w:bookmarkStart w:id="1" w:name="_Toc20823272"/>
      <w:r/>
      <w:bookmarkStart w:id="2" w:name="_Toc479757206"/>
      <w:r/>
      <w:bookmarkStart w:id="3" w:name="_Toc523127445"/>
      <w:r/>
      <w:bookmarkStart w:id="4" w:name="_Toc513029200"/>
      <w:r/>
      <w:bookmarkStart w:id="5" w:name="_Toc16938516"/>
      <w:r/>
      <w:r/>
    </w:p>
    <w:p>
      <w:pPr>
        <w:jc w:val="center"/>
        <w:spacing w:line="480" w:lineRule="auto"/>
        <w:rPr>
          <w:rFonts w:hint="eastAsia" w:eastAsia="黑体"/>
          <w:b/>
          <w:color w:val="auto"/>
          <w:sz w:val="44"/>
          <w:highlight w:val="none"/>
        </w:rPr>
      </w:pPr>
      <w:r>
        <w:rPr>
          <w:rFonts w:hint="eastAsia" w:eastAsia="黑体"/>
          <w:b/>
          <w:color w:val="auto"/>
          <w:sz w:val="44"/>
          <w:highlight w:val="none"/>
        </w:rPr>
        <w:t xml:space="preserve">总  目  录</w:t>
      </w:r>
      <w:r/>
    </w:p>
    <w:p>
      <w:pPr>
        <w:spacing w:line="480" w:lineRule="auto"/>
        <w:rPr>
          <w:rFonts w:hint="eastAsia" w:eastAsia="仿宋_GB2312"/>
          <w:b/>
          <w:color w:val="auto"/>
          <w:sz w:val="28"/>
          <w:highlight w:val="none"/>
        </w:rPr>
      </w:pPr>
      <w:r>
        <w:rPr>
          <w:rFonts w:hint="eastAsia" w:eastAsia="仿宋_GB2312"/>
          <w:b/>
          <w:color w:val="auto"/>
          <w:sz w:val="28"/>
          <w:highlight w:val="none"/>
        </w:rPr>
      </w:r>
      <w:r/>
    </w:p>
    <w:p>
      <w:pPr>
        <w:numPr>
          <w:ilvl w:val="0"/>
          <w:numId w:val="4"/>
        </w:numPr>
        <w:spacing w:line="480" w:lineRule="auto"/>
        <w:rPr>
          <w:rFonts w:hint="eastAsia" w:eastAsia="黑体"/>
          <w:color w:val="auto"/>
          <w:sz w:val="32"/>
          <w:highlight w:val="none"/>
        </w:rPr>
      </w:pPr>
      <w:r>
        <w:rPr>
          <w:rFonts w:hint="eastAsia" w:eastAsia="黑体"/>
          <w:color w:val="auto"/>
          <w:sz w:val="36"/>
          <w:highlight w:val="none"/>
        </w:rPr>
        <w:t xml:space="preserve">投标邀请……………………………………1 </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投标人须知</w:t>
      </w:r>
      <w:r>
        <w:rPr>
          <w:rFonts w:hint="eastAsia" w:eastAsia="黑体"/>
          <w:color w:val="auto"/>
          <w:sz w:val="36"/>
          <w:szCs w:val="36"/>
          <w:highlight w:val="none"/>
        </w:rPr>
        <w:t xml:space="preserve">…</w:t>
      </w:r>
      <w:r>
        <w:rPr>
          <w:rFonts w:hint="eastAsia" w:eastAsia="黑体"/>
          <w:color w:val="auto"/>
          <w:sz w:val="36"/>
          <w:highlight w:val="none"/>
        </w:rPr>
        <w:t xml:space="preserve">………………………………4  </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合同文本……………………………………18</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采购需求……………………………………23</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………………………29</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投标文件格式………………………………32</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63"/>
        <w:jc w:val="both"/>
        <w:rPr>
          <w:rFonts w:hint="eastAsia" w:ascii="宋体" w:hAnsi="宋体" w:eastAsia="宋体" w:cs="宋体"/>
          <w:b/>
          <w:bCs/>
          <w:color w:val="auto"/>
          <w:sz w:val="44"/>
          <w:szCs w:val="44"/>
          <w:highlight w:val="none"/>
        </w:rPr>
        <w:sectPr>
          <w:footerReference w:type="default" r:id="rId14"/>
          <w:footnotePr/>
          <w:endnotePr/>
          <w:type w:val="nextPage"/>
          <w:pgSz w:w="11906" w:h="16838" w:orient="portrait"/>
          <w:pgMar w:top="1418" w:right="1588" w:bottom="1418" w:left="1365" w:header="851" w:footer="907" w:gutter="0"/>
          <w:cols w:num="1" w:sep="0" w:space="720" w:equalWidth="1"/>
          <w:docGrid w:linePitch="360"/>
        </w:sectPr>
        <w:outlineLvl w:val="9"/>
      </w:pPr>
      <w:r>
        <w:rPr>
          <w:rFonts w:hint="eastAsia" w:ascii="宋体" w:hAnsi="宋体" w:eastAsia="宋体" w:cs="宋体"/>
          <w:b/>
          <w:bCs/>
          <w:color w:val="auto"/>
          <w:sz w:val="44"/>
          <w:szCs w:val="44"/>
          <w:highlight w:val="none"/>
        </w:rPr>
      </w:r>
      <w:r/>
    </w:p>
    <w:p>
      <w:pPr>
        <w:jc w:val="center"/>
        <w:rPr>
          <w:rFonts w:hint="eastAsia" w:ascii="宋体" w:hAnsi="宋体" w:cs="宋体"/>
          <w:b/>
          <w:bCs/>
          <w:color w:val="auto"/>
          <w:sz w:val="44"/>
          <w:szCs w:val="44"/>
          <w:highlight w:val="none"/>
        </w:rPr>
        <w:outlineLvl w:val="0"/>
      </w:pPr>
      <w:r/>
      <w:bookmarkStart w:id="6" w:name="_Toc6597"/>
      <w:r/>
      <w:bookmarkStart w:id="7" w:name="_Toc8270"/>
      <w:r>
        <w:rPr>
          <w:rFonts w:hint="eastAsia" w:ascii="宋体" w:hAnsi="宋体" w:cs="宋体"/>
          <w:b/>
          <w:bCs/>
          <w:color w:val="auto"/>
          <w:sz w:val="44"/>
          <w:szCs w:val="44"/>
          <w:highlight w:val="none"/>
        </w:rPr>
        <w:t xml:space="preserve">第一章  </w:t>
      </w:r>
      <w:bookmarkEnd w:id="0"/>
      <w:r>
        <w:rPr>
          <w:rFonts w:hint="eastAsia" w:ascii="宋体" w:hAnsi="宋体" w:cs="宋体"/>
          <w:b/>
          <w:bCs/>
          <w:color w:val="auto"/>
          <w:sz w:val="44"/>
          <w:szCs w:val="44"/>
          <w:highlight w:val="none"/>
        </w:rPr>
        <w:t xml:space="preserve">投标邀请</w:t>
      </w:r>
      <w:bookmarkEnd w:id="6"/>
      <w:r/>
      <w:bookmarkEnd w:id="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0"/>
      </w:pPr>
      <w:r/>
      <w:bookmarkStart w:id="8" w:name="_Toc463"/>
      <w:r/>
      <w:bookmarkStart w:id="9" w:name="_Toc10466"/>
      <w:r>
        <w:rPr>
          <w:rFonts w:hint="eastAsia" w:ascii="宋体" w:hAnsi="宋体" w:cs="宋体"/>
          <w:color w:val="auto"/>
          <w:sz w:val="24"/>
          <w:szCs w:val="24"/>
          <w:highlight w:val="none"/>
        </w:rPr>
        <w:t xml:space="preserve">项目概况</w:t>
      </w:r>
      <w:bookmarkEnd w:id="8"/>
      <w:r/>
      <w:bookmarkEnd w:id="9"/>
      <w:r/>
      <w:r/>
    </w:p>
    <w:p>
      <w:pPr>
        <w:ind w:firstLine="480"/>
        <w:spacing w:line="480" w:lineRule="exact"/>
        <w:rPr>
          <w:rFonts w:hint="eastAsia" w:ascii="宋体" w:hAnsi="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en-US" w:eastAsia="zh-CN"/>
        </w:rPr>
        <w:t xml:space="preserve">泗阳县2025年度重大动物疫病免疫补助项目（疫苗、标识）</w:t>
      </w:r>
      <w:r>
        <w:rPr>
          <w:rFonts w:ascii="Segoe UI" w:hAnsi="Segoe UI" w:eastAsia="Segoe UI" w:cs="Segoe UI"/>
          <w:i w:val="0"/>
          <w:iCs w:val="0"/>
          <w:caps w:val="0"/>
          <w:spacing w:val="0"/>
          <w:sz w:val="21"/>
          <w:szCs w:val="21"/>
          <w:u w:val="single"/>
          <w:shd w:val="clear" w:color="auto" w:fill="ffffff"/>
        </w:rPr>
        <w:t xml:space="preserve">JSZC-321323-DTZB-G2026-0002</w:t>
      </w:r>
      <w:r>
        <w:rPr>
          <w:rFonts w:hint="eastAsia" w:ascii="宋体" w:hAnsi="宋体" w:cs="宋体"/>
          <w:color w:val="auto"/>
          <w:sz w:val="24"/>
          <w:szCs w:val="24"/>
          <w:highlight w:val="none"/>
          <w:u w:val="single"/>
        </w:rPr>
        <w:t xml:space="preserve">招标项目</w:t>
      </w:r>
      <w:r>
        <w:rPr>
          <w:rFonts w:hint="eastAsia" w:ascii="宋体" w:hAnsi="宋体" w:cs="宋体"/>
          <w:color w:val="auto"/>
          <w:sz w:val="24"/>
          <w:szCs w:val="24"/>
          <w:highlight w:val="none"/>
          <w:u w:val="none"/>
        </w:rPr>
        <w:t xml:space="preserve">的潜在投标人应在招标文件提供的时间内，通过“苏采云”系统（网址： http://jszfcg.jsczt.cn/）或宿迁市政府采购网点击“政府采购管理交易系统（苏采云）”，使用CA锁进入系统从“项目参与”--“采购项目”菜单中，找到本项目获取</w:t>
      </w:r>
      <w:r>
        <w:rPr>
          <w:rFonts w:hint="eastAsia" w:ascii="宋体" w:hAnsi="宋体" w:cs="宋体"/>
          <w:color w:val="auto"/>
          <w:sz w:val="24"/>
          <w:szCs w:val="24"/>
          <w:highlight w:val="none"/>
          <w:u w:val="none"/>
          <w:lang w:val="en-US" w:eastAsia="zh-CN"/>
        </w:rPr>
        <w:t xml:space="preserve">招标</w:t>
      </w:r>
      <w:r>
        <w:rPr>
          <w:rFonts w:hint="eastAsia" w:ascii="宋体" w:hAnsi="宋体" w:cs="宋体"/>
          <w:color w:val="auto"/>
          <w:sz w:val="24"/>
          <w:szCs w:val="24"/>
          <w:highlight w:val="none"/>
          <w:u w:val="none"/>
        </w:rPr>
        <w:t xml:space="preserve">文件（后缀名为“.kedt”），获取招标文件，并于</w:t>
      </w:r>
      <w:r>
        <w:rPr>
          <w:rFonts w:hint="eastAsia" w:ascii="宋体" w:hAnsi="宋体" w:cs="宋体"/>
          <w:color w:val="0000ff"/>
          <w:sz w:val="24"/>
          <w:szCs w:val="24"/>
          <w:highlight w:val="none"/>
          <w:u w:val="single"/>
        </w:rPr>
        <w:t xml:space="preserve">202</w:t>
      </w:r>
      <w:r>
        <w:rPr>
          <w:rFonts w:hint="eastAsia" w:ascii="宋体" w:hAnsi="宋体" w:cs="宋体"/>
          <w:color w:val="0000ff"/>
          <w:sz w:val="24"/>
          <w:szCs w:val="24"/>
          <w:highlight w:val="none"/>
          <w:u w:val="single"/>
          <w:lang w:val="en-US" w:eastAsia="zh-CN"/>
        </w:rPr>
        <w:t xml:space="preserve">6</w:t>
      </w:r>
      <w:r>
        <w:rPr>
          <w:rFonts w:hint="eastAsia" w:ascii="宋体" w:hAnsi="宋体" w:cs="宋体"/>
          <w:color w:val="0000ff"/>
          <w:sz w:val="24"/>
          <w:szCs w:val="24"/>
          <w:highlight w:val="none"/>
          <w:u w:val="single"/>
        </w:rPr>
        <w:t xml:space="preserve">-</w:t>
      </w:r>
      <w:r>
        <w:rPr>
          <w:rFonts w:hint="eastAsia" w:ascii="宋体" w:hAnsi="宋体" w:cs="宋体"/>
          <w:color w:val="0000ff"/>
          <w:sz w:val="24"/>
          <w:szCs w:val="24"/>
          <w:highlight w:val="none"/>
          <w:u w:val="single"/>
          <w:lang w:val="en-US" w:eastAsia="zh-CN"/>
        </w:rPr>
        <w:t xml:space="preserve">03</w:t>
      </w:r>
      <w:r>
        <w:rPr>
          <w:rFonts w:hint="eastAsia" w:ascii="宋体" w:hAnsi="宋体" w:cs="宋体"/>
          <w:color w:val="0000ff"/>
          <w:sz w:val="24"/>
          <w:szCs w:val="24"/>
          <w:highlight w:val="none"/>
          <w:u w:val="single"/>
        </w:rPr>
        <w:t xml:space="preserve">-</w:t>
      </w:r>
      <w:r>
        <w:rPr>
          <w:rFonts w:hint="eastAsia" w:ascii="宋体" w:hAnsi="宋体" w:cs="宋体"/>
          <w:color w:val="0000ff"/>
          <w:sz w:val="24"/>
          <w:szCs w:val="24"/>
          <w:highlight w:val="none"/>
          <w:u w:val="single"/>
          <w:lang w:val="en-US" w:eastAsia="zh-CN"/>
        </w:rPr>
        <w:t xml:space="preserve">24 </w:t>
      </w:r>
      <w:r>
        <w:rPr>
          <w:rFonts w:hint="eastAsia" w:ascii="宋体" w:hAnsi="宋体" w:cs="宋体"/>
          <w:color w:val="0000ff"/>
          <w:sz w:val="24"/>
          <w:szCs w:val="24"/>
          <w:highlight w:val="none"/>
          <w:u w:val="single"/>
        </w:rPr>
        <w:t xml:space="preserve">09:</w:t>
      </w:r>
      <w:r>
        <w:rPr>
          <w:rFonts w:hint="eastAsia" w:ascii="宋体" w:hAnsi="宋体" w:cs="宋体"/>
          <w:color w:val="0000ff"/>
          <w:sz w:val="24"/>
          <w:szCs w:val="24"/>
          <w:highlight w:val="none"/>
          <w:u w:val="single"/>
          <w:lang w:val="en-US" w:eastAsia="zh-CN"/>
        </w:rPr>
        <w:t xml:space="preserve">0</w:t>
      </w:r>
      <w:r>
        <w:rPr>
          <w:rFonts w:hint="eastAsia" w:ascii="宋体" w:hAnsi="宋体" w:cs="宋体"/>
          <w:color w:val="0000ff"/>
          <w:sz w:val="24"/>
          <w:szCs w:val="24"/>
          <w:highlight w:val="none"/>
          <w:u w:val="single"/>
        </w:rPr>
        <w:t xml:space="preserve">0 </w:t>
      </w:r>
      <w:r>
        <w:rPr>
          <w:rFonts w:hint="eastAsia" w:ascii="宋体" w:hAnsi="宋体" w:cs="宋体"/>
          <w:color w:val="auto"/>
          <w:sz w:val="24"/>
          <w:szCs w:val="24"/>
          <w:highlight w:val="none"/>
          <w:u w:val="none"/>
        </w:rPr>
        <w:t xml:space="preserve">（北京时间）前递交投标文件。</w:t>
      </w:r>
      <w:r/>
    </w:p>
    <w:p>
      <w:pPr>
        <w:keepLines w:val="0"/>
        <w:keepNext w:val="0"/>
        <w:pageBreakBefore w:val="0"/>
        <w:spacing w:line="360" w:lineRule="auto"/>
        <w:widowControl w:val="off"/>
        <w:rPr>
          <w:rFonts w:hint="eastAsia" w:ascii="宋体" w:hAnsi="宋体" w:cs="宋体"/>
          <w:b/>
          <w:bCs/>
          <w:color w:val="auto"/>
          <w:sz w:val="24"/>
          <w:szCs w:val="24"/>
          <w:highlight w:val="none"/>
        </w:rPr>
      </w:pPr>
      <w:r/>
      <w:bookmarkStart w:id="10" w:name="_Toc35393790"/>
      <w:r/>
      <w:bookmarkStart w:id="11" w:name="_Toc28359002"/>
      <w:r/>
      <w:bookmarkStart w:id="12" w:name="_Toc28359079"/>
      <w:r/>
      <w:bookmarkStart w:id="13" w:name="_Toc38985263"/>
      <w:r/>
      <w:bookmarkStart w:id="14" w:name="_Toc35393621"/>
      <w:r/>
      <w:bookmarkStart w:id="15" w:name="_Hlk24379207"/>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outlineLvl w:val="0"/>
      </w:pPr>
      <w:r/>
      <w:bookmarkStart w:id="16" w:name="_Toc11421"/>
      <w:r/>
      <w:bookmarkStart w:id="17" w:name="_Toc4400"/>
      <w:r>
        <w:rPr>
          <w:rFonts w:hint="eastAsia" w:ascii="宋体" w:hAnsi="宋体" w:cs="宋体"/>
          <w:b/>
          <w:bCs/>
          <w:color w:val="auto"/>
          <w:sz w:val="24"/>
          <w:szCs w:val="24"/>
          <w:highlight w:val="none"/>
        </w:rPr>
        <w:t xml:space="preserve">一、项目基本情况</w:t>
      </w:r>
      <w:bookmarkEnd w:id="10"/>
      <w:r/>
      <w:bookmarkEnd w:id="11"/>
      <w:r/>
      <w:bookmarkEnd w:id="12"/>
      <w:r/>
      <w:bookmarkEnd w:id="13"/>
      <w:r/>
      <w:bookmarkEnd w:id="14"/>
      <w:r/>
      <w:bookmarkEnd w:id="16"/>
      <w:r/>
      <w:bookmarkEnd w:id="17"/>
      <w:r/>
      <w:r/>
    </w:p>
    <w:p>
      <w:pPr>
        <w:pStyle w:val="903"/>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ff"/>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1、项目编号：JSZC-321323-DTZB-G2026-0002</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2、项目名称：</w:t>
      </w:r>
      <w:bookmarkEnd w:id="15"/>
      <w:r>
        <w:rPr>
          <w:rFonts w:hint="eastAsia" w:ascii="宋体" w:hAnsi="宋体" w:eastAsia="宋体" w:cs="宋体"/>
          <w:color w:val="auto"/>
          <w:sz w:val="24"/>
          <w:szCs w:val="24"/>
          <w:highlight w:val="none"/>
          <w:lang w:val="en-US" w:eastAsia="zh-CN"/>
        </w:rPr>
        <w:t xml:space="preserve">泗阳县2025年度重大动物疫病免疫补助项目（疫苗、标识）</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3、预算金额：130.99996万元，共分为5个采购包</w:t>
      </w:r>
      <w:bookmarkStart w:id="18" w:name="_Toc38985264"/>
      <w:r/>
      <w:bookmarkStart w:id="19" w:name="_Toc35393791"/>
      <w:r/>
      <w:bookmarkStart w:id="20" w:name="_Toc28359080"/>
      <w:r/>
      <w:bookmarkStart w:id="21" w:name="_Toc28359003"/>
      <w:r/>
      <w:bookmarkStart w:id="22" w:name="_Toc35393622"/>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采购包1：28.11998万元；采购包2：12.8万元；采购包3：61.23万元；采购包4：15.64998万元；采购包5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13.2万元。</w:t>
      </w:r>
      <w:r/>
    </w:p>
    <w:p>
      <w:pPr>
        <w:pStyle w:val="903"/>
        <w:numPr>
          <w:ilvl w:val="0"/>
          <w:numId w:val="5"/>
        </w:numPr>
        <w:ind w:left="-60" w:right="0" w:firstLine="480"/>
        <w:jc w:val="both"/>
        <w:keepLines w:val="0"/>
        <w:keepNext w:val="0"/>
        <w:pageBreakBefore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最高限价：本项目设定最高限价单价，</w:t>
      </w:r>
      <w:r>
        <w:rPr>
          <w:rFonts w:hint="eastAsia" w:ascii="宋体" w:hAnsi="宋体" w:cs="宋体"/>
          <w:color w:val="auto"/>
          <w:sz w:val="24"/>
          <w:szCs w:val="24"/>
          <w:highlight w:val="none"/>
          <w:lang w:val="en-US" w:eastAsia="zh-CN"/>
        </w:rPr>
        <w:t xml:space="preserve">采购包1最高限价单价为0.28元/毫升；采购包2最高限价单价为1.6元/毫升；采购包3最高限价单价为2元/毫升；采购包4最高限价为0.6元/头份；采购包5最高限价为0.33元/只。</w:t>
      </w:r>
      <w:r/>
    </w:p>
    <w:p>
      <w:pPr>
        <w:pStyle w:val="903"/>
        <w:numPr>
          <w:ilvl w:val="0"/>
          <w:numId w:val="0"/>
        </w:numPr>
        <w:ind w:left="480" w:right="0"/>
        <w:jc w:val="both"/>
        <w:keepLines w:val="0"/>
        <w:keepNext w:val="0"/>
        <w:pageBreakBefore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每个采购包</w:t>
      </w:r>
      <w:r>
        <w:rPr>
          <w:rFonts w:hint="eastAsia" w:ascii="宋体" w:hAnsi="宋体" w:cs="仿宋_GB2312"/>
          <w:color w:val="auto"/>
          <w:sz w:val="24"/>
          <w:highlight w:val="none"/>
          <w:lang w:val="en-US" w:eastAsia="zh-CN"/>
        </w:rPr>
        <w:t xml:space="preserve">预算总价不变，报单价，超过最高限价单价为无效响应</w:t>
      </w:r>
      <w:r>
        <w:rPr>
          <w:rFonts w:hint="eastAsia" w:ascii="宋体" w:hAnsi="宋体" w:cs="宋体"/>
          <w:color w:val="auto"/>
          <w:sz w:val="24"/>
          <w:szCs w:val="24"/>
          <w:highlight w:val="none"/>
          <w:lang w:eastAsia="zh-CN"/>
        </w:rPr>
        <w:t xml:space="preserve">）</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lang w:eastAsia="zh-CN"/>
        </w:rPr>
        <w:t xml:space="preserve">泗阳县畜牧兽医站</w:t>
      </w:r>
      <w:r>
        <w:rPr>
          <w:rFonts w:hint="eastAsia"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一批</w:t>
      </w:r>
      <w:r>
        <w:rPr>
          <w:rFonts w:hint="eastAsia" w:ascii="宋体" w:hAnsi="宋体" w:eastAsia="宋体" w:cs="宋体"/>
          <w:color w:val="auto"/>
          <w:sz w:val="24"/>
          <w:szCs w:val="24"/>
          <w:highlight w:val="none"/>
        </w:rPr>
        <w:t xml:space="preserve">重大动物疫病免疫所需</w:t>
      </w:r>
      <w:r>
        <w:rPr>
          <w:rFonts w:hint="eastAsia" w:ascii="宋体" w:hAnsi="宋体" w:eastAsia="宋体" w:cs="宋体"/>
          <w:color w:val="auto"/>
          <w:sz w:val="24"/>
          <w:szCs w:val="24"/>
          <w:highlight w:val="none"/>
          <w:lang w:val="en-US" w:eastAsia="zh-CN"/>
        </w:rPr>
        <w:t xml:space="preserve">相关的</w:t>
      </w:r>
      <w:r>
        <w:rPr>
          <w:rFonts w:hint="eastAsia" w:ascii="宋体" w:hAnsi="宋体" w:eastAsia="宋体" w:cs="宋体"/>
          <w:color w:val="auto"/>
          <w:sz w:val="24"/>
          <w:szCs w:val="24"/>
          <w:highlight w:val="none"/>
        </w:rPr>
        <w:t xml:space="preserve">疫苗、耳标及相关配套服务、疫苗配套稀释液等。</w:t>
      </w:r>
      <w:r/>
    </w:p>
    <w:p>
      <w:pPr>
        <w:pStyle w:val="903"/>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（详细内容见本招标文件第四章） </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采购包1：重组禽流感病毒(H5+H7)四价灭活疫苗1004285毫升；</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采购包2：猪口蹄疫O型合成肽疫苗80000毫升；</w:t>
      </w:r>
      <w:r/>
    </w:p>
    <w:p>
      <w:pPr>
        <w:pStyle w:val="903"/>
        <w:ind w:left="0" w:firstLine="480"/>
        <w:jc w:val="both"/>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采购包3：牛羊口蹄疫O型、A型二价灭活疫苗306150毫升；</w:t>
      </w:r>
      <w:r/>
    </w:p>
    <w:p>
      <w:pPr>
        <w:pStyle w:val="903"/>
        <w:ind w:left="0" w:firstLine="480"/>
        <w:jc w:val="both"/>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采购包4：小反刍兽疫活疫苗(或含小反刍）260833头份；</w:t>
      </w:r>
      <w:r/>
    </w:p>
    <w:p>
      <w:pPr>
        <w:pStyle w:val="903"/>
        <w:ind w:left="0" w:firstLine="480"/>
        <w:jc w:val="both"/>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采购包5：猪耳标400000只。</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6、成交原则：</w:t>
      </w:r>
      <w:r/>
    </w:p>
    <w:p>
      <w:pPr>
        <w:pStyle w:val="903"/>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开标顺序：从采购包一到采购包</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依次开标。</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定标顺序：同开标顺序。</w:t>
      </w:r>
      <w:r/>
    </w:p>
    <w:p>
      <w:pPr>
        <w:pStyle w:val="903"/>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定标原则：供应商可以</w:t>
      </w:r>
      <w:r>
        <w:rPr>
          <w:rFonts w:hint="eastAsia" w:ascii="宋体" w:hAnsi="宋体" w:eastAsia="宋体"/>
          <w:color w:val="auto"/>
          <w:sz w:val="24"/>
          <w:szCs w:val="24"/>
          <w:highlight w:val="none"/>
        </w:rPr>
        <w:t xml:space="preserve">选择其中一个或多个</w:t>
      </w:r>
      <w:r>
        <w:rPr>
          <w:rFonts w:hint="eastAsia" w:ascii="宋体" w:hAnsi="宋体" w:eastAsia="宋体"/>
          <w:color w:val="auto"/>
          <w:sz w:val="24"/>
          <w:szCs w:val="24"/>
          <w:highlight w:val="none"/>
          <w:lang w:val="en-US" w:eastAsia="zh-CN"/>
        </w:rPr>
        <w:t xml:space="preserve">分包</w:t>
      </w:r>
      <w:r>
        <w:rPr>
          <w:rFonts w:hint="eastAsia" w:ascii="宋体" w:hAnsi="宋体" w:eastAsia="宋体"/>
          <w:color w:val="auto"/>
          <w:sz w:val="24"/>
          <w:szCs w:val="24"/>
          <w:highlight w:val="none"/>
        </w:rPr>
        <w:t xml:space="preserve">进行</w:t>
      </w:r>
      <w:r>
        <w:rPr>
          <w:rFonts w:hint="eastAsia" w:ascii="宋体" w:hAnsi="宋体" w:eastAsia="宋体" w:cs="宋体"/>
          <w:color w:val="auto"/>
          <w:sz w:val="24"/>
          <w:szCs w:val="24"/>
          <w:highlight w:val="none"/>
        </w:rPr>
        <w:t xml:space="preserve">投标，按照</w:t>
      </w:r>
      <w:r>
        <w:rPr>
          <w:rFonts w:hint="eastAsia" w:ascii="宋体" w:hAnsi="宋体" w:cs="宋体"/>
          <w:color w:val="auto"/>
          <w:sz w:val="24"/>
          <w:szCs w:val="24"/>
          <w:highlight w:val="none"/>
          <w:lang w:val="en-US" w:eastAsia="zh-CN"/>
        </w:rPr>
        <w:t xml:space="preserve">兼投兼中原则，已在前一标段中标后，其他标段依然具有中标资格。</w:t>
      </w:r>
      <w:r/>
    </w:p>
    <w:p>
      <w:pPr>
        <w:pStyle w:val="90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注：评审结束后，若其中一个采购包受到质疑投诉等原因，导致本采购包评审结果改变，但不影响其他采购包的评审。</w:t>
      </w:r>
      <w:r/>
    </w:p>
    <w:p>
      <w:pPr>
        <w:pStyle w:val="903"/>
        <w:ind w:left="0" w:firstLine="480"/>
        <w:jc w:val="both"/>
        <w:keepLines w:val="0"/>
        <w:keepNext w:val="0"/>
        <w:pageBreakBefore w:val="0"/>
        <w:spacing w:before="0" w:beforeAutospacing="0" w:after="0" w:afterAutospacing="0" w:line="360" w:lineRule="auto"/>
        <w:widowControl w:val="off"/>
        <w:rPr>
          <w:color w:val="auto"/>
          <w:highlight w:val="gree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bookmarkStart w:id="23" w:name="EBb920db3eebc44049b2d27a5203bb6f6d"/>
      <w:r>
        <w:rPr>
          <w:rFonts w:hint="eastAsia" w:ascii="宋体" w:hAnsi="宋体" w:eastAsia="宋体" w:cs="宋体"/>
          <w:color w:val="auto"/>
          <w:sz w:val="24"/>
          <w:szCs w:val="24"/>
          <w:highlight w:val="none"/>
        </w:rPr>
        <w:t xml:space="preserve">合同签订后1年。</w:t>
      </w:r>
      <w:bookmarkEnd w:id="23"/>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联合体投标（接受/不接受）</w:t>
      </w:r>
      <w:r/>
    </w:p>
    <w:p>
      <w:pPr>
        <w:spacing w:line="480" w:lineRule="exact"/>
        <w:rPr>
          <w:rFonts w:hint="eastAsia" w:ascii="宋体" w:hAnsi="宋体" w:cs="宋体"/>
          <w:b/>
          <w:bCs/>
          <w:color w:val="auto"/>
          <w:sz w:val="24"/>
          <w:szCs w:val="24"/>
          <w:highlight w:val="none"/>
        </w:rPr>
        <w:outlineLvl w:val="0"/>
      </w:pPr>
      <w:r/>
      <w:bookmarkStart w:id="24" w:name="_Toc17419"/>
      <w:r/>
      <w:bookmarkStart w:id="25" w:name="_Toc31666"/>
      <w:r>
        <w:rPr>
          <w:rFonts w:hint="eastAsia" w:ascii="宋体" w:hAnsi="宋体" w:cs="宋体"/>
          <w:b/>
          <w:bCs/>
          <w:color w:val="auto"/>
          <w:sz w:val="24"/>
          <w:szCs w:val="24"/>
          <w:highlight w:val="none"/>
        </w:rPr>
        <w:t xml:space="preserve">二、申请人的资格要求：</w:t>
      </w:r>
      <w:bookmarkEnd w:id="18"/>
      <w:r/>
      <w:bookmarkEnd w:id="19"/>
      <w:r/>
      <w:bookmarkEnd w:id="20"/>
      <w:r/>
      <w:bookmarkEnd w:id="21"/>
      <w:r/>
      <w:bookmarkEnd w:id="22"/>
      <w:r/>
      <w:bookmarkEnd w:id="24"/>
      <w:r/>
      <w:bookmarkEnd w:id="25"/>
      <w:r/>
      <w:r/>
    </w:p>
    <w:p>
      <w:pPr>
        <w:ind w:firstLine="480"/>
        <w:spacing w:line="480" w:lineRule="exact"/>
        <w:rPr>
          <w:rFonts w:hint="eastAsia" w:ascii="宋体" w:hAnsi="宋体" w:cs="宋体"/>
          <w:color w:val="auto"/>
          <w:sz w:val="24"/>
          <w:szCs w:val="24"/>
          <w:highlight w:val="none"/>
        </w:rPr>
      </w:pPr>
      <w:r/>
      <w:bookmarkStart w:id="26" w:name="_Toc35393792"/>
      <w:r/>
      <w:bookmarkStart w:id="27" w:name="_Toc28359081"/>
      <w:r/>
      <w:bookmarkStart w:id="28" w:name="_Toc38985265"/>
      <w:r/>
      <w:bookmarkStart w:id="29" w:name="_Toc35393623"/>
      <w:r/>
      <w:bookmarkStart w:id="30" w:name="_Toc28359004"/>
      <w:r>
        <w:rPr>
          <w:rFonts w:hint="eastAsia" w:ascii="宋体" w:hAnsi="宋体" w:cs="宋体"/>
          <w:color w:val="auto"/>
          <w:sz w:val="24"/>
          <w:szCs w:val="24"/>
          <w:highlight w:val="none"/>
        </w:rPr>
        <w:t xml:space="preserve">（一）通用资格要求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落实政府采购政策需满足的资格要求：本项目属于专门面向中小企业采购，投标人所提供货物的制造商应为中小微企业或监狱企业或残疾人福利性单位。</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采购包1-采购包4</w:t>
      </w:r>
      <w:r/>
    </w:p>
    <w:p>
      <w:pPr>
        <w:numPr>
          <w:ilvl w:val="0"/>
          <w:numId w:val="6"/>
        </w:numPr>
        <w:ind w:firstLine="48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投标人须</w:t>
      </w:r>
      <w:r>
        <w:rPr>
          <w:rFonts w:hint="eastAsia" w:ascii="宋体" w:hAnsi="宋体" w:cs="宋体"/>
          <w:color w:val="auto"/>
          <w:sz w:val="24"/>
          <w:szCs w:val="24"/>
          <w:highlight w:val="none"/>
          <w:lang w:val="en-US" w:eastAsia="zh-CN"/>
        </w:rPr>
        <w:t xml:space="preserve">具有有效期内的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兽药经营许可证（兽药经营许可证经营范围需含有兽用生物制品）</w:t>
      </w:r>
      <w:r>
        <w:rPr>
          <w:rFonts w:hint="eastAsia" w:ascii="宋体" w:hAnsi="宋体" w:cs="宋体"/>
          <w:color w:val="auto"/>
          <w:sz w:val="24"/>
          <w:szCs w:val="24"/>
          <w:highlight w:val="none"/>
          <w:lang w:eastAsia="zh-CN"/>
        </w:rPr>
        <w:t xml:space="preserve">：投标人若是生产厂家，须具有有效的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eastAsia="zh-CN"/>
        </w:rPr>
        <w:t xml:space="preserve">；投标人若是经销商，须具有有效的</w:t>
      </w:r>
      <w:r>
        <w:rPr>
          <w:rFonts w:hint="eastAsia" w:ascii="宋体" w:hAnsi="宋体" w:cs="宋体"/>
          <w:color w:val="auto"/>
          <w:sz w:val="24"/>
          <w:szCs w:val="24"/>
          <w:highlight w:val="none"/>
        </w:rPr>
        <w:t xml:space="preserve">兽药经营许可证</w:t>
      </w:r>
      <w:r>
        <w:rPr>
          <w:rFonts w:hint="eastAsia" w:ascii="宋体" w:hAnsi="宋体" w:cs="宋体"/>
          <w:color w:val="auto"/>
          <w:sz w:val="24"/>
          <w:szCs w:val="24"/>
          <w:highlight w:val="none"/>
          <w:lang w:eastAsia="zh-CN"/>
        </w:rPr>
        <w:t xml:space="preserve">。</w:t>
      </w:r>
      <w:r/>
    </w:p>
    <w:p>
      <w:pPr>
        <w:numPr>
          <w:ilvl w:val="0"/>
          <w:numId w:val="6"/>
        </w:num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w:t>
      </w:r>
      <w:r>
        <w:rPr>
          <w:rFonts w:hint="eastAsia" w:ascii="宋体" w:hAnsi="宋体" w:cs="宋体"/>
          <w:b w:val="0"/>
          <w:bCs w:val="0"/>
          <w:color w:val="auto"/>
          <w:sz w:val="24"/>
          <w:szCs w:val="24"/>
          <w:highlight w:val="none"/>
          <w:lang w:val="en-US" w:eastAsia="zh-CN"/>
        </w:rPr>
        <w:t xml:space="preserve">包</w:t>
      </w:r>
      <w:r>
        <w:rPr>
          <w:rFonts w:hint="eastAsia" w:ascii="宋体" w:hAnsi="宋体" w:cs="宋体"/>
          <w:color w:val="auto"/>
          <w:sz w:val="24"/>
          <w:szCs w:val="24"/>
          <w:highlight w:val="none"/>
          <w:lang w:val="en-US" w:eastAsia="zh-CN"/>
        </w:rPr>
        <w:t xml:space="preserve">5：无</w:t>
      </w:r>
      <w:r/>
    </w:p>
    <w:p>
      <w:pPr>
        <w:ind w:firstLine="480"/>
        <w:spacing w:line="480" w:lineRule="exact"/>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highlight w:val="none"/>
        </w:rPr>
        <w:t xml:space="preserve">单位负责人为同一人或者存在直接控股、管理关系的不同供应商，不得参加同一合同项下的政府采购活动。否则，相关投标均无效。</w:t>
      </w:r>
      <w:r/>
    </w:p>
    <w:p>
      <w:pPr>
        <w:spacing w:line="480" w:lineRule="exact"/>
        <w:rPr>
          <w:rFonts w:hint="eastAsia" w:ascii="宋体" w:hAnsi="宋体" w:cs="宋体"/>
          <w:b/>
          <w:bCs/>
          <w:color w:val="auto"/>
          <w:sz w:val="24"/>
          <w:szCs w:val="24"/>
          <w:highlight w:val="none"/>
        </w:rPr>
        <w:outlineLvl w:val="0"/>
      </w:pPr>
      <w:r/>
      <w:bookmarkStart w:id="31" w:name="_Toc8729"/>
      <w:r/>
      <w:bookmarkStart w:id="32" w:name="_Toc10151"/>
      <w:r>
        <w:rPr>
          <w:rFonts w:hint="eastAsia" w:ascii="宋体" w:hAnsi="宋体" w:cs="宋体"/>
          <w:b/>
          <w:bCs/>
          <w:color w:val="auto"/>
          <w:sz w:val="24"/>
          <w:szCs w:val="24"/>
          <w:highlight w:val="none"/>
        </w:rPr>
        <w:t xml:space="preserve">三、获取招标文件</w:t>
      </w:r>
      <w:bookmarkEnd w:id="26"/>
      <w:r/>
      <w:bookmarkEnd w:id="27"/>
      <w:r/>
      <w:bookmarkEnd w:id="28"/>
      <w:r/>
      <w:bookmarkEnd w:id="29"/>
      <w:r/>
      <w:bookmarkEnd w:id="30"/>
      <w:r/>
      <w:bookmarkEnd w:id="31"/>
      <w:r/>
      <w:bookmarkEnd w:id="32"/>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rPr>
          <w:rFonts w:ascii="宋体" w:hAnsi="宋体" w:eastAsia="宋体" w:cs="宋体"/>
          <w:color w:val="000000"/>
          <w:sz w:val="24"/>
          <w:szCs w:val="24"/>
        </w:rPr>
        <w:t xml:space="preserve">1、时间：自招标文件公告发布之日起5个工作日 </w:t>
      </w:r>
      <w:r/>
    </w:p>
    <w:p>
      <w:pPr>
        <w:ind w:firstLine="24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投标人应在招标文件提供的时间内，通过“苏采云”系统（网址：http://jszfcg.jsczt.cn/）或宿迁市政府采购网点击“政府采购管理交易系统（苏采云）”，使用CA（数字证书）锁进入系统从“项目参与”--“采购项目”菜单中，找到本项目获取采购文件（后缀名为“.kedt”）。 </w:t>
      </w:r>
      <w:r/>
    </w:p>
    <w:p>
      <w:pPr>
        <w:ind w:firstLine="240"/>
        <w:jc w:val="left"/>
        <w:spacing w:line="460" w:lineRule="exact"/>
        <w:rPr>
          <w:rFonts w:ascii="宋体" w:hAnsi="宋体" w:cs="宋体"/>
          <w:sz w:val="24"/>
          <w:szCs w:val="24"/>
        </w:rPr>
      </w:pPr>
      <w:r>
        <w:rPr>
          <w:rFonts w:hint="eastAsia" w:ascii="宋体" w:hAnsi="宋体" w:cs="宋体"/>
          <w:color w:val="auto"/>
          <w:sz w:val="24"/>
          <w:szCs w:val="24"/>
          <w:highlight w:val="none"/>
        </w:rPr>
        <w:t xml:space="preserve">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left="0" w:right="0" w:firstLine="0"/>
        <w:spacing w:before="240" w:after="24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4、售价</w:t>
      </w:r>
      <w:r>
        <w:rPr>
          <w:rFonts w:ascii="宋体" w:hAnsi="宋体" w:eastAsia="宋体" w:cs="宋体"/>
          <w:color w:val="000000"/>
          <w:sz w:val="24"/>
          <w:szCs w:val="24"/>
          <w:highlight w:val="none"/>
        </w:rPr>
        <w:t xml:space="preserve">：0.00元 </w:t>
      </w:r>
      <w:r/>
    </w:p>
    <w:p>
      <w:pPr>
        <w:ind w:firstLine="480"/>
        <w:spacing w:line="480" w:lineRule="exact"/>
        <w:rPr>
          <w:rFonts w:hint="eastAsia" w:ascii="宋体" w:hAnsi="宋体" w:cs="宋体"/>
          <w:color w:val="auto"/>
          <w:sz w:val="24"/>
          <w:szCs w:val="24"/>
          <w:highlight w:val="none"/>
        </w:rPr>
      </w:pPr>
      <w:r/>
      <w:bookmarkStart w:id="33" w:name="EB0c44ff4da61f4af989d119fe214be450"/>
      <w:r>
        <w:rPr>
          <w:rFonts w:hint="eastAsia" w:ascii="宋体" w:hAnsi="宋体" w:cs="宋体"/>
          <w:color w:val="auto"/>
          <w:sz w:val="24"/>
          <w:szCs w:val="24"/>
          <w:highlight w:val="none"/>
        </w:rPr>
        <w:t xml:space="preserve">本项目共分</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个包。投标人</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参与多个包投标的，应按包分别获取招标文件。投标人未按要求获取招标文件导致无法投标的，后果自负（其投标文件不予接受）。</w:t>
      </w:r>
      <w:bookmarkEnd w:id="33"/>
      <w:r/>
      <w:r/>
    </w:p>
    <w:p>
      <w:pPr>
        <w:spacing w:line="480" w:lineRule="exact"/>
        <w:rPr>
          <w:rFonts w:hint="eastAsia" w:ascii="宋体" w:hAnsi="宋体" w:cs="宋体"/>
          <w:color w:val="auto"/>
          <w:sz w:val="24"/>
          <w:szCs w:val="24"/>
          <w:highlight w:val="none"/>
        </w:rPr>
        <w:outlineLvl w:val="0"/>
      </w:pPr>
      <w:r/>
      <w:bookmarkStart w:id="34" w:name="_Toc280"/>
      <w:r/>
      <w:bookmarkStart w:id="35" w:name="_Toc13888"/>
      <w:r>
        <w:rPr>
          <w:rFonts w:hint="eastAsia" w:ascii="宋体" w:hAnsi="宋体" w:cs="宋体"/>
          <w:b/>
          <w:bCs/>
          <w:color w:val="auto"/>
          <w:sz w:val="24"/>
          <w:szCs w:val="24"/>
          <w:highlight w:val="none"/>
        </w:rPr>
        <w:t xml:space="preserve">四、提交投标文件截止时间、开标时间和地点</w:t>
      </w:r>
      <w:bookmarkEnd w:id="34"/>
      <w:r/>
      <w:bookmarkEnd w:id="35"/>
      <w:r/>
      <w:r/>
    </w:p>
    <w:p>
      <w:r/>
      <w:r/>
    </w:p>
    <w:p>
      <w:pPr>
        <w:ind w:firstLine="480"/>
        <w:spacing w:line="48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提交投标文件截止时间、开标时间：</w:t>
      </w:r>
      <w:r>
        <w:rPr>
          <w:rFonts w:hint="eastAsia"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hint="eastAsia" w:ascii="宋体" w:hAnsi="宋体" w:cs="宋体"/>
          <w:color w:val="0000ff"/>
          <w:sz w:val="24"/>
          <w:szCs w:val="24"/>
          <w:highlight w:val="none"/>
        </w:rPr>
        <w:t xml:space="preserve">-</w:t>
      </w:r>
      <w:r>
        <w:rPr>
          <w:rFonts w:hint="eastAsia" w:ascii="宋体" w:hAnsi="宋体" w:cs="宋体"/>
          <w:color w:val="0000ff"/>
          <w:sz w:val="24"/>
          <w:szCs w:val="24"/>
          <w:highlight w:val="none"/>
          <w:lang w:val="en-US" w:eastAsia="zh-CN"/>
        </w:rPr>
        <w:t xml:space="preserve">03</w:t>
      </w:r>
      <w:r>
        <w:rPr>
          <w:rFonts w:hint="eastAsia" w:ascii="宋体" w:hAnsi="宋体" w:cs="宋体"/>
          <w:color w:val="0000ff"/>
          <w:sz w:val="24"/>
          <w:szCs w:val="24"/>
          <w:highlight w:val="none"/>
        </w:rPr>
        <w:t xml:space="preserve">-</w:t>
      </w:r>
      <w:r>
        <w:rPr>
          <w:rFonts w:hint="eastAsia" w:ascii="宋体" w:hAnsi="宋体" w:cs="宋体"/>
          <w:color w:val="0000ff"/>
          <w:sz w:val="24"/>
          <w:szCs w:val="24"/>
          <w:highlight w:val="none"/>
          <w:lang w:val="en-US" w:eastAsia="zh-CN"/>
        </w:rPr>
        <w:t xml:space="preserve">24</w:t>
      </w:r>
      <w:r>
        <w:rPr>
          <w:rFonts w:hint="eastAsia" w:ascii="宋体" w:hAnsi="宋体" w:cs="宋体"/>
          <w:color w:val="0000ff"/>
          <w:sz w:val="24"/>
          <w:szCs w:val="24"/>
          <w:highlight w:val="none"/>
        </w:rPr>
        <w:t xml:space="preserve"> 09:</w:t>
      </w:r>
      <w:r>
        <w:rPr>
          <w:rFonts w:hint="eastAsia" w:ascii="宋体" w:hAnsi="宋体" w:cs="宋体"/>
          <w:color w:val="0000ff"/>
          <w:sz w:val="24"/>
          <w:szCs w:val="24"/>
          <w:highlight w:val="none"/>
          <w:lang w:val="en-US" w:eastAsia="zh-CN"/>
        </w:rPr>
        <w:t xml:space="preserve">0</w:t>
      </w:r>
      <w:r>
        <w:rPr>
          <w:rFonts w:hint="eastAsia" w:ascii="宋体" w:hAnsi="宋体" w:cs="宋体"/>
          <w:color w:val="0000ff"/>
          <w:sz w:val="24"/>
          <w:szCs w:val="24"/>
          <w:highlight w:val="none"/>
        </w:rPr>
        <w:t xml:space="preserve">0</w:t>
      </w:r>
      <w:r>
        <w:rPr>
          <w:rFonts w:hint="eastAsia" w:ascii="宋体" w:hAnsi="宋体" w:cs="宋体"/>
          <w:bCs/>
          <w:color w:val="auto"/>
          <w:sz w:val="24"/>
          <w:szCs w:val="24"/>
          <w:highlight w:val="none"/>
        </w:rPr>
        <w:t xml:space="preserve">（北京时间）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地点：“苏采云”政府采购交易系统网上开标大厅。</w:t>
      </w:r>
      <w:r/>
    </w:p>
    <w:p>
      <w:pPr>
        <w:spacing w:line="480" w:lineRule="exact"/>
        <w:rPr>
          <w:rFonts w:hint="eastAsia" w:ascii="宋体" w:hAnsi="宋体" w:cs="宋体"/>
          <w:b/>
          <w:bCs/>
          <w:color w:val="auto"/>
          <w:sz w:val="24"/>
          <w:szCs w:val="24"/>
          <w:highlight w:val="none"/>
        </w:rPr>
        <w:outlineLvl w:val="0"/>
      </w:pPr>
      <w:r/>
      <w:bookmarkStart w:id="36" w:name="_Toc28359084"/>
      <w:r/>
      <w:bookmarkStart w:id="37" w:name="_Toc30785"/>
      <w:r/>
      <w:bookmarkStart w:id="38" w:name="_Toc28359007"/>
      <w:r/>
      <w:bookmarkStart w:id="39" w:name="_Toc35393794"/>
      <w:r/>
      <w:bookmarkStart w:id="40" w:name="_Toc8712"/>
      <w:r/>
      <w:bookmarkStart w:id="41" w:name="_Toc35393625"/>
      <w:r/>
      <w:bookmarkStart w:id="42" w:name="_Toc38985267"/>
      <w:r>
        <w:rPr>
          <w:rFonts w:hint="eastAsia" w:ascii="宋体" w:hAnsi="宋体" w:cs="宋体"/>
          <w:b/>
          <w:bCs/>
          <w:color w:val="auto"/>
          <w:sz w:val="24"/>
          <w:szCs w:val="24"/>
          <w:highlight w:val="none"/>
        </w:rPr>
        <w:t xml:space="preserve">五、公告期限</w:t>
      </w:r>
      <w:bookmarkEnd w:id="36"/>
      <w:r/>
      <w:bookmarkEnd w:id="37"/>
      <w:r/>
      <w:bookmarkEnd w:id="38"/>
      <w:r/>
      <w:bookmarkEnd w:id="39"/>
      <w:r/>
      <w:bookmarkEnd w:id="40"/>
      <w:r/>
      <w:bookmarkEnd w:id="41"/>
      <w:r/>
      <w:bookmarkEnd w:id="42"/>
      <w:r/>
      <w:r/>
    </w:p>
    <w:p>
      <w:pPr>
        <w:ind w:firstLine="480"/>
        <w:spacing w:line="480" w:lineRule="exact"/>
        <w:rPr>
          <w:rFonts w:hint="eastAsia" w:ascii="宋体" w:hAnsi="宋体" w:cs="宋体"/>
          <w:color w:val="auto"/>
          <w:sz w:val="24"/>
          <w:szCs w:val="24"/>
          <w:highlight w:val="none"/>
        </w:rPr>
      </w:pPr>
      <w:r/>
      <w:bookmarkStart w:id="43" w:name="_Toc35393626"/>
      <w:r/>
      <w:bookmarkStart w:id="44" w:name="_Toc38985268"/>
      <w:r/>
      <w:bookmarkStart w:id="45" w:name="_Toc35393795"/>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spacing w:line="480" w:lineRule="exact"/>
        <w:rPr>
          <w:rFonts w:hint="eastAsia" w:ascii="宋体" w:hAnsi="宋体" w:cs="宋体"/>
          <w:b/>
          <w:bCs/>
          <w:color w:val="auto"/>
          <w:sz w:val="24"/>
          <w:szCs w:val="24"/>
          <w:highlight w:val="none"/>
        </w:rPr>
        <w:outlineLvl w:val="0"/>
      </w:pPr>
      <w:r/>
      <w:bookmarkStart w:id="46" w:name="_Toc23184"/>
      <w:r/>
      <w:bookmarkStart w:id="47" w:name="_Toc10210"/>
      <w:r>
        <w:rPr>
          <w:rFonts w:hint="eastAsia" w:ascii="宋体" w:hAnsi="宋体" w:cs="宋体"/>
          <w:b/>
          <w:bCs/>
          <w:color w:val="auto"/>
          <w:sz w:val="24"/>
          <w:szCs w:val="24"/>
          <w:highlight w:val="none"/>
        </w:rPr>
        <w:t xml:space="preserve">六、其他补充事宜</w:t>
      </w:r>
      <w:bookmarkEnd w:id="43"/>
      <w:r/>
      <w:bookmarkEnd w:id="44"/>
      <w:r/>
      <w:bookmarkEnd w:id="45"/>
      <w:r/>
      <w:bookmarkEnd w:id="46"/>
      <w:r/>
      <w:bookmarkEnd w:id="47"/>
      <w:r/>
      <w:r/>
    </w:p>
    <w:p>
      <w:pPr>
        <w:ind w:firstLine="480"/>
        <w:spacing w:line="480" w:lineRule="exact"/>
        <w:rPr>
          <w:rFonts w:hint="eastAsia" w:ascii="宋体" w:hAnsi="宋体" w:cs="宋体"/>
          <w:color w:val="auto"/>
          <w:sz w:val="24"/>
          <w:szCs w:val="24"/>
          <w:highlight w:val="none"/>
        </w:rPr>
      </w:pPr>
      <w:r/>
      <w:bookmarkStart w:id="48" w:name="EB64e1f522fd8c43fcb4d3ba471386b3e7"/>
      <w:r/>
      <w:bookmarkStart w:id="49" w:name="_Toc35393796"/>
      <w:r/>
      <w:bookmarkStart w:id="50" w:name="_Toc35393627"/>
      <w:r/>
      <w:bookmarkStart w:id="51" w:name="_Toc38985269"/>
      <w:r/>
      <w:bookmarkStart w:id="52" w:name="_Toc28359085"/>
      <w:r/>
      <w:bookmarkStart w:id="53" w:name="_Toc28359008"/>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财政部门监督电话：</w:t>
      </w:r>
      <w:r>
        <w:rPr>
          <w:rFonts w:hint="eastAsia" w:ascii="宋体" w:hAnsi="宋体" w:cs="宋体"/>
          <w:color w:val="auto"/>
          <w:sz w:val="24"/>
          <w:szCs w:val="24"/>
          <w:highlight w:val="none"/>
          <w:lang w:eastAsia="zh-CN"/>
        </w:rPr>
        <w:t xml:space="preserve">0527-85229058</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“CA”数字证书办理：“苏采云”系统目前仅支持“苏采云”系统下的意源CA。省内各地区办理的“苏采云”系统下的意源CA全省通用。宿迁地区CA数字证书办理联系方式：18762803891。</w:t>
      </w:r>
      <w:r/>
    </w:p>
    <w:p>
      <w:pPr>
        <w:pStyle w:val="1129"/>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宿迁地区“苏采云”技术支持客服电话：0527-84225125、0519-86722806。</w:t>
      </w:r>
      <w:r/>
    </w:p>
    <w:p>
      <w:pPr>
        <w:pStyle w:val="1129"/>
        <w:ind w:firstLine="480"/>
        <w:jc w:val="left"/>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如果投标人通过苏采云系统参与政府采购项目，相关操作手册详见链接：http://www.ccgp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jiangsu.gov.cn/jiangsu/zlxz/ee/ee3a4bc5a3454aa2b0d9312230633ce9.html。</w:t>
      </w:r>
      <w:bookmarkEnd w:id="48"/>
      <w:r/>
      <w:r/>
    </w:p>
    <w:p>
      <w:pPr>
        <w:ind w:firstLine="480"/>
        <w:spacing w:line="480" w:lineRule="exact"/>
        <w:rPr>
          <w:rFonts w:hint="eastAsia" w:ascii="宋体" w:hAnsi="宋体" w:cs="宋体"/>
          <w:b/>
          <w:bCs/>
          <w:i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现场勘察及答疑：本项目不组织集中勘察及答疑，投标人如对采购需求有疑问，请咨询采购单位联系人。 </w:t>
      </w:r>
      <w:r/>
    </w:p>
    <w:p>
      <w:pPr>
        <w:spacing w:line="480" w:lineRule="exact"/>
        <w:rPr>
          <w:rFonts w:hint="eastAsia" w:ascii="宋体" w:hAnsi="宋体" w:cs="宋体"/>
          <w:b/>
          <w:bCs/>
          <w:color w:val="auto"/>
          <w:sz w:val="24"/>
          <w:szCs w:val="24"/>
          <w:highlight w:val="none"/>
        </w:rPr>
        <w:outlineLvl w:val="0"/>
      </w:pPr>
      <w:r/>
      <w:bookmarkStart w:id="54" w:name="_Toc19200"/>
      <w:r/>
      <w:bookmarkStart w:id="55" w:name="_Toc4001"/>
      <w:r>
        <w:rPr>
          <w:rFonts w:hint="eastAsia" w:ascii="宋体" w:hAnsi="宋体" w:cs="宋体"/>
          <w:b/>
          <w:bCs/>
          <w:color w:val="auto"/>
          <w:sz w:val="24"/>
          <w:szCs w:val="24"/>
          <w:highlight w:val="none"/>
        </w:rPr>
        <w:t xml:space="preserve">七、本次招标联系方式</w:t>
      </w:r>
      <w:bookmarkEnd w:id="49"/>
      <w:r/>
      <w:bookmarkEnd w:id="50"/>
      <w:r/>
      <w:bookmarkEnd w:id="51"/>
      <w:r/>
      <w:bookmarkEnd w:id="52"/>
      <w:r/>
      <w:bookmarkEnd w:id="53"/>
      <w:r/>
      <w:bookmarkEnd w:id="54"/>
      <w:r/>
      <w:bookmarkEnd w:id="55"/>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采购人信息</w:t>
      </w:r>
      <w:r/>
    </w:p>
    <w:p>
      <w:pPr>
        <w:ind w:firstLine="480"/>
        <w:jc w:val="left"/>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泗阳县畜牧兽医站</w:t>
      </w:r>
      <w:r/>
    </w:p>
    <w:p>
      <w:pPr>
        <w:ind w:firstLine="480"/>
        <w:jc w:val="left"/>
        <w:spacing w:line="480" w:lineRule="exact"/>
        <w:rPr>
          <w:rFonts w:hint="default" w:ascii="宋体" w:hAnsi="宋体" w:eastAsia="宋体" w:cs="宋体"/>
          <w:color w:val="auto"/>
          <w:sz w:val="24"/>
          <w:szCs w:val="24"/>
          <w:highlight w:val="green"/>
          <w:lang w:val="en-US"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lang w:val="en-US" w:eastAsia="zh-CN"/>
        </w:rPr>
        <w:t xml:space="preserve">泗阳县众兴街道东祥社区3楼</w:t>
      </w:r>
      <w:r/>
    </w:p>
    <w:p>
      <w:pPr>
        <w:ind w:firstLine="480"/>
        <w:jc w:val="left"/>
        <w:spacing w:line="480" w:lineRule="exact"/>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张亚东</w:t>
      </w:r>
      <w:r/>
    </w:p>
    <w:p>
      <w:pPr>
        <w:ind w:firstLine="480"/>
        <w:jc w:val="left"/>
        <w:spacing w:line="48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13851388136</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采购代理机构信息</w:t>
      </w:r>
      <w:r/>
    </w:p>
    <w:p>
      <w:pPr>
        <w:ind w:firstLine="480"/>
        <w:jc w:val="left"/>
        <w:pageBreakBefore w:val="0"/>
        <w:spacing w:line="56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江苏东田招标管理有限公司</w:t>
      </w:r>
      <w:r/>
    </w:p>
    <w:p>
      <w:pPr>
        <w:ind w:firstLine="480"/>
        <w:jc w:val="left"/>
        <w:pageBreakBefore w:val="0"/>
        <w:spacing w:line="56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aps w:val="0"/>
          <w:color w:val="auto"/>
          <w:sz w:val="24"/>
          <w:szCs w:val="24"/>
          <w:highlight w:val="none"/>
          <w:u w:val="single"/>
          <w:lang w:eastAsia="zh-CN"/>
        </w:rPr>
        <w:t xml:space="preserve">泗阳县恒大国际广场二期435-449</w:t>
      </w:r>
      <w:r/>
    </w:p>
    <w:p>
      <w:pPr>
        <w:ind w:firstLine="480"/>
        <w:jc w:val="left"/>
        <w:pageBreakBefore w:val="0"/>
        <w:spacing w:line="56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姜志敏</w:t>
      </w:r>
      <w:r/>
    </w:p>
    <w:p>
      <w:pPr>
        <w:ind w:firstLine="480"/>
        <w:jc w:val="left"/>
        <w:spacing w:line="480" w:lineRule="exact"/>
        <w:widowControl/>
        <w:rPr>
          <w:rFonts w:hint="eastAsia" w:ascii="宋体" w:hAnsi="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联系方式：</w:t>
      </w:r>
      <w:r>
        <w:rPr>
          <w:rFonts w:hint="eastAsia" w:ascii="宋体" w:hAnsi="宋体" w:cs="宋体"/>
          <w:caps w:val="0"/>
          <w:color w:val="auto"/>
          <w:sz w:val="24"/>
          <w:szCs w:val="24"/>
          <w:highlight w:val="none"/>
          <w:u w:val="single"/>
          <w:lang w:eastAsia="zh-CN"/>
        </w:rPr>
        <w:t xml:space="preserve">13951591909</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项目联系方式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aps w:val="0"/>
          <w:color w:val="auto"/>
          <w:sz w:val="24"/>
          <w:szCs w:val="24"/>
          <w:highlight w:val="none"/>
          <w:u w:val="single"/>
          <w:lang w:eastAsia="zh-CN"/>
        </w:rPr>
        <w:t xml:space="preserve">姜志敏</w:t>
      </w:r>
      <w:r/>
    </w:p>
    <w:p>
      <w:pPr>
        <w:ind w:firstLine="480"/>
        <w:spacing w:line="480" w:lineRule="exact"/>
        <w:rPr>
          <w:rFonts w:hint="eastAsia" w:ascii="宋体" w:hAnsi="宋体" w:cs="宋体"/>
          <w:caps w:val="0"/>
          <w:color w:val="auto"/>
          <w:sz w:val="24"/>
          <w:szCs w:val="24"/>
          <w:highlight w:val="none"/>
          <w:u w:val="single"/>
          <w:lang w:eastAsia="zh-CN"/>
        </w:rPr>
      </w:pPr>
      <w:r>
        <w:rPr>
          <w:rFonts w:hint="eastAsia" w:ascii="宋体" w:hAnsi="宋体" w:cs="宋体"/>
          <w:color w:val="auto"/>
          <w:sz w:val="24"/>
          <w:szCs w:val="24"/>
          <w:highlight w:val="none"/>
        </w:rPr>
        <w:t xml:space="preserve">电话：</w:t>
      </w:r>
      <w:r>
        <w:rPr>
          <w:rFonts w:hint="eastAsia" w:ascii="宋体" w:hAnsi="宋体" w:cs="宋体"/>
          <w:caps w:val="0"/>
          <w:color w:val="auto"/>
          <w:sz w:val="24"/>
          <w:szCs w:val="24"/>
          <w:highlight w:val="none"/>
          <w:u w:val="single"/>
          <w:lang w:eastAsia="zh-CN"/>
        </w:rPr>
        <w:t xml:space="preserve">13951591909</w:t>
      </w:r>
      <w:r/>
    </w:p>
    <w:p>
      <w:pPr>
        <w:spacing w:line="480" w:lineRule="exact"/>
        <w:rPr>
          <w:rFonts w:hint="eastAsia" w:ascii="宋体" w:hAnsi="宋体" w:cs="宋体"/>
          <w:b/>
          <w:bCs/>
          <w:color w:val="auto"/>
          <w:sz w:val="24"/>
          <w:szCs w:val="24"/>
          <w:highlight w:val="none"/>
        </w:rPr>
        <w:outlineLvl w:val="0"/>
      </w:pPr>
      <w:r/>
      <w:bookmarkStart w:id="56" w:name="_Toc14228"/>
      <w:r/>
      <w:bookmarkStart w:id="57" w:name="_Toc7585"/>
      <w:r>
        <w:rPr>
          <w:rFonts w:hint="eastAsia" w:ascii="宋体" w:hAnsi="宋体" w:cs="宋体"/>
          <w:b/>
          <w:bCs/>
          <w:color w:val="auto"/>
          <w:sz w:val="24"/>
          <w:szCs w:val="24"/>
          <w:highlight w:val="none"/>
        </w:rPr>
        <w:t xml:space="preserve">八、其他</w:t>
      </w:r>
      <w:bookmarkEnd w:id="56"/>
      <w:r/>
      <w:bookmarkEnd w:id="57"/>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1.有关本次招标的事项若存在变动或修改，敬请及时关注“宿迁市政府采购网”等平台更正公告。</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2.本次招标不收取投标保证金。</w:t>
      </w:r>
      <w:r/>
    </w:p>
    <w:p>
      <w:pPr>
        <w:ind w:firstLine="480"/>
        <w:spacing w:line="480" w:lineRule="exact"/>
        <w:rPr>
          <w:color w:val="auto"/>
          <w:sz w:val="24"/>
          <w:highlight w:val="none"/>
        </w:rPr>
      </w:pPr>
      <w:r>
        <w:rPr>
          <w:rFonts w:hint="eastAsia" w:ascii="宋体" w:hAnsi="宋体" w:cs="宋体"/>
          <w:iCs/>
          <w:color w:val="auto"/>
          <w:sz w:val="24"/>
          <w:szCs w:val="24"/>
          <w:highlight w:val="none"/>
        </w:rPr>
        <w:t xml:space="preserve">3.本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right="840"/>
        <w:rPr>
          <w:color w:val="auto"/>
          <w:sz w:val="24"/>
          <w:szCs w:val="24"/>
          <w:highlight w:val="none"/>
        </w:rPr>
      </w:pPr>
      <w:r>
        <w:rPr>
          <w:color w:val="auto"/>
          <w:sz w:val="24"/>
          <w:szCs w:val="24"/>
          <w:highlight w:val="none"/>
        </w:rPr>
      </w:r>
      <w:r/>
    </w:p>
    <w:p>
      <w:pPr>
        <w:ind w:right="840"/>
        <w:rPr>
          <w:rFonts w:hint="eastAsia"/>
          <w:color w:val="auto"/>
          <w:sz w:val="24"/>
          <w:szCs w:val="24"/>
          <w:highlight w:val="none"/>
        </w:rPr>
      </w:pPr>
      <w:r>
        <w:rPr>
          <w:color w:val="auto"/>
          <w:sz w:val="24"/>
          <w:szCs w:val="24"/>
          <w:highlight w:val="none"/>
        </w:rPr>
        <w:br w:type="page" w:clear="all"/>
      </w:r>
      <w:r/>
    </w:p>
    <w:p>
      <w:pPr>
        <w:jc w:val="center"/>
        <w:rPr>
          <w:rFonts w:hint="eastAsia" w:ascii="宋体" w:hAnsi="宋体" w:cs="宋体"/>
          <w:b/>
          <w:bCs/>
          <w:color w:val="auto"/>
          <w:sz w:val="44"/>
          <w:szCs w:val="44"/>
          <w:highlight w:val="none"/>
        </w:rPr>
        <w:outlineLvl w:val="0"/>
      </w:pPr>
      <w:r/>
      <w:bookmarkStart w:id="58" w:name="_Toc120614211"/>
      <w:r/>
      <w:bookmarkStart w:id="59" w:name="_Toc21573"/>
      <w:r/>
      <w:bookmarkStart w:id="60" w:name="_Toc26742"/>
      <w:r>
        <w:rPr>
          <w:rFonts w:hint="eastAsia" w:ascii="宋体" w:hAnsi="宋体" w:cs="宋体"/>
          <w:b/>
          <w:bCs/>
          <w:color w:val="auto"/>
          <w:sz w:val="44"/>
          <w:szCs w:val="44"/>
          <w:highlight w:val="none"/>
        </w:rPr>
        <w:t xml:space="preserve">第二章  </w:t>
      </w:r>
      <w:bookmarkEnd w:id="1"/>
      <w:r/>
      <w:bookmarkEnd w:id="2"/>
      <w:r/>
      <w:bookmarkEnd w:id="3"/>
      <w:r/>
      <w:bookmarkEnd w:id="4"/>
      <w:r/>
      <w:bookmarkEnd w:id="5"/>
      <w:r/>
      <w:bookmarkEnd w:id="58"/>
      <w:r/>
      <w:bookmarkStart w:id="61" w:name="_Toc20823274"/>
      <w:r/>
      <w:bookmarkStart w:id="62" w:name="_Toc513029202"/>
      <w:r/>
      <w:bookmarkStart w:id="63" w:name="_Toc120614213"/>
      <w:r/>
      <w:bookmarkStart w:id="64" w:name="_Toc16938518"/>
      <w:r>
        <w:rPr>
          <w:rFonts w:hint="eastAsia" w:ascii="宋体" w:hAnsi="宋体" w:cs="宋体"/>
          <w:b/>
          <w:bCs/>
          <w:color w:val="auto"/>
          <w:sz w:val="44"/>
          <w:szCs w:val="44"/>
          <w:highlight w:val="none"/>
        </w:rPr>
        <w:t xml:space="preserve">投标人须知</w:t>
      </w:r>
      <w:bookmarkEnd w:id="59"/>
      <w:r/>
      <w:bookmarkEnd w:id="60"/>
      <w:r/>
      <w:bookmarkEnd w:id="61"/>
      <w:r/>
      <w:bookmarkEnd w:id="62"/>
      <w:r/>
      <w:bookmarkEnd w:id="63"/>
      <w:r/>
      <w:bookmarkEnd w:id="64"/>
      <w:r/>
      <w:r/>
    </w:p>
    <w:p>
      <w:pPr>
        <w:ind w:firstLine="482"/>
        <w:spacing w:line="480" w:lineRule="exact"/>
        <w:rPr>
          <w:rFonts w:hint="eastAsia" w:ascii="宋体" w:hAnsi="宋体" w:cs="宋体"/>
          <w:b/>
          <w:bCs/>
          <w:color w:val="auto"/>
          <w:sz w:val="24"/>
          <w:szCs w:val="24"/>
          <w:highlight w:val="none"/>
        </w:rPr>
        <w:outlineLvl w:val="0"/>
      </w:pPr>
      <w:r/>
      <w:bookmarkStart w:id="65" w:name="_Toc29742"/>
      <w:r/>
      <w:bookmarkStart w:id="66" w:name="_Toc16938519"/>
      <w:r/>
      <w:bookmarkStart w:id="67" w:name="_Toc20823275"/>
      <w:r/>
      <w:bookmarkStart w:id="68" w:name="_Toc120614214"/>
      <w:r/>
      <w:bookmarkStart w:id="69" w:name="_Toc27222"/>
      <w:r/>
      <w:bookmarkStart w:id="70" w:name="_Toc513029203"/>
      <w:r>
        <w:rPr>
          <w:rFonts w:hint="eastAsia" w:ascii="宋体" w:hAnsi="宋体" w:cs="宋体"/>
          <w:b/>
          <w:bCs/>
          <w:color w:val="auto"/>
          <w:sz w:val="24"/>
          <w:szCs w:val="24"/>
          <w:highlight w:val="none"/>
        </w:rPr>
        <w:t xml:space="preserve">一、总则</w:t>
      </w:r>
      <w:bookmarkEnd w:id="65"/>
      <w:r/>
      <w:bookmarkEnd w:id="66"/>
      <w:r/>
      <w:bookmarkEnd w:id="67"/>
      <w:r/>
      <w:bookmarkEnd w:id="68"/>
      <w:r/>
      <w:bookmarkEnd w:id="69"/>
      <w:r/>
      <w:bookmarkEnd w:id="70"/>
      <w:r/>
      <w:r/>
    </w:p>
    <w:p>
      <w:pPr>
        <w:ind w:firstLine="482"/>
        <w:spacing w:line="480" w:lineRule="exact"/>
        <w:rPr>
          <w:rFonts w:hint="eastAsia" w:ascii="宋体" w:hAnsi="宋体" w:cs="宋体"/>
          <w:b/>
          <w:bCs/>
          <w:color w:val="auto"/>
          <w:sz w:val="24"/>
          <w:szCs w:val="24"/>
          <w:highlight w:val="none"/>
        </w:rPr>
        <w:outlineLvl w:val="1"/>
      </w:pPr>
      <w:r/>
      <w:bookmarkStart w:id="71" w:name="_Hlt16619475"/>
      <w:r/>
      <w:bookmarkEnd w:id="71"/>
      <w:r/>
      <w:bookmarkStart w:id="72" w:name="_Toc458694821"/>
      <w:r/>
      <w:bookmarkStart w:id="73" w:name="_Toc20823276"/>
      <w:r/>
      <w:bookmarkStart w:id="74" w:name="_Toc26978"/>
      <w:r/>
      <w:bookmarkStart w:id="75" w:name="_Toc27726"/>
      <w:r/>
      <w:bookmarkStart w:id="76" w:name="_Toc513029204"/>
      <w:r/>
      <w:bookmarkStart w:id="77" w:name="_Toc16938520"/>
      <w:r>
        <w:rPr>
          <w:rFonts w:hint="eastAsia" w:ascii="宋体" w:hAnsi="宋体" w:cs="宋体"/>
          <w:b/>
          <w:bCs/>
          <w:color w:val="auto"/>
          <w:sz w:val="24"/>
          <w:szCs w:val="24"/>
          <w:highlight w:val="none"/>
        </w:rPr>
        <w:t xml:space="preserve">1</w:t>
      </w:r>
      <w:bookmarkEnd w:id="72"/>
      <w:r>
        <w:rPr>
          <w:rFonts w:hint="eastAsia" w:ascii="宋体" w:hAnsi="宋体" w:cs="宋体"/>
          <w:b/>
          <w:bCs/>
          <w:color w:val="auto"/>
          <w:sz w:val="24"/>
          <w:szCs w:val="24"/>
          <w:highlight w:val="none"/>
        </w:rPr>
        <w:t xml:space="preserve">、招标方式</w:t>
      </w:r>
      <w:bookmarkEnd w:id="73"/>
      <w:r/>
      <w:bookmarkEnd w:id="74"/>
      <w:r/>
      <w:bookmarkEnd w:id="75"/>
      <w:r/>
      <w:bookmarkEnd w:id="76"/>
      <w:r/>
      <w:bookmarkEnd w:id="7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iCs/>
          <w:color w:val="auto"/>
          <w:sz w:val="24"/>
          <w:szCs w:val="24"/>
          <w:highlight w:val="none"/>
        </w:rPr>
        <w:t xml:space="preserve">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firstLine="482"/>
        <w:spacing w:line="480" w:lineRule="exact"/>
        <w:rPr>
          <w:rFonts w:hint="eastAsia" w:ascii="宋体" w:hAnsi="宋体" w:cs="宋体"/>
          <w:b/>
          <w:bCs/>
          <w:color w:val="auto"/>
          <w:sz w:val="24"/>
          <w:szCs w:val="24"/>
          <w:highlight w:val="none"/>
        </w:rPr>
        <w:outlineLvl w:val="1"/>
      </w:pPr>
      <w:r/>
      <w:bookmarkStart w:id="78" w:name="_Toc21056"/>
      <w:r/>
      <w:bookmarkStart w:id="79" w:name="_Toc513029205"/>
      <w:r/>
      <w:bookmarkStart w:id="80" w:name="_Toc16938521"/>
      <w:r/>
      <w:bookmarkStart w:id="81" w:name="_Toc22385"/>
      <w:r/>
      <w:bookmarkStart w:id="82" w:name="_Toc20823277"/>
      <w:r>
        <w:rPr>
          <w:rFonts w:hint="eastAsia" w:ascii="宋体" w:hAnsi="宋体" w:cs="宋体"/>
          <w:b/>
          <w:bCs/>
          <w:color w:val="auto"/>
          <w:sz w:val="24"/>
          <w:szCs w:val="24"/>
          <w:highlight w:val="none"/>
        </w:rPr>
        <w:t xml:space="preserve">2、合格的投标人</w:t>
      </w:r>
      <w:bookmarkEnd w:id="78"/>
      <w:r/>
      <w:bookmarkEnd w:id="79"/>
      <w:r/>
      <w:bookmarkEnd w:id="80"/>
      <w:r/>
      <w:bookmarkEnd w:id="81"/>
      <w:r/>
      <w:bookmarkEnd w:id="82"/>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ind w:firstLine="482"/>
        <w:spacing w:line="480" w:lineRule="exact"/>
        <w:rPr>
          <w:rFonts w:hint="eastAsia" w:ascii="宋体" w:hAnsi="宋体" w:cs="宋体"/>
          <w:color w:val="auto"/>
          <w:sz w:val="24"/>
          <w:szCs w:val="24"/>
          <w:highlight w:val="none"/>
        </w:rPr>
        <w:outlineLvl w:val="1"/>
      </w:pPr>
      <w:r/>
      <w:bookmarkStart w:id="83" w:name="_Toc5351"/>
      <w:r/>
      <w:bookmarkStart w:id="84" w:name="_Toc513029206"/>
      <w:r/>
      <w:bookmarkStart w:id="85" w:name="_Toc32477"/>
      <w:r/>
      <w:bookmarkStart w:id="86" w:name="_Toc20823278"/>
      <w:r/>
      <w:bookmarkStart w:id="87" w:name="_Toc16938522"/>
      <w:r>
        <w:rPr>
          <w:rFonts w:hint="eastAsia" w:ascii="宋体" w:hAnsi="宋体" w:cs="宋体"/>
          <w:b/>
          <w:bCs/>
          <w:color w:val="auto"/>
          <w:sz w:val="24"/>
          <w:szCs w:val="24"/>
          <w:highlight w:val="none"/>
        </w:rPr>
        <w:t xml:space="preserve">3、适用法律</w:t>
      </w:r>
      <w:bookmarkEnd w:id="83"/>
      <w:r/>
      <w:bookmarkEnd w:id="84"/>
      <w:r/>
      <w:bookmarkEnd w:id="85"/>
      <w:r/>
      <w:bookmarkEnd w:id="86"/>
      <w:r/>
      <w:bookmarkEnd w:id="8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2"/>
        <w:spacing w:line="480" w:lineRule="exact"/>
        <w:rPr>
          <w:rFonts w:hint="eastAsia" w:ascii="宋体" w:hAnsi="宋体" w:cs="宋体"/>
          <w:b/>
          <w:bCs/>
          <w:color w:val="auto"/>
          <w:sz w:val="24"/>
          <w:szCs w:val="24"/>
          <w:highlight w:val="none"/>
        </w:rPr>
        <w:outlineLvl w:val="1"/>
      </w:pPr>
      <w:r/>
      <w:bookmarkStart w:id="88" w:name="_Toc20823279"/>
      <w:r/>
      <w:bookmarkStart w:id="89" w:name="_Toc462564067"/>
      <w:r/>
      <w:bookmarkStart w:id="90" w:name="_Toc23109"/>
      <w:r/>
      <w:bookmarkStart w:id="91" w:name="_Toc4395"/>
      <w:r/>
      <w:bookmarkStart w:id="92" w:name="_Toc16938523"/>
      <w:r/>
      <w:bookmarkStart w:id="93" w:name="_Toc513029207"/>
      <w:r>
        <w:rPr>
          <w:rFonts w:hint="eastAsia" w:ascii="宋体" w:hAnsi="宋体" w:cs="宋体"/>
          <w:b/>
          <w:bCs/>
          <w:color w:val="auto"/>
          <w:sz w:val="24"/>
          <w:szCs w:val="24"/>
          <w:highlight w:val="none"/>
        </w:rPr>
        <w:t xml:space="preserve">4、投标费用</w:t>
      </w:r>
      <w:bookmarkEnd w:id="88"/>
      <w:r/>
      <w:bookmarkEnd w:id="89"/>
      <w:r/>
      <w:bookmarkEnd w:id="90"/>
      <w:r/>
      <w:bookmarkEnd w:id="91"/>
      <w:r/>
      <w:bookmarkEnd w:id="92"/>
      <w:r/>
      <w:bookmarkEnd w:id="93"/>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投标人应自行承担所有与参加投标有关的费用，无论投标过程中的做法和结果如何，</w:t>
      </w:r>
      <w:r>
        <w:rPr>
          <w:rFonts w:hint="eastAsia" w:ascii="宋体" w:hAnsi="宋体" w:cs="宋体"/>
          <w:color w:val="auto"/>
          <w:sz w:val="24"/>
          <w:szCs w:val="24"/>
          <w:highlight w:val="none"/>
          <w:u w:val="single"/>
          <w:lang w:eastAsia="zh-CN"/>
        </w:rPr>
        <w:t xml:space="preserve">江苏东田招标管理有限公司</w:t>
      </w:r>
      <w:r>
        <w:rPr>
          <w:rFonts w:hint="eastAsia" w:ascii="宋体" w:hAnsi="宋体" w:cs="宋体"/>
          <w:color w:val="auto"/>
          <w:sz w:val="24"/>
          <w:szCs w:val="24"/>
          <w:highlight w:val="none"/>
        </w:rPr>
        <w:t xml:space="preserve">（以下简称采购代理机构）在任何情况下均无义务和责任承担这些费用。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4.2代理费用收取方式及标准：按以下第</w:t>
      </w:r>
      <w:r>
        <w:rPr>
          <w:rFonts w:hint="eastAsia" w:ascii="宋体" w:hAnsi="宋体" w:cs="宋体"/>
          <w:color w:val="auto"/>
          <w:sz w:val="24"/>
          <w:szCs w:val="24"/>
          <w:highlight w:val="none"/>
          <w:u w:val="single"/>
        </w:rPr>
        <w:t xml:space="preserve">4.2.2</w:t>
      </w:r>
      <w:r>
        <w:rPr>
          <w:rFonts w:hint="eastAsia" w:ascii="宋体" w:hAnsi="宋体" w:cs="宋体"/>
          <w:color w:val="auto"/>
          <w:sz w:val="24"/>
          <w:szCs w:val="24"/>
          <w:highlight w:val="none"/>
        </w:rPr>
        <w:t xml:space="preserve">种方式执行</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4.2.1无需支付；</w:t>
      </w:r>
      <w:r/>
    </w:p>
    <w:p>
      <w:pPr>
        <w:pStyle w:val="1129"/>
        <w:ind w:firstLine="480"/>
        <w:spacing w:line="480" w:lineRule="exact"/>
        <w:rPr>
          <w:rFonts w:hint="eastAsia" w:ascii="宋体" w:hAnsi="宋体" w:eastAsia="宋体" w:cs="宋体"/>
          <w:color w:val="auto"/>
          <w:sz w:val="24"/>
          <w:szCs w:val="24"/>
          <w:highlight w:val="green"/>
          <w:lang w:val="en-US"/>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u w:val="single"/>
          <w:lang w:val="zh-CN" w:eastAsia="zh-CN"/>
        </w:rPr>
        <w:t xml:space="preserve">参照苏招协[2022]002号文规定标准收取</w:t>
      </w:r>
      <w:r>
        <w:rPr>
          <w:rFonts w:hint="eastAsia" w:ascii="宋体" w:hAnsi="宋体" w:eastAsia="宋体" w:cs="宋体"/>
          <w:color w:val="auto"/>
          <w:sz w:val="24"/>
          <w:szCs w:val="24"/>
          <w:highlight w:val="none"/>
          <w:u w:val="single"/>
          <w:lang w:val="zh-CN"/>
        </w:rPr>
        <w:t xml:space="preserve">。可使用数字人民币支付。</w:t>
      </w:r>
      <w:r>
        <w:rPr>
          <w:rFonts w:hint="eastAsia" w:ascii="宋体" w:hAnsi="宋体" w:eastAsia="宋体" w:cs="宋体"/>
          <w:color w:val="auto"/>
          <w:sz w:val="24"/>
          <w:szCs w:val="24"/>
          <w:highlight w:val="none"/>
          <w:lang w:val="en-US"/>
        </w:rPr>
        <w:t xml:space="preserve"> </w:t>
      </w:r>
      <w:r/>
    </w:p>
    <w:p>
      <w:pPr>
        <w:ind w:firstLine="482"/>
        <w:spacing w:line="480" w:lineRule="exact"/>
        <w:rPr>
          <w:rFonts w:hint="eastAsia" w:ascii="宋体" w:hAnsi="宋体" w:cs="宋体"/>
          <w:b/>
          <w:bCs/>
          <w:color w:val="auto"/>
          <w:sz w:val="24"/>
          <w:szCs w:val="24"/>
          <w:highlight w:val="none"/>
        </w:rPr>
        <w:outlineLvl w:val="1"/>
      </w:pPr>
      <w:r/>
      <w:bookmarkStart w:id="94" w:name="_Toc8122"/>
      <w:r/>
      <w:bookmarkStart w:id="95" w:name="_Toc10914"/>
      <w:r>
        <w:rPr>
          <w:rFonts w:hint="eastAsia" w:ascii="宋体" w:hAnsi="宋体" w:cs="宋体"/>
          <w:b/>
          <w:bCs/>
          <w:color w:val="auto"/>
          <w:sz w:val="24"/>
          <w:szCs w:val="24"/>
          <w:highlight w:val="none"/>
        </w:rPr>
        <w:t xml:space="preserve">5、招标文件的约束力</w:t>
      </w:r>
      <w:bookmarkEnd w:id="94"/>
      <w:r/>
      <w:bookmarkEnd w:id="95"/>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投标人一旦参加本项目采购活动，即被认为接受了本招标文件的规定和约束。</w:t>
      </w:r>
      <w:r/>
    </w:p>
    <w:p>
      <w:pPr>
        <w:ind w:firstLine="482"/>
        <w:spacing w:line="480" w:lineRule="exact"/>
        <w:rPr>
          <w:rFonts w:hint="eastAsia" w:ascii="宋体" w:hAnsi="宋体" w:cs="宋体"/>
          <w:b/>
          <w:bCs/>
          <w:color w:val="auto"/>
          <w:sz w:val="24"/>
          <w:szCs w:val="24"/>
          <w:highlight w:val="none"/>
        </w:rPr>
        <w:outlineLvl w:val="0"/>
      </w:pPr>
      <w:r/>
      <w:bookmarkStart w:id="96" w:name="_Toc25255"/>
      <w:r/>
      <w:bookmarkStart w:id="97" w:name="_Toc8769"/>
      <w:r/>
      <w:bookmarkStart w:id="98" w:name="_Toc513029209"/>
      <w:r/>
      <w:bookmarkStart w:id="99" w:name="_Toc16938525"/>
      <w:r/>
      <w:bookmarkStart w:id="100" w:name="_Toc20823281"/>
      <w:r/>
      <w:bookmarkStart w:id="101" w:name="_Toc120614215"/>
      <w:r>
        <w:rPr>
          <w:rFonts w:hint="eastAsia" w:ascii="宋体" w:hAnsi="宋体" w:cs="宋体"/>
          <w:b/>
          <w:bCs/>
          <w:color w:val="auto"/>
          <w:sz w:val="24"/>
          <w:szCs w:val="24"/>
          <w:highlight w:val="none"/>
        </w:rPr>
        <w:t xml:space="preserve">二、招标文件</w:t>
      </w:r>
      <w:bookmarkEnd w:id="96"/>
      <w:r/>
      <w:bookmarkEnd w:id="97"/>
      <w:r/>
      <w:bookmarkEnd w:id="98"/>
      <w:r/>
      <w:bookmarkEnd w:id="99"/>
      <w:r/>
      <w:bookmarkEnd w:id="100"/>
      <w:r/>
      <w:bookmarkEnd w:id="101"/>
      <w:r/>
      <w:r/>
    </w:p>
    <w:p>
      <w:pPr>
        <w:ind w:firstLine="482"/>
        <w:spacing w:line="480" w:lineRule="exact"/>
        <w:rPr>
          <w:rFonts w:hint="eastAsia" w:ascii="宋体" w:hAnsi="宋体" w:cs="宋体"/>
          <w:b/>
          <w:bCs/>
          <w:color w:val="auto"/>
          <w:sz w:val="24"/>
          <w:szCs w:val="24"/>
          <w:highlight w:val="none"/>
        </w:rPr>
        <w:outlineLvl w:val="1"/>
      </w:pPr>
      <w:r/>
      <w:bookmarkStart w:id="102" w:name="_Toc16938526"/>
      <w:r/>
      <w:bookmarkStart w:id="103" w:name="_Toc513029210"/>
      <w:r/>
      <w:bookmarkStart w:id="104" w:name="_Toc21542"/>
      <w:r/>
      <w:bookmarkStart w:id="105" w:name="_Toc24523"/>
      <w:r/>
      <w:bookmarkStart w:id="106" w:name="_Toc20823282"/>
      <w:r>
        <w:rPr>
          <w:rFonts w:hint="eastAsia" w:ascii="宋体" w:hAnsi="宋体" w:cs="宋体"/>
          <w:b/>
          <w:bCs/>
          <w:color w:val="auto"/>
          <w:sz w:val="24"/>
          <w:szCs w:val="24"/>
          <w:highlight w:val="none"/>
        </w:rPr>
        <w:t xml:space="preserve">6、招标文件构成</w:t>
      </w:r>
      <w:bookmarkEnd w:id="102"/>
      <w:r/>
      <w:bookmarkEnd w:id="103"/>
      <w:r/>
      <w:bookmarkEnd w:id="104"/>
      <w:r/>
      <w:bookmarkEnd w:id="105"/>
      <w:r/>
      <w:bookmarkEnd w:id="106"/>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招标文件由以下部分组成：</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exact"/>
        <w:rPr>
          <w:rFonts w:hint="eastAsia" w:ascii="宋体" w:hAnsi="宋体" w:cs="宋体"/>
          <w:b/>
          <w:bCs/>
          <w:color w:val="auto"/>
          <w:sz w:val="24"/>
          <w:szCs w:val="24"/>
          <w:highlight w:val="none"/>
        </w:rPr>
        <w:outlineLvl w:val="1"/>
      </w:pPr>
      <w:r/>
      <w:bookmarkStart w:id="107" w:name="_Toc15221"/>
      <w:r/>
      <w:bookmarkStart w:id="108" w:name="_Toc20823283"/>
      <w:r/>
      <w:bookmarkStart w:id="109" w:name="_Toc462564070"/>
      <w:r/>
      <w:bookmarkStart w:id="110" w:name="_Toc513029211"/>
      <w:r/>
      <w:bookmarkStart w:id="111" w:name="_Toc16938527"/>
      <w:r/>
      <w:bookmarkStart w:id="112" w:name="_Toc8569"/>
      <w:r>
        <w:rPr>
          <w:rFonts w:hint="eastAsia" w:ascii="宋体" w:hAnsi="宋体" w:cs="宋体"/>
          <w:b/>
          <w:bCs/>
          <w:color w:val="auto"/>
          <w:sz w:val="24"/>
          <w:szCs w:val="24"/>
          <w:highlight w:val="none"/>
        </w:rPr>
        <w:t xml:space="preserve">7、招标文件的澄清</w:t>
      </w:r>
      <w:bookmarkEnd w:id="107"/>
      <w:r/>
      <w:bookmarkEnd w:id="108"/>
      <w:r/>
      <w:bookmarkEnd w:id="109"/>
      <w:r/>
      <w:bookmarkEnd w:id="110"/>
      <w:r/>
      <w:bookmarkEnd w:id="111"/>
      <w:r/>
      <w:bookmarkEnd w:id="112"/>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前按招标公告中的通讯地址，以书面形式通知采购代理机构。</w:t>
      </w:r>
      <w:r/>
    </w:p>
    <w:p>
      <w:pPr>
        <w:ind w:firstLine="482"/>
        <w:spacing w:line="480" w:lineRule="exact"/>
        <w:rPr>
          <w:rFonts w:hint="eastAsia" w:ascii="宋体" w:hAnsi="宋体" w:cs="宋体"/>
          <w:b/>
          <w:bCs/>
          <w:color w:val="auto"/>
          <w:sz w:val="24"/>
          <w:szCs w:val="24"/>
          <w:highlight w:val="none"/>
        </w:rPr>
        <w:outlineLvl w:val="1"/>
      </w:pPr>
      <w:r/>
      <w:bookmarkStart w:id="113" w:name="_Toc513029212"/>
      <w:r/>
      <w:bookmarkStart w:id="114" w:name="_Toc462564071"/>
      <w:r/>
      <w:bookmarkStart w:id="115" w:name="_Toc16938528"/>
      <w:r/>
      <w:bookmarkStart w:id="116" w:name="_Toc20823284"/>
      <w:r/>
      <w:bookmarkStart w:id="117" w:name="_Toc21058"/>
      <w:r/>
      <w:bookmarkStart w:id="118" w:name="_Toc30484"/>
      <w:r>
        <w:rPr>
          <w:rFonts w:hint="eastAsia" w:ascii="宋体" w:hAnsi="宋体" w:cs="宋体"/>
          <w:b/>
          <w:bCs/>
          <w:color w:val="auto"/>
          <w:sz w:val="24"/>
          <w:szCs w:val="24"/>
          <w:highlight w:val="none"/>
        </w:rPr>
        <w:t xml:space="preserve">8、招标文件的修改</w:t>
      </w:r>
      <w:bookmarkEnd w:id="113"/>
      <w:r/>
      <w:bookmarkEnd w:id="114"/>
      <w:r/>
      <w:bookmarkEnd w:id="115"/>
      <w:r/>
      <w:bookmarkEnd w:id="116"/>
      <w:r/>
      <w:bookmarkEnd w:id="117"/>
      <w:r/>
      <w:bookmarkEnd w:id="118"/>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 在投标截止时间前，采购代理机构可以对招标文件进行修改。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8.3 采购代理机构有权按照法定的要求推迟投标截止日期和开标日期。</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80" w:lineRule="exact"/>
        <w:rPr>
          <w:rFonts w:hint="eastAsia" w:ascii="宋体" w:hAnsi="宋体" w:cs="宋体"/>
          <w:b/>
          <w:bCs/>
          <w:color w:val="auto"/>
          <w:sz w:val="24"/>
          <w:szCs w:val="24"/>
          <w:highlight w:val="none"/>
        </w:rPr>
        <w:outlineLvl w:val="0"/>
      </w:pPr>
      <w:r/>
      <w:bookmarkStart w:id="119" w:name="_Toc16938529"/>
      <w:r/>
      <w:bookmarkStart w:id="120" w:name="_Toc5247"/>
      <w:r/>
      <w:bookmarkStart w:id="121" w:name="_Toc462564072"/>
      <w:r/>
      <w:bookmarkStart w:id="122" w:name="_Toc120614216"/>
      <w:r/>
      <w:bookmarkStart w:id="123" w:name="_Toc513029213"/>
      <w:r/>
      <w:bookmarkStart w:id="124" w:name="_Toc7329"/>
      <w:r/>
      <w:bookmarkStart w:id="125" w:name="_Toc20823285"/>
      <w:r>
        <w:rPr>
          <w:rFonts w:hint="eastAsia" w:ascii="宋体" w:hAnsi="宋体" w:cs="宋体"/>
          <w:b/>
          <w:bCs/>
          <w:color w:val="auto"/>
          <w:sz w:val="24"/>
          <w:szCs w:val="24"/>
          <w:highlight w:val="none"/>
        </w:rPr>
        <w:t xml:space="preserve">三、投标文件的编制</w:t>
      </w:r>
      <w:bookmarkEnd w:id="119"/>
      <w:r/>
      <w:bookmarkEnd w:id="120"/>
      <w:r/>
      <w:bookmarkEnd w:id="121"/>
      <w:r/>
      <w:bookmarkEnd w:id="122"/>
      <w:r/>
      <w:bookmarkEnd w:id="123"/>
      <w:r/>
      <w:bookmarkEnd w:id="124"/>
      <w:r/>
      <w:bookmarkEnd w:id="125"/>
      <w:r/>
      <w:r/>
    </w:p>
    <w:p>
      <w:pPr>
        <w:ind w:firstLine="482"/>
        <w:spacing w:line="480" w:lineRule="exact"/>
        <w:rPr>
          <w:rFonts w:hint="eastAsia" w:ascii="宋体" w:hAnsi="宋体" w:cs="宋体"/>
          <w:b/>
          <w:bCs/>
          <w:color w:val="auto"/>
          <w:sz w:val="24"/>
          <w:szCs w:val="24"/>
          <w:highlight w:val="none"/>
        </w:rPr>
        <w:outlineLvl w:val="1"/>
      </w:pPr>
      <w:r/>
      <w:bookmarkStart w:id="126" w:name="_Toc22259"/>
      <w:r/>
      <w:bookmarkStart w:id="127" w:name="_Toc20823286"/>
      <w:r/>
      <w:bookmarkStart w:id="128" w:name="_Toc16938530"/>
      <w:r/>
      <w:bookmarkStart w:id="129" w:name="_Toc513029214"/>
      <w:r/>
      <w:bookmarkStart w:id="130" w:name="_Toc462564073"/>
      <w:r/>
      <w:bookmarkStart w:id="131" w:name="_Toc29279"/>
      <w:r>
        <w:rPr>
          <w:rFonts w:hint="eastAsia" w:ascii="宋体" w:hAnsi="宋体" w:cs="宋体"/>
          <w:b/>
          <w:bCs/>
          <w:color w:val="auto"/>
          <w:sz w:val="24"/>
          <w:szCs w:val="24"/>
          <w:highlight w:val="none"/>
        </w:rPr>
        <w:t xml:space="preserve">9、投标文件的语言及度量衡单位</w:t>
      </w:r>
      <w:bookmarkEnd w:id="126"/>
      <w:r/>
      <w:bookmarkEnd w:id="127"/>
      <w:r/>
      <w:bookmarkEnd w:id="128"/>
      <w:r/>
      <w:bookmarkEnd w:id="129"/>
      <w:r/>
      <w:bookmarkEnd w:id="130"/>
      <w:r/>
      <w:bookmarkEnd w:id="131"/>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ind w:firstLine="482"/>
        <w:spacing w:line="480" w:lineRule="exact"/>
        <w:rPr>
          <w:rFonts w:hint="eastAsia" w:ascii="宋体" w:hAnsi="宋体" w:cs="宋体"/>
          <w:b/>
          <w:bCs/>
          <w:color w:val="auto"/>
          <w:sz w:val="24"/>
          <w:szCs w:val="24"/>
          <w:highlight w:val="none"/>
        </w:rPr>
        <w:outlineLvl w:val="1"/>
      </w:pPr>
      <w:r/>
      <w:bookmarkStart w:id="132" w:name="_Toc513029215"/>
      <w:r/>
      <w:bookmarkStart w:id="133" w:name="_Toc20823287"/>
      <w:r/>
      <w:bookmarkStart w:id="134" w:name="_Toc462564074"/>
      <w:r/>
      <w:bookmarkStart w:id="135" w:name="_Toc16938531"/>
      <w:r/>
      <w:bookmarkStart w:id="136" w:name="_Toc7980"/>
      <w:r/>
      <w:bookmarkStart w:id="137" w:name="_Toc28416"/>
      <w:r>
        <w:rPr>
          <w:rFonts w:hint="eastAsia" w:ascii="宋体" w:hAnsi="宋体" w:cs="宋体"/>
          <w:b/>
          <w:bCs/>
          <w:color w:val="auto"/>
          <w:sz w:val="24"/>
          <w:szCs w:val="24"/>
          <w:highlight w:val="none"/>
        </w:rPr>
        <w:t xml:space="preserve">10、投标文件构成</w:t>
      </w:r>
      <w:bookmarkEnd w:id="132"/>
      <w:r/>
      <w:bookmarkEnd w:id="133"/>
      <w:r/>
      <w:bookmarkEnd w:id="134"/>
      <w:r/>
      <w:bookmarkEnd w:id="135"/>
      <w:r/>
      <w:bookmarkEnd w:id="136"/>
      <w:r/>
      <w:bookmarkEnd w:id="137"/>
      <w:r/>
      <w:r/>
    </w:p>
    <w:p>
      <w:pPr>
        <w:ind w:firstLine="480"/>
        <w:jc w:val="left"/>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各投标人在编制投标文件时请按照招标文件第六</w:t>
      </w:r>
      <w:r>
        <w:rPr>
          <w:rFonts w:hint="eastAsia" w:ascii="宋体" w:hAnsi="宋体" w:cs="宋体"/>
          <w:bCs/>
          <w:color w:val="auto"/>
          <w:sz w:val="24"/>
          <w:szCs w:val="24"/>
          <w:highlight w:val="none"/>
        </w:rPr>
        <w:t xml:space="preserve">章</w:t>
      </w:r>
      <w:r>
        <w:rPr>
          <w:rFonts w:hint="eastAsia" w:ascii="宋体" w:hAnsi="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10.6中标后按相关要求提供与电子投标文件一致的纸质打印投标文件3份。 </w:t>
      </w:r>
      <w:r/>
    </w:p>
    <w:p>
      <w:pPr>
        <w:ind w:firstLine="480"/>
        <w:spacing w:line="480" w:lineRule="exact"/>
        <w:rPr>
          <w:rFonts w:hint="eastAsia" w:ascii="宋体" w:hAnsi="宋体" w:cs="宋体"/>
          <w:bCs/>
          <w:color w:val="auto"/>
          <w:sz w:val="24"/>
          <w:szCs w:val="24"/>
          <w:highlight w:val="none"/>
        </w:rPr>
      </w:pPr>
      <w:r/>
      <w:bookmarkStart w:id="138" w:name="EBc50e2bb832bb43068403b10c1cce6141"/>
      <w:r>
        <w:rPr>
          <w:rFonts w:hint="eastAsia" w:ascii="宋体" w:hAnsi="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38"/>
      <w:r/>
      <w:r/>
    </w:p>
    <w:p>
      <w:pPr>
        <w:ind w:firstLine="482"/>
        <w:spacing w:line="480" w:lineRule="exact"/>
        <w:rPr>
          <w:rFonts w:hint="eastAsia" w:ascii="宋体" w:hAnsi="宋体" w:cs="宋体"/>
          <w:b/>
          <w:bCs/>
          <w:color w:val="auto"/>
          <w:sz w:val="24"/>
          <w:szCs w:val="24"/>
          <w:highlight w:val="none"/>
        </w:rPr>
        <w:outlineLvl w:val="1"/>
      </w:pPr>
      <w:r/>
      <w:bookmarkStart w:id="139" w:name="_Hlt26954838"/>
      <w:r/>
      <w:bookmarkEnd w:id="139"/>
      <w:r/>
      <w:bookmarkStart w:id="140" w:name="_Hlt26668975"/>
      <w:r/>
      <w:bookmarkEnd w:id="140"/>
      <w:r/>
      <w:bookmarkStart w:id="141" w:name="_Hlt26670360"/>
      <w:r/>
      <w:bookmarkEnd w:id="141"/>
      <w:r/>
      <w:bookmarkStart w:id="142" w:name="_Toc513029216"/>
      <w:r/>
      <w:bookmarkStart w:id="143" w:name="_Toc14577354"/>
      <w:r/>
      <w:bookmarkStart w:id="144" w:name="_Toc49090509"/>
      <w:r/>
      <w:bookmarkStart w:id="145" w:name="_Toc14518"/>
      <w:r/>
      <w:bookmarkStart w:id="146" w:name="_Toc49090507"/>
      <w:r/>
      <w:bookmarkStart w:id="147" w:name="_Toc27197"/>
      <w:r/>
      <w:bookmarkStart w:id="148" w:name="_Toc513029219"/>
      <w:r/>
      <w:bookmarkStart w:id="149" w:name="_Toc14577357"/>
      <w:r>
        <w:rPr>
          <w:rFonts w:hint="eastAsia" w:ascii="宋体" w:hAnsi="宋体" w:cs="宋体"/>
          <w:b/>
          <w:bCs/>
          <w:color w:val="auto"/>
          <w:sz w:val="24"/>
          <w:szCs w:val="24"/>
          <w:highlight w:val="none"/>
        </w:rPr>
        <w:t xml:space="preserve">11、证明投标人及投标标的符合招标文件规定的文件</w:t>
      </w:r>
      <w:bookmarkEnd w:id="142"/>
      <w:r/>
      <w:bookmarkEnd w:id="143"/>
      <w:r/>
      <w:bookmarkEnd w:id="144"/>
      <w:r/>
      <w:bookmarkEnd w:id="145"/>
      <w:r/>
      <w:bookmarkEnd w:id="146"/>
      <w:r/>
      <w:bookmarkEnd w:id="147"/>
      <w:r/>
      <w:bookmarkEnd w:id="148"/>
      <w:r/>
      <w:bookmarkEnd w:id="149"/>
      <w:r/>
      <w:r/>
    </w:p>
    <w:p>
      <w:pPr>
        <w:ind w:firstLine="480"/>
        <w:spacing w:line="480" w:lineRule="exact"/>
        <w:rPr>
          <w:rFonts w:hint="eastAsia" w:ascii="宋体" w:hAnsi="宋体" w:cs="宋体"/>
          <w:color w:val="auto"/>
          <w:sz w:val="24"/>
          <w:szCs w:val="24"/>
          <w:highlight w:val="none"/>
        </w:rPr>
      </w:pPr>
      <w:r/>
      <w:bookmarkStart w:id="150" w:name="_Toc14577355"/>
      <w:r/>
      <w:bookmarkStart w:id="151" w:name="_Toc49090508"/>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482"/>
        <w:spacing w:line="480" w:lineRule="exact"/>
        <w:rPr>
          <w:rFonts w:hint="eastAsia" w:ascii="宋体" w:hAnsi="宋体" w:cs="宋体"/>
          <w:b/>
          <w:bCs/>
          <w:color w:val="auto"/>
          <w:sz w:val="24"/>
          <w:szCs w:val="24"/>
          <w:highlight w:val="none"/>
        </w:rPr>
        <w:outlineLvl w:val="1"/>
      </w:pPr>
      <w:r/>
      <w:bookmarkStart w:id="152" w:name="_Toc9497"/>
      <w:r/>
      <w:bookmarkStart w:id="153" w:name="_Toc29351"/>
      <w:r>
        <w:rPr>
          <w:rFonts w:hint="eastAsia" w:ascii="宋体" w:hAnsi="宋体" w:cs="宋体"/>
          <w:b/>
          <w:bCs/>
          <w:color w:val="auto"/>
          <w:sz w:val="24"/>
          <w:szCs w:val="24"/>
          <w:highlight w:val="none"/>
        </w:rPr>
        <w:t xml:space="preserve">12、投标分项报价</w:t>
      </w:r>
      <w:bookmarkEnd w:id="150"/>
      <w:r/>
      <w:bookmarkStart w:id="154" w:name="_Hlt26670373"/>
      <w:r/>
      <w:bookmarkEnd w:id="154"/>
      <w:r>
        <w:rPr>
          <w:rFonts w:hint="eastAsia" w:ascii="宋体" w:hAnsi="宋体" w:cs="宋体"/>
          <w:b/>
          <w:bCs/>
          <w:color w:val="auto"/>
          <w:sz w:val="24"/>
          <w:szCs w:val="24"/>
          <w:highlight w:val="none"/>
        </w:rPr>
        <w:t xml:space="preserve">表</w:t>
      </w:r>
      <w:bookmarkEnd w:id="151"/>
      <w:r/>
      <w:bookmarkEnd w:id="152"/>
      <w:r/>
      <w:bookmarkEnd w:id="153"/>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w:t>
      </w:r>
      <w:bookmarkStart w:id="155" w:name="_Hlt26954840"/>
      <w:r/>
      <w:bookmarkEnd w:id="155"/>
      <w:r>
        <w:rPr>
          <w:rFonts w:hint="eastAsia" w:ascii="宋体" w:hAnsi="宋体" w:cs="宋体"/>
          <w:color w:val="auto"/>
          <w:sz w:val="24"/>
          <w:szCs w:val="24"/>
          <w:highlight w:val="none"/>
        </w:rPr>
        <w:t xml:space="preserve">标人应按照招标文件规定格式填报投标分项报价表</w:t>
      </w:r>
      <w:bookmarkStart w:id="156" w:name="_Hlt26670399"/>
      <w:r/>
      <w:bookmarkEnd w:id="156"/>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12.3本项目不接受备选的投标方案或有选择的报价，只允许有一个报价。投标报价内容包括：</w:t>
      </w:r>
      <w:r>
        <w:rPr>
          <w:rFonts w:hint="eastAsia" w:ascii="Times New Roman" w:hAnsi="Times New Roman" w:eastAsia="宋体" w:cs="Times New Roman"/>
          <w:bCs/>
          <w:caps w:val="0"/>
          <w:color w:val="auto"/>
          <w:sz w:val="24"/>
          <w:highlight w:val="none"/>
          <w:lang w:val="en-US" w:eastAsia="zh-CN"/>
        </w:rPr>
        <w:t xml:space="preserve">货款、标准附件、备品备件、专用工具、包装、运输、装卸、保险、税金、货到就位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p>
    <w:p>
      <w:pPr>
        <w:ind w:firstLine="482"/>
        <w:spacing w:line="480" w:lineRule="exact"/>
        <w:rPr>
          <w:rFonts w:hint="eastAsia" w:ascii="宋体" w:hAnsi="宋体" w:cs="宋体"/>
          <w:color w:val="auto"/>
          <w:sz w:val="24"/>
          <w:szCs w:val="24"/>
          <w:highlight w:val="none"/>
        </w:rPr>
        <w:outlineLvl w:val="1"/>
      </w:pPr>
      <w:r/>
      <w:bookmarkStart w:id="157" w:name="_Hlt26954842"/>
      <w:r/>
      <w:bookmarkEnd w:id="157"/>
      <w:r/>
      <w:bookmarkStart w:id="158" w:name="_Hlt26954731"/>
      <w:r/>
      <w:bookmarkEnd w:id="158"/>
      <w:r/>
      <w:bookmarkStart w:id="159" w:name="_Hlt26670486"/>
      <w:r/>
      <w:bookmarkEnd w:id="159"/>
      <w:r/>
      <w:bookmarkStart w:id="160" w:name="_Hlt26670482"/>
      <w:r/>
      <w:bookmarkEnd w:id="160"/>
      <w:r/>
      <w:bookmarkStart w:id="161" w:name="_Hlt26670425"/>
      <w:r/>
      <w:bookmarkEnd w:id="161"/>
      <w:r/>
      <w:bookmarkStart w:id="162" w:name="_Hlt26954846"/>
      <w:r/>
      <w:bookmarkEnd w:id="162"/>
      <w:r/>
      <w:bookmarkStart w:id="163" w:name="_Hlt26954844"/>
      <w:r/>
      <w:bookmarkEnd w:id="163"/>
      <w:r/>
      <w:bookmarkStart w:id="164" w:name="_Hlt26670403"/>
      <w:r/>
      <w:bookmarkEnd w:id="164"/>
      <w:r/>
      <w:bookmarkStart w:id="165" w:name="_Hlt26954848"/>
      <w:r/>
      <w:bookmarkEnd w:id="165"/>
      <w:r/>
      <w:bookmarkStart w:id="166" w:name="_Hlt26668983"/>
      <w:r/>
      <w:bookmarkEnd w:id="166"/>
      <w:r/>
      <w:bookmarkStart w:id="167" w:name="_Toc12028"/>
      <w:r/>
      <w:bookmarkStart w:id="168" w:name="_Toc22935"/>
      <w:r/>
      <w:bookmarkStart w:id="169" w:name="_Toc14577359"/>
      <w:r/>
      <w:bookmarkStart w:id="170" w:name="_Toc49090510"/>
      <w:r>
        <w:rPr>
          <w:rFonts w:hint="eastAsia" w:ascii="宋体" w:hAnsi="宋体" w:cs="宋体"/>
          <w:b/>
          <w:bCs/>
          <w:color w:val="auto"/>
          <w:sz w:val="24"/>
          <w:szCs w:val="24"/>
          <w:highlight w:val="none"/>
        </w:rPr>
        <w:t xml:space="preserve">13、技术要求响应及偏离表、商务要求响应及偏离表</w:t>
      </w:r>
      <w:bookmarkEnd w:id="167"/>
      <w:r/>
      <w:bookmarkEnd w:id="168"/>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zh-CN"/>
        </w:rPr>
        <w:t xml:space="preserve">13.1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80" w:lineRule="exact"/>
        <w:tabs>
          <w:tab w:val="left" w:pos="103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投标人可在投标文件中提供认为需要的其他技术文件或说明。</w:t>
      </w:r>
      <w:r/>
    </w:p>
    <w:p>
      <w:pPr>
        <w:ind w:firstLine="482"/>
        <w:keepLines/>
        <w:keepNext/>
        <w:spacing w:line="480" w:lineRule="exact"/>
        <w:rPr>
          <w:rFonts w:hint="eastAsia" w:ascii="宋体" w:hAnsi="宋体" w:cs="宋体"/>
          <w:b/>
          <w:bCs/>
          <w:color w:val="auto"/>
          <w:sz w:val="24"/>
          <w:szCs w:val="24"/>
          <w:highlight w:val="none"/>
        </w:rPr>
        <w:outlineLvl w:val="1"/>
      </w:pPr>
      <w:r/>
      <w:bookmarkStart w:id="171" w:name="_Toc11569"/>
      <w:r/>
      <w:bookmarkStart w:id="172" w:name="_Toc24920"/>
      <w:r>
        <w:rPr>
          <w:rFonts w:hint="eastAsia" w:ascii="宋体" w:hAnsi="宋体" w:cs="宋体"/>
          <w:b/>
          <w:bCs/>
          <w:color w:val="auto"/>
          <w:sz w:val="24"/>
          <w:szCs w:val="24"/>
          <w:highlight w:val="none"/>
        </w:rPr>
        <w:t xml:space="preserve">14、服务承诺、培训计划、人员安排及其他</w:t>
      </w:r>
      <w:bookmarkEnd w:id="171"/>
      <w:r/>
      <w:bookmarkEnd w:id="172"/>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14.2投标人需根据招标文件要求提供培训计划。</w:t>
      </w:r>
      <w:r/>
    </w:p>
    <w:p>
      <w:pPr>
        <w:ind w:firstLine="480"/>
        <w:spacing w:line="48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14.3投标人需根据招标文件要求提供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spacing w:line="480" w:lineRule="exact"/>
        <w:rPr>
          <w:rFonts w:hint="eastAsia" w:ascii="宋体" w:hAnsi="宋体" w:cs="宋体"/>
          <w:b/>
          <w:bCs/>
          <w:color w:val="auto"/>
          <w:sz w:val="24"/>
          <w:szCs w:val="24"/>
          <w:highlight w:val="none"/>
        </w:rPr>
        <w:outlineLvl w:val="1"/>
      </w:pPr>
      <w:r/>
      <w:bookmarkStart w:id="173" w:name="_Toc1301"/>
      <w:r/>
      <w:bookmarkStart w:id="174" w:name="_Toc7143"/>
      <w:r>
        <w:rPr>
          <w:rFonts w:hint="eastAsia" w:ascii="宋体" w:hAnsi="宋体" w:cs="宋体"/>
          <w:b/>
          <w:bCs/>
          <w:color w:val="auto"/>
          <w:sz w:val="24"/>
          <w:szCs w:val="24"/>
          <w:highlight w:val="none"/>
        </w:rPr>
        <w:t xml:space="preserve">15、投标声明及承诺函和开标一览表</w:t>
      </w:r>
      <w:bookmarkEnd w:id="173"/>
      <w:r/>
      <w:bookmarkEnd w:id="174"/>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投标人应按照招标文件中提供的格式完整、正确填写投标声明及承诺函、开标一览表。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s="宋体"/>
          <w:color w:val="auto"/>
          <w:sz w:val="24"/>
          <w:szCs w:val="24"/>
          <w:highlight w:val="none"/>
        </w:rPr>
        <w:t xml:space="preserve">对于采用货币报价的项目，</w:t>
      </w:r>
      <w:r>
        <w:rPr>
          <w:rFonts w:hint="eastAsia" w:ascii="宋体" w:hAnsi="宋体" w:cs="宋体"/>
          <w:bCs/>
          <w:color w:val="auto"/>
          <w:sz w:val="24"/>
          <w:szCs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szCs w:val="24"/>
          <w:highlight w:val="none"/>
        </w:rPr>
        <w:t xml:space="preserve">，但评标时按开标一览表中价格为准</w:t>
      </w:r>
      <w:r>
        <w:rPr>
          <w:rFonts w:hint="eastAsia" w:ascii="宋体" w:hAnsi="宋体" w:cs="宋体"/>
          <w:b/>
          <w:bCs/>
          <w:color w:val="auto"/>
          <w:sz w:val="24"/>
          <w:szCs w:val="24"/>
          <w:highlight w:val="none"/>
        </w:rPr>
        <w:t xml:space="preserve">。</w:t>
      </w:r>
      <w:bookmarkEnd w:id="169"/>
      <w:r/>
      <w:bookmarkEnd w:id="170"/>
      <w:r/>
      <w:r/>
    </w:p>
    <w:p>
      <w:pPr>
        <w:ind w:firstLine="482"/>
        <w:spacing w:line="480" w:lineRule="exact"/>
        <w:rPr>
          <w:rFonts w:hint="eastAsia" w:ascii="宋体" w:hAnsi="宋体" w:cs="宋体"/>
          <w:b/>
          <w:bCs/>
          <w:color w:val="auto"/>
          <w:sz w:val="24"/>
          <w:szCs w:val="24"/>
          <w:highlight w:val="none"/>
        </w:rPr>
        <w:outlineLvl w:val="1"/>
      </w:pPr>
      <w:r/>
      <w:bookmarkStart w:id="175" w:name="_Hlt26954734"/>
      <w:r/>
      <w:bookmarkEnd w:id="175"/>
      <w:r/>
      <w:bookmarkStart w:id="176" w:name="_Hlt26954850"/>
      <w:r/>
      <w:bookmarkEnd w:id="176"/>
      <w:r/>
      <w:bookmarkStart w:id="177" w:name="_Hlt26670489"/>
      <w:r/>
      <w:bookmarkEnd w:id="177"/>
      <w:r/>
      <w:bookmarkStart w:id="178" w:name="_Toc29252"/>
      <w:r/>
      <w:bookmarkStart w:id="179" w:name="_Toc387"/>
      <w:r/>
      <w:bookmarkStart w:id="180" w:name="_Toc14577360"/>
      <w:r/>
      <w:bookmarkStart w:id="181" w:name="_Toc49090511"/>
      <w:r>
        <w:rPr>
          <w:rFonts w:hint="eastAsia" w:ascii="宋体" w:hAnsi="宋体" w:cs="宋体"/>
          <w:b/>
          <w:bCs/>
          <w:color w:val="auto"/>
          <w:sz w:val="24"/>
          <w:szCs w:val="24"/>
          <w:highlight w:val="none"/>
        </w:rPr>
        <w:t xml:space="preserve">16、投标有效期</w:t>
      </w:r>
      <w:bookmarkEnd w:id="178"/>
      <w:r/>
      <w:bookmarkEnd w:id="179"/>
      <w:r/>
      <w:bookmarkEnd w:id="180"/>
      <w:r/>
      <w:bookmarkEnd w:id="181"/>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16.1</w:t>
      </w:r>
      <w:r>
        <w:rPr>
          <w:rFonts w:hint="eastAsia" w:ascii="宋体" w:hAnsi="宋体" w:cs="宋体"/>
          <w:bCs/>
          <w:color w:val="auto"/>
          <w:sz w:val="24"/>
          <w:szCs w:val="24"/>
          <w:highlight w:val="none"/>
        </w:rPr>
        <w:t xml:space="preserve">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2"/>
        <w:spacing w:line="480" w:lineRule="exact"/>
        <w:rPr>
          <w:rFonts w:hint="eastAsia" w:ascii="宋体" w:hAnsi="宋体" w:cs="宋体"/>
          <w:b/>
          <w:bCs/>
          <w:color w:val="auto"/>
          <w:sz w:val="24"/>
          <w:szCs w:val="24"/>
          <w:highlight w:val="none"/>
        </w:rPr>
        <w:outlineLvl w:val="1"/>
      </w:pPr>
      <w:r/>
      <w:bookmarkStart w:id="182" w:name="_Toc11327"/>
      <w:r/>
      <w:bookmarkStart w:id="183" w:name="_Toc19285"/>
      <w:r>
        <w:rPr>
          <w:rFonts w:hint="eastAsia" w:ascii="宋体" w:hAnsi="宋体" w:cs="宋体"/>
          <w:b/>
          <w:bCs/>
          <w:color w:val="auto"/>
          <w:sz w:val="24"/>
          <w:szCs w:val="24"/>
          <w:highlight w:val="none"/>
        </w:rPr>
        <w:t xml:space="preserve">17、投标有效期的延长</w:t>
      </w:r>
      <w:bookmarkEnd w:id="182"/>
      <w:r/>
      <w:bookmarkEnd w:id="183"/>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17.2中标人的投标文件作为项目合同的附件，其有效期至中标人全部合同义务履行完毕为止。 </w:t>
      </w:r>
      <w:r/>
    </w:p>
    <w:p>
      <w:pPr>
        <w:ind w:firstLine="482"/>
        <w:spacing w:line="480" w:lineRule="exact"/>
        <w:rPr>
          <w:rFonts w:hint="eastAsia" w:ascii="宋体" w:hAnsi="宋体" w:cs="宋体"/>
          <w:b/>
          <w:bCs/>
          <w:color w:val="auto"/>
          <w:sz w:val="24"/>
          <w:szCs w:val="24"/>
          <w:highlight w:val="none"/>
        </w:rPr>
        <w:outlineLvl w:val="0"/>
      </w:pPr>
      <w:r/>
      <w:bookmarkStart w:id="184" w:name="_Hlt26954739"/>
      <w:r/>
      <w:bookmarkEnd w:id="184"/>
      <w:r/>
      <w:bookmarkStart w:id="185" w:name="_Hlt26954852"/>
      <w:r/>
      <w:bookmarkEnd w:id="185"/>
      <w:r/>
      <w:bookmarkStart w:id="186" w:name="_Toc3644"/>
      <w:r/>
      <w:bookmarkStart w:id="187" w:name="_Toc16938540"/>
      <w:r/>
      <w:bookmarkStart w:id="188" w:name="_Toc6537"/>
      <w:r/>
      <w:bookmarkStart w:id="189" w:name="_Toc513029224"/>
      <w:r/>
      <w:bookmarkStart w:id="190" w:name="_Toc120614217"/>
      <w:r/>
      <w:bookmarkStart w:id="191" w:name="_Toc20823296"/>
      <w:r>
        <w:rPr>
          <w:rFonts w:hint="eastAsia" w:ascii="宋体" w:hAnsi="宋体" w:cs="宋体"/>
          <w:b/>
          <w:bCs/>
          <w:color w:val="auto"/>
          <w:sz w:val="24"/>
          <w:szCs w:val="24"/>
          <w:highlight w:val="none"/>
        </w:rPr>
        <w:t xml:space="preserve">四、投标文件的递交</w:t>
      </w:r>
      <w:bookmarkEnd w:id="186"/>
      <w:r/>
      <w:bookmarkEnd w:id="187"/>
      <w:r/>
      <w:bookmarkEnd w:id="188"/>
      <w:r/>
      <w:bookmarkEnd w:id="189"/>
      <w:r/>
      <w:bookmarkEnd w:id="190"/>
      <w:r/>
      <w:bookmarkEnd w:id="191"/>
      <w:r/>
      <w:r/>
    </w:p>
    <w:p>
      <w:pPr>
        <w:ind w:firstLine="482"/>
        <w:spacing w:line="480" w:lineRule="exact"/>
        <w:rPr>
          <w:rFonts w:hint="eastAsia" w:ascii="宋体" w:hAnsi="宋体" w:cs="宋体"/>
          <w:b/>
          <w:bCs/>
          <w:color w:val="auto"/>
          <w:sz w:val="24"/>
          <w:szCs w:val="24"/>
          <w:highlight w:val="none"/>
        </w:rPr>
        <w:outlineLvl w:val="1"/>
      </w:pPr>
      <w:r/>
      <w:bookmarkStart w:id="192" w:name="_Toc16938541"/>
      <w:r/>
      <w:bookmarkStart w:id="193" w:name="_Toc20823297"/>
      <w:r/>
      <w:bookmarkStart w:id="194" w:name="_Toc462564084"/>
      <w:r/>
      <w:bookmarkStart w:id="195" w:name="_Toc513029225"/>
      <w:r/>
      <w:bookmarkStart w:id="196" w:name="_Toc2913"/>
      <w:r/>
      <w:bookmarkStart w:id="197" w:name="_Toc18604"/>
      <w:r>
        <w:rPr>
          <w:rFonts w:hint="eastAsia" w:ascii="宋体" w:hAnsi="宋体" w:cs="宋体"/>
          <w:b/>
          <w:bCs/>
          <w:color w:val="auto"/>
          <w:sz w:val="24"/>
          <w:szCs w:val="24"/>
          <w:highlight w:val="none"/>
        </w:rPr>
        <w:t xml:space="preserve">18、投标文件</w:t>
      </w:r>
      <w:bookmarkEnd w:id="192"/>
      <w:r/>
      <w:bookmarkEnd w:id="193"/>
      <w:r/>
      <w:bookmarkEnd w:id="194"/>
      <w:r/>
      <w:bookmarkEnd w:id="195"/>
      <w:r>
        <w:rPr>
          <w:rFonts w:hint="eastAsia" w:ascii="宋体" w:hAnsi="宋体" w:cs="宋体"/>
          <w:b/>
          <w:bCs/>
          <w:color w:val="auto"/>
          <w:sz w:val="24"/>
          <w:szCs w:val="24"/>
          <w:highlight w:val="none"/>
        </w:rPr>
        <w:t xml:space="preserve">的递交</w:t>
      </w:r>
      <w:bookmarkEnd w:id="196"/>
      <w:r/>
      <w:bookmarkEnd w:id="19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18.1投标人应当按照《操作手册》规定，在投标截止时间前制作并上传电子投标文件。</w:t>
      </w:r>
      <w:bookmarkStart w:id="198" w:name="_Toc513029226"/>
      <w:r/>
      <w:bookmarkStart w:id="199" w:name="_Toc16938542"/>
      <w:r/>
      <w:bookmarkStart w:id="200" w:name="_Toc20823298"/>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80" w:lineRule="exact"/>
        <w:rPr>
          <w:rFonts w:hint="eastAsia" w:ascii="宋体" w:hAnsi="宋体" w:cs="宋体"/>
          <w:b/>
          <w:color w:val="auto"/>
          <w:sz w:val="24"/>
          <w:szCs w:val="24"/>
          <w:highlight w:val="none"/>
        </w:rPr>
        <w:outlineLvl w:val="1"/>
      </w:pPr>
      <w:r/>
      <w:bookmarkStart w:id="201" w:name="_Toc15409"/>
      <w:r/>
      <w:bookmarkStart w:id="202" w:name="_Toc3479"/>
      <w:r>
        <w:rPr>
          <w:rFonts w:hint="eastAsia" w:ascii="宋体" w:hAnsi="宋体" w:cs="宋体"/>
          <w:b/>
          <w:color w:val="auto"/>
          <w:sz w:val="24"/>
          <w:szCs w:val="24"/>
          <w:highlight w:val="none"/>
        </w:rPr>
        <w:t xml:space="preserve">19、投标截止</w:t>
      </w:r>
      <w:bookmarkEnd w:id="198"/>
      <w:r/>
      <w:bookmarkEnd w:id="199"/>
      <w:r/>
      <w:bookmarkEnd w:id="200"/>
      <w:r>
        <w:rPr>
          <w:rFonts w:hint="eastAsia" w:ascii="宋体" w:hAnsi="宋体" w:cs="宋体"/>
          <w:b/>
          <w:color w:val="auto"/>
          <w:sz w:val="24"/>
          <w:szCs w:val="24"/>
          <w:highlight w:val="none"/>
        </w:rPr>
        <w:t xml:space="preserve">时间</w:t>
      </w:r>
      <w:bookmarkEnd w:id="201"/>
      <w:r/>
      <w:bookmarkEnd w:id="202"/>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19.1投标人上传电子投标文件的时间不得迟于招标公告中规定的投标截止时间。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80" w:lineRule="exact"/>
        <w:rPr>
          <w:rFonts w:hint="eastAsia" w:ascii="宋体" w:hAnsi="宋体" w:cs="宋体"/>
          <w:b/>
          <w:bCs/>
          <w:color w:val="auto"/>
          <w:sz w:val="24"/>
          <w:szCs w:val="24"/>
          <w:highlight w:val="none"/>
        </w:rPr>
        <w:outlineLvl w:val="1"/>
      </w:pPr>
      <w:r/>
      <w:bookmarkStart w:id="203" w:name="_Toc20823299"/>
      <w:r/>
      <w:bookmarkStart w:id="204" w:name="_Toc16938543"/>
      <w:r/>
      <w:bookmarkStart w:id="205" w:name="_Toc513029227"/>
      <w:r/>
      <w:bookmarkStart w:id="206" w:name="_Toc27912"/>
      <w:r/>
      <w:bookmarkStart w:id="207" w:name="_Toc30839"/>
      <w:r>
        <w:rPr>
          <w:rFonts w:hint="eastAsia" w:ascii="宋体" w:hAnsi="宋体" w:cs="宋体"/>
          <w:b/>
          <w:bCs/>
          <w:color w:val="auto"/>
          <w:sz w:val="24"/>
          <w:szCs w:val="24"/>
          <w:highlight w:val="none"/>
        </w:rPr>
        <w:t xml:space="preserve">20、投标文件</w:t>
      </w:r>
      <w:bookmarkEnd w:id="203"/>
      <w:r/>
      <w:bookmarkEnd w:id="204"/>
      <w:r/>
      <w:bookmarkEnd w:id="205"/>
      <w:r>
        <w:rPr>
          <w:rFonts w:hint="eastAsia" w:ascii="宋体" w:hAnsi="宋体" w:cs="宋体"/>
          <w:b/>
          <w:bCs/>
          <w:color w:val="auto"/>
          <w:sz w:val="24"/>
          <w:szCs w:val="24"/>
          <w:highlight w:val="none"/>
        </w:rPr>
        <w:t xml:space="preserve">的拒收</w:t>
      </w:r>
      <w:bookmarkEnd w:id="206"/>
      <w:r/>
      <w:bookmarkEnd w:id="207"/>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bCs/>
          <w:color w:val="auto"/>
          <w:sz w:val="24"/>
          <w:szCs w:val="24"/>
          <w:highlight w:val="none"/>
        </w:rPr>
        <w:t xml:space="preserve">采购代理机构拒绝接收在其规定的投标截止时间后上传的任何投标文件。</w:t>
      </w:r>
      <w:r/>
    </w:p>
    <w:p>
      <w:pPr>
        <w:ind w:firstLine="482"/>
        <w:spacing w:line="480" w:lineRule="exact"/>
        <w:rPr>
          <w:rFonts w:hint="eastAsia" w:ascii="宋体" w:hAnsi="宋体" w:cs="宋体"/>
          <w:b/>
          <w:bCs/>
          <w:color w:val="auto"/>
          <w:sz w:val="24"/>
          <w:szCs w:val="24"/>
          <w:highlight w:val="none"/>
        </w:rPr>
        <w:outlineLvl w:val="1"/>
      </w:pPr>
      <w:r/>
      <w:bookmarkStart w:id="208" w:name="_Toc19902"/>
      <w:r/>
      <w:bookmarkStart w:id="209" w:name="_Toc16938544"/>
      <w:r/>
      <w:bookmarkStart w:id="210" w:name="_Toc20823300"/>
      <w:r/>
      <w:bookmarkStart w:id="211" w:name="_Toc513029228"/>
      <w:r/>
      <w:bookmarkStart w:id="212" w:name="_Toc2050"/>
      <w:r/>
      <w:bookmarkStart w:id="213" w:name="_Toc120614218"/>
      <w:r/>
      <w:bookmarkStart w:id="214" w:name="_Toc20823301"/>
      <w:r/>
      <w:bookmarkStart w:id="215" w:name="_Toc513029229"/>
      <w:r/>
      <w:bookmarkStart w:id="216" w:name="_Toc16938545"/>
      <w:r>
        <w:rPr>
          <w:rFonts w:hint="eastAsia" w:ascii="宋体" w:hAnsi="宋体" w:cs="宋体"/>
          <w:b/>
          <w:bCs/>
          <w:color w:val="auto"/>
          <w:sz w:val="24"/>
          <w:szCs w:val="24"/>
          <w:highlight w:val="none"/>
        </w:rPr>
        <w:t xml:space="preserve">21、投标文件的撤回和修改</w:t>
      </w:r>
      <w:bookmarkEnd w:id="208"/>
      <w:r/>
      <w:bookmarkEnd w:id="209"/>
      <w:r/>
      <w:bookmarkEnd w:id="210"/>
      <w:r/>
      <w:bookmarkEnd w:id="211"/>
      <w:r/>
      <w:bookmarkEnd w:id="212"/>
      <w:r/>
      <w:r/>
    </w:p>
    <w:p>
      <w:pPr>
        <w:ind w:firstLine="480"/>
        <w:spacing w:line="480" w:lineRule="exact"/>
        <w:rPr>
          <w:rFonts w:hint="eastAsia" w:ascii="宋体" w:hAnsi="宋体" w:cs="宋体"/>
          <w:color w:val="auto"/>
          <w:sz w:val="24"/>
          <w:szCs w:val="24"/>
          <w:highlight w:val="none"/>
        </w:rPr>
        <w:outlineLvl w:val="2"/>
      </w:pPr>
      <w:r/>
      <w:bookmarkStart w:id="217" w:name="_Toc15054"/>
      <w:r/>
      <w:bookmarkStart w:id="218" w:name="_Toc20888"/>
      <w:r>
        <w:rPr>
          <w:rFonts w:hint="eastAsia" w:ascii="宋体" w:hAnsi="宋体" w:cs="宋体"/>
          <w:color w:val="auto"/>
          <w:sz w:val="24"/>
          <w:szCs w:val="24"/>
          <w:highlight w:val="none"/>
        </w:rPr>
        <w:t xml:space="preserve">21.1 投标文件的撤回</w:t>
      </w:r>
      <w:bookmarkEnd w:id="217"/>
      <w:r/>
      <w:bookmarkEnd w:id="218"/>
      <w:r/>
      <w:r/>
    </w:p>
    <w:p>
      <w:pPr>
        <w:ind w:firstLine="480"/>
        <w:spacing w:line="480" w:lineRule="exact"/>
        <w:rPr>
          <w:rFonts w:hint="eastAsia" w:ascii="宋体" w:hAnsi="宋体" w:cs="宋体"/>
          <w:color w:val="auto"/>
          <w:sz w:val="24"/>
          <w:szCs w:val="24"/>
          <w:highlight w:val="none"/>
        </w:rPr>
        <w:outlineLvl w:val="3"/>
      </w:pPr>
      <w:r/>
      <w:bookmarkStart w:id="219" w:name="_Toc18516"/>
      <w:r/>
      <w:bookmarkStart w:id="220" w:name="_Toc5384"/>
      <w:r>
        <w:rPr>
          <w:rFonts w:hint="eastAsia" w:ascii="宋体" w:hAnsi="宋体" w:cs="宋体"/>
          <w:color w:val="auto"/>
          <w:sz w:val="24"/>
          <w:szCs w:val="24"/>
          <w:highlight w:val="none"/>
        </w:rPr>
        <w:t xml:space="preserve">21.1.1 电子投标文件的撤回</w:t>
      </w:r>
      <w:bookmarkEnd w:id="219"/>
      <w:r/>
      <w:bookmarkEnd w:id="220"/>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p>
    <w:p>
      <w:pPr>
        <w:ind w:firstLine="480"/>
        <w:spacing w:line="480" w:lineRule="exact"/>
        <w:rPr>
          <w:rFonts w:hint="eastAsia" w:ascii="宋体" w:hAnsi="宋体" w:cs="宋体"/>
          <w:color w:val="auto"/>
          <w:sz w:val="24"/>
          <w:szCs w:val="24"/>
          <w:highlight w:val="none"/>
        </w:rPr>
        <w:outlineLvl w:val="3"/>
      </w:pPr>
      <w:r/>
      <w:bookmarkStart w:id="221" w:name="_Toc3957"/>
      <w:r/>
      <w:bookmarkStart w:id="222" w:name="_Toc23278"/>
      <w:r>
        <w:rPr>
          <w:rFonts w:hint="eastAsia" w:ascii="宋体" w:hAnsi="宋体" w:cs="宋体"/>
          <w:color w:val="auto"/>
          <w:sz w:val="24"/>
          <w:szCs w:val="24"/>
          <w:highlight w:val="none"/>
        </w:rPr>
        <w:t xml:space="preserve">21.1.2 投标人撤回电子投标文件，则认为其不再参与本项目投标活动。</w:t>
      </w:r>
      <w:bookmarkEnd w:id="221"/>
      <w:r/>
      <w:bookmarkEnd w:id="222"/>
      <w:r/>
      <w:r/>
    </w:p>
    <w:p>
      <w:pPr>
        <w:ind w:firstLine="480"/>
        <w:spacing w:line="480" w:lineRule="exact"/>
        <w:rPr>
          <w:rFonts w:hint="eastAsia" w:ascii="宋体" w:hAnsi="宋体" w:cs="宋体"/>
          <w:color w:val="auto"/>
          <w:sz w:val="24"/>
          <w:szCs w:val="24"/>
          <w:highlight w:val="none"/>
        </w:rPr>
        <w:outlineLvl w:val="2"/>
      </w:pPr>
      <w:r/>
      <w:bookmarkStart w:id="223" w:name="_Toc8455"/>
      <w:r/>
      <w:bookmarkStart w:id="224" w:name="_Toc1705"/>
      <w:r>
        <w:rPr>
          <w:rFonts w:hint="eastAsia" w:ascii="宋体" w:hAnsi="宋体" w:cs="宋体"/>
          <w:color w:val="auto"/>
          <w:sz w:val="24"/>
          <w:szCs w:val="24"/>
          <w:highlight w:val="none"/>
        </w:rPr>
        <w:t xml:space="preserve">21.2 投标文件的修改</w:t>
      </w:r>
      <w:bookmarkEnd w:id="223"/>
      <w:r/>
      <w:bookmarkEnd w:id="224"/>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21.2.1投标人可在投标截止时间前，对其电子投标文件进行修改，具体操作方法见《操作手册》。</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p>
    <w:p>
      <w:pPr>
        <w:ind w:firstLine="480"/>
        <w:spacing w:line="480" w:lineRule="exact"/>
        <w:rPr>
          <w:rFonts w:hint="eastAsia" w:ascii="宋体" w:hAnsi="宋体" w:cs="宋体"/>
          <w:bCs/>
          <w:color w:val="auto"/>
          <w:sz w:val="24"/>
          <w:szCs w:val="24"/>
          <w:highlight w:val="none"/>
        </w:rPr>
        <w:outlineLvl w:val="2"/>
      </w:pPr>
      <w:r/>
      <w:bookmarkStart w:id="225" w:name="_Toc10297"/>
      <w:r/>
      <w:bookmarkStart w:id="226" w:name="_Toc28175"/>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在投标截止时间至招标文件中规定的投标有效期满之间的这段时间内，投标人不得撤回其投标。</w:t>
      </w:r>
      <w:bookmarkEnd w:id="225"/>
      <w:r/>
      <w:bookmarkEnd w:id="226"/>
      <w:r/>
      <w:r/>
    </w:p>
    <w:p>
      <w:pPr>
        <w:ind w:firstLine="482"/>
        <w:spacing w:line="480" w:lineRule="exact"/>
        <w:rPr>
          <w:rFonts w:hint="eastAsia" w:ascii="宋体" w:hAnsi="宋体" w:cs="宋体"/>
          <w:b/>
          <w:bCs/>
          <w:color w:val="auto"/>
          <w:sz w:val="24"/>
          <w:szCs w:val="24"/>
          <w:highlight w:val="none"/>
        </w:rPr>
        <w:outlineLvl w:val="0"/>
      </w:pPr>
      <w:r/>
      <w:bookmarkStart w:id="227" w:name="_Toc10033"/>
      <w:r/>
      <w:bookmarkStart w:id="228" w:name="_Toc13553"/>
      <w:r>
        <w:rPr>
          <w:rFonts w:hint="eastAsia" w:ascii="宋体" w:hAnsi="宋体" w:cs="宋体"/>
          <w:b/>
          <w:bCs/>
          <w:color w:val="auto"/>
          <w:sz w:val="24"/>
          <w:szCs w:val="24"/>
          <w:highlight w:val="none"/>
        </w:rPr>
        <w:t xml:space="preserve">五、开标与评标</w:t>
      </w:r>
      <w:bookmarkEnd w:id="213"/>
      <w:r/>
      <w:bookmarkEnd w:id="214"/>
      <w:r/>
      <w:bookmarkEnd w:id="215"/>
      <w:r/>
      <w:bookmarkEnd w:id="216"/>
      <w:r/>
      <w:bookmarkEnd w:id="227"/>
      <w:r/>
      <w:bookmarkEnd w:id="228"/>
      <w:r/>
      <w:r/>
    </w:p>
    <w:p>
      <w:pPr>
        <w:ind w:firstLine="482"/>
        <w:spacing w:line="480" w:lineRule="exact"/>
        <w:rPr>
          <w:rFonts w:hint="eastAsia" w:ascii="宋体" w:hAnsi="宋体" w:cs="宋体"/>
          <w:b/>
          <w:bCs/>
          <w:color w:val="auto"/>
          <w:sz w:val="24"/>
          <w:szCs w:val="24"/>
          <w:highlight w:val="none"/>
        </w:rPr>
        <w:outlineLvl w:val="1"/>
      </w:pPr>
      <w:r/>
      <w:bookmarkStart w:id="229" w:name="_Toc20823302"/>
      <w:r/>
      <w:bookmarkStart w:id="230" w:name="_Toc21434"/>
      <w:r/>
      <w:bookmarkStart w:id="231" w:name="_Toc16938546"/>
      <w:r/>
      <w:bookmarkStart w:id="232" w:name="_Toc29326"/>
      <w:r/>
      <w:bookmarkStart w:id="233" w:name="_Toc513029230"/>
      <w:r/>
      <w:bookmarkStart w:id="234" w:name="_Toc20823303"/>
      <w:r/>
      <w:bookmarkStart w:id="235" w:name="_Toc16938547"/>
      <w:r/>
      <w:bookmarkStart w:id="236" w:name="_Toc513029231"/>
      <w:r>
        <w:rPr>
          <w:rFonts w:hint="eastAsia" w:ascii="宋体" w:hAnsi="宋体" w:cs="宋体"/>
          <w:b/>
          <w:bCs/>
          <w:color w:val="auto"/>
          <w:sz w:val="24"/>
          <w:szCs w:val="24"/>
          <w:highlight w:val="none"/>
        </w:rPr>
        <w:t xml:space="preserve">22、开标</w:t>
      </w:r>
      <w:bookmarkEnd w:id="229"/>
      <w:r/>
      <w:bookmarkEnd w:id="230"/>
      <w:r/>
      <w:bookmarkEnd w:id="231"/>
      <w:r/>
      <w:bookmarkEnd w:id="232"/>
      <w:r/>
      <w:bookmarkEnd w:id="233"/>
      <w:r/>
      <w:r/>
    </w:p>
    <w:p>
      <w:pPr>
        <w:pStyle w:val="1175"/>
        <w:spacing w:line="480" w:lineRule="exact"/>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采购代理机构将在招标公告中规定的时间和地点组织公开开标</w:t>
      </w:r>
      <w:r>
        <w:rPr>
          <w:rFonts w:hint="eastAsia" w:ascii="宋体" w:hAnsi="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1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22.3投标人在开标过程中涉及到的投标文件解密、开标结果确认等工作，应按照《操作手册》规定执行。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80" w:lineRule="exact"/>
        <w:rPr>
          <w:rFonts w:hint="eastAsia" w:ascii="宋体" w:hAnsi="宋体" w:cs="宋体"/>
          <w:b/>
          <w:bCs/>
          <w:color w:val="auto"/>
          <w:sz w:val="24"/>
          <w:szCs w:val="24"/>
          <w:highlight w:val="none"/>
        </w:rPr>
        <w:outlineLvl w:val="1"/>
      </w:pPr>
      <w:r/>
      <w:bookmarkStart w:id="237" w:name="_Toc28249"/>
      <w:r/>
      <w:bookmarkStart w:id="238" w:name="_Toc5244"/>
      <w:r>
        <w:rPr>
          <w:rFonts w:hint="eastAsia" w:ascii="宋体" w:hAnsi="宋体" w:cs="宋体"/>
          <w:b/>
          <w:bCs/>
          <w:color w:val="auto"/>
          <w:sz w:val="24"/>
          <w:szCs w:val="24"/>
          <w:highlight w:val="none"/>
        </w:rPr>
        <w:t xml:space="preserve">23、评标委员会</w:t>
      </w:r>
      <w:bookmarkEnd w:id="237"/>
      <w:r/>
      <w:bookmarkEnd w:id="238"/>
      <w:r/>
      <w:r/>
    </w:p>
    <w:p>
      <w:pPr>
        <w:ind w:firstLine="480"/>
        <w:keepLines/>
        <w:keepNext/>
        <w:spacing w:line="48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23.1开标后，采购代理机构将立即组织评标委员会（以下简称评委会）进行评标。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23.2评委会由采购人代表和有关技术、经济等方面的专家组成，且人员构成符合政府采购有关规定。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23.3评委会独立工作，负责评审所有投标文件并确定中标侯选人。</w:t>
      </w:r>
      <w:r/>
    </w:p>
    <w:p>
      <w:pPr>
        <w:ind w:firstLine="482"/>
        <w:spacing w:line="480" w:lineRule="exact"/>
        <w:rPr>
          <w:rFonts w:hint="eastAsia" w:ascii="宋体" w:hAnsi="宋体" w:cs="宋体"/>
          <w:b/>
          <w:bCs/>
          <w:color w:val="auto"/>
          <w:sz w:val="24"/>
          <w:szCs w:val="24"/>
          <w:highlight w:val="none"/>
        </w:rPr>
        <w:outlineLvl w:val="1"/>
      </w:pPr>
      <w:r/>
      <w:bookmarkStart w:id="239" w:name="_Toc23230"/>
      <w:r/>
      <w:bookmarkStart w:id="240" w:name="_Toc30479"/>
      <w:r>
        <w:rPr>
          <w:rFonts w:hint="eastAsia" w:ascii="宋体" w:hAnsi="宋体" w:cs="宋体"/>
          <w:b/>
          <w:bCs/>
          <w:color w:val="auto"/>
          <w:sz w:val="24"/>
          <w:szCs w:val="24"/>
          <w:highlight w:val="none"/>
        </w:rPr>
        <w:t xml:space="preserve">24、评标过程的保密与公正</w:t>
      </w:r>
      <w:bookmarkEnd w:id="234"/>
      <w:r/>
      <w:bookmarkEnd w:id="235"/>
      <w:r/>
      <w:bookmarkEnd w:id="236"/>
      <w:r/>
      <w:bookmarkEnd w:id="239"/>
      <w:r/>
      <w:bookmarkEnd w:id="240"/>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24.2在评标过程中，投标人不得以任何行为影响评标过程，否则其投标文件将被作为无效投标文件。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24.3采购代理机构和评委会不向未中标的投标人解释未中标原因，也不公布评标过程中的相关细节。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480" w:lineRule="exact"/>
        <w:rPr>
          <w:rFonts w:hint="eastAsia" w:ascii="宋体" w:hAnsi="宋体" w:cs="宋体"/>
          <w:b/>
          <w:bCs/>
          <w:color w:val="auto"/>
          <w:sz w:val="24"/>
          <w:szCs w:val="24"/>
          <w:highlight w:val="none"/>
        </w:rPr>
        <w:outlineLvl w:val="1"/>
      </w:pPr>
      <w:r/>
      <w:bookmarkStart w:id="241" w:name="_Toc16938548"/>
      <w:r/>
      <w:bookmarkStart w:id="242" w:name="_Toc513029232"/>
      <w:r/>
      <w:bookmarkStart w:id="243" w:name="_Toc20823304"/>
      <w:r/>
      <w:bookmarkStart w:id="244" w:name="_Toc15665"/>
      <w:r/>
      <w:bookmarkStart w:id="245" w:name="_Toc14590"/>
      <w:r>
        <w:rPr>
          <w:rFonts w:hint="eastAsia" w:ascii="宋体" w:hAnsi="宋体" w:cs="宋体"/>
          <w:b/>
          <w:bCs/>
          <w:color w:val="auto"/>
          <w:sz w:val="24"/>
          <w:szCs w:val="24"/>
          <w:highlight w:val="none"/>
        </w:rPr>
        <w:t xml:space="preserve">25、投标文件的澄清</w:t>
      </w:r>
      <w:bookmarkEnd w:id="241"/>
      <w:r/>
      <w:bookmarkEnd w:id="242"/>
      <w:r/>
      <w:bookmarkEnd w:id="243"/>
      <w:r/>
      <w:bookmarkEnd w:id="244"/>
      <w:r/>
      <w:bookmarkEnd w:id="245"/>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pStyle w:val="11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.2需要投标人进行澄清、说明和补正的，</w:t>
      </w:r>
      <w:r>
        <w:rPr>
          <w:rFonts w:hint="eastAsia" w:ascii="宋体" w:hAnsi="宋体" w:cs="宋体"/>
          <w:color w:val="auto"/>
          <w:sz w:val="24"/>
          <w:szCs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szCs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szCs w:val="24"/>
          <w:highlight w:val="none"/>
          <w:lang w:val="en-US"/>
        </w:rPr>
        <w:t xml:space="preserve">在规定时间内通过“苏采云”系统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25.3接到评委会澄清、说明和补正要求的投标人如未按规定做出澄清、说明和补正，其风险由投标人自行承担。</w:t>
      </w:r>
      <w:r/>
    </w:p>
    <w:p>
      <w:pPr>
        <w:ind w:firstLine="482"/>
        <w:spacing w:line="480" w:lineRule="exact"/>
        <w:rPr>
          <w:rFonts w:hint="eastAsia" w:ascii="宋体" w:hAnsi="宋体" w:cs="宋体"/>
          <w:b/>
          <w:bCs/>
          <w:color w:val="auto"/>
          <w:sz w:val="24"/>
          <w:szCs w:val="24"/>
          <w:highlight w:val="none"/>
        </w:rPr>
        <w:outlineLvl w:val="1"/>
      </w:pPr>
      <w:r/>
      <w:bookmarkStart w:id="246" w:name="_Toc2595"/>
      <w:r/>
      <w:bookmarkStart w:id="247" w:name="_Toc16938549"/>
      <w:r/>
      <w:bookmarkStart w:id="248" w:name="_Toc20823305"/>
      <w:r/>
      <w:bookmarkStart w:id="249" w:name="_Toc28075"/>
      <w:r/>
      <w:bookmarkStart w:id="250" w:name="_Toc513029233"/>
      <w:r>
        <w:rPr>
          <w:rFonts w:hint="eastAsia" w:ascii="宋体" w:hAnsi="宋体" w:cs="宋体"/>
          <w:b/>
          <w:bCs/>
          <w:color w:val="auto"/>
          <w:sz w:val="24"/>
          <w:szCs w:val="24"/>
          <w:highlight w:val="none"/>
        </w:rPr>
        <w:t xml:space="preserve">26、对投标文件的初审</w:t>
      </w:r>
      <w:bookmarkEnd w:id="246"/>
      <w:r/>
      <w:bookmarkEnd w:id="247"/>
      <w:r/>
      <w:bookmarkEnd w:id="248"/>
      <w:r/>
      <w:bookmarkEnd w:id="249"/>
      <w:r/>
      <w:bookmarkEnd w:id="250"/>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w:t>
      </w:r>
      <w:r>
        <w:rPr>
          <w:rFonts w:hint="eastAsia" w:ascii="宋体" w:hAnsi="宋体" w:cs="宋体"/>
          <w:bCs/>
          <w:color w:val="auto"/>
          <w:sz w:val="24"/>
          <w:szCs w:val="24"/>
          <w:highlight w:val="none"/>
        </w:rPr>
        <w:t xml:space="preserve">投标文件初审分为资格审查和符合性审查。</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26.1.1资格审查：依据法律法规和招标文件的规定，</w:t>
      </w:r>
      <w:r>
        <w:rPr>
          <w:rFonts w:hint="eastAsia" w:ascii="宋体" w:hAnsi="宋体" w:cs="宋体"/>
          <w:color w:val="auto"/>
          <w:sz w:val="24"/>
          <w:szCs w:val="24"/>
          <w:highlight w:val="none"/>
        </w:rPr>
        <w:t xml:space="preserve">由采购人或其委托的代理机构对投标文件中的资格证明文件进行审查，以确定投标人是否具备投标资格。</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cs="宋体"/>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spacing w:line="480" w:lineRule="exact"/>
        <w:rPr>
          <w:rFonts w:hint="eastAsia" w:ascii="宋体" w:hAnsi="宋体" w:cs="宋体"/>
          <w:color w:val="auto"/>
          <w:sz w:val="24"/>
          <w:szCs w:val="24"/>
          <w:highlight w:val="none"/>
        </w:rPr>
      </w:pPr>
      <w:r/>
      <w:bookmarkStart w:id="251" w:name="_Toc16938550"/>
      <w:r/>
      <w:bookmarkStart w:id="252" w:name="_Toc513029234"/>
      <w:r/>
      <w:bookmarkStart w:id="253" w:name="_Toc20823306"/>
      <w:r>
        <w:rPr>
          <w:rFonts w:hint="eastAsia" w:ascii="宋体" w:hAnsi="宋体" w:cs="宋体"/>
          <w:color w:val="auto"/>
          <w:sz w:val="24"/>
          <w:szCs w:val="24"/>
          <w:highlight w:val="none"/>
        </w:rPr>
        <w:t xml:space="preserve">26.7投标人在开、评标全过程中应随时保持系统在线，及时在“苏采云”系统查阅、答复相关信息。</w:t>
      </w:r>
      <w:r/>
    </w:p>
    <w:p>
      <w:pPr>
        <w:ind w:firstLine="482"/>
        <w:spacing w:line="480" w:lineRule="exact"/>
        <w:rPr>
          <w:rFonts w:hint="eastAsia" w:ascii="宋体" w:hAnsi="宋体" w:cs="宋体"/>
          <w:b/>
          <w:bCs/>
          <w:color w:val="auto"/>
          <w:sz w:val="24"/>
          <w:szCs w:val="24"/>
          <w:highlight w:val="none"/>
        </w:rPr>
        <w:outlineLvl w:val="1"/>
      </w:pPr>
      <w:r/>
      <w:bookmarkStart w:id="254" w:name="_Toc17623"/>
      <w:r/>
      <w:bookmarkStart w:id="255" w:name="_Toc31204"/>
      <w:r>
        <w:rPr>
          <w:rFonts w:hint="eastAsia" w:ascii="宋体" w:hAnsi="宋体" w:cs="宋体"/>
          <w:b/>
          <w:bCs/>
          <w:color w:val="auto"/>
          <w:sz w:val="24"/>
          <w:szCs w:val="24"/>
          <w:highlight w:val="none"/>
        </w:rPr>
        <w:t xml:space="preserve">27、</w:t>
      </w:r>
      <w:bookmarkEnd w:id="251"/>
      <w:r/>
      <w:bookmarkEnd w:id="252"/>
      <w:r/>
      <w:bookmarkEnd w:id="253"/>
      <w:r>
        <w:rPr>
          <w:rFonts w:hint="eastAsia" w:ascii="宋体" w:hAnsi="宋体" w:cs="宋体"/>
          <w:b/>
          <w:bCs/>
          <w:color w:val="auto"/>
          <w:sz w:val="24"/>
          <w:szCs w:val="24"/>
          <w:highlight w:val="none"/>
        </w:rPr>
        <w:t xml:space="preserve">无效投标条款和废标条款</w:t>
      </w:r>
      <w:bookmarkEnd w:id="254"/>
      <w:r/>
      <w:bookmarkEnd w:id="255"/>
      <w:r/>
      <w:r/>
    </w:p>
    <w:p>
      <w:pPr>
        <w:ind w:firstLine="480"/>
        <w:spacing w:line="480" w:lineRule="exact"/>
        <w:rPr>
          <w:rFonts w:hint="eastAsia" w:ascii="宋体" w:hAnsi="宋体" w:cs="宋体"/>
          <w:bCs/>
          <w:color w:val="auto"/>
          <w:sz w:val="24"/>
          <w:szCs w:val="24"/>
          <w:highlight w:val="none"/>
        </w:rPr>
        <w:outlineLvl w:val="2"/>
      </w:pPr>
      <w:r/>
      <w:bookmarkStart w:id="256" w:name="_Toc29905"/>
      <w:r/>
      <w:bookmarkStart w:id="257" w:name="_Toc18795"/>
      <w:r/>
      <w:bookmarkStart w:id="258" w:name="_Toc513029235"/>
      <w:r/>
      <w:bookmarkStart w:id="259" w:name="_Toc16938551"/>
      <w:r/>
      <w:bookmarkStart w:id="260" w:name="_Toc20823307"/>
      <w:r>
        <w:rPr>
          <w:rFonts w:hint="eastAsia" w:ascii="宋体" w:hAnsi="宋体" w:cs="宋体"/>
          <w:bCs/>
          <w:color w:val="auto"/>
          <w:sz w:val="24"/>
          <w:szCs w:val="24"/>
          <w:highlight w:val="none"/>
        </w:rPr>
        <w:t xml:space="preserve">27.1无效投标条款</w:t>
      </w:r>
      <w:bookmarkEnd w:id="256"/>
      <w:r/>
      <w:bookmarkEnd w:id="257"/>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27.1.3同一投标人提交两个（含两个）以上不同的投标报价的。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27.1.4投标人不具备招标文件中规定资格要求的。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27.1.5投标人的报价超过了采购预算或最高限价的。</w:t>
      </w:r>
      <w:r/>
    </w:p>
    <w:p>
      <w:pPr>
        <w:ind w:firstLine="480"/>
        <w:spacing w:line="480" w:lineRule="exact"/>
        <w:rPr>
          <w:rFonts w:hint="eastAsia" w:ascii="宋体" w:hAnsi="宋体" w:cs="宋体"/>
          <w:bCs/>
          <w:i/>
          <w:color w:val="auto"/>
          <w:sz w:val="24"/>
          <w:szCs w:val="24"/>
          <w:highlight w:val="none"/>
          <w:u w:val="single"/>
        </w:rPr>
      </w:pPr>
      <w:r>
        <w:rPr>
          <w:rFonts w:hint="eastAsia" w:ascii="宋体" w:hAnsi="宋体" w:cs="宋体"/>
          <w:bCs/>
          <w:color w:val="auto"/>
          <w:sz w:val="24"/>
          <w:szCs w:val="24"/>
          <w:highlight w:val="none"/>
        </w:rPr>
        <w:t xml:space="preserve">27.1.6未通过符合性审查的。</w:t>
      </w:r>
      <w:r/>
    </w:p>
    <w:p>
      <w:pPr>
        <w:ind w:firstLine="480"/>
        <w:spacing w:line="480" w:lineRule="exact"/>
        <w:rPr>
          <w:rFonts w:hint="eastAsia" w:ascii="宋体" w:hAnsi="宋体" w:cs="宋体"/>
          <w:b/>
          <w:bCs w:val="0"/>
          <w:i/>
          <w:color w:val="auto"/>
          <w:sz w:val="24"/>
          <w:szCs w:val="24"/>
          <w:highlight w:val="none"/>
          <w:u w:val="single"/>
        </w:rPr>
      </w:pPr>
      <w:r>
        <w:rPr>
          <w:rFonts w:hint="eastAsia" w:ascii="宋体" w:hAnsi="宋体" w:cs="宋体"/>
          <w:b/>
          <w:bCs w:val="0"/>
          <w:color w:val="auto"/>
          <w:sz w:val="24"/>
          <w:szCs w:val="24"/>
          <w:highlight w:val="none"/>
        </w:rPr>
        <w:t xml:space="preserve">27.1.7不符合招标文件中规定的实质性要求和条件的（</w:t>
      </w:r>
      <w:r>
        <w:rPr>
          <w:rFonts w:hint="eastAsia" w:ascii="宋体" w:hAnsi="宋体" w:cs="宋体"/>
          <w:b/>
          <w:bCs w:val="0"/>
          <w:i/>
          <w:color w:val="auto"/>
          <w:sz w:val="24"/>
          <w:szCs w:val="24"/>
          <w:highlight w:val="none"/>
          <w:u w:val="single"/>
        </w:rPr>
        <w:t xml:space="preserve">加斜体下划线内容或打“★”内容为实质性要求和条件）。</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所</w:t>
      </w:r>
      <w:r>
        <w:rPr>
          <w:rFonts w:hint="eastAsia" w:ascii="宋体" w:hAnsi="宋体" w:cs="宋体"/>
          <w:color w:val="auto"/>
          <w:sz w:val="24"/>
          <w:szCs w:val="24"/>
          <w:highlight w:val="none"/>
        </w:rPr>
        <w:t xml:space="preserve">投</w:t>
      </w:r>
      <w:r>
        <w:rPr>
          <w:rFonts w:hint="eastAsia" w:ascii="宋体" w:hAnsi="宋体" w:cs="宋体"/>
          <w:color w:val="auto"/>
          <w:sz w:val="24"/>
          <w:szCs w:val="24"/>
          <w:highlight w:val="none"/>
          <w:lang w:val="zh-CN"/>
        </w:rPr>
        <w:t xml:space="preserve">产品不在强制采购范围内的。（</w:t>
      </w:r>
      <w:r>
        <w:rPr>
          <w:rFonts w:hint="eastAsia" w:ascii="宋体" w:hAnsi="宋体" w:cs="宋体"/>
          <w:color w:val="auto"/>
          <w:sz w:val="24"/>
          <w:szCs w:val="24"/>
          <w:highlight w:val="none"/>
        </w:rPr>
        <w:t xml:space="preserve">所投</w:t>
      </w:r>
      <w:r>
        <w:rPr>
          <w:rFonts w:hint="eastAsia" w:ascii="宋体" w:hAnsi="宋体" w:cs="宋体"/>
          <w:color w:val="auto"/>
          <w:sz w:val="24"/>
          <w:szCs w:val="24"/>
          <w:highlight w:val="none"/>
          <w:lang w:val="zh-CN"/>
        </w:rPr>
        <w:t xml:space="preserve">产品如属于政府强制采购节能产品品目清单范围内，</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w:t>
      </w:r>
      <w:r>
        <w:rPr>
          <w:rFonts w:hint="eastAsia" w:ascii="宋体" w:hAnsi="宋体" w:cs="宋体"/>
          <w:bCs/>
          <w:color w:val="auto"/>
          <w:sz w:val="24"/>
          <w:szCs w:val="24"/>
          <w:highlight w:val="none"/>
          <w:lang w:val="zh-CN"/>
        </w:rPr>
        <w:t xml:space="preserve">必须提供国家确定的认证机构出具的、处于有效期之内的该节能产品认证证书图片）。</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27.1.13其他法律、法规及本招标文件规定的属无效投标的。</w:t>
      </w:r>
      <w:r/>
    </w:p>
    <w:p>
      <w:pPr>
        <w:ind w:firstLine="480"/>
        <w:spacing w:line="480" w:lineRule="exact"/>
        <w:rPr>
          <w:rFonts w:hint="eastAsia" w:ascii="宋体" w:hAnsi="宋体" w:cs="宋体"/>
          <w:bCs/>
          <w:color w:val="auto"/>
          <w:sz w:val="24"/>
          <w:szCs w:val="24"/>
          <w:highlight w:val="none"/>
        </w:rPr>
        <w:outlineLvl w:val="2"/>
      </w:pPr>
      <w:r/>
      <w:bookmarkStart w:id="261" w:name="_Toc13974"/>
      <w:r/>
      <w:bookmarkStart w:id="262" w:name="_Toc25973"/>
      <w:r>
        <w:rPr>
          <w:rFonts w:hint="eastAsia" w:ascii="宋体" w:hAnsi="宋体" w:cs="宋体"/>
          <w:bCs/>
          <w:color w:val="auto"/>
          <w:sz w:val="24"/>
          <w:szCs w:val="24"/>
          <w:highlight w:val="none"/>
        </w:rPr>
        <w:t xml:space="preserve">27.2废标条款</w:t>
      </w:r>
      <w:bookmarkEnd w:id="261"/>
      <w:r/>
      <w:bookmarkEnd w:id="262"/>
      <w:r/>
      <w:r/>
    </w:p>
    <w:p>
      <w:pPr>
        <w:ind w:left="479"/>
        <w:spacing w:line="48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27.2.1符合专业条件的投标人或者对招标文件作实质响应的投标人不足三家的</w:t>
      </w:r>
      <w:r>
        <w:rPr>
          <w:rFonts w:hint="eastAsia" w:ascii="宋体" w:hAnsi="宋体" w:cs="宋体"/>
          <w:bCs/>
          <w:color w:val="auto"/>
          <w:sz w:val="24"/>
          <w:szCs w:val="24"/>
          <w:highlight w:val="none"/>
          <w:lang w:eastAsia="zh-CN"/>
        </w:rPr>
        <w:t xml:space="preserve">。</w:t>
      </w:r>
      <w:r/>
    </w:p>
    <w:p>
      <w:pPr>
        <w:ind w:left="479"/>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27.2.2出现影响采购公正的违法、违规行为的。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27.2.3因重大变故，采购任务取消的。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27.2.4评委会认定招标文件存在歧义、重大缺陷导致评审工作无法进行。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firstLine="480"/>
        <w:spacing w:line="480" w:lineRule="exact"/>
        <w:rPr>
          <w:rFonts w:hint="eastAsia" w:ascii="宋体" w:hAnsi="宋体" w:cs="宋体"/>
          <w:bCs/>
          <w:color w:val="auto"/>
          <w:sz w:val="24"/>
          <w:szCs w:val="24"/>
          <w:highlight w:val="none"/>
        </w:rPr>
        <w:outlineLvl w:val="2"/>
      </w:pPr>
      <w:r/>
      <w:bookmarkStart w:id="263" w:name="_Toc26200"/>
      <w:r/>
      <w:bookmarkStart w:id="264" w:name="_Toc31718"/>
      <w:r>
        <w:rPr>
          <w:rFonts w:hint="eastAsia" w:ascii="宋体" w:hAnsi="宋体" w:cs="宋体"/>
          <w:bCs/>
          <w:color w:val="auto"/>
          <w:sz w:val="24"/>
          <w:szCs w:val="24"/>
          <w:highlight w:val="none"/>
        </w:rPr>
        <w:t xml:space="preserve">27.3 投标截止时间结束后参加投标的投标人不足三家的处理：</w:t>
      </w:r>
      <w:bookmarkEnd w:id="263"/>
      <w:r/>
      <w:bookmarkEnd w:id="264"/>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480" w:lineRule="exact"/>
        <w:rPr>
          <w:rFonts w:hint="eastAsia" w:ascii="宋体" w:hAnsi="宋体" w:cs="宋体"/>
          <w:b/>
          <w:bCs/>
          <w:color w:val="auto"/>
          <w:sz w:val="24"/>
          <w:szCs w:val="24"/>
          <w:highlight w:val="none"/>
        </w:rPr>
        <w:outlineLvl w:val="0"/>
      </w:pPr>
      <w:r/>
      <w:bookmarkStart w:id="265" w:name="_Toc120614219"/>
      <w:r/>
      <w:bookmarkStart w:id="266" w:name="_Toc6547"/>
      <w:r/>
      <w:bookmarkStart w:id="267" w:name="_Toc31055"/>
      <w:r>
        <w:rPr>
          <w:rFonts w:hint="eastAsia" w:ascii="宋体" w:hAnsi="宋体" w:cs="宋体"/>
          <w:b/>
          <w:bCs/>
          <w:color w:val="auto"/>
          <w:sz w:val="24"/>
          <w:szCs w:val="24"/>
          <w:highlight w:val="none"/>
        </w:rPr>
        <w:t xml:space="preserve">六、</w:t>
      </w:r>
      <w:bookmarkEnd w:id="258"/>
      <w:r/>
      <w:bookmarkEnd w:id="259"/>
      <w:r/>
      <w:bookmarkEnd w:id="260"/>
      <w:r>
        <w:rPr>
          <w:rFonts w:hint="eastAsia" w:ascii="宋体" w:hAnsi="宋体" w:cs="宋体"/>
          <w:b/>
          <w:bCs/>
          <w:color w:val="auto"/>
          <w:sz w:val="24"/>
          <w:szCs w:val="24"/>
          <w:highlight w:val="none"/>
        </w:rPr>
        <w:t xml:space="preserve">定标</w:t>
      </w:r>
      <w:bookmarkEnd w:id="265"/>
      <w:r/>
      <w:bookmarkEnd w:id="266"/>
      <w:r/>
      <w:bookmarkEnd w:id="267"/>
      <w:r/>
      <w:r/>
    </w:p>
    <w:p>
      <w:pPr>
        <w:ind w:firstLine="482"/>
        <w:spacing w:line="480" w:lineRule="exact"/>
        <w:rPr>
          <w:rFonts w:hint="eastAsia" w:ascii="宋体" w:hAnsi="宋体" w:cs="宋体"/>
          <w:b/>
          <w:color w:val="auto"/>
          <w:sz w:val="24"/>
          <w:szCs w:val="24"/>
          <w:highlight w:val="none"/>
        </w:rPr>
        <w:outlineLvl w:val="1"/>
      </w:pPr>
      <w:r/>
      <w:bookmarkStart w:id="268" w:name="_Toc513029238"/>
      <w:r/>
      <w:bookmarkStart w:id="269" w:name="_Toc20823310"/>
      <w:r/>
      <w:bookmarkStart w:id="270" w:name="_Toc16938554"/>
      <w:r/>
      <w:bookmarkStart w:id="271" w:name="_Toc31614"/>
      <w:r/>
      <w:bookmarkStart w:id="272" w:name="_Toc5478"/>
      <w:r>
        <w:rPr>
          <w:rFonts w:hint="eastAsia" w:ascii="宋体" w:hAnsi="宋体" w:cs="宋体"/>
          <w:b/>
          <w:color w:val="auto"/>
          <w:sz w:val="24"/>
          <w:szCs w:val="24"/>
          <w:highlight w:val="none"/>
        </w:rPr>
        <w:t xml:space="preserve">28、</w:t>
      </w:r>
      <w:bookmarkEnd w:id="268"/>
      <w:r>
        <w:rPr>
          <w:rFonts w:hint="eastAsia" w:ascii="宋体" w:hAnsi="宋体" w:cs="宋体"/>
          <w:b/>
          <w:color w:val="auto"/>
          <w:sz w:val="24"/>
          <w:szCs w:val="24"/>
          <w:highlight w:val="none"/>
        </w:rPr>
        <w:t xml:space="preserve">确定</w:t>
      </w:r>
      <w:bookmarkEnd w:id="269"/>
      <w:r/>
      <w:bookmarkEnd w:id="270"/>
      <w:r>
        <w:rPr>
          <w:rFonts w:hint="eastAsia" w:ascii="宋体" w:hAnsi="宋体" w:cs="宋体"/>
          <w:b/>
          <w:color w:val="auto"/>
          <w:sz w:val="24"/>
          <w:szCs w:val="24"/>
          <w:highlight w:val="none"/>
        </w:rPr>
        <w:t xml:space="preserve">中标单位</w:t>
      </w:r>
      <w:bookmarkEnd w:id="271"/>
      <w:r/>
      <w:bookmarkEnd w:id="272"/>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28.1中标候选人的选取原则和数量见招标文件第五章规定。 </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.2 按以下第</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u w:val="single"/>
        </w:rPr>
        <w:t xml:space="preserve"> 2 </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lang w:val="zh-CN"/>
        </w:rPr>
        <w:t xml:space="preserve">种方式确定中标人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（1）评委会直接确定排名第一的中标候选人为中标人；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（2）采购人在评委会推荐的中标候选人中按顺序确定中标人。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按第</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种方式确定中标人的，</w:t>
      </w:r>
      <w:r>
        <w:rPr>
          <w:rFonts w:hint="eastAsia" w:ascii="宋体" w:hAnsi="宋体" w:cs="宋体"/>
          <w:bCs/>
          <w:color w:val="auto"/>
          <w:sz w:val="24"/>
          <w:szCs w:val="24"/>
          <w:highlight w:val="none"/>
        </w:rPr>
        <w:t xml:space="preserve">采购代理机构</w:t>
      </w:r>
      <w:r>
        <w:rPr>
          <w:rFonts w:hint="eastAsia" w:ascii="宋体" w:hAnsi="宋体" w:cs="宋体"/>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28.3</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28.4若有充分证据证明，中标人出现下列情况之一的，一经查实，将被取消中标资格：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28.4.2向采购人、采购代理机构行贿或者提供其他不正当利益的。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28.4.4与采购人或者其他投标人恶意串通的。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28.4.5采取不正当手段诋毁、排挤其他投标人的。</w:t>
      </w:r>
      <w:r/>
    </w:p>
    <w:p>
      <w:pPr>
        <w:ind w:firstLine="480"/>
        <w:spacing w:line="480" w:lineRule="exact"/>
        <w:rPr>
          <w:rFonts w:hint="eastAsia" w:ascii="宋体" w:hAnsi="宋体" w:cs="宋体"/>
          <w:color w:val="auto"/>
          <w:sz w:val="24"/>
          <w:szCs w:val="24"/>
          <w:highlight w:val="none"/>
        </w:rPr>
      </w:pPr>
      <w:r/>
      <w:bookmarkStart w:id="273"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ind w:firstLine="482"/>
        <w:spacing w:line="480" w:lineRule="exact"/>
        <w:rPr>
          <w:rFonts w:hint="eastAsia" w:ascii="宋体" w:hAnsi="宋体" w:cs="宋体"/>
          <w:b/>
          <w:color w:val="auto"/>
          <w:sz w:val="24"/>
          <w:szCs w:val="24"/>
          <w:highlight w:val="none"/>
        </w:rPr>
        <w:outlineLvl w:val="1"/>
      </w:pPr>
      <w:r/>
      <w:bookmarkStart w:id="274" w:name="_Toc19219"/>
      <w:r/>
      <w:bookmarkStart w:id="275" w:name="_Toc20246"/>
      <w:r>
        <w:rPr>
          <w:rFonts w:hint="eastAsia" w:ascii="宋体" w:hAnsi="宋体" w:cs="宋体"/>
          <w:b/>
          <w:color w:val="auto"/>
          <w:sz w:val="24"/>
          <w:szCs w:val="24"/>
          <w:highlight w:val="none"/>
        </w:rPr>
        <w:t xml:space="preserve">29、质疑处理</w:t>
      </w:r>
      <w:bookmarkEnd w:id="273"/>
      <w:r/>
      <w:bookmarkEnd w:id="274"/>
      <w:r/>
      <w:bookmarkEnd w:id="275"/>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接收质疑函的方式：现场接收或邮寄接收。</w:t>
      </w:r>
      <w:r/>
    </w:p>
    <w:p>
      <w:pPr>
        <w:ind w:firstLine="480"/>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联系部门：</w:t>
      </w:r>
      <w:bookmarkStart w:id="276" w:name="EB587bd491a3fd493c8e729d1eaa56203a"/>
      <w:r>
        <w:rPr>
          <w:rFonts w:hint="eastAsia" w:ascii="宋体" w:hAnsi="宋体" w:cs="宋体"/>
          <w:color w:val="auto"/>
          <w:sz w:val="24"/>
          <w:szCs w:val="24"/>
          <w:highlight w:val="none"/>
          <w:u w:val="single"/>
          <w:lang w:eastAsia="zh-CN"/>
        </w:rPr>
        <w:t xml:space="preserve">泗阳县畜牧兽医站</w:t>
      </w:r>
      <w:r>
        <w:rPr>
          <w:rFonts w:hint="eastAsia" w:ascii="宋体" w:hAnsi="宋体" w:cs="宋体"/>
          <w:color w:val="auto"/>
          <w:sz w:val="24"/>
          <w:szCs w:val="24"/>
          <w:highlight w:val="none"/>
          <w:u w:val="single"/>
        </w:rPr>
        <w:t xml:space="preserve">、</w:t>
      </w:r>
      <w:bookmarkEnd w:id="276"/>
      <w:r>
        <w:rPr>
          <w:rFonts w:hint="eastAsia" w:ascii="宋体" w:hAnsi="宋体" w:cs="宋体"/>
          <w:color w:val="auto"/>
          <w:sz w:val="24"/>
          <w:szCs w:val="24"/>
          <w:highlight w:val="none"/>
          <w:u w:val="single"/>
          <w:lang w:eastAsia="zh-CN"/>
        </w:rPr>
        <w:t xml:space="preserve">江苏东田招标管理有限公司</w:t>
      </w:r>
      <w:r/>
    </w:p>
    <w:p>
      <w:pPr>
        <w:ind w:firstLine="480"/>
        <w:spacing w:line="480" w:lineRule="exact"/>
        <w:rPr>
          <w:rFonts w:hint="eastAsia" w:ascii="宋体" w:hAnsi="宋体" w:cs="宋体"/>
          <w:caps w:val="0"/>
          <w:color w:val="auto"/>
          <w:sz w:val="24"/>
          <w:szCs w:val="24"/>
          <w:highlight w:val="none"/>
          <w:u w:val="singl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lang w:val="en-US" w:eastAsia="zh-CN"/>
        </w:rPr>
        <w:t xml:space="preserve">13851388136</w:t>
      </w:r>
      <w:r>
        <w:rPr>
          <w:rFonts w:hint="eastAsia" w:ascii="宋体" w:hAnsi="宋体" w:cs="宋体"/>
          <w:color w:val="auto"/>
          <w:sz w:val="24"/>
          <w:szCs w:val="24"/>
          <w:highlight w:val="none"/>
          <w:u w:val="single"/>
        </w:rPr>
        <w:t xml:space="preserve">、</w:t>
      </w:r>
      <w:r>
        <w:rPr>
          <w:rFonts w:hint="eastAsia" w:ascii="宋体" w:hAnsi="宋体" w:cs="宋体"/>
          <w:caps w:val="0"/>
          <w:color w:val="auto"/>
          <w:sz w:val="24"/>
          <w:szCs w:val="24"/>
          <w:highlight w:val="none"/>
          <w:u w:val="single"/>
          <w:lang w:eastAsia="zh-CN"/>
        </w:rPr>
        <w:t xml:space="preserve">13951591909</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通讯地址：</w:t>
      </w:r>
      <w:r>
        <w:rPr>
          <w:rFonts w:hint="eastAsia" w:ascii="宋体" w:hAnsi="宋体" w:cs="宋体"/>
          <w:color w:val="auto"/>
          <w:sz w:val="24"/>
          <w:szCs w:val="24"/>
          <w:highlight w:val="none"/>
          <w:u w:val="single"/>
          <w:lang w:val="en-US" w:eastAsia="zh-CN"/>
        </w:rPr>
        <w:t xml:space="preserve">泗阳县众兴街道东祥社区3楼</w:t>
      </w:r>
      <w:r>
        <w:rPr>
          <w:rFonts w:hint="eastAsia" w:ascii="宋体" w:hAnsi="宋体" w:cs="宋体"/>
          <w:color w:val="auto"/>
          <w:sz w:val="24"/>
          <w:szCs w:val="24"/>
          <w:highlight w:val="none"/>
        </w:rPr>
        <w:t xml:space="preserve">、</w:t>
      </w:r>
      <w:r>
        <w:rPr>
          <w:rFonts w:hint="eastAsia" w:ascii="宋体" w:hAnsi="宋体" w:cs="宋体"/>
          <w:caps w:val="0"/>
          <w:color w:val="auto"/>
          <w:sz w:val="24"/>
          <w:szCs w:val="24"/>
          <w:highlight w:val="none"/>
          <w:u w:val="single"/>
          <w:lang w:eastAsia="zh-CN"/>
        </w:rPr>
        <w:t xml:space="preserve">泗阳县恒大国际广场二期435-449</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29.5.1内容不符合《政府采购质疑和投诉办法》第十二条规定的质疑。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29.5.2超出政府采购法定期限的质疑。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29.5.3以传真、电子邮件等方式递交的非原件形式的质疑。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29.5.4未参加投标活动的投标人或在投标活动中自身权益未受到损害的投标人所提出的质疑。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29.5.5投标人组成联合体参加投标，联合体中任何一方或多方未按要求签字、盖章、加盖公章的质疑。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宋体" w:hAnsi="宋体" w:cs="宋体"/>
          <w:b/>
          <w:color w:val="auto"/>
          <w:sz w:val="24"/>
          <w:szCs w:val="24"/>
          <w:highlight w:val="none"/>
        </w:rPr>
        <w:outlineLvl w:val="1"/>
      </w:pPr>
      <w:r/>
      <w:bookmarkStart w:id="277" w:name="_Toc4442"/>
      <w:r/>
      <w:bookmarkStart w:id="278" w:name="_Toc18887"/>
      <w:r>
        <w:rPr>
          <w:rFonts w:hint="eastAsia" w:ascii="宋体" w:hAnsi="宋体" w:cs="宋体"/>
          <w:b/>
          <w:color w:val="auto"/>
          <w:sz w:val="24"/>
          <w:szCs w:val="24"/>
          <w:highlight w:val="none"/>
        </w:rPr>
        <w:t xml:space="preserve">30、中标通知书</w:t>
      </w:r>
      <w:bookmarkEnd w:id="277"/>
      <w:r/>
      <w:bookmarkEnd w:id="278"/>
      <w:r/>
      <w:r/>
    </w:p>
    <w:p>
      <w:pPr>
        <w:ind w:firstLine="480"/>
        <w:spacing w:line="480" w:lineRule="exact"/>
        <w:rPr>
          <w:rFonts w:hint="eastAsia" w:ascii="宋体" w:hAnsi="宋体" w:cs="宋体"/>
          <w:color w:val="auto"/>
          <w:sz w:val="24"/>
          <w:szCs w:val="24"/>
          <w:highlight w:val="none"/>
        </w:rPr>
      </w:pPr>
      <w:r/>
      <w:bookmarkStart w:id="279" w:name="_Toc20823308"/>
      <w:r/>
      <w:bookmarkStart w:id="280" w:name="_Toc513029236"/>
      <w:r/>
      <w:bookmarkStart w:id="281" w:name="_Toc16938552"/>
      <w:r/>
      <w:bookmarkStart w:id="282" w:name="_Toc120614220"/>
      <w:r>
        <w:rPr>
          <w:rFonts w:hint="eastAsia" w:ascii="宋体" w:hAnsi="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80" w:lineRule="exact"/>
        <w:rPr>
          <w:rFonts w:hint="eastAsia" w:ascii="宋体" w:hAnsi="宋体" w:cs="宋体"/>
          <w:b/>
          <w:bCs/>
          <w:color w:val="auto"/>
          <w:sz w:val="24"/>
          <w:szCs w:val="24"/>
          <w:highlight w:val="none"/>
        </w:rPr>
        <w:outlineLvl w:val="0"/>
      </w:pPr>
      <w:r/>
      <w:bookmarkStart w:id="283" w:name="_Toc23811"/>
      <w:r/>
      <w:bookmarkStart w:id="284" w:name="_Toc28936"/>
      <w:r>
        <w:rPr>
          <w:rFonts w:hint="eastAsia" w:ascii="宋体" w:hAnsi="宋体" w:cs="宋体"/>
          <w:b/>
          <w:bCs/>
          <w:color w:val="auto"/>
          <w:sz w:val="24"/>
          <w:szCs w:val="24"/>
          <w:highlight w:val="none"/>
        </w:rPr>
        <w:t xml:space="preserve">七、授予合同</w:t>
      </w:r>
      <w:bookmarkEnd w:id="279"/>
      <w:r/>
      <w:bookmarkEnd w:id="280"/>
      <w:r/>
      <w:bookmarkEnd w:id="281"/>
      <w:r/>
      <w:bookmarkEnd w:id="282"/>
      <w:r/>
      <w:bookmarkEnd w:id="283"/>
      <w:r/>
      <w:bookmarkEnd w:id="284"/>
      <w:r/>
      <w:r/>
    </w:p>
    <w:p>
      <w:pPr>
        <w:ind w:firstLine="482"/>
        <w:spacing w:line="480" w:lineRule="exact"/>
        <w:rPr>
          <w:rFonts w:hint="eastAsia" w:ascii="宋体" w:hAnsi="宋体" w:cs="宋体"/>
          <w:b/>
          <w:color w:val="auto"/>
          <w:sz w:val="24"/>
          <w:szCs w:val="24"/>
          <w:highlight w:val="none"/>
        </w:rPr>
        <w:outlineLvl w:val="1"/>
      </w:pPr>
      <w:r/>
      <w:bookmarkStart w:id="285" w:name="_Toc11828"/>
      <w:r/>
      <w:bookmarkStart w:id="286" w:name="_Toc16706"/>
      <w:r/>
      <w:bookmarkStart w:id="287" w:name="_Toc20823309"/>
      <w:r/>
      <w:bookmarkStart w:id="288" w:name="_Toc16938553"/>
      <w:r/>
      <w:bookmarkStart w:id="289" w:name="_Toc513029237"/>
      <w:r>
        <w:rPr>
          <w:rFonts w:hint="eastAsia" w:ascii="宋体" w:hAnsi="宋体" w:cs="宋体"/>
          <w:b/>
          <w:color w:val="auto"/>
          <w:sz w:val="24"/>
          <w:szCs w:val="24"/>
          <w:highlight w:val="none"/>
        </w:rPr>
        <w:t xml:space="preserve">31. 签订合同</w:t>
      </w:r>
      <w:bookmarkEnd w:id="285"/>
      <w:r/>
      <w:bookmarkEnd w:id="286"/>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31.2招标文件、中标人的投标文件及招标过程中有关澄清、承诺文件均应作为合同附件。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31.3本项目的非主体、非关键性工作是否允许分包按以下第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31.4履约保证金</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按照以下第</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ascii="Times New Roman" w:hAnsi="Times New Roman" w:eastAsia="宋体" w:cs="Times New Roman"/>
          <w:bCs/>
          <w:caps w:val="0"/>
          <w:color w:val="auto"/>
          <w:sz w:val="24"/>
          <w:highlight w:val="none"/>
          <w:lang w:val="zh-CN"/>
        </w:rPr>
        <w:t xml:space="preserve">方式确定履约保证收取方式。</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(1)不收取履约保证金。</w:t>
      </w:r>
      <w:r/>
    </w:p>
    <w:p>
      <w:pPr>
        <w:ind w:firstLine="480"/>
        <w:spacing w:line="480" w:lineRule="exact"/>
        <w:rPr>
          <w:rFonts w:hint="eastAsia"/>
          <w:bCs/>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w:t>
      </w:r>
      <w:r>
        <w:rPr>
          <w:rFonts w:hint="eastAsia"/>
          <w:bCs/>
          <w:color w:val="auto"/>
          <w:sz w:val="24"/>
          <w:highlight w:val="none"/>
          <w:lang w:val="zh-CN"/>
        </w:rPr>
        <w:t xml:space="preserve">履约保证金应在采购合同签订前提交，履约保证金的金额：按采购合同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w:t>
      </w:r>
      <w:r>
        <w:rPr>
          <w:rFonts w:hint="eastAsia"/>
          <w:bCs/>
          <w:color w:val="auto"/>
          <w:sz w:val="24"/>
          <w:highlight w:val="none"/>
          <w:u w:val="single"/>
          <w:lang w:val="en-US" w:eastAsia="zh-CN"/>
        </w:rPr>
        <w:t xml:space="preserve">  </w:t>
      </w:r>
      <w:r>
        <w:rPr>
          <w:rFonts w:hint="eastAsia"/>
          <w:bCs/>
          <w:color w:val="auto"/>
          <w:sz w:val="24"/>
          <w:highlight w:val="none"/>
          <w:u w:val="single"/>
        </w:rPr>
        <w:t xml:space="preserve"> </w:t>
      </w:r>
      <w:r>
        <w:rPr>
          <w:rFonts w:hint="eastAsia"/>
          <w:bCs/>
          <w:color w:val="auto"/>
          <w:sz w:val="24"/>
          <w:highlight w:val="none"/>
          <w:lang w:val="zh-CN"/>
        </w:rPr>
        <w:t xml:space="preserve">%（使用江苏政府采购电子履约保函（保险）代替缴纳履约保证金，按采购合同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w:t>
      </w:r>
      <w:r>
        <w:rPr>
          <w:rFonts w:hint="eastAsia"/>
          <w:bCs/>
          <w:color w:val="auto"/>
          <w:sz w:val="24"/>
          <w:highlight w:val="none"/>
          <w:u w:val="single"/>
          <w:lang w:val="en-US" w:eastAsia="zh-CN"/>
        </w:rPr>
        <w:t xml:space="preserve">  </w:t>
      </w:r>
      <w:r>
        <w:rPr>
          <w:rFonts w:hint="eastAsia"/>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履约保证金退还的条件：按以下第</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w:t>
      </w:r>
      <w:r>
        <w:rPr>
          <w:rFonts w:hint="eastAsia"/>
          <w:bCs/>
          <w:color w:val="auto"/>
          <w:sz w:val="24"/>
          <w:highlight w:val="none"/>
          <w:u w:val="single"/>
        </w:rPr>
        <w:t xml:space="preserve"> </w:t>
      </w:r>
      <w:r>
        <w:rPr>
          <w:rFonts w:hint="eastAsia"/>
          <w:bCs/>
          <w:color w:val="auto"/>
          <w:sz w:val="24"/>
          <w:highlight w:val="none"/>
          <w:lang w:val="zh-CN"/>
        </w:rPr>
        <w:t xml:space="preserve">种方式实行：</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a、货物类项目，项目验收合格，出具验收报告及履约保证金收据申请退付；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b、服务类项目，项目履约期满评价合格，出具履约评价报告及履约保证金收据申请退付；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c、工程类项目，项目完工验收合格，出具完工证明及履约保证金收据申请退付；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480" w:lineRule="exact"/>
        <w:rPr>
          <w:b/>
          <w:color w:val="auto"/>
          <w:sz w:val="24"/>
          <w:highlight w:val="none"/>
        </w:rPr>
      </w:pPr>
      <w:r>
        <w:rPr>
          <w:b/>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keepLines/>
        <w:keepNext/>
        <w:pageBreakBefore w:val="0"/>
        <w:spacing w:line="360" w:lineRule="auto"/>
        <w:widowControl w:val="off"/>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p>
      <w:pPr>
        <w:ind w:firstLine="482"/>
        <w:keepLines/>
        <w:keepNext/>
        <w:pageBreakBefore w:val="0"/>
        <w:spacing w:line="360" w:lineRule="auto"/>
        <w:widowControl w:val="off"/>
        <w:rPr>
          <w:rFonts w:hint="eastAsia" w:ascii="宋体" w:hAnsi="宋体" w:cs="宋体"/>
          <w:b/>
          <w:color w:val="auto"/>
          <w:sz w:val="24"/>
          <w:szCs w:val="24"/>
          <w:highlight w:val="none"/>
        </w:rPr>
        <w:outlineLvl w:val="1"/>
      </w:pPr>
      <w:r/>
      <w:bookmarkStart w:id="290" w:name="_Toc6835"/>
      <w:r/>
      <w:bookmarkStart w:id="291" w:name="_Toc12070"/>
      <w:r>
        <w:rPr>
          <w:rFonts w:hint="eastAsia" w:ascii="宋体" w:hAnsi="宋体" w:cs="宋体"/>
          <w:b/>
          <w:color w:val="auto"/>
          <w:sz w:val="24"/>
          <w:szCs w:val="24"/>
          <w:highlight w:val="none"/>
        </w:rPr>
        <w:t xml:space="preserve">32、货物（包含与货物相关的服务）的追加</w:t>
      </w:r>
      <w:bookmarkEnd w:id="290"/>
      <w:r/>
      <w:bookmarkEnd w:id="291"/>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87"/>
      <w:r/>
      <w:bookmarkEnd w:id="288"/>
      <w:r/>
      <w:bookmarkEnd w:id="289"/>
      <w:r/>
      <w:r/>
    </w:p>
    <w:p>
      <w:pPr>
        <w:ind w:firstLine="482"/>
        <w:pageBreakBefore w:val="0"/>
        <w:spacing w:line="360" w:lineRule="auto"/>
        <w:widowControl w:val="off"/>
        <w:rPr>
          <w:rFonts w:hint="eastAsia" w:ascii="宋体" w:hAnsi="宋体" w:cs="宋体"/>
          <w:b/>
          <w:color w:val="auto"/>
          <w:sz w:val="24"/>
          <w:szCs w:val="24"/>
          <w:highlight w:val="none"/>
        </w:rPr>
        <w:outlineLvl w:val="1"/>
      </w:pPr>
      <w:r/>
      <w:bookmarkStart w:id="292" w:name="_Toc10288"/>
      <w:r/>
      <w:bookmarkStart w:id="293" w:name="_Toc20273"/>
      <w:r/>
      <w:bookmarkStart w:id="294" w:name="_Toc479757207"/>
      <w:r/>
      <w:bookmarkStart w:id="295" w:name="_Toc120614221"/>
      <w:r/>
      <w:bookmarkStart w:id="296" w:name="_Toc16938558"/>
      <w:r/>
      <w:bookmarkStart w:id="297" w:name="_Toc20823314"/>
      <w:r/>
      <w:bookmarkStart w:id="298" w:name="_Toc513029242"/>
      <w:r>
        <w:rPr>
          <w:rFonts w:hint="eastAsia" w:ascii="宋体" w:hAnsi="宋体" w:cs="宋体"/>
          <w:b/>
          <w:color w:val="auto"/>
          <w:sz w:val="24"/>
          <w:szCs w:val="24"/>
          <w:highlight w:val="none"/>
        </w:rPr>
        <w:t xml:space="preserve">33、政府采购履约资金扶持政策</w:t>
      </w:r>
      <w:bookmarkEnd w:id="292"/>
      <w:r/>
      <w:bookmarkEnd w:id="293"/>
      <w:r/>
      <w:r/>
    </w:p>
    <w:p>
      <w:pPr>
        <w:pStyle w:val="912"/>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33.1依</w:t>
      </w:r>
      <w:r>
        <w:rPr>
          <w:rFonts w:hint="eastAsia" w:ascii="宋体" w:hAnsi="宋体" w:cs="宋体"/>
          <w:bCs/>
          <w:color w:val="auto"/>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360" w:lineRule="auto"/>
        <w:widowControl w:val="off"/>
        <w:rPr>
          <w:rFonts w:hint="eastAsia" w:ascii="宋体" w:hAnsi="宋体" w:cs="宋体"/>
          <w:b/>
          <w:bCs/>
          <w:color w:val="auto"/>
          <w:sz w:val="24"/>
          <w:szCs w:val="24"/>
          <w:highlight w:val="none"/>
        </w:rPr>
        <w:outlineLvl w:val="1"/>
      </w:pPr>
      <w:r/>
      <w:bookmarkStart w:id="299" w:name="_Toc17695"/>
      <w:r/>
      <w:bookmarkStart w:id="300" w:name="_Toc2491"/>
      <w:r>
        <w:rPr>
          <w:rFonts w:hint="eastAsia" w:ascii="宋体" w:hAnsi="宋体" w:cs="宋体"/>
          <w:b/>
          <w:bCs/>
          <w:color w:val="auto"/>
          <w:sz w:val="24"/>
          <w:szCs w:val="24"/>
          <w:highlight w:val="none"/>
        </w:rPr>
        <w:t xml:space="preserve">34、验收及付款</w:t>
      </w:r>
      <w:bookmarkEnd w:id="299"/>
      <w:r/>
      <w:bookmarkEnd w:id="300"/>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360" w:lineRule="auto"/>
        <w:widowControl w:val="off"/>
        <w:rPr>
          <w:rFonts w:hint="eastAsia" w:ascii="宋体" w:hAnsi="宋体" w:cs="宋体"/>
          <w:b/>
          <w:color w:val="auto"/>
          <w:sz w:val="24"/>
          <w:szCs w:val="24"/>
          <w:highlight w:val="none"/>
        </w:rPr>
        <w:outlineLvl w:val="1"/>
      </w:pPr>
      <w:r/>
      <w:bookmarkStart w:id="301" w:name="_Toc25876"/>
      <w:r/>
      <w:bookmarkStart w:id="302" w:name="_Toc195"/>
      <w:r>
        <w:rPr>
          <w:rFonts w:hint="eastAsia" w:ascii="宋体" w:hAnsi="宋体" w:cs="宋体"/>
          <w:b/>
          <w:color w:val="auto"/>
          <w:sz w:val="24"/>
          <w:szCs w:val="24"/>
          <w:highlight w:val="none"/>
        </w:rPr>
        <w:t xml:space="preserve">35、付款</w:t>
      </w:r>
      <w:bookmarkEnd w:id="301"/>
      <w:r/>
      <w:bookmarkEnd w:id="302"/>
      <w:r/>
      <w:r/>
    </w:p>
    <w:p>
      <w:pPr>
        <w:ind w:firstLine="480"/>
        <w:pageBreakBefore w:val="0"/>
        <w:spacing w:line="360" w:lineRule="auto"/>
        <w:widowControl w:val="off"/>
        <w:rPr>
          <w:rFonts w:hint="eastAsia" w:ascii="宋体" w:hAnsi="宋体" w:cs="宋体"/>
          <w:bCs/>
          <w:color w:val="auto"/>
          <w:sz w:val="24"/>
          <w:szCs w:val="24"/>
          <w:highlight w:val="none"/>
        </w:rPr>
      </w:pPr>
      <w:r/>
      <w:bookmarkStart w:id="303" w:name="EBec7f529f50594afd871ea9378869e456"/>
      <w:r>
        <w:rPr>
          <w:rFonts w:hint="eastAsia" w:ascii="宋体" w:hAnsi="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303"/>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预付款：合同金额的</w:t>
      </w:r>
      <w:r>
        <w:rPr>
          <w:rFonts w:hint="eastAsia"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 ，合同签订后按规定支付； </w:t>
      </w:r>
      <w:r/>
    </w:p>
    <w:p>
      <w:pPr>
        <w:ind w:firstLine="480"/>
        <w:pageBreakBefore w:val="0"/>
        <w:spacing w:line="360" w:lineRule="auto"/>
        <w:widowControl w:val="off"/>
        <w:rPr>
          <w:rFonts w:hint="eastAsia"/>
          <w:bCs/>
          <w:color w:val="auto"/>
          <w:sz w:val="24"/>
          <w:highlight w:val="none"/>
          <w:lang w:val="zh-CN"/>
        </w:rPr>
      </w:pPr>
      <w:r>
        <w:rPr>
          <w:rFonts w:hint="eastAsia" w:ascii="宋体" w:hAnsi="宋体" w:cs="宋体"/>
          <w:bCs/>
          <w:color w:val="auto"/>
          <w:sz w:val="24"/>
          <w:szCs w:val="24"/>
          <w:highlight w:val="none"/>
        </w:rPr>
        <w:t xml:space="preserve">进度款：</w:t>
      </w:r>
      <w:bookmarkStart w:id="304" w:name="EBf1f8b954f7504a2cb44cef25707c76a6"/>
      <w:r/>
      <w:bookmarkEnd w:id="304"/>
      <w:r/>
      <w:bookmarkStart w:id="305" w:name="EB11398ec6946f4019bc4c35221e27b04f"/>
      <w:r>
        <w:rPr>
          <w:rFonts w:hint="eastAsia"/>
          <w:bCs/>
          <w:color w:val="auto"/>
          <w:sz w:val="24"/>
          <w:highlight w:val="none"/>
          <w:lang w:val="zh-CN"/>
        </w:rPr>
        <w:t xml:space="preserve">中标货物根据甲方要求送达甲方指定地点，以年度实际发货数量一次性结算余款。（采购人可以采用数字人民币方式支付合同价款）。</w:t>
      </w:r>
      <w:r/>
    </w:p>
    <w:p>
      <w:pPr>
        <w:ind w:firstLine="480"/>
        <w:pageBreakBefore w:val="0"/>
        <w:spacing w:line="360" w:lineRule="auto"/>
        <w:widowControl w:val="off"/>
        <w:rPr>
          <w:rFonts w:hint="eastAsia"/>
          <w:bCs/>
          <w:color w:val="auto"/>
          <w:sz w:val="24"/>
          <w:highlight w:val="none"/>
        </w:rPr>
      </w:pPr>
      <w:r>
        <w:rPr>
          <w:rFonts w:hint="eastAsia" w:ascii="宋体" w:hAnsi="宋体" w:cs="宋体"/>
          <w:bCs/>
          <w:color w:val="auto"/>
          <w:sz w:val="24"/>
          <w:szCs w:val="24"/>
          <w:highlight w:val="none"/>
        </w:rPr>
        <w:t xml:space="preserve">注：在签订合同时，中标人明确表示无需预付款或者主动要求降低预付款比例的金额，采购人可不适用预付款规定。</w:t>
      </w:r>
      <w:bookmarkEnd w:id="305"/>
      <w:r/>
      <w:r/>
    </w:p>
    <w:p>
      <w:pPr>
        <w:pageBreakBefore w:val="0"/>
        <w:spacing w:line="360" w:lineRule="auto"/>
        <w:widowControl w:val="off"/>
        <w:rPr>
          <w:rFonts w:hint="eastAsia"/>
          <w:color w:val="auto"/>
          <w:highlight w:val="none"/>
        </w:rPr>
      </w:pPr>
      <w:r>
        <w:rPr>
          <w:rFonts w:hint="eastAsia"/>
          <w:color w:val="auto"/>
          <w:highlight w:val="none"/>
        </w:rPr>
      </w:r>
      <w:r/>
    </w:p>
    <w:p>
      <w:pPr>
        <w:pageBreakBefore w:val="0"/>
        <w:spacing w:line="360" w:lineRule="auto"/>
        <w:widowControl w:val="off"/>
        <w:rPr>
          <w:color w:val="auto"/>
          <w:highlight w:val="none"/>
        </w:rPr>
      </w:pPr>
      <w:r>
        <w:rPr>
          <w:color w:val="auto"/>
          <w:highlight w:val="none"/>
        </w:rPr>
      </w:r>
      <w:r/>
    </w:p>
    <w:p>
      <w:pPr>
        <w:pageBreakBefore w:val="0"/>
        <w:spacing w:line="360" w:lineRule="auto"/>
        <w:widowControl w:val="off"/>
        <w:rPr>
          <w:color w:val="auto"/>
          <w:highlight w:val="none"/>
        </w:rPr>
      </w:pPr>
      <w:r>
        <w:rPr>
          <w:color w:val="auto"/>
          <w:highlight w:val="none"/>
        </w:rPr>
      </w:r>
      <w:bookmarkEnd w:id="294"/>
      <w:bookmarkEnd w:id="295"/>
      <w:bookmarkEnd w:id="296"/>
      <w:bookmarkEnd w:id="297"/>
      <w:bookmarkEnd w:id="298"/>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keepLines w:val="0"/>
        <w:keepNext w:val="0"/>
        <w:pageBreakBefore w:val="0"/>
        <w:spacing w:line="360" w:lineRule="auto"/>
        <w:widowControl w:val="off"/>
        <w:rPr>
          <w:rFonts w:eastAsia="黑体"/>
          <w:b/>
          <w:color w:val="auto"/>
          <w:sz w:val="44"/>
          <w:szCs w:val="28"/>
          <w:highlight w:val="none"/>
        </w:rPr>
        <w:outlineLvl w:val="0"/>
      </w:pPr>
      <w:r/>
      <w:bookmarkStart w:id="306" w:name="_Toc155086566"/>
      <w:r/>
      <w:bookmarkStart w:id="307" w:name="_Toc104802328"/>
      <w:r/>
      <w:bookmarkStart w:id="308" w:name="_Toc118461986"/>
      <w:r/>
      <w:bookmarkStart w:id="309" w:name="_Hlt16619350"/>
      <w:r/>
      <w:bookmarkStart w:id="310" w:name="_Toc120614244"/>
      <w:r/>
      <w:bookmarkStart w:id="311" w:name="_Toc16938590"/>
      <w:r/>
      <w:bookmarkStart w:id="312" w:name="_Toc20823346"/>
      <w:r/>
      <w:bookmarkStart w:id="313" w:name="_Toc479757211"/>
      <w:r/>
      <w:bookmarkStart w:id="314" w:name="_Toc462564139"/>
      <w:r>
        <w:rPr>
          <w:rFonts w:ascii="宋体" w:hAnsi="宋体" w:cs="宋体"/>
          <w:b/>
          <w:color w:val="auto"/>
          <w:sz w:val="44"/>
          <w:szCs w:val="28"/>
          <w:highlight w:val="none"/>
        </w:rPr>
        <w:br w:type="page" w:clear="all"/>
      </w:r>
      <w:bookmarkStart w:id="315" w:name="_Toc23458"/>
      <w:r/>
      <w:bookmarkStart w:id="316" w:name="_Toc13350"/>
      <w:r>
        <w:rPr>
          <w:rFonts w:hint="eastAsia" w:ascii="宋体" w:hAnsi="宋体" w:cs="宋体"/>
          <w:b/>
          <w:color w:val="auto"/>
          <w:sz w:val="44"/>
          <w:szCs w:val="28"/>
          <w:highlight w:val="none"/>
        </w:rPr>
        <w:t xml:space="preserve">第三章  合同文本</w:t>
      </w:r>
      <w:bookmarkEnd w:id="306"/>
      <w:r/>
      <w:bookmarkEnd w:id="307"/>
      <w:r/>
      <w:bookmarkEnd w:id="308"/>
      <w:r/>
      <w:bookmarkEnd w:id="315"/>
      <w:r/>
      <w:bookmarkEnd w:id="316"/>
      <w:r/>
      <w:r/>
    </w:p>
    <w:p>
      <w:pPr>
        <w:pStyle w:val="885"/>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5"/>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5"/>
        <w:jc w:val="center"/>
        <w:spacing w:after="0"/>
        <w:rPr>
          <w:rFonts w:hint="eastAsia" w:ascii="宋体" w:hAnsi="宋体" w:cs="宋体"/>
          <w:b/>
          <w:bCs/>
          <w:color w:val="auto"/>
          <w:spacing w:val="-20"/>
          <w:sz w:val="48"/>
          <w:szCs w:val="48"/>
          <w:highlight w:val="none"/>
        </w:rPr>
        <w:outlineLvl w:val="0"/>
      </w:pPr>
      <w:r/>
      <w:bookmarkStart w:id="317" w:name="_Toc4687"/>
      <w:r/>
      <w:bookmarkStart w:id="318" w:name="_Toc23947"/>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bookmarkEnd w:id="317"/>
      <w:r/>
      <w:bookmarkEnd w:id="318"/>
      <w:r/>
      <w:r/>
    </w:p>
    <w:p>
      <w:pPr>
        <w:pStyle w:val="885"/>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2020" w:hanging="160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lang w:eastAsia="zh-CN"/>
        </w:rPr>
        <w:t xml:space="preserve">泗阳县202</w:t>
      </w:r>
      <w:r>
        <w:rPr>
          <w:rFonts w:hint="eastAsia"/>
          <w:color w:val="auto"/>
          <w:sz w:val="32"/>
          <w:szCs w:val="32"/>
          <w:highlight w:val="none"/>
          <w:u w:val="single"/>
          <w:lang w:val="en-US" w:eastAsia="zh-CN"/>
        </w:rPr>
        <w:t xml:space="preserve">5</w:t>
      </w:r>
      <w:r>
        <w:rPr>
          <w:rFonts w:hint="eastAsia"/>
          <w:color w:val="auto"/>
          <w:sz w:val="32"/>
          <w:szCs w:val="32"/>
          <w:highlight w:val="none"/>
          <w:u w:val="single"/>
          <w:lang w:eastAsia="zh-CN"/>
        </w:rPr>
        <w:t xml:space="preserve">年度重大动物疫病免疫补助项目（疫苗、标识）</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lang w:eastAsia="zh-CN"/>
        </w:rPr>
        <w:t xml:space="preserve">泗阳县畜牧兽医站</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2026年  月  日</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hint="eastAsia" w:ascii="黑体" w:hAnsi="黑体" w:eastAsia="黑体"/>
          <w:color w:val="auto"/>
          <w:sz w:val="28"/>
          <w:szCs w:val="28"/>
          <w:highlight w:val="none"/>
        </w:rPr>
      </w:pPr>
      <w:r>
        <w:rPr>
          <w:rFonts w:eastAsia="黑体"/>
          <w:color w:val="auto"/>
          <w:sz w:val="44"/>
          <w:szCs w:val="44"/>
          <w:highlight w:val="none"/>
        </w:rPr>
        <w:br w:type="page" w:clear="all"/>
      </w:r>
      <w:bookmarkStart w:id="319" w:name="_Toc22209"/>
      <w:r/>
      <w:bookmarkEnd w:id="319"/>
      <w:r/>
      <w:r/>
    </w:p>
    <w:p>
      <w:pPr>
        <w:pStyle w:val="869"/>
        <w:jc w:val="center"/>
        <w:spacing w:line="400" w:lineRule="exact"/>
        <w:rPr>
          <w:color w:val="auto"/>
          <w:highlight w:val="none"/>
        </w:rPr>
        <w:outlineLvl w:val="0"/>
      </w:pPr>
      <w:r/>
      <w:bookmarkStart w:id="320" w:name="_Toc29504"/>
      <w:r/>
      <w:bookmarkStart w:id="321" w:name="_Toc17119"/>
      <w:r>
        <w:rPr>
          <w:rFonts w:ascii="Times New Roman" w:hAnsi="Times New Roman" w:eastAsia="黑体" w:cs="Times New Roman"/>
          <w:color w:val="auto"/>
          <w:sz w:val="28"/>
          <w:szCs w:val="28"/>
          <w:highlight w:val="none"/>
        </w:rPr>
        <w:t xml:space="preserve">第一节 政府采购合同协议书</w:t>
      </w:r>
      <w:bookmarkEnd w:id="320"/>
      <w:r/>
      <w:bookmarkEnd w:id="321"/>
      <w:r/>
      <w:r/>
    </w:p>
    <w:p>
      <w:pPr>
        <w:spacing w:line="400" w:lineRule="exact"/>
        <w:rPr>
          <w:color w:val="auto"/>
          <w:highlight w:val="none"/>
        </w:rPr>
      </w:pPr>
      <w:r>
        <w:rPr>
          <w:color w:val="auto"/>
          <w:highlight w:val="none"/>
        </w:rPr>
        <w:t xml:space="preserve">甲方（全称）：</w:t>
      </w:r>
      <w:r>
        <w:rPr>
          <w:color w:val="auto"/>
          <w:highlight w:val="none"/>
          <w:u w:val="single"/>
        </w:rPr>
        <w:t xml:space="preserve">                     </w:t>
      </w:r>
      <w:r>
        <w:rPr>
          <w:color w:val="auto"/>
          <w:highlight w:val="none"/>
        </w:rPr>
        <w:t xml:space="preserve">（采购人）</w:t>
      </w:r>
      <w:r/>
    </w:p>
    <w:p>
      <w:pPr>
        <w:spacing w:line="400" w:lineRule="exact"/>
        <w:rPr>
          <w:color w:val="auto"/>
          <w:highlight w:val="none"/>
        </w:rPr>
      </w:pPr>
      <w:r>
        <w:rPr>
          <w:color w:val="auto"/>
          <w:highlight w:val="none"/>
        </w:rPr>
        <w:t xml:space="preserve">乙方（全称）：</w:t>
      </w:r>
      <w:r>
        <w:rPr>
          <w:color w:val="auto"/>
          <w:highlight w:val="none"/>
          <w:u w:val="single"/>
        </w:rPr>
        <w:t xml:space="preserve">                     </w:t>
      </w:r>
      <w:r>
        <w:rPr>
          <w:color w:val="auto"/>
          <w:highlight w:val="none"/>
        </w:rPr>
        <w:t xml:space="preserve">（供应商）</w:t>
      </w:r>
      <w:r/>
    </w:p>
    <w:p>
      <w:pPr>
        <w:spacing w:line="400" w:lineRule="exact"/>
        <w:rPr>
          <w:color w:val="auto"/>
          <w:highlight w:val="none"/>
        </w:rPr>
      </w:pPr>
      <w:r>
        <w:rPr>
          <w:color w:val="auto"/>
          <w:highlight w:val="none"/>
        </w:rPr>
      </w:r>
      <w:r/>
    </w:p>
    <w:p>
      <w:pPr>
        <w:pStyle w:val="886"/>
        <w:ind w:left="0" w:firstLine="420"/>
        <w:spacing w:after="0" w:line="400" w:lineRule="exact"/>
        <w:rPr>
          <w:color w:val="auto"/>
          <w:highlight w:val="none"/>
        </w:rPr>
      </w:pPr>
      <w:r>
        <w:rPr>
          <w:color w:val="auto"/>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7"/>
        </w:numPr>
        <w:ind w:firstLine="422"/>
        <w:spacing w:line="400" w:lineRule="exact"/>
        <w:rPr>
          <w:b/>
          <w:color w:val="auto"/>
          <w:highlight w:val="none"/>
        </w:rPr>
        <w:outlineLvl w:val="0"/>
      </w:pPr>
      <w:r/>
      <w:bookmarkStart w:id="322" w:name="_Toc29718"/>
      <w:r/>
      <w:bookmarkStart w:id="323" w:name="_Toc15209"/>
      <w:r>
        <w:rPr>
          <w:b/>
          <w:color w:val="auto"/>
          <w:highlight w:val="none"/>
        </w:rPr>
        <w:t xml:space="preserve">项目信息</w:t>
      </w:r>
      <w:bookmarkEnd w:id="322"/>
      <w:r/>
      <w:bookmarkEnd w:id="323"/>
      <w:r/>
      <w:r/>
    </w:p>
    <w:p>
      <w:pPr>
        <w:pStyle w:val="886"/>
        <w:numPr>
          <w:ilvl w:val="0"/>
          <w:numId w:val="0"/>
        </w:numPr>
        <w:spacing w:after="0" w:line="400" w:lineRule="exact"/>
        <w:rPr>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采购项目名称：</w:t>
      </w:r>
      <w:r>
        <w:rPr>
          <w:color w:val="auto"/>
          <w:highlight w:val="none"/>
          <w:u w:val="single"/>
        </w:rPr>
        <w:t xml:space="preserve">                                          </w:t>
      </w:r>
      <w:r/>
    </w:p>
    <w:p>
      <w:pPr>
        <w:pStyle w:val="886"/>
        <w:numPr>
          <w:ilvl w:val="255"/>
          <w:numId w:val="0"/>
        </w:numPr>
        <w:spacing w:after="0" w:line="400" w:lineRule="exact"/>
        <w:tabs>
          <w:tab w:val="left" w:pos="999" w:leader="none"/>
        </w:tabs>
        <w:rPr>
          <w:color w:val="auto"/>
          <w:highlight w:val="none"/>
        </w:rPr>
      </w:pPr>
      <w:r>
        <w:rPr>
          <w:color w:val="auto"/>
          <w:highlight w:val="none"/>
        </w:rPr>
        <w:t xml:space="preserve">         采购项目编号：</w:t>
      </w:r>
      <w:r>
        <w:rPr>
          <w:color w:val="auto"/>
          <w:highlight w:val="none"/>
          <w:u w:val="single"/>
        </w:rPr>
        <w:t xml:space="preserve">                                          </w:t>
      </w:r>
      <w:r/>
    </w:p>
    <w:p>
      <w:pPr>
        <w:pStyle w:val="886"/>
        <w:spacing w:after="0" w:line="400" w:lineRule="exact"/>
        <w:rPr>
          <w:color w:val="auto"/>
          <w:highlight w:val="none"/>
        </w:rPr>
      </w:pPr>
      <w:r>
        <w:rPr>
          <w:color w:val="auto"/>
          <w:highlight w:val="none"/>
        </w:rPr>
        <w:t xml:space="preserve">（2）采购计划编号：</w:t>
      </w:r>
      <w:r>
        <w:rPr>
          <w:color w:val="auto"/>
          <w:highlight w:val="none"/>
          <w:u w:val="single"/>
        </w:rPr>
        <w:t xml:space="preserve">                                          </w:t>
      </w:r>
      <w:r>
        <w:rPr>
          <w:color w:val="auto"/>
          <w:highlight w:val="none"/>
        </w:rPr>
        <w:t xml:space="preserve"> </w:t>
      </w:r>
      <w:r/>
    </w:p>
    <w:p>
      <w:pPr>
        <w:ind w:firstLine="420"/>
        <w:spacing w:line="400" w:lineRule="exact"/>
        <w:rPr>
          <w:color w:val="auto"/>
          <w:highlight w:val="none"/>
        </w:rPr>
      </w:pPr>
      <w:r>
        <w:rPr>
          <w:color w:val="auto"/>
          <w:highlight w:val="none"/>
        </w:rPr>
        <w:t xml:space="preserve">（3）项目内容：</w:t>
      </w:r>
      <w:r/>
    </w:p>
    <w:p>
      <w:pPr>
        <w:ind w:firstLine="420"/>
        <w:spacing w:line="400" w:lineRule="exact"/>
        <w:rPr>
          <w:color w:val="auto"/>
          <w:highlight w:val="none"/>
        </w:rPr>
      </w:pPr>
      <w:r>
        <w:rPr>
          <w:color w:val="auto"/>
          <w:highlight w:val="none"/>
        </w:rPr>
        <w:t xml:space="preserve">     采购标的及数量（台/套</w:t>
      </w:r>
      <w:r>
        <w:rPr>
          <w:color w:val="auto"/>
          <w:highlight w:val="none"/>
          <w:lang w:val="en"/>
        </w:rPr>
        <w:t xml:space="preserve">/个/架/组等</w:t>
      </w:r>
      <w:r>
        <w:rPr>
          <w:color w:val="auto"/>
          <w:highlight w:val="none"/>
        </w:rPr>
        <w:t xml:space="preserve">）：</w:t>
      </w:r>
      <w:r>
        <w:rPr>
          <w:color w:val="auto"/>
          <w:highlight w:val="none"/>
          <w:u w:val="single"/>
        </w:rPr>
        <w:t xml:space="preserve">                    </w:t>
      </w:r>
      <w:r>
        <w:rPr>
          <w:color w:val="auto"/>
          <w:highlight w:val="none"/>
        </w:rPr>
        <w:t xml:space="preserve">          </w:t>
      </w:r>
      <w:r/>
    </w:p>
    <w:p>
      <w:pPr>
        <w:numPr>
          <w:ilvl w:val="255"/>
          <w:numId w:val="0"/>
        </w:numPr>
        <w:ind w:firstLine="420"/>
        <w:spacing w:line="400" w:lineRule="exact"/>
        <w:rPr>
          <w:color w:val="auto"/>
          <w:highlight w:val="none"/>
          <w:lang w:val="en"/>
        </w:rPr>
      </w:pPr>
      <w:r>
        <w:rPr>
          <w:color w:val="auto"/>
          <w:highlight w:val="none"/>
        </w:rPr>
        <w:t xml:space="preserve">     品牌：</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lang w:val="en"/>
        </w:rPr>
        <w:t xml:space="preserve">     </w:t>
      </w:r>
      <w:r>
        <w:rPr>
          <w:color w:val="auto"/>
          <w:highlight w:val="none"/>
        </w:rPr>
        <w:t xml:space="preserve">规格型号：</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u w:val="single"/>
          <w:lang w:val="en"/>
        </w:rPr>
        <w:t xml:space="preserve">   </w:t>
      </w:r>
      <w:r/>
    </w:p>
    <w:p>
      <w:pPr>
        <w:ind w:firstLine="945"/>
        <w:spacing w:line="400" w:lineRule="exact"/>
        <w:rPr>
          <w:color w:val="auto"/>
          <w:highlight w:val="none"/>
          <w:u w:val="single"/>
        </w:rPr>
      </w:pPr>
      <w:r>
        <w:rPr>
          <w:color w:val="auto"/>
          <w:highlight w:val="none"/>
        </w:rPr>
        <w:t xml:space="preserve">采购标的的技术要求、商务要求具体见附件。</w:t>
      </w:r>
      <w:r/>
    </w:p>
    <w:p>
      <w:pPr>
        <w:numPr>
          <w:ilvl w:val="255"/>
          <w:numId w:val="0"/>
        </w:numPr>
        <w:ind w:firstLine="945"/>
        <w:spacing w:line="400" w:lineRule="exact"/>
        <w:rPr>
          <w:color w:val="auto"/>
          <w:highlight w:val="none"/>
        </w:rPr>
      </w:pPr>
      <w:r>
        <w:rPr>
          <w:rFonts w:eastAsia="汉仪书宋二S"/>
          <w:color w:val="auto"/>
          <w:highlight w:val="none"/>
        </w:rPr>
        <w:t xml:space="preserve">①</w:t>
      </w:r>
      <w:r>
        <w:rPr>
          <w:color w:val="auto"/>
          <w:highlight w:val="none"/>
        </w:rPr>
        <w:t xml:space="preserve">涉及信息类产品，请填写该产品关键部件的品牌、型号：</w:t>
      </w:r>
      <w:r/>
    </w:p>
    <w:p>
      <w:pPr>
        <w:numPr>
          <w:ilvl w:val="255"/>
          <w:numId w:val="0"/>
        </w:numPr>
        <w:ind w:firstLine="420"/>
        <w:spacing w:line="400" w:lineRule="exact"/>
        <w:rPr>
          <w:color w:val="auto"/>
          <w:highlight w:val="none"/>
          <w:u w:val="single"/>
        </w:rPr>
      </w:pPr>
      <w:r>
        <w:rPr>
          <w:color w:val="auto"/>
          <w:highlight w:val="none"/>
        </w:rPr>
        <w:t xml:space="preserve">     标的名称：</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p>
    <w:p>
      <w:pPr>
        <w:numPr>
          <w:ilvl w:val="255"/>
          <w:numId w:val="0"/>
        </w:numPr>
        <w:ind w:firstLine="420"/>
        <w:spacing w:line="400" w:lineRule="exact"/>
        <w:rPr>
          <w:color w:val="auto"/>
          <w:highlight w:val="none"/>
        </w:rPr>
      </w:pPr>
      <w:r>
        <w:rPr>
          <w:color w:val="auto"/>
          <w:highlight w:val="none"/>
        </w:rPr>
        <w:t xml:space="preserve">     关键部件：</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型号：</w:t>
      </w:r>
      <w:r>
        <w:rPr>
          <w:color w:val="auto"/>
          <w:highlight w:val="none"/>
          <w:u w:val="single"/>
        </w:rPr>
        <w:t xml:space="preserve">       </w:t>
      </w:r>
      <w:r>
        <w:rPr>
          <w:color w:val="auto"/>
          <w:highlight w:val="none"/>
        </w:rPr>
        <w:t xml:space="preserve"> </w:t>
      </w:r>
      <w:r/>
    </w:p>
    <w:p>
      <w:pPr>
        <w:pStyle w:val="1222"/>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w:t>
      </w:r>
      <w:r/>
    </w:p>
    <w:p>
      <w:pPr>
        <w:pStyle w:val="1222"/>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p>
    <w:p>
      <w:pPr>
        <w:pStyle w:val="1222"/>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22"/>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汉仪书宋二S" w:cs="Times New Roman"/>
          <w:color w:val="auto"/>
          <w:sz w:val="21"/>
          <w:highlight w:val="none"/>
        </w:rPr>
        <w:t xml:space="preserve">②</w:t>
      </w:r>
      <w:r>
        <w:rPr>
          <w:rFonts w:ascii="Times New Roman" w:hAnsi="Times New Roman" w:eastAsia="宋体" w:cs="Times New Roman"/>
          <w:color w:val="auto"/>
          <w:sz w:val="21"/>
          <w:highlight w:val="none"/>
        </w:rPr>
        <w:t xml:space="preserve">涉及车辆采购，请填写是否属于新能源汽车：</w:t>
      </w:r>
      <w:r/>
    </w:p>
    <w:p>
      <w:pPr>
        <w:pStyle w:val="1222"/>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是，《政府采购品目分类目录》底级品目名称：</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数量：</w:t>
      </w:r>
      <w:r>
        <w:rPr>
          <w:rFonts w:ascii="Times New Roman" w:hAnsi="Times New Roman" w:cs="Times New Roman" w:eastAsiaTheme="minorEastAsia"/>
          <w:color w:val="auto"/>
          <w:sz w:val="21"/>
          <w:highlight w:val="none"/>
          <w:u w:val="single"/>
        </w:rPr>
        <w:t xml:space="preserve"> </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金额：</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w:t>
      </w:r>
      <w:r/>
    </w:p>
    <w:p>
      <w:pPr>
        <w:pStyle w:val="1222"/>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否</w:t>
      </w:r>
      <w:r/>
    </w:p>
    <w:p>
      <w:pPr>
        <w:pStyle w:val="1222"/>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Times New Roman" w:hAnsi="Times New Roman" w:cs="Times New Roman" w:eastAsiaTheme="minorEastAsia"/>
          <w:color w:val="auto"/>
          <w:sz w:val="21"/>
          <w:highlight w:val="none"/>
          <w:lang w:val="en"/>
        </w:rPr>
        <w:t xml:space="preserve">4</w:t>
      </w:r>
      <w:r>
        <w:rPr>
          <w:rFonts w:ascii="Times New Roman" w:hAnsi="Times New Roman" w:cs="Times New Roman" w:eastAsia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分散采购</w:t>
      </w:r>
      <w:r/>
    </w:p>
    <w:p>
      <w:pPr>
        <w:pStyle w:val="1222"/>
        <w:numPr>
          <w:ilvl w:val="255"/>
          <w:numId w:val="0"/>
        </w:numPr>
        <w:ind w:firstLine="420"/>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w:t>
      </w:r>
      <w:r>
        <w:rPr>
          <w:rFonts w:ascii="Times New Roman" w:hAnsi="Times New Roman" w:cs="Times New Roman" w:eastAsiaTheme="minorEastAsia"/>
          <w:color w:val="auto"/>
          <w:sz w:val="21"/>
          <w:highlight w:val="none"/>
          <w:lang w:val="en"/>
        </w:rPr>
        <w:t xml:space="preserve">5</w:t>
      </w:r>
      <w:r>
        <w:rPr>
          <w:rFonts w:ascii="Times New Roman" w:hAnsi="Times New Roman" w:cs="Times New Roman" w:eastAsiaTheme="minorEastAsia"/>
          <w:color w:val="auto"/>
          <w:sz w:val="21"/>
          <w:highlight w:val="none"/>
        </w:rPr>
        <w:t xml:space="preserve">）政府采购方式：</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竞争性磋商</w:t>
      </w:r>
      <w:r/>
    </w:p>
    <w:p>
      <w:pPr>
        <w:pStyle w:val="1222"/>
        <w:numPr>
          <w:ilvl w:val="255"/>
          <w:numId w:val="0"/>
        </w:numPr>
        <w:ind w:firstLine="420"/>
        <w:rPr>
          <w:rFonts w:ascii="Times New Roman" w:hAnsi="Times New Roman" w:eastAsia="宋体" w:cs="Times New Roman"/>
          <w:color w:val="auto"/>
          <w:sz w:val="21"/>
          <w:highlight w:val="none"/>
          <w:u w:val="single"/>
        </w:rPr>
      </w:pPr>
      <w:r>
        <w:rPr>
          <w:rFonts w:ascii="Times New Roman" w:hAnsi="Times New Roman" w:cs="Times New Roman"/>
          <w:color w:val="auto"/>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询价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其他：</w:t>
      </w:r>
      <w:r>
        <w:rPr>
          <w:rFonts w:ascii="Times New Roman" w:hAnsi="Times New Roman" w:eastAsia="宋体" w:cs="Times New Roman"/>
          <w:color w:val="auto"/>
          <w:sz w:val="21"/>
          <w:highlight w:val="none"/>
          <w:u w:val="single"/>
        </w:rPr>
        <w:t xml:space="preserve">          </w:t>
      </w:r>
      <w:r/>
    </w:p>
    <w:p>
      <w:pPr>
        <w:pStyle w:val="1222"/>
        <w:ind w:firstLine="0"/>
        <w:rPr>
          <w:rFonts w:ascii="Times New Roman" w:hAnsi="Times New Roman" w:eastAsia="仿宋_GB2312" w:cs="Times New Roman"/>
          <w:color w:val="auto"/>
          <w:sz w:val="32"/>
          <w:szCs w:val="32"/>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eastAsia="仿宋_GB2312" w:cs="Times New Roman"/>
          <w:color w:val="auto"/>
          <w:sz w:val="32"/>
          <w:szCs w:val="32"/>
          <w:highlight w:val="none"/>
        </w:rPr>
      </w:r>
      <w:r/>
    </w:p>
    <w:p>
      <w:pPr>
        <w:pStyle w:val="1222"/>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（注：在框架协议采购的第二阶段，可选择使用该合同文本）</w:t>
      </w:r>
      <w:r/>
    </w:p>
    <w:p>
      <w:pPr>
        <w:pStyle w:val="1222"/>
        <w:numPr>
          <w:ilvl w:val="255"/>
          <w:numId w:val="0"/>
        </w:numPr>
        <w:ind w:firstLine="220"/>
        <w:rPr>
          <w:rFonts w:ascii="Times New Roman" w:hAnsi="Times New Roman" w:eastAsia="宋体" w:cs="Times New Roman"/>
          <w:color w:val="auto"/>
          <w:sz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highlight w:val="none"/>
          <w:lang w:val="en"/>
        </w:rPr>
        <w:t xml:space="preserve">6</w:t>
      </w:r>
      <w:r>
        <w:rPr>
          <w:rFonts w:ascii="Times New Roman" w:hAnsi="Times New Roman" w:cs="Times New Roman"/>
          <w:color w:val="auto"/>
          <w:highlight w:val="none"/>
        </w:rPr>
        <w:t xml:space="preserve">）</w:t>
      </w:r>
      <w:r>
        <w:rPr>
          <w:rFonts w:ascii="Times New Roman" w:hAnsi="Times New Roman"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þ</w:t>
      </w:r>
      <w:r>
        <w:rPr>
          <w:rFonts w:ascii="Times New Roman" w:hAnsi="Times New Roman"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iCs/>
          <w:color w:val="auto"/>
          <w:highlight w:val="none"/>
        </w:rPr>
      </w:pPr>
      <w:r>
        <w:rPr>
          <w:color w:val="auto"/>
          <w:highlight w:val="none"/>
        </w:rPr>
        <w:t xml:space="preserve">         本合同是否为专门面向中小企业的采购合同（中小企业预留合同）：</w:t>
      </w:r>
      <w:r>
        <w:rPr>
          <w:rFonts w:ascii="Wingdings" w:hAnsi="Wingdings" w:eastAsia="Wingdings" w:cs="Wingdings"/>
          <w:iCs/>
          <w:color w:val="auto"/>
          <w:highlight w:val="none"/>
        </w:rPr>
        <w:t xml:space="preserve">þ</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ind w:firstLine="420"/>
        <w:spacing w:line="400" w:lineRule="exact"/>
        <w:rPr>
          <w:color w:val="auto"/>
          <w:highlight w:val="none"/>
        </w:rPr>
      </w:pPr>
      <w:r>
        <w:rPr>
          <w:color w:val="auto"/>
          <w:highlight w:val="none"/>
        </w:rPr>
        <w:t xml:space="preserve">（</w:t>
      </w:r>
      <w:r>
        <w:rPr>
          <w:color w:val="auto"/>
          <w:highlight w:val="none"/>
          <w:lang w:val="en"/>
        </w:rPr>
        <w:t xml:space="preserve">7</w:t>
      </w:r>
      <w:r>
        <w:rPr>
          <w:color w:val="auto"/>
          <w:highlight w:val="none"/>
        </w:rPr>
        <w:t xml:space="preserve">）合同是否分包：</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þ</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w:t>
      </w:r>
      <w:r>
        <w:rPr>
          <w:color w:val="auto"/>
          <w:highlight w:val="none"/>
          <w:lang w:val="en"/>
        </w:rPr>
        <w:t xml:space="preserve">8</w:t>
      </w:r>
      <w:r>
        <w:rPr>
          <w:color w:val="auto"/>
          <w:highlight w:val="none"/>
        </w:rPr>
        <w:t xml:space="preserve">）中标（成交）供应商是否为外商投资企业：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pStyle w:val="1222"/>
        <w:ind w:firstLine="420"/>
        <w:tabs>
          <w:tab w:val="left" w:pos="1340" w:leader="none"/>
        </w:tabs>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ascii="Times New Roman" w:hAnsi="Times New Roman" w:eastAsia="宋体" w:cs="Times New Roman"/>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ascii="Times New Roman" w:hAnsi="Times New Roman" w:eastAsia="宋体" w:cs="Times New Roman"/>
          <w:iCs/>
          <w:color w:val="auto"/>
          <w:sz w:val="21"/>
          <w:highlight w:val="none"/>
        </w:rPr>
        <w:t xml:space="preserve">部分由外国投资者投资</w:t>
      </w:r>
      <w:r/>
    </w:p>
    <w:p>
      <w:pPr>
        <w:numPr>
          <w:ilvl w:val="255"/>
          <w:numId w:val="0"/>
        </w:numPr>
        <w:ind w:firstLine="420"/>
        <w:spacing w:line="400" w:lineRule="exact"/>
        <w:rPr>
          <w:color w:val="auto"/>
          <w:highlight w:val="none"/>
        </w:rPr>
      </w:pPr>
      <w:r>
        <w:rPr>
          <w:color w:val="auto"/>
          <w:highlight w:val="none"/>
        </w:rPr>
        <w:t xml:space="preserve">（</w:t>
      </w:r>
      <w:r>
        <w:rPr>
          <w:color w:val="auto"/>
          <w:highlight w:val="none"/>
          <w:lang w:val="en"/>
        </w:rPr>
        <w:t xml:space="preserve">9</w:t>
      </w:r>
      <w:r>
        <w:rPr>
          <w:color w:val="auto"/>
          <w:highlight w:val="none"/>
        </w:rPr>
        <w:t xml:space="preserve">）是否涉及进口产品：</w:t>
      </w:r>
      <w:r/>
    </w:p>
    <w:p>
      <w:pPr>
        <w:numPr>
          <w:ilvl w:val="255"/>
          <w:numId w:val="0"/>
        </w:numPr>
        <w:ind w:firstLine="840"/>
        <w:spacing w:line="400" w:lineRule="exact"/>
        <w:rPr>
          <w:color w:val="auto"/>
          <w:highlight w:val="none"/>
          <w:u w:val="singl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是，《政府采购品目分类目录》底级品目名称：</w:t>
      </w:r>
      <w:r>
        <w:rPr>
          <w:color w:val="auto"/>
          <w:highlight w:val="none"/>
          <w:u w:val="single"/>
        </w:rPr>
        <w:t xml:space="preserve">         </w:t>
      </w:r>
      <w:r>
        <w:rPr>
          <w:color w:val="auto"/>
          <w:highlight w:val="none"/>
        </w:rPr>
        <w:t xml:space="preserve"> 金额：</w:t>
      </w:r>
      <w:r>
        <w:rPr>
          <w:color w:val="auto"/>
          <w:highlight w:val="none"/>
          <w:u w:val="single"/>
        </w:rPr>
        <w:t xml:space="preserve">        </w:t>
      </w:r>
      <w:r/>
    </w:p>
    <w:p>
      <w:pPr>
        <w:numPr>
          <w:ilvl w:val="255"/>
          <w:numId w:val="0"/>
        </w:numPr>
        <w:ind w:firstLine="840"/>
        <w:spacing w:line="400" w:lineRule="exact"/>
        <w:rPr>
          <w:color w:val="auto"/>
          <w:highlight w:val="none"/>
        </w:rPr>
      </w:pPr>
      <w:r>
        <w:rPr>
          <w:color w:val="auto"/>
          <w:highlight w:val="none"/>
        </w:rPr>
        <w:t xml:space="preserve">        国别：</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color w:val="auto"/>
          <w:highlight w:val="none"/>
        </w:rPr>
        <w:t xml:space="preserve">      </w:t>
      </w:r>
      <w:r/>
    </w:p>
    <w:p>
      <w:pPr>
        <w:ind w:firstLine="840"/>
        <w:spacing w:line="400" w:lineRule="exact"/>
        <w:rPr>
          <w:color w:val="auto"/>
          <w:highlight w:val="none"/>
        </w:rPr>
      </w:pPr>
      <w:r>
        <w:rPr>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（1</w:t>
      </w:r>
      <w:r>
        <w:rPr>
          <w:color w:val="auto"/>
          <w:highlight w:val="none"/>
          <w:lang w:val="en"/>
        </w:rPr>
        <w:t xml:space="preserve">0</w:t>
      </w:r>
      <w:r>
        <w:rPr>
          <w:color w:val="auto"/>
          <w:highlight w:val="none"/>
        </w:rPr>
        <w:t xml:space="preserve">）是否涉及节能产品：</w:t>
      </w:r>
      <w:r/>
    </w:p>
    <w:p>
      <w:pPr>
        <w:numPr>
          <w:ilvl w:val="255"/>
          <w:numId w:val="0"/>
        </w:numPr>
        <w:spacing w:line="400" w:lineRule="exact"/>
        <w:tabs>
          <w:tab w:val="left" w:pos="740" w:leader="none"/>
        </w:tabs>
        <w:rPr>
          <w:iCs/>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是，《节能产品政府采购品目清单》的底级品目名称：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是否涉及环境标志产品：</w:t>
      </w:r>
      <w:r/>
    </w:p>
    <w:p>
      <w:pPr>
        <w:numPr>
          <w:ilvl w:val="255"/>
          <w:numId w:val="0"/>
        </w:numPr>
        <w:spacing w:line="400" w:lineRule="exact"/>
        <w:tabs>
          <w:tab w:val="left" w:pos="740" w:leader="none"/>
        </w:tabs>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是，《环境标志产品政府采购品目清单》的底级品目名称：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pStyle w:val="1222"/>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sz w:val="21"/>
          <w:highlight w:val="none"/>
        </w:rPr>
        <w:t xml:space="preserve">是否涉及绿色产品： </w:t>
      </w:r>
      <w:r/>
    </w:p>
    <w:p>
      <w:pPr>
        <w:pStyle w:val="1222"/>
        <w:ind w:firstLine="420"/>
        <w:rPr>
          <w:rFonts w:ascii="Times New Roman" w:hAnsi="Times New Roman" w:eastAsia="宋体" w:cs="Times New Roman"/>
          <w:color w:val="auto"/>
          <w:highlight w:val="none"/>
          <w:u w:val="singl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是，绿色产品政府采购相关政策确定的底级品目名称：</w:t>
      </w:r>
      <w:r>
        <w:rPr>
          <w:rFonts w:ascii="Times New Roman" w:hAnsi="Times New Roman" w:eastAsia="宋体" w:cs="Times New Roman"/>
          <w:color w:val="auto"/>
          <w:highlight w:val="none"/>
          <w:u w:val="singl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pStyle w:val="1222"/>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eastAsia="宋体" w:cs="Times New Roman"/>
          <w:color w:val="auto"/>
          <w:sz w:val="21"/>
          <w:highlight w:val="none"/>
        </w:rPr>
        <w:t xml:space="preserve">否</w:t>
      </w:r>
      <w:r/>
    </w:p>
    <w:p>
      <w:pPr>
        <w:numPr>
          <w:ilvl w:val="255"/>
          <w:numId w:val="0"/>
        </w:numPr>
        <w:spacing w:line="400" w:lineRule="exact"/>
        <w:rPr>
          <w:color w:val="auto"/>
          <w:highlight w:val="none"/>
        </w:rPr>
      </w:pPr>
      <w:r>
        <w:rPr>
          <w:color w:val="auto"/>
          <w:highlight w:val="none"/>
        </w:rPr>
        <w:t xml:space="preserve">    （1</w:t>
      </w:r>
      <w:r>
        <w:rPr>
          <w:color w:val="auto"/>
          <w:highlight w:val="none"/>
          <w:lang w:val="en"/>
        </w:rPr>
        <w:t xml:space="preserve">1</w:t>
      </w:r>
      <w:r>
        <w:rPr>
          <w:color w:val="auto"/>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      </w:t>
      </w:r>
      <w:r>
        <w:rPr>
          <w:rFonts w:ascii="Wingdings" w:hAnsi="Wingdings" w:eastAsia="Wingdings" w:cs="Wingdings"/>
          <w:color w:val="auto"/>
          <w:highlight w:val="none"/>
        </w:rPr>
        <w:t xml:space="preserve">¨</w:t>
      </w:r>
      <w:r>
        <w:rPr>
          <w:color w:val="auto"/>
          <w:highlight w:val="none"/>
        </w:rPr>
        <w:t xml:space="preserve">不涉及</w:t>
      </w:r>
      <w:r/>
    </w:p>
    <w:p>
      <w:pPr>
        <w:pStyle w:val="1222"/>
        <w:rPr>
          <w:rFonts w:ascii="Times New Roman" w:hAnsi="Times New Roman" w:cs="Times New Roman"/>
          <w:color w:val="auto"/>
          <w:highlight w:val="none"/>
        </w:rPr>
      </w:pPr>
      <w:r>
        <w:rPr>
          <w:rFonts w:ascii="Times New Roman" w:hAnsi="Times New Roman" w:cs="Times New Roman"/>
          <w:color w:val="auto"/>
          <w:highlight w:val="none"/>
        </w:rPr>
      </w:r>
      <w:r/>
    </w:p>
    <w:p>
      <w:pPr>
        <w:numPr>
          <w:ilvl w:val="0"/>
          <w:numId w:val="7"/>
        </w:numPr>
        <w:ind w:firstLine="422"/>
        <w:spacing w:line="400" w:lineRule="exact"/>
        <w:rPr>
          <w:b/>
          <w:color w:val="auto"/>
          <w:highlight w:val="none"/>
        </w:rPr>
        <w:outlineLvl w:val="0"/>
      </w:pPr>
      <w:r/>
      <w:bookmarkStart w:id="324" w:name="_Toc5547"/>
      <w:r/>
      <w:bookmarkStart w:id="325" w:name="_Toc19016"/>
      <w:r>
        <w:rPr>
          <w:b/>
          <w:color w:val="auto"/>
          <w:highlight w:val="none"/>
        </w:rPr>
        <w:t xml:space="preserve">合同金额</w:t>
      </w:r>
      <w:bookmarkEnd w:id="324"/>
      <w:r/>
      <w:bookmarkEnd w:id="325"/>
      <w:r/>
      <w:r/>
    </w:p>
    <w:p>
      <w:pPr>
        <w:ind w:firstLine="420"/>
        <w:spacing w:line="400" w:lineRule="exact"/>
        <w:rPr>
          <w:color w:val="auto"/>
          <w:highlight w:val="none"/>
        </w:rPr>
      </w:pPr>
      <w:r>
        <w:rPr>
          <w:color w:val="auto"/>
          <w:highlight w:val="none"/>
        </w:rPr>
        <w:t xml:space="preserve">（1）合同金额小写：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分包金额（如有）小写：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（注：固定单价合同应填写单价和最高限价）</w:t>
      </w:r>
      <w:r/>
    </w:p>
    <w:p>
      <w:pPr>
        <w:numPr>
          <w:ilvl w:val="255"/>
          <w:numId w:val="0"/>
        </w:numPr>
        <w:spacing w:line="400" w:lineRule="exact"/>
        <w:rPr>
          <w:color w:val="auto"/>
          <w:highlight w:val="none"/>
        </w:rPr>
      </w:pPr>
      <w:r>
        <w:rPr>
          <w:color w:val="auto"/>
          <w:highlight w:val="none"/>
        </w:rPr>
        <w:t xml:space="preserve">    （2）合同定价方式（采用组合定价方式的，可以勾选多项）：</w:t>
      </w:r>
      <w:r/>
    </w:p>
    <w:p>
      <w:pPr>
        <w:ind w:firstLine="420"/>
        <w:spacing w:line="400" w:lineRule="exact"/>
        <w:rPr>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固定总价 </w:t>
      </w:r>
      <w:r>
        <w:rPr>
          <w:rFonts w:ascii="Wingdings" w:hAnsi="Wingdings" w:eastAsia="Wingdings" w:cs="Wingdings"/>
          <w:iCs/>
          <w:color w:val="auto"/>
          <w:highlight w:val="none"/>
        </w:rPr>
        <w:t xml:space="preserve">þ</w:t>
      </w:r>
      <w:r>
        <w:rPr>
          <w:iCs/>
          <w:color w:val="auto"/>
          <w:highlight w:val="none"/>
        </w:rPr>
        <w:t xml:space="preserve">固定单价 </w:t>
      </w:r>
      <w:r>
        <w:rPr>
          <w:rFonts w:ascii="Wingdings" w:hAnsi="Wingdings" w:eastAsia="Wingdings" w:cs="Wingdings"/>
          <w:iCs/>
          <w:color w:val="auto"/>
          <w:highlight w:val="none"/>
        </w:rPr>
        <w:t xml:space="preserve">¨</w:t>
      </w:r>
      <w:r>
        <w:rPr>
          <w:iCs/>
          <w:color w:val="auto"/>
          <w:highlight w:val="none"/>
        </w:rPr>
        <w:t xml:space="preserve">固定费率 </w:t>
      </w:r>
      <w:r>
        <w:rPr>
          <w:rFonts w:ascii="Wingdings" w:hAnsi="Wingdings" w:eastAsia="Wingdings" w:cs="Wingdings"/>
          <w:iCs/>
          <w:color w:val="auto"/>
          <w:highlight w:val="none"/>
        </w:rPr>
        <w:t xml:space="preserve">¨</w:t>
      </w:r>
      <w:r>
        <w:rPr>
          <w:iCs/>
          <w:color w:val="auto"/>
          <w:highlight w:val="none"/>
        </w:rPr>
        <w:t xml:space="preserve">成本补偿 </w:t>
      </w:r>
      <w:r>
        <w:rPr>
          <w:rFonts w:ascii="Wingdings" w:hAnsi="Wingdings" w:eastAsia="Wingdings" w:cs="Wingdings"/>
          <w:iCs/>
          <w:color w:val="auto"/>
          <w:highlight w:val="none"/>
        </w:rPr>
        <w:t xml:space="preserve">¨</w:t>
      </w:r>
      <w:r>
        <w:rPr>
          <w:iCs/>
          <w:color w:val="auto"/>
          <w:highlight w:val="none"/>
        </w:rPr>
        <w:t xml:space="preserve">绩效激励 </w:t>
      </w:r>
      <w:r>
        <w:rPr>
          <w:rFonts w:ascii="Wingdings" w:hAnsi="Wingdings" w:eastAsia="Wingdings" w:cs="Wingdings"/>
          <w:iCs/>
          <w:color w:val="auto"/>
          <w:highlight w:val="none"/>
        </w:rPr>
        <w:t xml:space="preserve">¨</w:t>
      </w:r>
      <w:r>
        <w:rPr>
          <w:iCs/>
          <w:color w:val="auto"/>
          <w:highlight w:val="none"/>
        </w:rPr>
        <w:t xml:space="preserve">其他</w:t>
      </w:r>
      <w:r>
        <w:rPr>
          <w:color w:val="auto"/>
          <w:highlight w:val="none"/>
          <w:u w:val="single"/>
        </w:rPr>
        <w:t xml:space="preserve">       </w:t>
      </w:r>
      <w:r/>
    </w:p>
    <w:p>
      <w:pPr>
        <w:pStyle w:val="1136"/>
        <w:spacing w:line="400" w:lineRule="exact"/>
        <w:rPr>
          <w:rFonts w:ascii="Times New Roman" w:hAnsi="Times New Roman"/>
          <w:color w:val="auto"/>
          <w:highlight w:val="none"/>
          <w:lang w:eastAsia="zh-CN"/>
        </w:rPr>
      </w:pPr>
      <w:r>
        <w:rPr>
          <w:rFonts w:ascii="Times New Roman" w:hAnsi="Times New Roman"/>
          <w:color w:val="auto"/>
          <w:highlight w:val="none"/>
          <w:lang w:eastAsia="zh-CN"/>
        </w:rPr>
        <w:t xml:space="preserve">（3）付款方式：</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全额付款：</w:t>
      </w:r>
      <w:r>
        <w:rPr>
          <w:color w:val="auto"/>
          <w:highlight w:val="none"/>
          <w:u w:val="single"/>
        </w:rPr>
        <w:t xml:space="preserve">     （应明确一次性支付合同款项的条件）                    </w:t>
      </w:r>
      <w:r/>
    </w:p>
    <w:p>
      <w:pPr>
        <w:pStyle w:val="1195"/>
        <w:ind w:firstLine="480"/>
        <w:spacing w:line="48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分期付款：</w:t>
      </w:r>
      <w:r>
        <w:rPr>
          <w:rFonts w:hint="eastAsia"/>
          <w:color w:val="0000ff"/>
          <w:highlight w:val="none"/>
          <w:u w:val="single"/>
          <w:lang w:val="zh-CN"/>
        </w:rPr>
        <w:t xml:space="preserve">中标</w:t>
      </w:r>
      <w:r>
        <w:rPr>
          <w:rFonts w:hint="eastAsia"/>
          <w:color w:val="0000ff"/>
          <w:highlight w:val="none"/>
          <w:u w:val="single"/>
          <w:lang w:val="en-US" w:eastAsia="zh-CN"/>
        </w:rPr>
        <w:t xml:space="preserve">后</w:t>
      </w:r>
      <w:r>
        <w:rPr>
          <w:rFonts w:hint="eastAsia"/>
          <w:color w:val="0000ff"/>
          <w:highlight w:val="none"/>
          <w:u w:val="single"/>
          <w:lang w:val="zh-CN"/>
        </w:rPr>
        <w:t xml:space="preserve">货物根据甲方要求送达指定地点，以年度实际发货数量一次性结算余款</w:t>
      </w:r>
      <w:r>
        <w:rPr>
          <w:color w:val="auto"/>
          <w:highlight w:val="none"/>
          <w:u w:val="single"/>
          <w:lang w:val="zh-CN"/>
        </w:rPr>
        <w:t xml:space="preserve">，</w:t>
      </w:r>
      <w:r>
        <w:rPr>
          <w:color w:val="auto"/>
          <w:highlight w:val="none"/>
        </w:rPr>
        <w:t xml:space="preserve">其中涉及预付款的：</w:t>
      </w:r>
      <w:r>
        <w:rPr>
          <w:color w:val="auto"/>
          <w:highlight w:val="none"/>
          <w:u w:val="single"/>
          <w:lang w:val="zh-CN"/>
        </w:rPr>
        <w:t xml:space="preserve">签订合同后，</w:t>
      </w:r>
      <w:r>
        <w:rPr>
          <w:color w:val="auto"/>
          <w:highlight w:val="none"/>
          <w:u w:val="single"/>
        </w:rPr>
        <w:t xml:space="preserve">自收到供应商发票后10个工作日内</w:t>
      </w:r>
      <w:r>
        <w:rPr>
          <w:color w:val="auto"/>
          <w:highlight w:val="none"/>
          <w:u w:val="single"/>
          <w:lang w:val="zh-CN"/>
        </w:rPr>
        <w:t xml:space="preserve">支付</w:t>
      </w:r>
      <w:r>
        <w:rPr>
          <w:rFonts w:hint="eastAsia"/>
          <w:color w:val="auto"/>
          <w:highlight w:val="none"/>
          <w:u w:val="single"/>
          <w:lang w:val="en-US" w:eastAsia="zh-CN"/>
        </w:rPr>
        <w:t xml:space="preserve">预算金额</w:t>
      </w:r>
      <w:r>
        <w:rPr>
          <w:color w:val="auto"/>
          <w:highlight w:val="none"/>
          <w:u w:val="single"/>
          <w:lang w:val="zh-CN"/>
        </w:rPr>
        <w:t xml:space="preserve">的30%</w:t>
      </w:r>
      <w:r>
        <w:rPr>
          <w:color w:val="auto"/>
          <w:highlight w:val="none"/>
          <w:u w:val="single"/>
        </w:rPr>
        <w:t xml:space="preserve"> </w:t>
      </w:r>
      <w:r>
        <w:rPr>
          <w:color w:val="auto"/>
          <w:highlight w:val="none"/>
        </w:rPr>
        <w:t xml:space="preserve">。</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（4）甲方根据乙方的实际供货数量按实结算，且不超过每分包总预算金额。</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成本补偿：</w:t>
      </w:r>
      <w:r>
        <w:rPr>
          <w:color w:val="auto"/>
          <w:highlight w:val="none"/>
          <w:u w:val="single"/>
        </w:rPr>
        <w:t xml:space="preserve">      （应明确按照成本补偿方式的支付方式和支付条件）   </w:t>
      </w:r>
      <w:r/>
    </w:p>
    <w:p>
      <w:pPr>
        <w:ind w:firstLine="630"/>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绩效激励：</w:t>
      </w:r>
      <w:r>
        <w:rPr>
          <w:color w:val="auto"/>
          <w:highlight w:val="none"/>
          <w:u w:val="single"/>
        </w:rPr>
        <w:t xml:space="preserve">      （应明确按照绩效激励方式的支付方式和支付条件）   </w:t>
      </w:r>
      <w:r/>
    </w:p>
    <w:p>
      <w:pPr>
        <w:numPr>
          <w:ilvl w:val="0"/>
          <w:numId w:val="7"/>
        </w:numPr>
        <w:ind w:firstLine="422"/>
        <w:spacing w:line="400" w:lineRule="exact"/>
        <w:rPr>
          <w:b/>
          <w:color w:val="auto"/>
          <w:highlight w:val="none"/>
          <w:u w:val="single"/>
        </w:rPr>
        <w:outlineLvl w:val="0"/>
      </w:pPr>
      <w:r/>
      <w:bookmarkStart w:id="326" w:name="_Toc22377"/>
      <w:r/>
      <w:bookmarkStart w:id="327" w:name="_Toc7688"/>
      <w:r>
        <w:rPr>
          <w:b/>
          <w:color w:val="auto"/>
          <w:highlight w:val="none"/>
        </w:rPr>
        <w:t xml:space="preserve">合同履行</w:t>
      </w:r>
      <w:bookmarkEnd w:id="326"/>
      <w:r/>
      <w:bookmarkEnd w:id="327"/>
      <w:r/>
      <w:r/>
    </w:p>
    <w:p>
      <w:pPr>
        <w:ind w:firstLine="420"/>
        <w:spacing w:line="400" w:lineRule="exact"/>
        <w:rPr>
          <w:color w:val="auto"/>
          <w:highlight w:val="none"/>
        </w:rPr>
      </w:pPr>
      <w:r>
        <w:rPr>
          <w:color w:val="auto"/>
          <w:highlight w:val="none"/>
        </w:rPr>
        <w:t xml:space="preserve">（1）起始日期：</w:t>
      </w:r>
      <w:r>
        <w:rPr>
          <w:rFonts w:hint="eastAsia"/>
          <w:color w:val="auto"/>
          <w:highlight w:val="none"/>
          <w:u w:val="single"/>
          <w:lang w:val="en-US" w:eastAsia="zh-CN"/>
        </w:rPr>
        <w:t xml:space="preserve">自合同签订之日起一年（其中标识为半年）</w:t>
      </w:r>
      <w:r>
        <w:rPr>
          <w:color w:val="auto"/>
          <w:highlight w:val="none"/>
        </w:rPr>
        <w:t xml:space="preserve">。</w:t>
      </w:r>
      <w:r/>
    </w:p>
    <w:p>
      <w:pPr>
        <w:ind w:firstLine="420"/>
        <w:spacing w:line="400" w:lineRule="exact"/>
        <w:rPr>
          <w:color w:val="auto"/>
          <w:highlight w:val="none"/>
          <w:u w:val="single"/>
        </w:rPr>
      </w:pPr>
      <w:r>
        <w:rPr>
          <w:color w:val="auto"/>
          <w:highlight w:val="none"/>
        </w:rPr>
        <w:t xml:space="preserve">（2）</w:t>
      </w:r>
      <w:r>
        <w:rPr>
          <w:rFonts w:hint="eastAsia"/>
          <w:color w:val="auto"/>
          <w:highlight w:val="none"/>
          <w:lang w:val="en-US" w:eastAsia="zh-CN"/>
        </w:rPr>
        <w:t xml:space="preserve">交货</w:t>
      </w:r>
      <w:r>
        <w:rPr>
          <w:color w:val="auto"/>
          <w:highlight w:val="none"/>
        </w:rPr>
        <w:t xml:space="preserve">地点</w:t>
      </w:r>
      <w:r>
        <w:rPr>
          <w:bCs/>
          <w:color w:val="auto"/>
          <w:highlight w:val="none"/>
        </w:rPr>
        <w:t xml:space="preserve">：</w:t>
      </w:r>
      <w:r>
        <w:rPr>
          <w:rFonts w:hint="eastAsia"/>
          <w:color w:val="auto"/>
          <w:highlight w:val="none"/>
          <w:u w:val="single"/>
          <w:lang w:val="en-US" w:eastAsia="zh-CN"/>
        </w:rPr>
        <w:t xml:space="preserve">收货方</w:t>
      </w:r>
      <w:r>
        <w:rPr>
          <w:color w:val="auto"/>
          <w:highlight w:val="none"/>
          <w:u w:val="single"/>
        </w:rPr>
        <w:t xml:space="preserve">指定地点 </w:t>
      </w:r>
      <w:r>
        <w:rPr>
          <w:color w:val="auto"/>
          <w:highlight w:val="none"/>
        </w:rPr>
        <w:t xml:space="preserve">。</w:t>
      </w:r>
      <w:r/>
    </w:p>
    <w:p>
      <w:pPr>
        <w:ind w:firstLine="420"/>
        <w:spacing w:line="400" w:lineRule="exact"/>
        <w:rPr>
          <w:bCs/>
          <w:color w:val="auto"/>
          <w:highlight w:val="none"/>
          <w:u w:val="single"/>
        </w:rPr>
      </w:pPr>
      <w:r>
        <w:rPr>
          <w:bCs/>
          <w:color w:val="auto"/>
          <w:highlight w:val="none"/>
        </w:rPr>
        <w:t xml:space="preserve">（3）履约担保：</w:t>
      </w:r>
      <w:r>
        <w:rPr>
          <w:color w:val="auto"/>
          <w:highlight w:val="none"/>
        </w:rPr>
        <w:t xml:space="preserve">是否收取履约保证金：</w:t>
      </w:r>
      <w:r>
        <w:rPr>
          <w:rFonts w:ascii="Wingdings" w:hAnsi="Wingdings" w:eastAsia="Wingdings" w:cs="Wingdings"/>
          <w:color w:val="auto"/>
          <w:highlight w:val="none"/>
        </w:rPr>
        <w:t xml:space="preserve">¨</w:t>
      </w:r>
      <w:r>
        <w:rPr>
          <w:color w:val="auto"/>
          <w:highlight w:val="none"/>
        </w:rPr>
        <w:t xml:space="preserve">是    </w:t>
      </w:r>
      <w:r>
        <w:rPr>
          <w:rFonts w:ascii="Wingdings" w:hAnsi="Wingdings" w:eastAsia="Wingdings" w:cs="Wingdings"/>
          <w:color w:val="auto"/>
          <w:highlight w:val="none"/>
        </w:rPr>
        <w:t xml:space="preserve">þ</w:t>
      </w:r>
      <w:r>
        <w:rPr>
          <w:color w:val="auto"/>
          <w:highlight w:val="none"/>
        </w:rPr>
        <w:t xml:space="preserve">否</w:t>
      </w:r>
      <w:r/>
    </w:p>
    <w:p>
      <w:pPr>
        <w:numPr>
          <w:ilvl w:val="0"/>
          <w:numId w:val="8"/>
        </w:numPr>
        <w:ind w:firstLine="420"/>
        <w:spacing w:line="400" w:lineRule="exact"/>
        <w:rPr>
          <w:rFonts w:hint="eastAsia"/>
          <w:bCs/>
          <w:color w:val="auto"/>
          <w:highlight w:val="none"/>
          <w:u w:val="none"/>
          <w:lang w:val="en-US" w:eastAsia="zh-CN"/>
        </w:rPr>
      </w:pPr>
      <w:r>
        <w:rPr>
          <w:rFonts w:hint="eastAsia"/>
          <w:bCs/>
          <w:color w:val="auto"/>
          <w:highlight w:val="none"/>
          <w:u w:val="none"/>
          <w:lang w:eastAsia="zh-CN"/>
        </w:rPr>
        <w:t xml:space="preserve">交货时间：</w:t>
      </w:r>
      <w:r>
        <w:rPr>
          <w:rFonts w:hint="eastAsia"/>
          <w:bCs/>
          <w:color w:val="auto"/>
          <w:highlight w:val="none"/>
          <w:u w:val="single"/>
          <w:lang w:val="en-US" w:eastAsia="zh-CN"/>
        </w:rPr>
        <w:t xml:space="preserve">疫苗：接供货通知后五日内发货；标识：接供货通知后二十日内发货</w:t>
      </w:r>
      <w:r>
        <w:rPr>
          <w:rFonts w:hint="eastAsia"/>
          <w:bCs/>
          <w:color w:val="auto"/>
          <w:highlight w:val="none"/>
          <w:u w:val="none"/>
          <w:lang w:val="en-US" w:eastAsia="zh-CN"/>
        </w:rPr>
        <w:t xml:space="preserve">。</w:t>
      </w:r>
      <w:r/>
    </w:p>
    <w:p>
      <w:pPr>
        <w:numPr>
          <w:ilvl w:val="0"/>
          <w:numId w:val="8"/>
        </w:numPr>
        <w:ind w:firstLine="420"/>
        <w:spacing w:line="400" w:lineRule="exact"/>
        <w:rPr>
          <w:rFonts w:hint="default"/>
          <w:bCs/>
          <w:color w:val="auto"/>
          <w:highlight w:val="none"/>
          <w:u w:val="none"/>
          <w:lang w:val="en-US" w:eastAsia="zh-CN"/>
        </w:rPr>
      </w:pPr>
      <w:r>
        <w:rPr>
          <w:rFonts w:hint="default"/>
          <w:bCs/>
          <w:color w:val="auto"/>
          <w:highlight w:val="none"/>
          <w:u w:val="none"/>
          <w:lang w:val="en-US" w:eastAsia="zh-CN"/>
        </w:rPr>
        <w:t xml:space="preserve">交货方式：</w:t>
      </w:r>
      <w:r>
        <w:rPr>
          <w:rFonts w:hint="eastAsia"/>
          <w:bCs/>
          <w:color w:val="auto"/>
          <w:highlight w:val="none"/>
          <w:u w:val="single"/>
          <w:lang w:val="en-US" w:eastAsia="zh-CN"/>
        </w:rPr>
        <w:t xml:space="preserve">疫苗：</w:t>
      </w:r>
      <w:r>
        <w:rPr>
          <w:rFonts w:hint="default"/>
          <w:bCs/>
          <w:color w:val="auto"/>
          <w:highlight w:val="none"/>
          <w:u w:val="single"/>
          <w:lang w:val="en-US" w:eastAsia="zh-CN"/>
        </w:rPr>
        <w:t xml:space="preserve">按照各类疫苗的具体要求，采用冷链运输的交货方式，确保疫苗质量</w:t>
      </w:r>
      <w:r>
        <w:rPr>
          <w:rFonts w:hint="eastAsia"/>
          <w:bCs/>
          <w:color w:val="auto"/>
          <w:highlight w:val="none"/>
          <w:u w:val="single"/>
          <w:lang w:val="en-US" w:eastAsia="zh-CN"/>
        </w:rPr>
        <w:t xml:space="preserve">；标识：按照动物标识的具体要求，专车送货、快递托运等保证质量、快递送达的交货方式</w:t>
      </w:r>
      <w:r>
        <w:rPr>
          <w:rFonts w:hint="eastAsia"/>
          <w:bCs/>
          <w:color w:val="auto"/>
          <w:highlight w:val="none"/>
          <w:u w:val="none"/>
          <w:lang w:val="en-US" w:eastAsia="zh-CN"/>
        </w:rPr>
        <w:t xml:space="preserve">。</w:t>
      </w:r>
      <w:r/>
    </w:p>
    <w:p>
      <w:pPr>
        <w:numPr>
          <w:ilvl w:val="0"/>
          <w:numId w:val="7"/>
        </w:numPr>
        <w:ind w:firstLine="422"/>
        <w:spacing w:line="400" w:lineRule="exact"/>
        <w:rPr>
          <w:b/>
          <w:color w:val="auto"/>
          <w:highlight w:val="none"/>
        </w:rPr>
        <w:outlineLvl w:val="0"/>
      </w:pPr>
      <w:r/>
      <w:bookmarkStart w:id="328" w:name="_Toc3113"/>
      <w:r/>
      <w:bookmarkStart w:id="329" w:name="_Toc15962"/>
      <w:r>
        <w:rPr>
          <w:b/>
          <w:color w:val="auto"/>
          <w:highlight w:val="none"/>
        </w:rPr>
        <w:t xml:space="preserve">合同验收</w:t>
      </w:r>
      <w:bookmarkEnd w:id="328"/>
      <w:r/>
      <w:bookmarkEnd w:id="329"/>
      <w:r/>
      <w:r/>
    </w:p>
    <w:p>
      <w:pPr>
        <w:numPr>
          <w:ilvl w:val="0"/>
          <w:numId w:val="9"/>
        </w:numPr>
        <w:ind w:firstLine="420"/>
        <w:spacing w:line="400" w:lineRule="exact"/>
        <w:rPr>
          <w:bCs/>
          <w:color w:val="auto"/>
          <w:highlight w:val="none"/>
        </w:rPr>
      </w:pPr>
      <w:r>
        <w:rPr>
          <w:bCs/>
          <w:color w:val="auto"/>
          <w:highlight w:val="none"/>
        </w:rPr>
        <w:t xml:space="preserve">验收组织方式：</w:t>
      </w:r>
      <w:r>
        <w:rPr>
          <w:rFonts w:ascii="Wingdings" w:hAnsi="Wingdings" w:eastAsia="Wingdings" w:cs="Wingdings"/>
          <w:color w:val="auto"/>
          <w:highlight w:val="none"/>
        </w:rPr>
        <w:t xml:space="preserve">þ</w:t>
      </w:r>
      <w:r>
        <w:rPr>
          <w:bCs/>
          <w:color w:val="auto"/>
          <w:highlight w:val="none"/>
        </w:rPr>
        <w:t xml:space="preserve">自行组织 </w:t>
      </w:r>
      <w:r>
        <w:rPr>
          <w:rFonts w:ascii="Wingdings" w:hAnsi="Wingdings" w:eastAsia="Wingdings" w:cs="Wingdings"/>
          <w:color w:val="auto"/>
          <w:highlight w:val="none"/>
        </w:rPr>
        <w:t xml:space="preserve">¨</w:t>
      </w:r>
      <w:r>
        <w:rPr>
          <w:bCs/>
          <w:color w:val="auto"/>
          <w:highlight w:val="none"/>
        </w:rPr>
        <w:t xml:space="preserve">委托第三方组织</w:t>
      </w:r>
      <w:r/>
    </w:p>
    <w:p>
      <w:pPr>
        <w:spacing w:line="400" w:lineRule="exact"/>
        <w:rPr>
          <w:bCs/>
          <w:color w:val="auto"/>
          <w:highlight w:val="none"/>
        </w:rPr>
      </w:pPr>
      <w:r>
        <w:rPr>
          <w:bCs/>
          <w:color w:val="auto"/>
          <w:highlight w:val="none"/>
        </w:rPr>
        <w:t xml:space="preserve">         验收主体：</w:t>
      </w:r>
      <w:r>
        <w:rPr>
          <w:bCs/>
          <w:color w:val="auto"/>
          <w:highlight w:val="none"/>
          <w:u w:val="single"/>
        </w:rPr>
        <w:t xml:space="preserve"> </w:t>
      </w:r>
      <w:r>
        <w:rPr>
          <w:rFonts w:hint="eastAsia"/>
          <w:bCs/>
          <w:color w:val="auto"/>
          <w:highlight w:val="none"/>
          <w:u w:val="single"/>
          <w:lang w:eastAsia="zh-CN"/>
        </w:rPr>
        <w:t xml:space="preserve">泗阳县畜牧兽医站</w:t>
      </w:r>
      <w:r>
        <w:rPr>
          <w:bCs/>
          <w:color w:val="auto"/>
          <w:highlight w:val="none"/>
          <w:u w:val="single"/>
        </w:rPr>
        <w:t xml:space="preserve"> </w:t>
      </w:r>
      <w:r/>
    </w:p>
    <w:p>
      <w:pPr>
        <w:spacing w:line="400" w:lineRule="exact"/>
        <w:rPr>
          <w:bCs/>
          <w:color w:val="auto"/>
          <w:highlight w:val="none"/>
        </w:rPr>
      </w:pPr>
      <w:r>
        <w:rPr>
          <w:bCs/>
          <w:color w:val="auto"/>
          <w:highlight w:val="none"/>
        </w:rPr>
        <w:t xml:space="preserve">        是否邀请本项目的其他供应商参加验收：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是否邀请专家参加验收：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是否邀请服务对象参加验收：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是否邀请第三方检测机构参加验收：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是否进行抽查检测：</w:t>
      </w:r>
      <w:r>
        <w:rPr>
          <w:rFonts w:ascii="Wingdings" w:hAnsi="Wingdings" w:eastAsia="Wingdings" w:cs="Wingdings"/>
          <w:color w:val="auto"/>
          <w:highlight w:val="none"/>
        </w:rPr>
        <w:t xml:space="preserve">¨</w:t>
      </w:r>
      <w:r>
        <w:rPr>
          <w:bCs/>
          <w:color w:val="auto"/>
          <w:highlight w:val="none"/>
        </w:rPr>
        <w:t xml:space="preserve">是，抽查比例：</w:t>
      </w:r>
      <w:r>
        <w:rPr>
          <w:bCs/>
          <w:color w:val="auto"/>
          <w:highlight w:val="none"/>
          <w:u w:val="single"/>
        </w:rPr>
        <w:t xml:space="preserve">        </w:t>
      </w: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是否存在破坏性检测：</w:t>
      </w:r>
      <w:r>
        <w:rPr>
          <w:rFonts w:ascii="Wingdings" w:hAnsi="Wingdings" w:eastAsia="Wingdings" w:cs="Wingdings"/>
          <w:color w:val="auto"/>
          <w:highlight w:val="none"/>
        </w:rPr>
        <w:t xml:space="preserve">¨</w:t>
      </w:r>
      <w:r>
        <w:rPr>
          <w:bCs/>
          <w:color w:val="auto"/>
          <w:highlight w:val="none"/>
        </w:rPr>
        <w:t xml:space="preserve">是，</w:t>
      </w:r>
      <w:r>
        <w:rPr>
          <w:bCs/>
          <w:color w:val="auto"/>
          <w:highlight w:val="none"/>
          <w:u w:val="single"/>
        </w:rPr>
        <w:t xml:space="preserve">（应明确对被破坏的检测产品的处理方式）</w:t>
      </w:r>
      <w:r/>
    </w:p>
    <w:p>
      <w:pPr>
        <w:ind w:firstLine="840"/>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验收组织的其他事项：</w:t>
      </w:r>
      <w:r>
        <w:rPr>
          <w:bCs/>
          <w:color w:val="auto"/>
          <w:highlight w:val="none"/>
          <w:u w:val="single"/>
        </w:rPr>
        <w:t xml:space="preserve"> 无 </w:t>
      </w:r>
      <w:r/>
    </w:p>
    <w:p>
      <w:pPr>
        <w:ind w:firstLine="420"/>
        <w:spacing w:line="400" w:lineRule="exact"/>
        <w:rPr>
          <w:bCs/>
          <w:color w:val="auto"/>
          <w:highlight w:val="none"/>
          <w:u w:val="single"/>
        </w:rPr>
      </w:pPr>
      <w:r>
        <w:rPr>
          <w:bCs/>
          <w:color w:val="auto"/>
          <w:highlight w:val="none"/>
        </w:rPr>
        <w:t xml:space="preserve">（2）履约验收时间：</w:t>
      </w:r>
      <w:r>
        <w:rPr>
          <w:bCs/>
          <w:color w:val="auto"/>
          <w:highlight w:val="none"/>
          <w:u w:val="single"/>
        </w:rPr>
        <w:t xml:space="preserve">（计划于何时验收/供应商提出验收申请之日起  3 日内组织验收） </w:t>
      </w:r>
      <w:r/>
    </w:p>
    <w:p>
      <w:pPr>
        <w:ind w:firstLine="420"/>
        <w:spacing w:line="400" w:lineRule="exact"/>
        <w:rPr>
          <w:bCs/>
          <w:color w:val="auto"/>
          <w:highlight w:val="none"/>
        </w:rPr>
      </w:pPr>
      <w:r>
        <w:rPr>
          <w:bCs/>
          <w:color w:val="auto"/>
          <w:highlight w:val="none"/>
        </w:rPr>
        <w:t xml:space="preserve">（3）履约验收方式：</w:t>
      </w:r>
      <w:r>
        <w:rPr>
          <w:rFonts w:ascii="Wingdings" w:hAnsi="Wingdings" w:eastAsia="Wingdings" w:cs="Wingdings"/>
          <w:color w:val="auto"/>
          <w:highlight w:val="none"/>
        </w:rPr>
        <w:t xml:space="preserve">þ</w:t>
      </w:r>
      <w:r>
        <w:rPr>
          <w:bCs/>
          <w:color w:val="auto"/>
          <w:highlight w:val="none"/>
        </w:rPr>
        <w:t xml:space="preserve">一次性验收         </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分期/分项验收：</w:t>
      </w:r>
      <w:r>
        <w:rPr>
          <w:bCs/>
          <w:color w:val="auto"/>
          <w:highlight w:val="none"/>
          <w:u w:val="single"/>
        </w:rPr>
        <w:t xml:space="preserve"> （应明确分期</w:t>
      </w:r>
      <w:r>
        <w:rPr>
          <w:bCs/>
          <w:color w:val="auto"/>
          <w:highlight w:val="none"/>
          <w:u w:val="single"/>
          <w:lang w:val="en"/>
        </w:rPr>
        <w:t xml:space="preserve">/分项验收的工作安排</w:t>
      </w:r>
      <w:r>
        <w:rPr>
          <w:bCs/>
          <w:color w:val="auto"/>
          <w:highlight w:val="none"/>
          <w:u w:val="single"/>
        </w:rPr>
        <w:t xml:space="preserve">）  </w:t>
      </w:r>
      <w:r/>
    </w:p>
    <w:p>
      <w:pPr>
        <w:numPr>
          <w:ilvl w:val="0"/>
          <w:numId w:val="10"/>
        </w:numPr>
        <w:ind w:firstLine="420"/>
        <w:spacing w:line="400" w:lineRule="exact"/>
        <w:rPr>
          <w:bCs/>
          <w:color w:val="auto"/>
          <w:highlight w:val="none"/>
        </w:rPr>
      </w:pPr>
      <w:r>
        <w:rPr>
          <w:bCs/>
          <w:color w:val="auto"/>
          <w:highlight w:val="none"/>
        </w:rPr>
        <w:t xml:space="preserve">履约验收程序：</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4.1甲方</w:t>
      </w:r>
      <w:r>
        <w:rPr>
          <w:rFonts w:hint="eastAsia" w:eastAsia="宋体"/>
          <w:color w:val="auto"/>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基层动物防疫人员在使用过程中提出质量等异议或举报有质量问题时，产品收货单位应实施复核，必要时可按规定组织或委托有关单位对产品进行质量抽检，并视检测结果依规处理，检测费用由乙方承担。</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.2 乙方交货前应对产品作出全面检查和对验收文件进行整理，并列出清单，作为县用户收货验收和使用的技术条件依据，检验的结果应随货物交县用户。</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.3 乙方提供的货物，在</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使用前，需由乙方提供相关技术培训，并在使用的前三个月为</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提供必要的协助，直到符合有关要求，</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才做最终验收。</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.4 对技术复杂的货物，</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可申请国家认可的专业检测机构参与初步验收及最终验收，并由其出具质量检测报告。</w:t>
      </w:r>
      <w:r/>
    </w:p>
    <w:p>
      <w:pPr>
        <w:ind w:firstLine="420"/>
        <w:spacing w:line="400" w:lineRule="exact"/>
        <w:rPr>
          <w:rFonts w:hint="eastAsia" w:eastAsia="宋体"/>
          <w:color w:val="auto"/>
          <w:highlight w:val="none"/>
          <w:u w:val="none"/>
          <w:lang w:eastAsia="zh-CN"/>
        </w:rPr>
      </w:pPr>
      <w:r>
        <w:rPr>
          <w:rFonts w:hint="eastAsia"/>
          <w:color w:val="auto"/>
          <w:highlight w:val="none"/>
          <w:u w:val="none"/>
          <w:lang w:eastAsia="zh-CN"/>
        </w:rPr>
        <w:t xml:space="preserve">（</w:t>
      </w:r>
      <w:r>
        <w:rPr>
          <w:rFonts w:hint="eastAsia"/>
          <w:color w:val="auto"/>
          <w:highlight w:val="none"/>
          <w:u w:val="none"/>
          <w:lang w:val="en-US" w:eastAsia="zh-CN"/>
        </w:rPr>
        <w:t xml:space="preserve">5</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履约验收的内容:按照采购合同的约定对每一项技术、服务、安全标准的履约情况进行确认。</w:t>
      </w:r>
      <w:r/>
    </w:p>
    <w:p>
      <w:pPr>
        <w:pStyle w:val="1222"/>
        <w:ind w:firstLine="420"/>
        <w:rPr>
          <w:rFonts w:hint="eastAsia" w:ascii="Times New Roman" w:hAnsi="Times New Roman" w:eastAsia="宋体" w:cs="Times New Roman"/>
          <w:color w:val="auto"/>
          <w:sz w:val="21"/>
          <w:szCs w:val="21"/>
          <w:highlight w:val="none"/>
          <w:u w:val="none"/>
          <w:lang w:val="en-US" w:eastAsia="zh-CN" w:bidi="ar-SA"/>
        </w:rPr>
      </w:pPr>
      <w:r>
        <w:rPr>
          <w:rFonts w:hint="eastAsia" w:ascii="Times New Roman" w:hAnsi="Times New Roman" w:eastAsia="宋体" w:cs="Times New Roman"/>
          <w:color w:val="auto"/>
          <w:sz w:val="21"/>
          <w:szCs w:val="21"/>
          <w:highlight w:val="none"/>
          <w:u w:val="none"/>
          <w:lang w:val="en-US" w:eastAsia="zh-CN" w:bidi="ar-SA"/>
        </w:rPr>
        <w:t xml:space="preserve">（6）履约验收标准:依据招标文件上的技术规格要求和国家有关质量标准，同时服从甲方安排要求。</w:t>
      </w:r>
      <w:r/>
    </w:p>
    <w:p>
      <w:pPr>
        <w:pStyle w:val="1222"/>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是  </w:t>
      </w:r>
      <w:r>
        <w:rPr>
          <w:rFonts w:ascii="Wingdings" w:hAnsi="Wingdings" w:eastAsia="Wingdings" w:cs="Wingdings"/>
          <w:color w:val="auto"/>
          <w:sz w:val="21"/>
          <w:highlight w:val="none"/>
        </w:rPr>
        <w:t xml:space="preserve">þ</w:t>
      </w:r>
      <w:r>
        <w:rPr>
          <w:rFonts w:ascii="Times New Roman" w:hAnsi="Times New Roman" w:eastAsia="宋体" w:cs="Times New Roman"/>
          <w:bCs/>
          <w:color w:val="auto"/>
          <w:sz w:val="21"/>
          <w:highlight w:val="none"/>
        </w:rPr>
        <w:t xml:space="preserve">否</w:t>
      </w:r>
      <w:r/>
    </w:p>
    <w:p>
      <w:pPr>
        <w:ind w:firstLine="420"/>
        <w:spacing w:line="400" w:lineRule="exact"/>
        <w:rPr>
          <w:bCs/>
          <w:color w:val="auto"/>
          <w:highlight w:val="none"/>
          <w:u w:val="single"/>
        </w:rPr>
      </w:pPr>
      <w:r>
        <w:rPr>
          <w:bCs/>
          <w:color w:val="auto"/>
          <w:highlight w:val="none"/>
        </w:rPr>
        <w:t xml:space="preserve">（8）履约验收其他事项：</w:t>
      </w:r>
      <w:r>
        <w:rPr>
          <w:bCs/>
          <w:color w:val="auto"/>
          <w:highlight w:val="none"/>
          <w:u w:val="single"/>
        </w:rPr>
        <w:t xml:space="preserve">/。</w:t>
      </w:r>
      <w:r/>
    </w:p>
    <w:p>
      <w:pPr>
        <w:numPr>
          <w:ilvl w:val="0"/>
          <w:numId w:val="7"/>
        </w:numPr>
        <w:ind w:firstLine="422"/>
        <w:spacing w:line="400" w:lineRule="exact"/>
        <w:rPr>
          <w:b/>
          <w:color w:val="auto"/>
          <w:highlight w:val="none"/>
        </w:rPr>
        <w:outlineLvl w:val="0"/>
      </w:pPr>
      <w:r/>
      <w:bookmarkStart w:id="330" w:name="_Toc30634"/>
      <w:r/>
      <w:bookmarkStart w:id="331" w:name="_Toc29855"/>
      <w:r>
        <w:rPr>
          <w:b/>
          <w:color w:val="auto"/>
          <w:highlight w:val="none"/>
        </w:rPr>
        <w:t xml:space="preserve">组成合同的文件</w:t>
      </w:r>
      <w:bookmarkEnd w:id="330"/>
      <w:r/>
      <w:bookmarkEnd w:id="331"/>
      <w:r/>
      <w:r/>
    </w:p>
    <w:p>
      <w:pPr>
        <w:ind w:firstLine="420"/>
        <w:spacing w:line="400" w:lineRule="exact"/>
        <w:rPr>
          <w:color w:val="auto"/>
          <w:highlight w:val="none"/>
        </w:rPr>
      </w:pPr>
      <w:r>
        <w:rPr>
          <w:color w:val="auto"/>
          <w:highlight w:val="none"/>
        </w:rPr>
        <w:t xml:space="preserve">本协议书与下列文件一起构成合同文件，如下述文件之间有任何抵触、矛盾或歧义，应按以下顺序解释：</w:t>
      </w:r>
      <w:r/>
    </w:p>
    <w:p>
      <w:pPr>
        <w:ind w:firstLine="420"/>
        <w:spacing w:line="400" w:lineRule="exact"/>
        <w:rPr>
          <w:color w:val="auto"/>
          <w:highlight w:val="none"/>
        </w:rPr>
      </w:pPr>
      <w:r>
        <w:rPr>
          <w:color w:val="auto"/>
          <w:highlight w:val="none"/>
        </w:rPr>
        <w:t xml:space="preserve">（1）政府采购合同协议书及其变更、补充协议</w:t>
      </w:r>
      <w:r/>
    </w:p>
    <w:p>
      <w:pPr>
        <w:ind w:firstLine="420"/>
        <w:spacing w:line="400" w:lineRule="exact"/>
        <w:rPr>
          <w:color w:val="auto"/>
          <w:highlight w:val="none"/>
        </w:rPr>
      </w:pPr>
      <w:r>
        <w:rPr>
          <w:color w:val="auto"/>
          <w:highlight w:val="none"/>
        </w:rPr>
        <w:t xml:space="preserve">（2）政府采购合同专用条款</w:t>
      </w:r>
      <w:r/>
    </w:p>
    <w:p>
      <w:pPr>
        <w:ind w:firstLine="420"/>
        <w:spacing w:line="400" w:lineRule="exact"/>
        <w:rPr>
          <w:color w:val="auto"/>
          <w:highlight w:val="none"/>
        </w:rPr>
      </w:pPr>
      <w:r>
        <w:rPr>
          <w:color w:val="auto"/>
          <w:highlight w:val="none"/>
        </w:rPr>
        <w:t xml:space="preserve">（3）政府采购合同通用条款</w:t>
      </w:r>
      <w:r/>
    </w:p>
    <w:p>
      <w:pPr>
        <w:ind w:firstLine="420"/>
        <w:spacing w:line="400" w:lineRule="exact"/>
        <w:rPr>
          <w:color w:val="auto"/>
          <w:highlight w:val="none"/>
        </w:rPr>
      </w:pPr>
      <w:r>
        <w:rPr>
          <w:color w:val="auto"/>
          <w:highlight w:val="none"/>
        </w:rPr>
        <w:t xml:space="preserve">（4）中标（成交）通知书</w:t>
      </w:r>
      <w:r/>
    </w:p>
    <w:p>
      <w:pPr>
        <w:ind w:firstLine="420"/>
        <w:spacing w:line="400" w:lineRule="exact"/>
        <w:rPr>
          <w:color w:val="auto"/>
          <w:highlight w:val="none"/>
        </w:rPr>
      </w:pPr>
      <w:r>
        <w:rPr>
          <w:color w:val="auto"/>
          <w:highlight w:val="none"/>
        </w:rPr>
        <w:t xml:space="preserve">（5）投标（响应）文件</w:t>
      </w:r>
      <w:r/>
    </w:p>
    <w:p>
      <w:pPr>
        <w:ind w:firstLine="420"/>
        <w:spacing w:line="400" w:lineRule="exact"/>
        <w:rPr>
          <w:color w:val="auto"/>
          <w:highlight w:val="none"/>
        </w:rPr>
      </w:pPr>
      <w:r>
        <w:rPr>
          <w:color w:val="auto"/>
          <w:highlight w:val="none"/>
        </w:rPr>
        <w:t xml:space="preserve">（6）采购文件</w:t>
      </w:r>
      <w:r/>
    </w:p>
    <w:p>
      <w:pPr>
        <w:ind w:firstLine="420"/>
        <w:spacing w:line="400" w:lineRule="exact"/>
        <w:rPr>
          <w:color w:val="auto"/>
          <w:highlight w:val="none"/>
        </w:rPr>
      </w:pPr>
      <w:r>
        <w:rPr>
          <w:color w:val="auto"/>
          <w:highlight w:val="none"/>
        </w:rPr>
        <w:t xml:space="preserve">（7）有关技术文件，图纸</w:t>
      </w:r>
      <w:r/>
    </w:p>
    <w:p>
      <w:pPr>
        <w:pStyle w:val="1222"/>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（8）国家法律、行政法规和规章制度规定或合同约定的作为合同组成部分的其他文件</w:t>
      </w:r>
      <w:r/>
    </w:p>
    <w:p>
      <w:pPr>
        <w:numPr>
          <w:ilvl w:val="0"/>
          <w:numId w:val="7"/>
        </w:numPr>
        <w:ind w:firstLine="422"/>
        <w:spacing w:line="400" w:lineRule="exact"/>
        <w:rPr>
          <w:b/>
          <w:color w:val="auto"/>
          <w:highlight w:val="none"/>
        </w:rPr>
        <w:outlineLvl w:val="0"/>
      </w:pPr>
      <w:r/>
      <w:bookmarkStart w:id="332" w:name="_Toc3665"/>
      <w:r/>
      <w:bookmarkStart w:id="333" w:name="_Toc28883"/>
      <w:r>
        <w:rPr>
          <w:b/>
          <w:color w:val="auto"/>
          <w:highlight w:val="none"/>
        </w:rPr>
        <w:t xml:space="preserve">合同生效</w:t>
      </w:r>
      <w:bookmarkEnd w:id="332"/>
      <w:r/>
      <w:bookmarkEnd w:id="333"/>
      <w:r/>
      <w:r/>
    </w:p>
    <w:p>
      <w:pPr>
        <w:ind w:firstLine="420"/>
        <w:spacing w:line="400" w:lineRule="exact"/>
        <w:rPr>
          <w:color w:val="auto"/>
          <w:highlight w:val="none"/>
        </w:rPr>
      </w:pPr>
      <w:r>
        <w:rPr>
          <w:color w:val="auto"/>
          <w:highlight w:val="none"/>
        </w:rPr>
        <w:t xml:space="preserve">本合同自</w:t>
      </w:r>
      <w:r>
        <w:rPr>
          <w:color w:val="auto"/>
          <w:highlight w:val="none"/>
          <w:u w:val="single"/>
        </w:rPr>
        <w:t xml:space="preserve"> 签订之日起 </w:t>
      </w:r>
      <w:r>
        <w:rPr>
          <w:color w:val="auto"/>
          <w:highlight w:val="none"/>
        </w:rPr>
        <w:t xml:space="preserve">生效。</w:t>
      </w:r>
      <w:r/>
    </w:p>
    <w:p>
      <w:pPr>
        <w:numPr>
          <w:ilvl w:val="0"/>
          <w:numId w:val="7"/>
        </w:numPr>
        <w:ind w:firstLine="422"/>
        <w:spacing w:line="400" w:lineRule="exact"/>
        <w:rPr>
          <w:b/>
          <w:color w:val="auto"/>
          <w:highlight w:val="none"/>
        </w:rPr>
        <w:outlineLvl w:val="0"/>
      </w:pPr>
      <w:r/>
      <w:bookmarkStart w:id="334" w:name="_Toc1927"/>
      <w:r/>
      <w:bookmarkStart w:id="335" w:name="_Toc17708"/>
      <w:r>
        <w:rPr>
          <w:b/>
          <w:color w:val="auto"/>
          <w:highlight w:val="none"/>
        </w:rPr>
        <w:t xml:space="preserve">合同份数</w:t>
      </w:r>
      <w:bookmarkEnd w:id="334"/>
      <w:r/>
      <w:bookmarkEnd w:id="335"/>
      <w:r/>
      <w:r/>
    </w:p>
    <w:p>
      <w:pPr>
        <w:ind w:firstLine="420"/>
        <w:spacing w:line="400" w:lineRule="exact"/>
        <w:rPr>
          <w:color w:val="auto"/>
          <w:highlight w:val="none"/>
        </w:rPr>
      </w:pPr>
      <w:r>
        <w:rPr>
          <w:color w:val="auto"/>
          <w:highlight w:val="none"/>
        </w:rPr>
        <w:t xml:space="preserve">本合同一式</w:t>
      </w:r>
      <w:r>
        <w:rPr>
          <w:color w:val="auto"/>
          <w:highlight w:val="none"/>
          <w:u w:val="single"/>
        </w:rPr>
        <w:t xml:space="preserve"> 肆 </w:t>
      </w:r>
      <w:r>
        <w:rPr>
          <w:color w:val="auto"/>
          <w:highlight w:val="none"/>
        </w:rPr>
        <w:t xml:space="preserve">份，甲方执</w:t>
      </w:r>
      <w:r>
        <w:rPr>
          <w:color w:val="auto"/>
          <w:highlight w:val="none"/>
          <w:u w:val="single"/>
        </w:rPr>
        <w:t xml:space="preserve"> 贰 </w:t>
      </w:r>
      <w:r>
        <w:rPr>
          <w:color w:val="auto"/>
          <w:highlight w:val="none"/>
        </w:rPr>
        <w:t xml:space="preserve">份，乙方执</w:t>
      </w:r>
      <w:r>
        <w:rPr>
          <w:color w:val="auto"/>
          <w:highlight w:val="none"/>
          <w:u w:val="single"/>
        </w:rPr>
        <w:t xml:space="preserve"> 贰 </w:t>
      </w:r>
      <w:r>
        <w:rPr>
          <w:color w:val="auto"/>
          <w:highlight w:val="none"/>
        </w:rPr>
        <w:t xml:space="preserve">份，均具有同等法律效力。</w:t>
      </w:r>
      <w:r/>
    </w:p>
    <w:p>
      <w:pPr>
        <w:ind w:firstLine="420"/>
        <w:spacing w:line="400" w:lineRule="exact"/>
        <w:rPr>
          <w:color w:val="auto"/>
          <w:highlight w:val="none"/>
        </w:rPr>
      </w:pPr>
      <w:r>
        <w:rPr>
          <w:color w:val="auto"/>
          <w:highlight w:val="none"/>
        </w:rPr>
        <w:t xml:space="preserve">合同订立时间：</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0"/>
        <w:spacing w:line="400" w:lineRule="exact"/>
        <w:rPr>
          <w:color w:val="auto"/>
          <w:highlight w:val="none"/>
        </w:rPr>
      </w:pPr>
      <w:r>
        <w:rPr>
          <w:color w:val="auto"/>
          <w:highlight w:val="none"/>
        </w:rPr>
        <w:t xml:space="preserve">合同订立地点：</w:t>
      </w:r>
      <w:r>
        <w:rPr>
          <w:color w:val="auto"/>
          <w:highlight w:val="none"/>
          <w:u w:val="single"/>
        </w:rPr>
        <w:t xml:space="preserve">                        </w:t>
      </w:r>
      <w:r/>
    </w:p>
    <w:p>
      <w:pPr>
        <w:ind w:firstLine="420"/>
        <w:spacing w:line="400" w:lineRule="exact"/>
        <w:rPr>
          <w:color w:val="auto"/>
          <w:highlight w:val="none"/>
        </w:rPr>
        <w:outlineLvl w:val="0"/>
      </w:pPr>
      <w:r/>
      <w:bookmarkStart w:id="336" w:name="_Toc23892"/>
      <w:r/>
      <w:bookmarkStart w:id="337" w:name="_Toc10360"/>
      <w:r>
        <w:rPr>
          <w:color w:val="auto"/>
          <w:highlight w:val="none"/>
        </w:rPr>
        <w:t xml:space="preserve">附件：具体标的及其技术要求和商务要求、联合协议、分包意向协议等。</w:t>
      </w:r>
      <w:bookmarkEnd w:id="336"/>
      <w:r/>
      <w:bookmarkEnd w:id="337"/>
      <w:r/>
      <w:r/>
    </w:p>
    <w:p>
      <w:pPr>
        <w:pStyle w:val="1136"/>
        <w:spacing w:line="400" w:lineRule="exact"/>
        <w:rPr>
          <w:rFonts w:ascii="Times New Roman" w:hAnsi="Times New Roman"/>
          <w:color w:val="auto"/>
          <w:highlight w:val="none"/>
          <w:lang w:eastAsia="zh-CN"/>
        </w:rPr>
      </w:pPr>
      <w:r>
        <w:rPr>
          <w:rFonts w:ascii="Times New Roman" w:hAnsi="Times New Roman"/>
          <w:color w:val="auto"/>
          <w:highlight w:val="none"/>
          <w:lang w:eastAsia="zh-CN"/>
        </w:rPr>
      </w:r>
      <w:r/>
    </w:p>
    <w:p>
      <w:pPr>
        <w:jc w:val="both"/>
        <w:keepLines/>
        <w:keepNext/>
        <w:spacing w:before="360" w:after="200" w:line="400" w:lineRule="exact"/>
        <w:widowControl w:val="off"/>
        <w:rPr>
          <w:rFonts w:hint="default" w:ascii="Times New Roman" w:hAnsi="Times New Roman" w:eastAsia="Arial" w:cs="Times New Roman"/>
          <w:color w:val="auto"/>
          <w:sz w:val="34"/>
          <w:szCs w:val="21"/>
          <w:highlight w:val="none"/>
          <w:lang w:val="en" w:eastAsia="zh-CN" w:bidi="ar-SA"/>
        </w:rPr>
        <w:outlineLvl w:val="9"/>
      </w:pPr>
      <w:r>
        <w:rPr>
          <w:rFonts w:hint="default" w:ascii="Times New Roman" w:hAnsi="Times New Roman" w:eastAsia="Arial" w:cs="Times New Roman"/>
          <w:color w:val="auto"/>
          <w:sz w:val="34"/>
          <w:szCs w:val="21"/>
          <w:highlight w:val="none"/>
          <w:lang w:val="en" w:eastAsia="zh-CN" w:bidi="ar-SA"/>
        </w:rPr>
        <w:t xml:space="preserve">   </w:t>
      </w:r>
      <w:r/>
    </w:p>
    <w:p>
      <w:pPr>
        <w:rPr>
          <w:color w:val="auto"/>
          <w:highlight w:val="none"/>
        </w:rPr>
      </w:pPr>
      <w:r>
        <w:rPr>
          <w:color w:val="auto"/>
          <w:highlight w:val="none"/>
        </w:rPr>
        <w:br w:type="page" w:clear="all"/>
      </w:r>
      <w:r/>
    </w:p>
    <w:p>
      <w:pPr>
        <w:pStyle w:val="1136"/>
        <w:rPr>
          <w:rFonts w:ascii="Times New Roman" w:hAnsi="Times New Roman"/>
          <w:color w:val="auto"/>
          <w:highlight w:val="none"/>
          <w:lang w:eastAsia="zh-CN"/>
        </w:rPr>
      </w:pPr>
      <w:r>
        <w:rPr>
          <w:rFonts w:ascii="Times New Roman" w:hAnsi="Times New Roman"/>
          <w:color w:val="auto"/>
          <w:highlight w:val="none"/>
          <w:lang w:eastAsia="zh-CN"/>
        </w:rPr>
      </w:r>
      <w:r/>
    </w:p>
    <w:tbl>
      <w:tblPr>
        <w:tblStyle w:val="87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highlight w:val="none"/>
              </w:rPr>
              <w:t xml:space="preserve">甲方（采购人）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eastAsia="宋体"/>
                <w:color w:val="auto"/>
                <w:highlight w:val="none"/>
                <w:lang w:eastAsia="zh-CN"/>
              </w:rPr>
            </w:pPr>
            <w:r>
              <w:rPr>
                <w:rFonts w:hint="eastAsia"/>
                <w:color w:val="auto"/>
                <w:highlight w:val="none"/>
                <w:lang w:eastAsia="zh-CN"/>
              </w:rPr>
              <w:t xml:space="preserve">泗阳县畜牧兽医站</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886"/>
              <w:ind w:left="0"/>
              <w:jc w:val="left"/>
              <w:spacing w:before="120" w:after="0" w:line="360" w:lineRule="auto"/>
              <w:rPr>
                <w:color w:val="auto"/>
                <w:spacing w:val="20"/>
                <w:highlight w:val="none"/>
              </w:rPr>
            </w:pPr>
            <w:r>
              <w:rPr>
                <w:color w:val="auto"/>
                <w:highlight w:val="none"/>
              </w:rPr>
              <w:t xml:space="preserve">注：涉及联合体或其他合同主体的信息应按上表格式加列。</w:t>
            </w:r>
            <w:r/>
          </w:p>
        </w:tc>
      </w:tr>
    </w:tbl>
    <w:p>
      <w:pPr>
        <w:pStyle w:val="869"/>
        <w:jc w:val="center"/>
        <w:spacing w:before="120"/>
        <w:rPr>
          <w:rFonts w:ascii="Times New Roman" w:hAnsi="Times New Roman" w:eastAsia="黑体" w:cs="Times New Roman"/>
          <w:color w:val="auto"/>
          <w:sz w:val="28"/>
          <w:szCs w:val="28"/>
          <w:highlight w:val="none"/>
        </w:rPr>
        <w:outlineLvl w:val="0"/>
      </w:pPr>
      <w:r>
        <w:rPr>
          <w:rFonts w:ascii="Times New Roman" w:hAnsi="Times New Roman" w:cs="Times New Roman"/>
          <w:color w:val="auto"/>
          <w:sz w:val="21"/>
          <w:highlight w:val="none"/>
          <w:u w:val="single"/>
        </w:rPr>
        <w:br w:type="page" w:clear="all"/>
      </w:r>
      <w:bookmarkStart w:id="338" w:name="_Toc27631"/>
      <w:r/>
      <w:bookmarkStart w:id="339" w:name="_Toc27624"/>
      <w:r/>
      <w:bookmarkStart w:id="340" w:name="_Toc27877"/>
      <w:r>
        <w:rPr>
          <w:rFonts w:ascii="Times New Roman" w:hAnsi="Times New Roman" w:eastAsia="黑体" w:cs="Times New Roman"/>
          <w:color w:val="auto"/>
          <w:sz w:val="28"/>
          <w:szCs w:val="28"/>
          <w:highlight w:val="none"/>
        </w:rPr>
        <w:t xml:space="preserve">第二节 政府采购合同通用条款</w:t>
      </w:r>
      <w:bookmarkEnd w:id="338"/>
      <w:r/>
      <w:bookmarkEnd w:id="339"/>
      <w:r/>
      <w:bookmarkEnd w:id="340"/>
      <w:r/>
      <w:r/>
    </w:p>
    <w:p>
      <w:pPr>
        <w:jc w:val="left"/>
        <w:spacing w:line="400" w:lineRule="exact"/>
        <w:tabs>
          <w:tab w:val="left" w:pos="8820" w:leader="none"/>
          <w:tab w:val="left" w:pos="9345" w:leader="none"/>
          <w:tab w:val="left" w:pos="9765" w:leader="none"/>
        </w:tabs>
        <w:rPr>
          <w:b/>
          <w:bCs/>
          <w:color w:val="auto"/>
          <w:sz w:val="24"/>
          <w:highlight w:val="none"/>
        </w:rPr>
        <w:outlineLvl w:val="0"/>
      </w:pPr>
      <w:r/>
      <w:bookmarkStart w:id="341" w:name="_Toc12089"/>
      <w:r/>
      <w:bookmarkStart w:id="342" w:name="_Toc2728"/>
      <w:r>
        <w:rPr>
          <w:b/>
          <w:color w:val="auto"/>
          <w:sz w:val="24"/>
          <w:highlight w:val="none"/>
        </w:rPr>
        <w:t xml:space="preserve">1. </w:t>
      </w:r>
      <w:r>
        <w:rPr>
          <w:b/>
          <w:bCs/>
          <w:color w:val="auto"/>
          <w:sz w:val="24"/>
          <w:highlight w:val="none"/>
        </w:rPr>
        <w:t xml:space="preserve">定义</w:t>
      </w:r>
      <w:bookmarkEnd w:id="341"/>
      <w:r/>
      <w:bookmarkEnd w:id="342"/>
      <w:r/>
      <w:r/>
    </w:p>
    <w:p>
      <w:pPr>
        <w:ind w:firstLine="420"/>
        <w:jc w:val="left"/>
        <w:spacing w:line="400" w:lineRule="exact"/>
        <w:rPr>
          <w:color w:val="auto"/>
          <w:highlight w:val="none"/>
        </w:rPr>
      </w:pPr>
      <w:r>
        <w:rPr>
          <w:color w:val="auto"/>
          <w:highlight w:val="none"/>
        </w:rPr>
        <w:t xml:space="preserve">1.1合同当事人</w:t>
      </w:r>
      <w:r/>
    </w:p>
    <w:p>
      <w:pPr>
        <w:ind w:firstLine="420"/>
        <w:jc w:val="left"/>
        <w:spacing w:line="400" w:lineRule="exact"/>
        <w:rPr>
          <w:color w:val="auto"/>
          <w:highlight w:val="none"/>
        </w:rPr>
      </w:pPr>
      <w:r>
        <w:rPr>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color w:val="auto"/>
          <w:highlight w:val="none"/>
        </w:rPr>
      </w:pPr>
      <w:r>
        <w:rPr>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color w:val="auto"/>
          <w:highlight w:val="none"/>
        </w:rPr>
      </w:pPr>
      <w:r>
        <w:rPr>
          <w:color w:val="auto"/>
          <w:highlight w:val="none"/>
        </w:rPr>
        <w:t xml:space="preserve">（3）其他合同主体是指除采购人和供应商以外，</w:t>
      </w:r>
      <w:r>
        <w:rPr>
          <w:bCs/>
          <w:color w:val="auto"/>
          <w:highlight w:val="none"/>
        </w:rPr>
        <w:t xml:space="preserve">依法参与合同缔结或履行，享有权利、承担义务的合同当事人</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1.2本合同下列术语应解释为：</w:t>
      </w:r>
      <w:r/>
    </w:p>
    <w:p>
      <w:pPr>
        <w:ind w:firstLine="420"/>
        <w:jc w:val="left"/>
        <w:spacing w:line="400" w:lineRule="exact"/>
        <w:rPr>
          <w:color w:val="auto"/>
          <w:highlight w:val="none"/>
        </w:rPr>
      </w:pPr>
      <w:r>
        <w:rPr>
          <w:color w:val="auto"/>
          <w:highlight w:val="none"/>
        </w:rPr>
        <w:t xml:space="preserve">（1）“合同”系指</w:t>
      </w:r>
      <w:r>
        <w:rPr>
          <w:bCs/>
          <w:color w:val="auto"/>
          <w:highlight w:val="none"/>
        </w:rPr>
        <w:t xml:space="preserve">合同当事人意思表示达成一致的任何协议，包括签署的</w:t>
      </w:r>
      <w:r>
        <w:rPr>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（3）“货物”系指乙方根据本合同规定须向甲方提供的各种形态和种类的物品，包括原材料、设备、产品（包括软件）及相关的其备品备件、工具、手册及</w:t>
      </w:r>
      <w:r>
        <w:rPr>
          <w:color w:val="auto"/>
          <w:highlight w:val="none"/>
          <w:lang w:val="en"/>
        </w:rPr>
        <w:t xml:space="preserve">其他</w:t>
      </w:r>
      <w:r>
        <w:rPr>
          <w:color w:val="auto"/>
          <w:highlight w:val="none"/>
        </w:rPr>
        <w:t xml:space="preserve">技术资料和材料等。</w:t>
      </w:r>
      <w:r/>
    </w:p>
    <w:p>
      <w:pPr>
        <w:ind w:firstLine="420"/>
        <w:jc w:val="left"/>
        <w:spacing w:line="400" w:lineRule="exact"/>
        <w:rPr>
          <w:color w:val="auto"/>
          <w:highlight w:val="none"/>
        </w:rPr>
      </w:pPr>
      <w:r>
        <w:rPr>
          <w:color w:val="auto"/>
          <w:highlight w:val="none"/>
        </w:rPr>
        <w:t xml:space="preserve">（4）“相关服务”系指根据合同规定，乙方应提供的与货物有关的技术、管理和</w:t>
      </w:r>
      <w:r>
        <w:rPr>
          <w:color w:val="auto"/>
          <w:highlight w:val="none"/>
          <w:lang w:val="en"/>
        </w:rPr>
        <w:t xml:space="preserve">其他</w:t>
      </w:r>
      <w:r>
        <w:rPr>
          <w:color w:val="auto"/>
          <w:highlight w:val="none"/>
        </w:rPr>
        <w:t xml:space="preserve">服务，包括但不限于：管理和质量保证、运输、保险、检验、现场准备、安装、集成、调试、培训、维修、废弃处置、技术支持等以及合同中规定乙方应承担的</w:t>
      </w:r>
      <w:r>
        <w:rPr>
          <w:color w:val="auto"/>
          <w:highlight w:val="none"/>
          <w:lang w:val="en"/>
        </w:rPr>
        <w:t xml:space="preserve">其他</w:t>
      </w:r>
      <w:r>
        <w:rPr>
          <w:color w:val="auto"/>
          <w:highlight w:val="none"/>
        </w:rPr>
        <w:t xml:space="preserve">义务。</w:t>
      </w:r>
      <w:r/>
    </w:p>
    <w:p>
      <w:pPr>
        <w:ind w:firstLine="420"/>
        <w:jc w:val="left"/>
        <w:spacing w:line="400" w:lineRule="exact"/>
        <w:rPr>
          <w:color w:val="auto"/>
          <w:highlight w:val="none"/>
        </w:rPr>
      </w:pPr>
      <w:r>
        <w:rPr>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auto"/>
          <w:highlight w:val="none"/>
        </w:rPr>
        <w:t xml:space="preserve">政府采购合同专用条款</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（7）其他术语解释，见【</w:t>
      </w:r>
      <w:r>
        <w:rPr>
          <w:b/>
          <w:bCs/>
          <w:color w:val="auto"/>
          <w:highlight w:val="none"/>
        </w:rPr>
        <w:t xml:space="preserve">政府采购合同专用条款</w:t>
      </w:r>
      <w:r>
        <w:rPr>
          <w:color w:val="auto"/>
          <w:highlight w:val="none"/>
        </w:rPr>
        <w:t xml:space="preserve">】。</w:t>
      </w:r>
      <w:r/>
    </w:p>
    <w:p>
      <w:pPr>
        <w:numPr>
          <w:ilvl w:val="0"/>
          <w:numId w:val="11"/>
        </w:numPr>
        <w:jc w:val="left"/>
        <w:spacing w:line="400" w:lineRule="exact"/>
        <w:rPr>
          <w:b/>
          <w:bCs/>
          <w:color w:val="auto"/>
          <w:sz w:val="24"/>
          <w:highlight w:val="none"/>
        </w:rPr>
        <w:outlineLvl w:val="0"/>
      </w:pPr>
      <w:r/>
      <w:bookmarkStart w:id="343" w:name="_Toc8076"/>
      <w:r/>
      <w:bookmarkStart w:id="344" w:name="_Toc26967"/>
      <w:r>
        <w:rPr>
          <w:b/>
          <w:color w:val="auto"/>
          <w:sz w:val="24"/>
          <w:highlight w:val="none"/>
        </w:rPr>
        <w:t xml:space="preserve">合同标的及金额</w:t>
      </w:r>
      <w:bookmarkEnd w:id="343"/>
      <w:r/>
      <w:bookmarkEnd w:id="344"/>
      <w:r/>
      <w:r/>
    </w:p>
    <w:p>
      <w:pPr>
        <w:ind w:firstLine="420"/>
        <w:jc w:val="left"/>
        <w:spacing w:line="400" w:lineRule="exact"/>
        <w:rPr>
          <w:b/>
          <w:bCs/>
          <w:i/>
          <w:iCs/>
          <w:color w:val="auto"/>
          <w:highlight w:val="none"/>
        </w:rPr>
      </w:pPr>
      <w:r>
        <w:rPr>
          <w:color w:val="auto"/>
          <w:highlight w:val="none"/>
        </w:rPr>
        <w:t xml:space="preserve">2.1 合同标的及金额应与中标（成交）结果一致。乙方为履行本合同而发生的所有费用均应包含在合同价款中，甲方不再另行支付</w:t>
      </w:r>
      <w:r>
        <w:rPr>
          <w:color w:val="auto"/>
          <w:highlight w:val="none"/>
          <w:lang w:val="en"/>
        </w:rPr>
        <w:t xml:space="preserve">其他</w:t>
      </w:r>
      <w:r>
        <w:rPr>
          <w:color w:val="auto"/>
          <w:highlight w:val="none"/>
        </w:rPr>
        <w:t xml:space="preserve">任何费用。</w:t>
      </w:r>
      <w:r/>
    </w:p>
    <w:p>
      <w:pPr>
        <w:jc w:val="left"/>
        <w:spacing w:line="400" w:lineRule="exact"/>
        <w:rPr>
          <w:b/>
          <w:color w:val="auto"/>
          <w:sz w:val="24"/>
          <w:highlight w:val="none"/>
        </w:rPr>
        <w:outlineLvl w:val="0"/>
      </w:pPr>
      <w:r/>
      <w:bookmarkStart w:id="345" w:name="_Toc31518"/>
      <w:r/>
      <w:bookmarkStart w:id="346" w:name="_Toc18533"/>
      <w:r>
        <w:rPr>
          <w:b/>
          <w:color w:val="auto"/>
          <w:sz w:val="24"/>
          <w:highlight w:val="none"/>
        </w:rPr>
        <w:t xml:space="preserve">3. 履行合同的时间、地点和方式</w:t>
      </w:r>
      <w:bookmarkEnd w:id="345"/>
      <w:r/>
      <w:bookmarkEnd w:id="346"/>
      <w:r/>
      <w:r/>
    </w:p>
    <w:p>
      <w:pPr>
        <w:ind w:firstLine="420"/>
        <w:jc w:val="left"/>
        <w:spacing w:line="400" w:lineRule="exact"/>
        <w:rPr>
          <w:color w:val="auto"/>
          <w:highlight w:val="none"/>
        </w:rPr>
      </w:pPr>
      <w:r>
        <w:rPr>
          <w:color w:val="auto"/>
          <w:highlight w:val="none"/>
        </w:rPr>
        <w:t xml:space="preserve">3.1 乙方应当在约定的时间、地点，按照约定方式履行合同。</w:t>
      </w:r>
      <w:r/>
    </w:p>
    <w:p>
      <w:pPr>
        <w:jc w:val="left"/>
        <w:spacing w:line="400" w:lineRule="exact"/>
        <w:rPr>
          <w:b/>
          <w:bCs/>
          <w:color w:val="auto"/>
          <w:sz w:val="24"/>
          <w:highlight w:val="none"/>
        </w:rPr>
        <w:outlineLvl w:val="0"/>
      </w:pPr>
      <w:r/>
      <w:bookmarkStart w:id="347" w:name="_Toc31509"/>
      <w:r/>
      <w:bookmarkStart w:id="348" w:name="_Toc10047"/>
      <w:r>
        <w:rPr>
          <w:b/>
          <w:bCs/>
          <w:color w:val="auto"/>
          <w:sz w:val="24"/>
          <w:highlight w:val="none"/>
        </w:rPr>
        <w:t xml:space="preserve">4. 甲方的权利和义务</w:t>
      </w:r>
      <w:bookmarkEnd w:id="347"/>
      <w:r/>
      <w:bookmarkEnd w:id="348"/>
      <w:r/>
      <w:r/>
    </w:p>
    <w:p>
      <w:pPr>
        <w:ind w:firstLine="420"/>
        <w:jc w:val="left"/>
        <w:spacing w:line="400" w:lineRule="exact"/>
        <w:rPr>
          <w:color w:val="auto"/>
          <w:highlight w:val="none"/>
        </w:rPr>
      </w:pPr>
      <w:r>
        <w:rPr>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auto"/>
          <w:highlight w:val="none"/>
        </w:rPr>
      </w:pPr>
      <w:r>
        <w:rPr>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auto"/>
          <w:highlight w:val="none"/>
        </w:rPr>
      </w:pPr>
      <w:r>
        <w:rPr>
          <w:color w:val="auto"/>
          <w:highlight w:val="none"/>
        </w:rPr>
        <w:t xml:space="preserve">4.3 甲方有权要求乙方对缺陷部分予以修复，并按合同约定享有货物保修及其他合同约定的权利。</w:t>
      </w:r>
      <w:r/>
    </w:p>
    <w:p>
      <w:pPr>
        <w:ind w:firstLine="420"/>
        <w:spacing w:line="400" w:lineRule="exact"/>
        <w:rPr>
          <w:rFonts w:eastAsia="华文楷体"/>
          <w:color w:val="auto"/>
          <w:highlight w:val="none"/>
        </w:rPr>
      </w:pPr>
      <w:r>
        <w:rPr>
          <w:color w:val="auto"/>
          <w:highlight w:val="none"/>
        </w:rPr>
        <w:t xml:space="preserve">4.4 甲方应当按照合同约定及时对交付的货物进行验收，未在</w:t>
      </w:r>
      <w:r>
        <w:rPr>
          <w:b/>
          <w:bCs/>
          <w:color w:val="auto"/>
          <w:highlight w:val="none"/>
        </w:rPr>
        <w:t xml:space="preserve">【政府采购合同专用条款】</w:t>
      </w:r>
      <w:r>
        <w:rPr>
          <w:color w:val="auto"/>
          <w:highlight w:val="none"/>
        </w:rPr>
        <w:t xml:space="preserve">约定的期限内对乙方履约提出任何异议或者向乙方作出任何说明的，视为验收通过。</w:t>
      </w:r>
      <w:r/>
    </w:p>
    <w:p>
      <w:pPr>
        <w:ind w:firstLine="420"/>
        <w:jc w:val="left"/>
        <w:spacing w:line="400" w:lineRule="exact"/>
        <w:rPr>
          <w:color w:val="auto"/>
          <w:highlight w:val="none"/>
        </w:rPr>
      </w:pPr>
      <w:r>
        <w:rPr>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color w:val="auto"/>
          <w:highlight w:val="none"/>
        </w:rPr>
      </w:pPr>
      <w:r>
        <w:rPr>
          <w:color w:val="auto"/>
          <w:highlight w:val="none"/>
        </w:rPr>
        <w:t xml:space="preserve">4.6 国家法律法规规定及</w:t>
      </w:r>
      <w:r>
        <w:rPr>
          <w:b/>
          <w:bCs/>
          <w:color w:val="auto"/>
          <w:highlight w:val="none"/>
        </w:rPr>
        <w:t xml:space="preserve">【政府采购合同专用条款】</w:t>
      </w:r>
      <w:r>
        <w:rPr>
          <w:color w:val="auto"/>
          <w:highlight w:val="none"/>
        </w:rPr>
        <w:t xml:space="preserve">约定应由甲方承担的其他义务和责任。</w:t>
      </w:r>
      <w:r/>
    </w:p>
    <w:p>
      <w:pPr>
        <w:jc w:val="left"/>
        <w:spacing w:line="400" w:lineRule="exact"/>
        <w:rPr>
          <w:b/>
          <w:bCs/>
          <w:color w:val="auto"/>
          <w:sz w:val="24"/>
          <w:highlight w:val="none"/>
        </w:rPr>
        <w:outlineLvl w:val="0"/>
      </w:pPr>
      <w:r/>
      <w:bookmarkStart w:id="349" w:name="_Toc14910"/>
      <w:r/>
      <w:bookmarkStart w:id="350" w:name="_Toc3760"/>
      <w:r>
        <w:rPr>
          <w:b/>
          <w:bCs/>
          <w:color w:val="auto"/>
          <w:sz w:val="24"/>
          <w:highlight w:val="none"/>
        </w:rPr>
        <w:t xml:space="preserve">5. 乙方的权利和义务</w:t>
      </w:r>
      <w:bookmarkEnd w:id="349"/>
      <w:r/>
      <w:bookmarkEnd w:id="350"/>
      <w:r/>
      <w:r/>
    </w:p>
    <w:p>
      <w:pPr>
        <w:ind w:firstLine="420"/>
        <w:jc w:val="left"/>
        <w:spacing w:line="400" w:lineRule="exact"/>
        <w:rPr>
          <w:color w:val="auto"/>
          <w:highlight w:val="none"/>
        </w:rPr>
      </w:pPr>
      <w:r>
        <w:rPr>
          <w:color w:val="auto"/>
          <w:highlight w:val="none"/>
        </w:rPr>
        <w:t xml:space="preserve">5.1 签署合同后，乙方应确定项目负责人（或项目联系人），负责与本合同有关的事务。</w:t>
      </w:r>
      <w:r/>
    </w:p>
    <w:p>
      <w:pPr>
        <w:ind w:firstLine="420"/>
        <w:jc w:val="left"/>
        <w:spacing w:line="400" w:lineRule="exact"/>
        <w:rPr>
          <w:color w:val="auto"/>
          <w:highlight w:val="none"/>
        </w:rPr>
      </w:pPr>
      <w:r>
        <w:rPr>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5"/>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5.3乙方有权根据合同约定向甲方收取合同价款。</w:t>
      </w:r>
      <w:r/>
    </w:p>
    <w:p>
      <w:pPr>
        <w:pStyle w:val="885"/>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5.4国家法律法规规定及</w:t>
      </w:r>
      <w:r>
        <w:rPr>
          <w:rFonts w:ascii="Times New Roman" w:eastAsia="宋体"/>
          <w:b/>
          <w:bCs/>
          <w:color w:val="auto"/>
          <w:sz w:val="21"/>
          <w:highlight w:val="none"/>
        </w:rPr>
        <w:t xml:space="preserve">【政府采购合同专用条款】</w:t>
      </w:r>
      <w:r>
        <w:rPr>
          <w:rFonts w:ascii="Times New Roman" w:eastAsia="宋体"/>
          <w:color w:val="auto"/>
          <w:sz w:val="21"/>
          <w:highlight w:val="none"/>
        </w:rPr>
        <w:t xml:space="preserve">约定应由乙方承担的其他义务和责任。</w:t>
      </w:r>
      <w:r/>
    </w:p>
    <w:p>
      <w:pPr>
        <w:numPr>
          <w:ilvl w:val="0"/>
          <w:numId w:val="12"/>
        </w:numPr>
        <w:jc w:val="left"/>
        <w:spacing w:line="400" w:lineRule="exact"/>
        <w:rPr>
          <w:b/>
          <w:bCs/>
          <w:color w:val="auto"/>
          <w:sz w:val="24"/>
          <w:highlight w:val="none"/>
        </w:rPr>
        <w:outlineLvl w:val="0"/>
      </w:pPr>
      <w:r/>
      <w:bookmarkStart w:id="351" w:name="_Toc23509"/>
      <w:r/>
      <w:bookmarkStart w:id="352" w:name="_Toc25287"/>
      <w:r>
        <w:rPr>
          <w:b/>
          <w:bCs/>
          <w:color w:val="auto"/>
          <w:sz w:val="24"/>
          <w:highlight w:val="none"/>
        </w:rPr>
        <w:t xml:space="preserve">合同履行</w:t>
      </w:r>
      <w:bookmarkEnd w:id="351"/>
      <w:r/>
      <w:bookmarkEnd w:id="352"/>
      <w:r/>
      <w:r/>
    </w:p>
    <w:p>
      <w:pPr>
        <w:ind w:firstLine="420"/>
        <w:jc w:val="left"/>
        <w:spacing w:line="400" w:lineRule="exact"/>
        <w:rPr>
          <w:color w:val="auto"/>
          <w:highlight w:val="none"/>
        </w:rPr>
      </w:pPr>
      <w:r>
        <w:rPr>
          <w:color w:val="auto"/>
          <w:highlight w:val="none"/>
        </w:rPr>
        <w:t xml:space="preserve">6.1 甲乙双方应当按照</w:t>
      </w:r>
      <w:r>
        <w:rPr>
          <w:b/>
          <w:bCs/>
          <w:color w:val="auto"/>
          <w:highlight w:val="none"/>
        </w:rPr>
        <w:t xml:space="preserve">【政府采购合同专用条款】</w:t>
      </w:r>
      <w:r>
        <w:rPr>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auto"/>
          <w:sz w:val="24"/>
          <w:highlight w:val="none"/>
        </w:rPr>
        <w:outlineLvl w:val="0"/>
      </w:pPr>
      <w:r/>
      <w:bookmarkStart w:id="353" w:name="_Toc31660"/>
      <w:r/>
      <w:bookmarkStart w:id="354" w:name="_Toc3475"/>
      <w:r>
        <w:rPr>
          <w:b/>
          <w:bCs/>
          <w:color w:val="auto"/>
          <w:sz w:val="24"/>
          <w:highlight w:val="none"/>
        </w:rPr>
        <w:t xml:space="preserve">7. 货物包装、运输、保险和交付要求</w:t>
      </w:r>
      <w:bookmarkEnd w:id="353"/>
      <w:r/>
      <w:bookmarkEnd w:id="354"/>
      <w:r/>
      <w:r/>
    </w:p>
    <w:p>
      <w:pPr>
        <w:ind w:firstLine="420"/>
        <w:jc w:val="left"/>
        <w:spacing w:line="400" w:lineRule="exact"/>
        <w:rPr>
          <w:color w:val="auto"/>
          <w:highlight w:val="none"/>
        </w:rPr>
      </w:pPr>
      <w:r>
        <w:rPr>
          <w:color w:val="auto"/>
          <w:highlight w:val="none"/>
        </w:rPr>
        <w:t xml:space="preserve">7.1 本合同</w:t>
      </w:r>
      <w:r>
        <w:rPr>
          <w:bCs/>
          <w:color w:val="auto"/>
          <w:highlight w:val="none"/>
        </w:rPr>
        <w:t xml:space="preserve">涉及商品包装、快递包装的，</w:t>
      </w:r>
      <w:r>
        <w:rPr>
          <w:color w:val="auto"/>
          <w:highlight w:val="none"/>
        </w:rPr>
        <w:t xml:space="preserve">除</w:t>
      </w:r>
      <w:r>
        <w:rPr>
          <w:b/>
          <w:color w:val="auto"/>
          <w:highlight w:val="none"/>
        </w:rPr>
        <w:t xml:space="preserve">【政府采购合同专用条款】</w:t>
      </w:r>
      <w:r>
        <w:rPr>
          <w:bCs/>
          <w:color w:val="auto"/>
          <w:highlight w:val="none"/>
        </w:rPr>
        <w:t xml:space="preserve">另有约定外，</w:t>
      </w:r>
      <w:r>
        <w:rPr>
          <w:color w:val="auto"/>
          <w:highlight w:val="none"/>
        </w:rPr>
        <w:t xml:space="preserve">包装应适应远距离运输、防潮、防震、防锈和防野蛮装卸等要求，确保货物安全无损地运抵</w:t>
      </w:r>
      <w:r>
        <w:rPr>
          <w:b/>
          <w:color w:val="auto"/>
          <w:highlight w:val="none"/>
        </w:rPr>
        <w:t xml:space="preserve">【政府采购合同专用条款】</w:t>
      </w:r>
      <w:r>
        <w:rPr>
          <w:bCs/>
          <w:color w:val="auto"/>
          <w:highlight w:val="none"/>
        </w:rPr>
        <w:t xml:space="preserve">约定的</w:t>
      </w:r>
      <w:r>
        <w:rPr>
          <w:color w:val="auto"/>
          <w:highlight w:val="none"/>
        </w:rPr>
        <w:t xml:space="preserve">指定现场。</w:t>
      </w:r>
      <w:r/>
    </w:p>
    <w:p>
      <w:pPr>
        <w:ind w:firstLine="420"/>
        <w:jc w:val="left"/>
        <w:spacing w:line="400" w:lineRule="exact"/>
        <w:rPr>
          <w:color w:val="auto"/>
          <w:highlight w:val="none"/>
        </w:rPr>
      </w:pPr>
      <w:r>
        <w:rPr>
          <w:color w:val="auto"/>
          <w:highlight w:val="none"/>
        </w:rPr>
        <w:t xml:space="preserve">7.2 除</w:t>
      </w:r>
      <w:r>
        <w:rPr>
          <w:b/>
          <w:color w:val="auto"/>
          <w:highlight w:val="none"/>
        </w:rPr>
        <w:t xml:space="preserve">【政府采购合同专用条款】</w:t>
      </w:r>
      <w:r>
        <w:rPr>
          <w:bCs/>
          <w:color w:val="auto"/>
          <w:highlight w:val="none"/>
        </w:rPr>
        <w:t xml:space="preserve">另有约定外，</w:t>
      </w:r>
      <w:r>
        <w:rPr>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color w:val="auto"/>
          <w:highlight w:val="none"/>
        </w:rPr>
      </w:pPr>
      <w:r>
        <w:rPr>
          <w:color w:val="auto"/>
          <w:highlight w:val="none"/>
        </w:rPr>
        <w:t xml:space="preserve">7.3 货物保险要求按</w:t>
      </w:r>
      <w:r>
        <w:rPr>
          <w:b/>
          <w:color w:val="auto"/>
          <w:highlight w:val="none"/>
        </w:rPr>
        <w:t xml:space="preserve">【政府采购合同专用条款】</w:t>
      </w:r>
      <w:r>
        <w:rPr>
          <w:bCs/>
          <w:color w:val="auto"/>
          <w:highlight w:val="none"/>
        </w:rPr>
        <w:t xml:space="preserve">规定执行</w:t>
      </w:r>
      <w:r>
        <w:rPr>
          <w:color w:val="auto"/>
          <w:highlight w:val="none"/>
        </w:rPr>
        <w:t xml:space="preserve">。</w:t>
      </w:r>
      <w:r/>
    </w:p>
    <w:p>
      <w:pPr>
        <w:ind w:firstLine="420"/>
        <w:jc w:val="left"/>
        <w:spacing w:line="400" w:lineRule="exact"/>
        <w:rPr>
          <w:color w:val="auto"/>
          <w:highlight w:val="none"/>
        </w:rPr>
      </w:pPr>
      <w:r>
        <w:rPr>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auto"/>
          <w:highlight w:val="none"/>
        </w:rPr>
      </w:pPr>
      <w:r>
        <w:rPr>
          <w:color w:val="auto"/>
          <w:highlight w:val="none"/>
        </w:rPr>
        <w:t xml:space="preserve">7.5 乙方在运输到达之前应提前通知甲方，并提示货物运输装卸的注意事项，甲方配合乙方做好货物的接收工作。</w:t>
      </w:r>
      <w:r/>
    </w:p>
    <w:p>
      <w:pPr>
        <w:pStyle w:val="1222"/>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b/>
          <w:color w:val="auto"/>
          <w:sz w:val="24"/>
          <w:highlight w:val="none"/>
        </w:rPr>
        <w:outlineLvl w:val="0"/>
      </w:pPr>
      <w:r/>
      <w:bookmarkStart w:id="355" w:name="_Toc4419"/>
      <w:r/>
      <w:bookmarkStart w:id="356" w:name="_Toc23721"/>
      <w:r>
        <w:rPr>
          <w:b/>
          <w:color w:val="auto"/>
          <w:sz w:val="24"/>
          <w:highlight w:val="none"/>
        </w:rPr>
        <w:t xml:space="preserve">8. 质量标准和保证</w:t>
      </w:r>
      <w:bookmarkEnd w:id="355"/>
      <w:r/>
      <w:bookmarkEnd w:id="356"/>
      <w:r/>
      <w:r/>
    </w:p>
    <w:p>
      <w:pPr>
        <w:pStyle w:val="889"/>
        <w:ind w:firstLine="420"/>
        <w:jc w:val="left"/>
        <w:spacing w:line="400" w:lineRule="exact"/>
        <w:rPr>
          <w:rFonts w:ascii="Times New Roman" w:hAnsi="Times New Roman" w:cs="Times New Roman"/>
          <w:b/>
          <w:color w:val="auto"/>
          <w:highlight w:val="none"/>
        </w:rPr>
      </w:pPr>
      <w:r>
        <w:rPr>
          <w:rFonts w:ascii="Times New Roman" w:hAnsi="Times New Roman" w:cs="Times New Roman"/>
          <w:color w:val="auto"/>
          <w:highlight w:val="none"/>
        </w:rPr>
        <w:t xml:space="preserve">8.1 质量标准</w:t>
      </w:r>
      <w:r/>
    </w:p>
    <w:p>
      <w:pPr>
        <w:ind w:firstLine="420"/>
        <w:jc w:val="left"/>
        <w:spacing w:line="400" w:lineRule="exact"/>
        <w:rPr>
          <w:color w:val="auto"/>
          <w:highlight w:val="none"/>
        </w:rPr>
      </w:pPr>
      <w:r>
        <w:rPr>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9"/>
        <w:ind w:firstLine="420"/>
        <w:jc w:val="left"/>
        <w:spacing w:line="400" w:lineRule="exact"/>
        <w:rPr>
          <w:rFonts w:ascii="Times New Roman" w:hAnsi="Times New Roman" w:cs="Times New Roman"/>
          <w:color w:val="auto"/>
          <w:highlight w:val="none"/>
        </w:rPr>
      </w:pPr>
      <w:r>
        <w:rPr>
          <w:rFonts w:ascii="Times New Roman" w:hAnsi="Times New Roman" w:cs="Times New Roman"/>
          <w:color w:val="auto"/>
          <w:highlight w:val="none"/>
        </w:rPr>
        <w:t xml:space="preserve">（2）采用中华人民共和国法定计量单位。</w:t>
      </w:r>
      <w:r/>
    </w:p>
    <w:p>
      <w:pPr>
        <w:ind w:firstLine="420"/>
        <w:jc w:val="left"/>
        <w:spacing w:line="400" w:lineRule="exact"/>
        <w:rPr>
          <w:color w:val="auto"/>
          <w:highlight w:val="none"/>
        </w:rPr>
      </w:pPr>
      <w:r>
        <w:rPr>
          <w:color w:val="auto"/>
          <w:highlight w:val="none"/>
        </w:rPr>
        <w:t xml:space="preserve">（3）乙方所提供的货物应符合国家有关安全、环保、卫生的规定。</w:t>
      </w:r>
      <w:r/>
    </w:p>
    <w:p>
      <w:pPr>
        <w:ind w:firstLine="420"/>
        <w:jc w:val="left"/>
        <w:spacing w:line="400" w:lineRule="exact"/>
        <w:rPr>
          <w:color w:val="auto"/>
          <w:highlight w:val="none"/>
        </w:rPr>
      </w:pPr>
      <w:r>
        <w:rPr>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color w:val="auto"/>
          <w:highlight w:val="none"/>
        </w:rPr>
      </w:pPr>
      <w:r>
        <w:rPr>
          <w:color w:val="auto"/>
          <w:highlight w:val="none"/>
        </w:rPr>
        <w:t xml:space="preserve">8.2 保证</w:t>
      </w:r>
      <w:r/>
    </w:p>
    <w:p>
      <w:pPr>
        <w:ind w:firstLine="420"/>
        <w:jc w:val="left"/>
        <w:spacing w:line="400" w:lineRule="exact"/>
        <w:rPr>
          <w:color w:val="auto"/>
          <w:highlight w:val="none"/>
        </w:rPr>
      </w:pPr>
      <w:r>
        <w:rPr>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color w:val="auto"/>
          <w:highlight w:val="none"/>
        </w:rPr>
        <w:t xml:space="preserve">【政府采购合同专用条款】</w:t>
      </w:r>
      <w:r>
        <w:rPr>
          <w:color w:val="auto"/>
          <w:highlight w:val="none"/>
        </w:rPr>
        <w:t xml:space="preserve">规定或乙方书面承诺（两者以较长的为准）的质量保证期内，本保证保持有效。</w:t>
      </w:r>
      <w:r/>
    </w:p>
    <w:p>
      <w:pPr>
        <w:ind w:firstLine="420"/>
        <w:jc w:val="left"/>
        <w:spacing w:line="400" w:lineRule="exact"/>
        <w:rPr>
          <w:color w:val="auto"/>
          <w:highlight w:val="none"/>
        </w:rPr>
      </w:pPr>
      <w:r>
        <w:rPr>
          <w:color w:val="auto"/>
          <w:highlight w:val="none"/>
        </w:rPr>
        <w:t xml:space="preserve">（2）在质量保证期内所发现的缺陷，甲方应尽快以书面形式通知乙方。</w:t>
      </w:r>
      <w:r/>
    </w:p>
    <w:p>
      <w:pPr>
        <w:ind w:firstLine="420"/>
        <w:jc w:val="left"/>
        <w:spacing w:line="400" w:lineRule="exact"/>
        <w:rPr>
          <w:color w:val="auto"/>
          <w:highlight w:val="none"/>
        </w:rPr>
      </w:pPr>
      <w:r>
        <w:rPr>
          <w:color w:val="auto"/>
          <w:highlight w:val="none"/>
        </w:rPr>
        <w:t xml:space="preserve">（3）乙方收到通知后，应在</w:t>
      </w:r>
      <w:r>
        <w:rPr>
          <w:b/>
          <w:color w:val="auto"/>
          <w:highlight w:val="none"/>
        </w:rPr>
        <w:t xml:space="preserve">【政府采购合同专用条款】</w:t>
      </w:r>
      <w:r>
        <w:rPr>
          <w:color w:val="auto"/>
          <w:highlight w:val="none"/>
        </w:rPr>
        <w:t xml:space="preserve">规定的响应时间内以合理的速度免费维修或更换有缺陷的货物或部件。</w:t>
      </w:r>
      <w:r/>
    </w:p>
    <w:p>
      <w:pPr>
        <w:ind w:firstLine="420"/>
        <w:jc w:val="left"/>
        <w:spacing w:line="400" w:lineRule="exact"/>
        <w:rPr>
          <w:color w:val="auto"/>
          <w:highlight w:val="none"/>
        </w:rPr>
      </w:pPr>
      <w:r>
        <w:rPr>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b/>
          <w:bCs/>
          <w:color w:val="auto"/>
          <w:sz w:val="24"/>
          <w:highlight w:val="none"/>
        </w:rPr>
        <w:outlineLvl w:val="0"/>
      </w:pPr>
      <w:r/>
      <w:bookmarkStart w:id="357" w:name="_Toc4180"/>
      <w:r/>
      <w:bookmarkStart w:id="358" w:name="_Toc2792"/>
      <w:r>
        <w:rPr>
          <w:b/>
          <w:bCs/>
          <w:color w:val="auto"/>
          <w:sz w:val="24"/>
          <w:highlight w:val="none"/>
        </w:rPr>
        <w:t xml:space="preserve">9. 权利瑕疵担保</w:t>
      </w:r>
      <w:bookmarkEnd w:id="357"/>
      <w:r/>
      <w:bookmarkEnd w:id="358"/>
      <w:r/>
      <w:r/>
    </w:p>
    <w:p>
      <w:pPr>
        <w:ind w:firstLine="420"/>
        <w:jc w:val="left"/>
        <w:spacing w:line="400" w:lineRule="exact"/>
        <w:rPr>
          <w:color w:val="auto"/>
          <w:highlight w:val="none"/>
        </w:rPr>
      </w:pPr>
      <w:r>
        <w:rPr>
          <w:color w:val="auto"/>
          <w:highlight w:val="none"/>
        </w:rPr>
        <w:t xml:space="preserve">9.1 乙方保证对其出售的货物享有合法的权利。</w:t>
      </w:r>
      <w:r/>
    </w:p>
    <w:p>
      <w:pPr>
        <w:ind w:firstLine="420"/>
        <w:jc w:val="left"/>
        <w:spacing w:line="400" w:lineRule="exact"/>
        <w:rPr>
          <w:color w:val="auto"/>
          <w:highlight w:val="none"/>
        </w:rPr>
      </w:pPr>
      <w:r>
        <w:rPr>
          <w:color w:val="auto"/>
          <w:highlight w:val="none"/>
        </w:rPr>
        <w:t xml:space="preserve">9.2 </w:t>
      </w:r>
      <w:r>
        <w:rPr>
          <w:color w:val="auto"/>
          <w:szCs w:val="15"/>
          <w:highlight w:val="none"/>
        </w:rPr>
        <w:t xml:space="preserve">乙方保证在交付的货物上不存在抵押权等担保物权。</w:t>
      </w:r>
      <w:r/>
    </w:p>
    <w:p>
      <w:pPr>
        <w:ind w:firstLine="420"/>
        <w:jc w:val="left"/>
        <w:spacing w:line="400" w:lineRule="exact"/>
        <w:rPr>
          <w:color w:val="auto"/>
          <w:highlight w:val="none"/>
        </w:rPr>
      </w:pPr>
      <w:r>
        <w:rPr>
          <w:color w:val="auto"/>
          <w:highlight w:val="none"/>
        </w:rPr>
        <w:t xml:space="preserve">9.3 如甲方使用上述货物构成对第三人侵权的，则由乙方承担全部责任。</w:t>
      </w:r>
      <w:r/>
    </w:p>
    <w:p>
      <w:pPr>
        <w:jc w:val="left"/>
        <w:spacing w:line="400" w:lineRule="exact"/>
        <w:rPr>
          <w:b/>
          <w:bCs/>
          <w:color w:val="auto"/>
          <w:sz w:val="24"/>
          <w:highlight w:val="none"/>
        </w:rPr>
        <w:outlineLvl w:val="0"/>
      </w:pPr>
      <w:r/>
      <w:bookmarkStart w:id="359" w:name="_Toc13839"/>
      <w:r/>
      <w:bookmarkStart w:id="360" w:name="_Toc20434"/>
      <w:r>
        <w:rPr>
          <w:b/>
          <w:bCs/>
          <w:color w:val="auto"/>
          <w:sz w:val="24"/>
          <w:highlight w:val="none"/>
        </w:rPr>
        <w:t xml:space="preserve">10. 知识产权保护</w:t>
      </w:r>
      <w:bookmarkEnd w:id="359"/>
      <w:r/>
      <w:bookmarkEnd w:id="360"/>
      <w:r/>
      <w:r/>
    </w:p>
    <w:p>
      <w:pPr>
        <w:ind w:firstLine="420"/>
        <w:jc w:val="left"/>
        <w:spacing w:line="400" w:lineRule="exact"/>
        <w:rPr>
          <w:color w:val="auto"/>
          <w:highlight w:val="none"/>
        </w:rPr>
      </w:pPr>
      <w:r>
        <w:rPr>
          <w:color w:val="auto"/>
          <w:highlight w:val="none"/>
        </w:rPr>
        <w:t xml:space="preserve">10.1 乙方对其所销售的货物应当享有知识产权或经权利人合法授权，保证没有侵犯任何第三人的知识产权等权利。</w:t>
      </w:r>
      <w:bookmarkStart w:id="361" w:name="_Hlk163047038"/>
      <w:r>
        <w:rPr>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61"/>
      <w:r>
        <w:rPr>
          <w:color w:val="auto"/>
          <w:highlight w:val="none"/>
        </w:rPr>
        <w:t xml:space="preserve">。</w:t>
      </w:r>
      <w:r/>
    </w:p>
    <w:p>
      <w:pPr>
        <w:jc w:val="left"/>
        <w:spacing w:line="400" w:lineRule="exact"/>
        <w:rPr>
          <w:b/>
          <w:bCs/>
          <w:color w:val="auto"/>
          <w:sz w:val="24"/>
          <w:highlight w:val="none"/>
        </w:rPr>
        <w:outlineLvl w:val="0"/>
      </w:pPr>
      <w:r/>
      <w:bookmarkStart w:id="362" w:name="_Toc27533"/>
      <w:r/>
      <w:bookmarkStart w:id="363" w:name="_Toc29891"/>
      <w:r>
        <w:rPr>
          <w:b/>
          <w:bCs/>
          <w:color w:val="auto"/>
          <w:sz w:val="24"/>
          <w:highlight w:val="none"/>
        </w:rPr>
        <w:t xml:space="preserve">11. 保密义务</w:t>
      </w:r>
      <w:bookmarkEnd w:id="362"/>
      <w:r/>
      <w:bookmarkEnd w:id="363"/>
      <w:r/>
      <w:r/>
    </w:p>
    <w:p>
      <w:pPr>
        <w:ind w:firstLine="420"/>
        <w:jc w:val="left"/>
        <w:spacing w:line="400" w:lineRule="exact"/>
        <w:rPr>
          <w:color w:val="auto"/>
          <w:szCs w:val="15"/>
          <w:highlight w:val="none"/>
        </w:rPr>
      </w:pPr>
      <w:r>
        <w:rPr>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color w:val="auto"/>
          <w:szCs w:val="15"/>
          <w:highlight w:val="none"/>
        </w:rPr>
        <w:t xml:space="preserve">【政府采购合同专用条款】</w:t>
      </w:r>
      <w:r>
        <w:rPr>
          <w:color w:val="auto"/>
          <w:szCs w:val="15"/>
          <w:highlight w:val="none"/>
        </w:rPr>
        <w:t xml:space="preserve">中约定。</w:t>
      </w:r>
      <w:r/>
    </w:p>
    <w:p>
      <w:pPr>
        <w:jc w:val="left"/>
        <w:spacing w:line="400" w:lineRule="exact"/>
        <w:rPr>
          <w:b/>
          <w:bCs/>
          <w:color w:val="auto"/>
          <w:sz w:val="24"/>
          <w:highlight w:val="none"/>
        </w:rPr>
        <w:outlineLvl w:val="0"/>
      </w:pPr>
      <w:r/>
      <w:bookmarkStart w:id="364" w:name="_Toc3233"/>
      <w:r/>
      <w:bookmarkStart w:id="365" w:name="_Toc7913"/>
      <w:r>
        <w:rPr>
          <w:b/>
          <w:bCs/>
          <w:color w:val="auto"/>
          <w:sz w:val="24"/>
          <w:highlight w:val="none"/>
        </w:rPr>
        <w:t xml:space="preserve">12. 合同价款支付</w:t>
      </w:r>
      <w:bookmarkEnd w:id="364"/>
      <w:r/>
      <w:bookmarkEnd w:id="365"/>
      <w:r/>
      <w:r/>
    </w:p>
    <w:p>
      <w:pPr>
        <w:ind w:firstLine="420"/>
        <w:jc w:val="left"/>
        <w:spacing w:line="400" w:lineRule="exact"/>
        <w:rPr>
          <w:color w:val="auto"/>
          <w:highlight w:val="none"/>
        </w:rPr>
      </w:pPr>
      <w:r>
        <w:rPr>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color w:val="auto"/>
          <w:highlight w:val="none"/>
        </w:rPr>
        <w:t xml:space="preserve">政府采购合同专用条款</w:t>
      </w:r>
      <w:r>
        <w:rPr>
          <w:color w:val="auto"/>
          <w:highlight w:val="none"/>
        </w:rPr>
        <w:t xml:space="preserve">】中约定。</w:t>
      </w:r>
      <w:r/>
    </w:p>
    <w:p>
      <w:pPr>
        <w:pStyle w:val="885"/>
        <w:spacing w:line="400" w:lineRule="exact"/>
        <w:rPr>
          <w:rFonts w:ascii="Times New Roman" w:eastAsia="宋体"/>
          <w:b/>
          <w:bCs/>
          <w:color w:val="auto"/>
          <w:sz w:val="24"/>
          <w:highlight w:val="none"/>
        </w:rPr>
        <w:outlineLvl w:val="0"/>
      </w:pPr>
      <w:r/>
      <w:bookmarkStart w:id="366" w:name="_Toc19428"/>
      <w:r/>
      <w:bookmarkStart w:id="367" w:name="_Toc29065"/>
      <w:r>
        <w:rPr>
          <w:rFonts w:ascii="Times New Roman" w:eastAsia="宋体"/>
          <w:b/>
          <w:bCs/>
          <w:color w:val="auto"/>
          <w:sz w:val="24"/>
          <w:highlight w:val="none"/>
        </w:rPr>
        <w:t xml:space="preserve">13. 履约保证金</w:t>
      </w:r>
      <w:bookmarkEnd w:id="366"/>
      <w:r/>
      <w:bookmarkEnd w:id="367"/>
      <w:r/>
      <w:r/>
    </w:p>
    <w:p>
      <w:pPr>
        <w:ind w:firstLine="420"/>
        <w:jc w:val="left"/>
        <w:spacing w:line="400" w:lineRule="exact"/>
        <w:rPr>
          <w:color w:val="auto"/>
          <w:highlight w:val="none"/>
        </w:rPr>
      </w:pPr>
      <w:r>
        <w:rPr>
          <w:color w:val="auto"/>
          <w:highlight w:val="none"/>
        </w:rPr>
        <w:t xml:space="preserve">13.1 乙方</w:t>
      </w:r>
      <w:r>
        <w:rPr>
          <w:color w:val="auto"/>
          <w:highlight w:val="none"/>
          <w:lang w:val="zh-CN"/>
        </w:rPr>
        <w:t xml:space="preserve">除银行电汇、网上银行、数字人民币外，</w:t>
      </w:r>
      <w:r>
        <w:rPr>
          <w:color w:val="auto"/>
          <w:highlight w:val="none"/>
        </w:rPr>
        <w:t xml:space="preserve">乙方</w:t>
      </w:r>
      <w:r>
        <w:rPr>
          <w:color w:val="auto"/>
          <w:highlight w:val="none"/>
          <w:lang w:val="zh-CN"/>
        </w:rPr>
        <w:t xml:space="preserve">还可选用银行保函、担保公司的保证担保或保险公司的保证保险、等多种形式向</w:t>
      </w:r>
      <w:r>
        <w:rPr>
          <w:color w:val="auto"/>
          <w:highlight w:val="none"/>
        </w:rPr>
        <w:t xml:space="preserve">甲方提交。</w:t>
      </w:r>
      <w:r/>
    </w:p>
    <w:p>
      <w:pPr>
        <w:ind w:firstLine="420"/>
        <w:jc w:val="left"/>
        <w:spacing w:line="400" w:lineRule="exact"/>
        <w:rPr>
          <w:color w:val="auto"/>
          <w:highlight w:val="none"/>
        </w:rPr>
      </w:pPr>
      <w:r>
        <w:rPr>
          <w:color w:val="auto"/>
          <w:highlight w:val="none"/>
        </w:rPr>
        <w:t xml:space="preserve">13.2 如果乙方出现</w:t>
      </w:r>
      <w:r>
        <w:rPr>
          <w:b/>
          <w:bCs/>
          <w:color w:val="auto"/>
          <w:szCs w:val="15"/>
          <w:highlight w:val="none"/>
        </w:rPr>
        <w:t xml:space="preserve">【政府采购合同专用条款】</w:t>
      </w:r>
      <w:r>
        <w:rPr>
          <w:color w:val="auto"/>
          <w:szCs w:val="15"/>
          <w:highlight w:val="none"/>
        </w:rPr>
        <w:t xml:space="preserve">约定情形的</w:t>
      </w:r>
      <w:r>
        <w:rPr>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color w:val="auto"/>
          <w:highlight w:val="none"/>
        </w:rPr>
        <w:t xml:space="preserve">13.3 甲方在项目通过验收后按照</w:t>
      </w:r>
      <w:r>
        <w:rPr>
          <w:b/>
          <w:color w:val="auto"/>
          <w:highlight w:val="none"/>
        </w:rPr>
        <w:t xml:space="preserve">【政府采购合同专用条款】</w:t>
      </w:r>
      <w:r>
        <w:rPr>
          <w:color w:val="auto"/>
          <w:highlight w:val="none"/>
        </w:rPr>
        <w:t xml:space="preserve">规定的时间内将履约保证金退还乙方；逾期退还的，乙方可要求甲方支付违约金，违约金按照</w:t>
      </w:r>
      <w:r>
        <w:rPr>
          <w:b/>
          <w:color w:val="auto"/>
          <w:highlight w:val="none"/>
        </w:rPr>
        <w:t xml:space="preserve">【政府采购合同专用条款】</w:t>
      </w:r>
      <w:r>
        <w:rPr>
          <w:color w:val="auto"/>
          <w:highlight w:val="none"/>
        </w:rPr>
        <w:t xml:space="preserve">规定支付。</w:t>
      </w:r>
      <w:r/>
    </w:p>
    <w:p>
      <w:pPr>
        <w:jc w:val="left"/>
        <w:spacing w:line="400" w:lineRule="exact"/>
        <w:rPr>
          <w:b/>
          <w:color w:val="auto"/>
          <w:sz w:val="24"/>
          <w:highlight w:val="none"/>
        </w:rPr>
        <w:outlineLvl w:val="0"/>
      </w:pPr>
      <w:r/>
      <w:bookmarkStart w:id="368" w:name="_Toc26659"/>
      <w:r/>
      <w:bookmarkStart w:id="369" w:name="_Toc15258"/>
      <w:r>
        <w:rPr>
          <w:b/>
          <w:bCs/>
          <w:color w:val="auto"/>
          <w:sz w:val="24"/>
          <w:highlight w:val="none"/>
        </w:rPr>
        <w:t xml:space="preserve">14. </w:t>
      </w:r>
      <w:r>
        <w:rPr>
          <w:b/>
          <w:color w:val="auto"/>
          <w:sz w:val="24"/>
          <w:highlight w:val="none"/>
        </w:rPr>
        <w:t xml:space="preserve">售后服务</w:t>
      </w:r>
      <w:bookmarkEnd w:id="368"/>
      <w:r/>
      <w:bookmarkEnd w:id="369"/>
      <w:r/>
      <w:r/>
    </w:p>
    <w:p>
      <w:pPr>
        <w:ind w:firstLine="420"/>
        <w:jc w:val="left"/>
        <w:spacing w:line="400" w:lineRule="exact"/>
        <w:rPr>
          <w:color w:val="auto"/>
          <w:highlight w:val="none"/>
        </w:rPr>
      </w:pPr>
      <w:r>
        <w:rPr>
          <w:color w:val="auto"/>
          <w:highlight w:val="none"/>
        </w:rPr>
        <w:t xml:space="preserve">14.1 除项目不涉及或采购活动中明确约定无须承担外，乙方还应提供下列服务：</w:t>
      </w:r>
      <w:r/>
    </w:p>
    <w:p>
      <w:pPr>
        <w:ind w:firstLine="420"/>
        <w:jc w:val="left"/>
        <w:spacing w:line="400" w:lineRule="exact"/>
        <w:rPr>
          <w:color w:val="auto"/>
          <w:highlight w:val="none"/>
        </w:rPr>
      </w:pPr>
      <w:r>
        <w:rPr>
          <w:color w:val="auto"/>
          <w:highlight w:val="none"/>
        </w:rPr>
        <w:t xml:space="preserve">（1）货物的现场移动、安装、调试、启动监督及技术支持；</w:t>
      </w:r>
      <w:r/>
    </w:p>
    <w:p>
      <w:pPr>
        <w:ind w:firstLine="420"/>
        <w:jc w:val="left"/>
        <w:spacing w:line="400" w:lineRule="exact"/>
        <w:rPr>
          <w:color w:val="auto"/>
          <w:highlight w:val="none"/>
        </w:rPr>
      </w:pPr>
      <w:r>
        <w:rPr>
          <w:color w:val="auto"/>
          <w:highlight w:val="none"/>
        </w:rPr>
        <w:t xml:space="preserve">（2）提供货物组装和维修所需的专用工具和辅助材料；</w:t>
      </w:r>
      <w:r/>
    </w:p>
    <w:p>
      <w:pPr>
        <w:ind w:firstLine="420"/>
        <w:jc w:val="left"/>
        <w:spacing w:line="400" w:lineRule="exact"/>
        <w:rPr>
          <w:color w:val="auto"/>
          <w:highlight w:val="none"/>
        </w:rPr>
      </w:pPr>
      <w:r>
        <w:rPr>
          <w:color w:val="auto"/>
          <w:highlight w:val="none"/>
        </w:rPr>
        <w:t xml:space="preserve">（3）在</w:t>
      </w:r>
      <w:r>
        <w:rPr>
          <w:b/>
          <w:bCs/>
          <w:color w:val="auto"/>
          <w:szCs w:val="15"/>
          <w:highlight w:val="none"/>
        </w:rPr>
        <w:t xml:space="preserve">【政府采购合同专用条款】</w:t>
      </w:r>
      <w:r>
        <w:rPr>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color w:val="auto"/>
          <w:highlight w:val="none"/>
        </w:rPr>
      </w:pPr>
      <w:r>
        <w:rPr>
          <w:color w:val="auto"/>
          <w:highlight w:val="none"/>
        </w:rPr>
        <w:t xml:space="preserve">（4）在制造商所在地或指定现场就货物的安装、启动、运营、维护、废弃处置等对甲方操作人员进行培训</w:t>
      </w:r>
      <w:r>
        <w:rPr>
          <w:color w:val="auto"/>
          <w:szCs w:val="15"/>
          <w:highlight w:val="none"/>
        </w:rPr>
        <w:t xml:space="preserve">；</w:t>
      </w:r>
      <w:r/>
    </w:p>
    <w:p>
      <w:pPr>
        <w:pStyle w:val="1222"/>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（5）依照法律、行政法规的规定或者按照</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color w:val="auto"/>
          <w:highlight w:val="none"/>
        </w:rPr>
      </w:pPr>
      <w:r>
        <w:rPr>
          <w:color w:val="auto"/>
          <w:highlight w:val="none"/>
        </w:rPr>
        <w:t xml:space="preserve">（6）</w:t>
      </w:r>
      <w:r>
        <w:rPr>
          <w:b/>
          <w:color w:val="auto"/>
          <w:highlight w:val="none"/>
        </w:rPr>
        <w:t xml:space="preserve">【政府采购合同专用条款】</w:t>
      </w:r>
      <w:r>
        <w:rPr>
          <w:color w:val="auto"/>
          <w:highlight w:val="none"/>
        </w:rPr>
        <w:t xml:space="preserve">规定由乙方提供的其他服务。</w:t>
      </w:r>
      <w:r/>
    </w:p>
    <w:p>
      <w:pPr>
        <w:ind w:firstLine="420"/>
        <w:jc w:val="left"/>
        <w:spacing w:line="400" w:lineRule="exact"/>
        <w:rPr>
          <w:color w:val="auto"/>
          <w:highlight w:val="none"/>
        </w:rPr>
      </w:pPr>
      <w:r>
        <w:rPr>
          <w:color w:val="auto"/>
          <w:highlight w:val="none"/>
        </w:rPr>
        <w:t xml:space="preserve">14.2 乙方提供的售后服务的费用已包含在合同价款中，甲方不再另行支付。</w:t>
      </w:r>
      <w:r/>
    </w:p>
    <w:p>
      <w:pPr>
        <w:jc w:val="left"/>
        <w:spacing w:line="400" w:lineRule="exact"/>
        <w:rPr>
          <w:b/>
          <w:bCs/>
          <w:color w:val="auto"/>
          <w:sz w:val="24"/>
          <w:highlight w:val="none"/>
        </w:rPr>
        <w:outlineLvl w:val="0"/>
      </w:pPr>
      <w:r/>
      <w:bookmarkStart w:id="370" w:name="_Toc16252"/>
      <w:r/>
      <w:bookmarkStart w:id="371" w:name="_Toc31108"/>
      <w:r>
        <w:rPr>
          <w:b/>
          <w:bCs/>
          <w:color w:val="auto"/>
          <w:sz w:val="24"/>
          <w:highlight w:val="none"/>
        </w:rPr>
        <w:t xml:space="preserve">15. 违约责任</w:t>
      </w:r>
      <w:bookmarkEnd w:id="370"/>
      <w:r/>
      <w:bookmarkEnd w:id="371"/>
      <w:r/>
      <w:r/>
    </w:p>
    <w:p>
      <w:pPr>
        <w:ind w:firstLine="420"/>
        <w:jc w:val="left"/>
        <w:spacing w:line="400" w:lineRule="exact"/>
        <w:rPr>
          <w:bCs/>
          <w:color w:val="auto"/>
          <w:highlight w:val="none"/>
        </w:rPr>
      </w:pPr>
      <w:r>
        <w:rPr>
          <w:bCs/>
          <w:color w:val="auto"/>
          <w:highlight w:val="none"/>
        </w:rPr>
        <w:t xml:space="preserve">15.1质量瑕疵的违约责任</w:t>
      </w:r>
      <w:r/>
    </w:p>
    <w:p>
      <w:pPr>
        <w:ind w:firstLine="420"/>
        <w:jc w:val="left"/>
        <w:spacing w:line="400" w:lineRule="exact"/>
        <w:rPr>
          <w:color w:val="auto"/>
          <w:highlight w:val="none"/>
        </w:rPr>
      </w:pPr>
      <w:r>
        <w:rPr>
          <w:color w:val="auto"/>
          <w:highlight w:val="none"/>
        </w:rPr>
        <w:t xml:space="preserve">乙方提供的产品不符合合同约定的质量标准或存在产品质量缺陷，甲方有权要求乙方根据</w:t>
      </w:r>
      <w:r>
        <w:rPr>
          <w:b/>
          <w:color w:val="auto"/>
          <w:highlight w:val="none"/>
        </w:rPr>
        <w:t xml:space="preserve">【政府采购合同专用条款】</w:t>
      </w:r>
      <w:r>
        <w:rPr>
          <w:bCs/>
          <w:color w:val="auto"/>
          <w:highlight w:val="none"/>
        </w:rPr>
        <w:t xml:space="preserve">要求</w:t>
      </w:r>
      <w:r>
        <w:rPr>
          <w:color w:val="auto"/>
          <w:highlight w:val="none"/>
        </w:rPr>
        <w:t xml:space="preserve">及时修理、重作、更换，并承担由此给甲方造成的损失。</w:t>
      </w:r>
      <w:r/>
    </w:p>
    <w:p>
      <w:pPr>
        <w:ind w:firstLine="420"/>
        <w:jc w:val="left"/>
        <w:spacing w:line="400" w:lineRule="exact"/>
        <w:rPr>
          <w:bCs/>
          <w:color w:val="auto"/>
          <w:highlight w:val="none"/>
        </w:rPr>
      </w:pPr>
      <w:r>
        <w:rPr>
          <w:bCs/>
          <w:color w:val="auto"/>
          <w:highlight w:val="none"/>
        </w:rPr>
        <w:t xml:space="preserve">15.2 迟延交货的违约责任</w:t>
      </w:r>
      <w:r/>
    </w:p>
    <w:p>
      <w:pPr>
        <w:ind w:firstLine="420"/>
        <w:jc w:val="left"/>
        <w:spacing w:line="400" w:lineRule="exact"/>
        <w:rPr>
          <w:color w:val="auto"/>
          <w:highlight w:val="none"/>
        </w:rPr>
      </w:pPr>
      <w:r>
        <w:rPr>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color w:val="auto"/>
          <w:highlight w:val="none"/>
        </w:rPr>
      </w:pPr>
      <w:r>
        <w:rPr>
          <w:color w:val="auto"/>
          <w:highlight w:val="none"/>
        </w:rPr>
        <w:t xml:space="preserve">（2）如果乙方没有按照合同规定的时间交货和提供相关服务，甲方有权从货款中扣除误期赔偿费而不影响合同项下的其他补救方法，赔偿费按</w:t>
      </w:r>
      <w:r>
        <w:rPr>
          <w:b/>
          <w:color w:val="auto"/>
          <w:highlight w:val="none"/>
        </w:rPr>
        <w:t xml:space="preserve">【政府采购合同专用条款】</w:t>
      </w:r>
      <w:r>
        <w:rPr>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color w:val="auto"/>
          <w:highlight w:val="none"/>
        </w:rPr>
      </w:pPr>
      <w:r>
        <w:rPr>
          <w:color w:val="auto"/>
          <w:highlight w:val="none"/>
        </w:rPr>
        <w:t xml:space="preserve">15.3 迟延支付的违约责任</w:t>
      </w:r>
      <w:r/>
    </w:p>
    <w:p>
      <w:pPr>
        <w:ind w:firstLine="420"/>
        <w:jc w:val="left"/>
        <w:spacing w:line="400" w:lineRule="exact"/>
        <w:rPr>
          <w:color w:val="auto"/>
          <w:highlight w:val="none"/>
        </w:rPr>
      </w:pPr>
      <w:r>
        <w:rPr>
          <w:color w:val="auto"/>
          <w:highlight w:val="none"/>
        </w:rPr>
        <w:t xml:space="preserve">甲方存在迟延支付乙方合同款项的，应当承担</w:t>
      </w:r>
      <w:r>
        <w:rPr>
          <w:b/>
          <w:bCs/>
          <w:color w:val="auto"/>
          <w:highlight w:val="none"/>
        </w:rPr>
        <w:t xml:space="preserve">【政府采购合同专用条款】</w:t>
      </w:r>
      <w:r>
        <w:rPr>
          <w:color w:val="auto"/>
          <w:highlight w:val="none"/>
        </w:rPr>
        <w:t xml:space="preserve">规定的逾期付款利息。</w:t>
      </w:r>
      <w:r/>
    </w:p>
    <w:p>
      <w:pPr>
        <w:ind w:firstLine="420"/>
        <w:jc w:val="left"/>
        <w:spacing w:line="400" w:lineRule="exact"/>
        <w:rPr>
          <w:color w:val="auto"/>
          <w:highlight w:val="none"/>
        </w:rPr>
      </w:pPr>
      <w:r>
        <w:rPr>
          <w:bCs/>
          <w:color w:val="auto"/>
          <w:highlight w:val="none"/>
        </w:rPr>
        <w:t xml:space="preserve">15.4其他违约责任根据项目实际需要按</w:t>
      </w:r>
      <w:r>
        <w:rPr>
          <w:b/>
          <w:bCs/>
          <w:color w:val="auto"/>
          <w:highlight w:val="none"/>
        </w:rPr>
        <w:t xml:space="preserve">【政府采购合同专用条款】</w:t>
      </w:r>
      <w:r>
        <w:rPr>
          <w:color w:val="auto"/>
          <w:highlight w:val="none"/>
        </w:rPr>
        <w:t xml:space="preserve">规定执行。</w:t>
      </w:r>
      <w:r/>
    </w:p>
    <w:p>
      <w:pPr>
        <w:numPr>
          <w:ilvl w:val="0"/>
          <w:numId w:val="13"/>
        </w:numPr>
        <w:jc w:val="left"/>
        <w:spacing w:line="400" w:lineRule="exact"/>
        <w:rPr>
          <w:b/>
          <w:color w:val="auto"/>
          <w:sz w:val="24"/>
          <w:highlight w:val="none"/>
        </w:rPr>
        <w:outlineLvl w:val="0"/>
      </w:pPr>
      <w:r/>
      <w:bookmarkStart w:id="372" w:name="_Toc25588"/>
      <w:r/>
      <w:bookmarkStart w:id="373" w:name="_Toc26691"/>
      <w:r>
        <w:rPr>
          <w:b/>
          <w:color w:val="auto"/>
          <w:sz w:val="24"/>
          <w:highlight w:val="none"/>
        </w:rPr>
        <w:t xml:space="preserve">合同变更、中止与终止</w:t>
      </w:r>
      <w:bookmarkEnd w:id="372"/>
      <w:r/>
      <w:bookmarkEnd w:id="373"/>
      <w:r/>
      <w:r/>
    </w:p>
    <w:p>
      <w:pPr>
        <w:jc w:val="left"/>
        <w:spacing w:line="400" w:lineRule="exact"/>
        <w:rPr>
          <w:color w:val="auto"/>
          <w:highlight w:val="none"/>
        </w:rPr>
      </w:pPr>
      <w:r>
        <w:rPr>
          <w:color w:val="auto"/>
          <w:highlight w:val="none"/>
        </w:rPr>
        <w:t xml:space="preserve">    16.1合同的变更</w:t>
      </w:r>
      <w:r/>
    </w:p>
    <w:p>
      <w:pPr>
        <w:ind w:firstLine="420"/>
        <w:jc w:val="left"/>
        <w:spacing w:line="400" w:lineRule="exact"/>
        <w:rPr>
          <w:color w:val="auto"/>
          <w:highlight w:val="none"/>
        </w:rPr>
      </w:pPr>
      <w:r>
        <w:rPr>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color w:val="auto"/>
          <w:highlight w:val="none"/>
        </w:rPr>
      </w:pPr>
      <w:r>
        <w:rPr>
          <w:color w:val="auto"/>
          <w:highlight w:val="none"/>
        </w:rPr>
        <w:t xml:space="preserve">16.2合同的中止</w:t>
      </w:r>
      <w:r/>
    </w:p>
    <w:p>
      <w:pPr>
        <w:ind w:firstLine="420"/>
        <w:jc w:val="left"/>
        <w:spacing w:line="400" w:lineRule="exact"/>
        <w:rPr>
          <w:color w:val="auto"/>
          <w:highlight w:val="none"/>
        </w:rPr>
      </w:pPr>
      <w:r>
        <w:rPr>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color w:val="auto"/>
          <w:highlight w:val="none"/>
        </w:rPr>
      </w:pPr>
      <w:r>
        <w:rPr>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2"/>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color w:val="auto"/>
          <w:highlight w:val="none"/>
        </w:rPr>
        <w:t xml:space="preserve">（4）甲方不得以行政区划调整、政府换届、机构或者职能调整以及相关责任人更替为由中止合同。</w:t>
      </w:r>
      <w:r/>
    </w:p>
    <w:p>
      <w:pPr>
        <w:ind w:firstLine="420"/>
        <w:jc w:val="left"/>
        <w:spacing w:line="400" w:lineRule="exact"/>
        <w:rPr>
          <w:color w:val="auto"/>
          <w:highlight w:val="none"/>
        </w:rPr>
      </w:pPr>
      <w:r>
        <w:rPr>
          <w:color w:val="auto"/>
          <w:highlight w:val="none"/>
        </w:rPr>
        <w:t xml:space="preserve">16.3合同的终止</w:t>
      </w:r>
      <w:r/>
    </w:p>
    <w:p>
      <w:pPr>
        <w:ind w:firstLine="420"/>
        <w:jc w:val="left"/>
        <w:spacing w:line="400" w:lineRule="exact"/>
        <w:rPr>
          <w:color w:val="auto"/>
          <w:highlight w:val="none"/>
        </w:rPr>
      </w:pPr>
      <w:r>
        <w:rPr>
          <w:color w:val="auto"/>
          <w:highlight w:val="none"/>
        </w:rPr>
        <w:t xml:space="preserve">（1）合同因有效期限届满而终止；</w:t>
      </w:r>
      <w:r/>
    </w:p>
    <w:p>
      <w:pPr>
        <w:ind w:firstLine="420"/>
        <w:spacing w:line="400" w:lineRule="exact"/>
        <w:rPr>
          <w:color w:val="auto"/>
          <w:highlight w:val="none"/>
        </w:rPr>
      </w:pPr>
      <w:r>
        <w:rPr>
          <w:color w:val="auto"/>
          <w:highlight w:val="none"/>
        </w:rPr>
        <w:t xml:space="preserve">（2）乙方未按合同约定履行，构成根本性违约的，甲方有权终止合同，并追究乙方的违约责任。</w:t>
      </w:r>
      <w:r/>
    </w:p>
    <w:p>
      <w:pPr>
        <w:pStyle w:val="1222"/>
        <w:rPr>
          <w:rFonts w:ascii="Times New Roman" w:hAnsi="Times New Roman" w:cs="Times New Roman"/>
          <w:color w:val="auto"/>
          <w:highlight w:val="none"/>
        </w:rPr>
      </w:pPr>
      <w:r>
        <w:rPr>
          <w:rFonts w:ascii="Times New Roman" w:hAnsi="Times New Roman" w:cs="Times New Roman"/>
          <w:color w:val="auto"/>
          <w:highlight w:val="none"/>
        </w:rPr>
        <w:t xml:space="preserve">16.4 </w:t>
      </w:r>
      <w:r>
        <w:rPr>
          <w:rFonts w:ascii="Times New Roman" w:hAnsi="Times New Roman" w:eastAsia="宋体" w:cs="Times New Roman"/>
          <w:color w:val="auto"/>
          <w:sz w:val="21"/>
          <w:highlight w:val="none"/>
        </w:rPr>
        <w:t xml:space="preserve">涉及国家利益、社会公共利益的情形</w:t>
      </w:r>
      <w:r/>
    </w:p>
    <w:p>
      <w:pPr>
        <w:pStyle w:val="1222"/>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color w:val="auto"/>
          <w:sz w:val="24"/>
          <w:highlight w:val="none"/>
        </w:rPr>
        <w:outlineLvl w:val="0"/>
      </w:pPr>
      <w:r/>
      <w:bookmarkStart w:id="374" w:name="_Toc155"/>
      <w:r/>
      <w:bookmarkStart w:id="375" w:name="_Toc5663"/>
      <w:r>
        <w:rPr>
          <w:b/>
          <w:bCs/>
          <w:color w:val="auto"/>
          <w:sz w:val="24"/>
          <w:highlight w:val="none"/>
        </w:rPr>
        <w:t xml:space="preserve">17. 合同分包</w:t>
      </w:r>
      <w:bookmarkEnd w:id="374"/>
      <w:r/>
      <w:bookmarkEnd w:id="375"/>
      <w:r/>
      <w:r/>
    </w:p>
    <w:p>
      <w:pPr>
        <w:ind w:firstLine="420"/>
        <w:jc w:val="left"/>
        <w:spacing w:line="400" w:lineRule="exact"/>
        <w:rPr>
          <w:color w:val="auto"/>
          <w:highlight w:val="none"/>
        </w:rPr>
      </w:pPr>
      <w:r>
        <w:rPr>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color w:val="auto"/>
          <w:highlight w:val="none"/>
        </w:rPr>
      </w:pPr>
      <w:r>
        <w:rPr>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color w:val="auto"/>
          <w:sz w:val="24"/>
          <w:highlight w:val="none"/>
        </w:rPr>
        <w:outlineLvl w:val="0"/>
      </w:pPr>
      <w:r/>
      <w:bookmarkStart w:id="376" w:name="_Toc12216"/>
      <w:r/>
      <w:bookmarkStart w:id="377" w:name="_Toc923"/>
      <w:r>
        <w:rPr>
          <w:b/>
          <w:bCs/>
          <w:color w:val="auto"/>
          <w:sz w:val="24"/>
          <w:highlight w:val="none"/>
        </w:rPr>
        <w:t xml:space="preserve">18. 不可抗力</w:t>
      </w:r>
      <w:bookmarkEnd w:id="376"/>
      <w:r/>
      <w:bookmarkEnd w:id="377"/>
      <w:r/>
      <w:r/>
    </w:p>
    <w:p>
      <w:pPr>
        <w:ind w:firstLine="420"/>
        <w:jc w:val="left"/>
        <w:spacing w:line="400" w:lineRule="exact"/>
        <w:rPr>
          <w:color w:val="auto"/>
          <w:highlight w:val="none"/>
        </w:rPr>
      </w:pPr>
      <w:r>
        <w:rPr>
          <w:color w:val="auto"/>
          <w:highlight w:val="none"/>
        </w:rPr>
        <w:t xml:space="preserve">18.1 不可抗力是指合同双方不能预见、不能避免且不能克服的客观情况。</w:t>
      </w:r>
      <w:r/>
    </w:p>
    <w:p>
      <w:pPr>
        <w:ind w:firstLine="420"/>
        <w:jc w:val="left"/>
        <w:spacing w:line="400" w:lineRule="exact"/>
        <w:rPr>
          <w:color w:val="auto"/>
          <w:highlight w:val="none"/>
        </w:rPr>
      </w:pPr>
      <w:r>
        <w:rPr>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color w:val="auto"/>
          <w:highlight w:val="none"/>
        </w:rPr>
      </w:pPr>
      <w:r>
        <w:rPr>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color w:val="auto"/>
          <w:sz w:val="24"/>
          <w:highlight w:val="none"/>
        </w:rPr>
        <w:outlineLvl w:val="0"/>
      </w:pPr>
      <w:r/>
      <w:bookmarkStart w:id="378" w:name="_Toc26979"/>
      <w:r/>
      <w:bookmarkStart w:id="379" w:name="_Toc26076"/>
      <w:r>
        <w:rPr>
          <w:b/>
          <w:bCs/>
          <w:color w:val="auto"/>
          <w:sz w:val="24"/>
          <w:highlight w:val="none"/>
        </w:rPr>
        <w:t xml:space="preserve">19. 解决争议的方法</w:t>
      </w:r>
      <w:bookmarkEnd w:id="378"/>
      <w:r/>
      <w:bookmarkEnd w:id="379"/>
      <w:r/>
      <w:r/>
    </w:p>
    <w:p>
      <w:pPr>
        <w:pStyle w:val="1222"/>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2"/>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19.2 选择仲裁的，应在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中明确仲裁机构及仲裁地；通过诉讼方式解决的，可以在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1222"/>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19.3 如甲乙双方有争议的事项不影响合同其他部分的履行，在争议解决期间，合同其他部分应当继续履行。</w:t>
      </w:r>
      <w:r/>
    </w:p>
    <w:p>
      <w:pPr>
        <w:jc w:val="left"/>
        <w:spacing w:line="400" w:lineRule="exact"/>
        <w:rPr>
          <w:color w:val="auto"/>
          <w:sz w:val="24"/>
          <w:highlight w:val="none"/>
        </w:rPr>
        <w:outlineLvl w:val="0"/>
      </w:pPr>
      <w:r/>
      <w:bookmarkStart w:id="380" w:name="_Toc23270"/>
      <w:r/>
      <w:bookmarkStart w:id="381" w:name="_Toc6416"/>
      <w:r>
        <w:rPr>
          <w:b/>
          <w:color w:val="auto"/>
          <w:sz w:val="24"/>
          <w:highlight w:val="none"/>
        </w:rPr>
        <w:t xml:space="preserve">20. 政府采购政策</w:t>
      </w:r>
      <w:bookmarkEnd w:id="380"/>
      <w:r/>
      <w:bookmarkEnd w:id="381"/>
      <w:r/>
      <w:r/>
    </w:p>
    <w:p>
      <w:pPr>
        <w:ind w:firstLine="420"/>
        <w:jc w:val="left"/>
        <w:spacing w:line="400" w:lineRule="exact"/>
        <w:rPr>
          <w:color w:val="auto"/>
          <w:highlight w:val="none"/>
        </w:rPr>
      </w:pPr>
      <w:r>
        <w:rPr>
          <w:color w:val="auto"/>
          <w:highlight w:val="none"/>
        </w:rPr>
        <w:t xml:space="preserve">20.1 </w:t>
      </w:r>
      <w:r>
        <w:rPr>
          <w:color w:val="auto"/>
          <w:highlight w:val="none"/>
          <w:lang w:val="en-GB"/>
        </w:rPr>
        <w:t xml:space="preserve">本合同应当按照规定执行政府采购政策。</w:t>
      </w:r>
      <w:r/>
    </w:p>
    <w:p>
      <w:pPr>
        <w:ind w:firstLine="420"/>
        <w:jc w:val="left"/>
        <w:spacing w:line="400" w:lineRule="exact"/>
        <w:rPr>
          <w:color w:val="auto"/>
          <w:highlight w:val="none"/>
        </w:rPr>
      </w:pPr>
      <w:r>
        <w:rPr>
          <w:color w:val="auto"/>
          <w:highlight w:val="none"/>
        </w:rPr>
        <w:t xml:space="preserve">20.2 本合同依法执行政府采购政策的方式和内容，属于合同履约验收的范围。甲乙双方</w:t>
      </w:r>
      <w:r>
        <w:rPr>
          <w:color w:val="auto"/>
          <w:highlight w:val="none"/>
          <w:lang w:val="en-GB"/>
        </w:rPr>
        <w:t xml:space="preserve">未按规定要求执行政府采购政策造成损失的</w:t>
      </w:r>
      <w:r>
        <w:rPr>
          <w:color w:val="auto"/>
          <w:highlight w:val="none"/>
        </w:rPr>
        <w:t xml:space="preserve">，有过错的一方应当承担赔偿责任，双方都有过错的，各自承担相应的责任。</w:t>
      </w:r>
      <w:r/>
    </w:p>
    <w:p>
      <w:pPr>
        <w:pStyle w:val="885"/>
        <w:ind w:firstLine="420"/>
        <w:spacing w:line="400" w:lineRule="exact"/>
        <w:rPr>
          <w:rFonts w:ascii="Times New Roman" w:eastAsia="宋体"/>
          <w:color w:val="auto"/>
          <w:sz w:val="21"/>
          <w:highlight w:val="none"/>
        </w:rPr>
      </w:pPr>
      <w:r>
        <w:rPr>
          <w:rFonts w:ascii="Times New Roman" w:eastAsia="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color w:val="auto"/>
          <w:sz w:val="24"/>
          <w:highlight w:val="none"/>
        </w:rPr>
        <w:outlineLvl w:val="0"/>
      </w:pPr>
      <w:r/>
      <w:bookmarkStart w:id="382" w:name="_Toc7919"/>
      <w:r/>
      <w:bookmarkStart w:id="383" w:name="_Toc5265"/>
      <w:r>
        <w:rPr>
          <w:b/>
          <w:color w:val="auto"/>
          <w:sz w:val="24"/>
          <w:highlight w:val="none"/>
        </w:rPr>
        <w:t xml:space="preserve">21. 法律适用</w:t>
      </w:r>
      <w:bookmarkEnd w:id="382"/>
      <w:r/>
      <w:bookmarkEnd w:id="383"/>
      <w:r/>
      <w:r/>
    </w:p>
    <w:p>
      <w:pPr>
        <w:pStyle w:val="1222"/>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21.1 本合同的订立、生效、解释、履行及与本合同有关的争议解决，均适用法律、行政法规。</w:t>
      </w:r>
      <w:r/>
    </w:p>
    <w:p>
      <w:pPr>
        <w:pStyle w:val="1222"/>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ind w:left="0" w:firstLine="0"/>
        <w:jc w:val="left"/>
        <w:spacing w:line="400" w:lineRule="exact"/>
        <w:rPr>
          <w:b/>
          <w:color w:val="auto"/>
          <w:sz w:val="24"/>
          <w:highlight w:val="none"/>
        </w:rPr>
        <w:outlineLvl w:val="0"/>
      </w:pPr>
      <w:r/>
      <w:bookmarkStart w:id="384" w:name="_Toc3536"/>
      <w:r/>
      <w:bookmarkStart w:id="385" w:name="_Toc6314"/>
      <w:r>
        <w:rPr>
          <w:b/>
          <w:color w:val="auto"/>
          <w:sz w:val="24"/>
          <w:highlight w:val="none"/>
        </w:rPr>
        <w:t xml:space="preserve">22. 通知</w:t>
      </w:r>
      <w:bookmarkEnd w:id="384"/>
      <w:r/>
      <w:bookmarkEnd w:id="385"/>
      <w:r/>
      <w:r/>
    </w:p>
    <w:p>
      <w:pPr>
        <w:pStyle w:val="1222"/>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22"/>
        <w:ind w:firstLine="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color w:val="auto"/>
          <w:highlight w:val="none"/>
        </w:rPr>
      </w:pPr>
      <w:r>
        <w:rPr>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color w:val="auto"/>
          <w:highlight w:val="none"/>
        </w:rPr>
      </w:pPr>
      <w:r>
        <w:rPr>
          <w:color w:val="auto"/>
          <w:highlight w:val="none"/>
        </w:rPr>
        <w:t xml:space="preserve">22.4通知以送达之日或通知书中规定的生效之日起生效，两者中以较迟之日为准。</w:t>
      </w:r>
      <w:r/>
    </w:p>
    <w:p>
      <w:pPr>
        <w:numPr>
          <w:ilvl w:val="0"/>
          <w:numId w:val="14"/>
        </w:numPr>
        <w:jc w:val="left"/>
        <w:spacing w:line="400" w:lineRule="exact"/>
        <w:rPr>
          <w:b/>
          <w:bCs/>
          <w:color w:val="auto"/>
          <w:sz w:val="24"/>
          <w:highlight w:val="none"/>
        </w:rPr>
        <w:outlineLvl w:val="0"/>
      </w:pPr>
      <w:r/>
      <w:bookmarkStart w:id="386" w:name="_Toc16931"/>
      <w:r/>
      <w:bookmarkStart w:id="387" w:name="_Toc18119"/>
      <w:r>
        <w:rPr>
          <w:b/>
          <w:bCs/>
          <w:color w:val="auto"/>
          <w:sz w:val="24"/>
          <w:highlight w:val="none"/>
        </w:rPr>
        <w:t xml:space="preserve">合同未尽事项</w:t>
      </w:r>
      <w:bookmarkEnd w:id="386"/>
      <w:r/>
      <w:bookmarkEnd w:id="387"/>
      <w:r/>
      <w:r/>
    </w:p>
    <w:p>
      <w:pPr>
        <w:ind w:firstLine="420"/>
        <w:jc w:val="left"/>
        <w:spacing w:line="400" w:lineRule="exact"/>
        <w:rPr>
          <w:bCs/>
          <w:color w:val="auto"/>
          <w:highlight w:val="none"/>
        </w:rPr>
      </w:pPr>
      <w:r>
        <w:rPr>
          <w:bCs/>
          <w:color w:val="auto"/>
          <w:highlight w:val="none"/>
        </w:rPr>
        <w:t xml:space="preserve">23.1合同未尽事项见</w:t>
      </w:r>
      <w:r>
        <w:rPr>
          <w:b/>
          <w:color w:val="auto"/>
          <w:highlight w:val="none"/>
        </w:rPr>
        <w:t xml:space="preserve">【政府采购合同专用条款】</w:t>
      </w:r>
      <w:r>
        <w:rPr>
          <w:bCs/>
          <w:color w:val="auto"/>
          <w:highlight w:val="none"/>
        </w:rPr>
        <w:t xml:space="preserve">。</w:t>
      </w:r>
      <w:r/>
    </w:p>
    <w:p>
      <w:pPr>
        <w:jc w:val="left"/>
        <w:spacing w:line="400" w:lineRule="exact"/>
        <w:rPr>
          <w:rFonts w:eastAsia="黑体"/>
          <w:color w:val="auto"/>
          <w:sz w:val="28"/>
          <w:szCs w:val="28"/>
          <w:highlight w:val="none"/>
        </w:rPr>
      </w:pPr>
      <w:r>
        <w:rPr>
          <w:bCs/>
          <w:color w:val="auto"/>
          <w:highlight w:val="none"/>
        </w:rPr>
        <w:t xml:space="preserve">    23.2 合同附件与合同正文具有同等的法律效力。</w:t>
      </w:r>
      <w:bookmarkStart w:id="388" w:name="_Toc20313"/>
      <w:r/>
      <w:r/>
    </w:p>
    <w:p>
      <w:pPr>
        <w:jc w:val="center"/>
        <w:rPr>
          <w:rFonts w:eastAsia="黑体"/>
          <w:color w:val="auto"/>
          <w:sz w:val="28"/>
          <w:szCs w:val="28"/>
          <w:highlight w:val="none"/>
        </w:rPr>
      </w:pPr>
      <w:r>
        <w:rPr>
          <w:rFonts w:eastAsia="黑体"/>
          <w:color w:val="auto"/>
          <w:sz w:val="28"/>
          <w:szCs w:val="28"/>
          <w:highlight w:val="none"/>
        </w:rPr>
        <w:br w:type="page" w:clear="all"/>
      </w:r>
      <w:r/>
    </w:p>
    <w:p>
      <w:pPr>
        <w:pStyle w:val="869"/>
        <w:jc w:val="center"/>
        <w:rPr>
          <w:rFonts w:ascii="Times New Roman" w:hAnsi="Times New Roman" w:eastAsia="黑体" w:cs="Times New Roman"/>
          <w:color w:val="auto"/>
          <w:sz w:val="28"/>
          <w:szCs w:val="28"/>
          <w:highlight w:val="none"/>
        </w:rPr>
        <w:outlineLvl w:val="0"/>
      </w:pPr>
      <w:r/>
      <w:bookmarkStart w:id="389" w:name="_Toc25636"/>
      <w:r/>
      <w:bookmarkStart w:id="390" w:name="_Toc23286"/>
      <w:r>
        <w:rPr>
          <w:rFonts w:ascii="Times New Roman" w:hAnsi="Times New Roman" w:eastAsia="黑体" w:cs="Times New Roman"/>
          <w:color w:val="auto"/>
          <w:sz w:val="28"/>
          <w:szCs w:val="28"/>
          <w:highlight w:val="none"/>
        </w:rPr>
        <w:t xml:space="preserve">第三节 政府采购合同专用条款</w:t>
      </w:r>
      <w:bookmarkEnd w:id="388"/>
      <w:r/>
      <w:bookmarkEnd w:id="389"/>
      <w:r/>
      <w:bookmarkEnd w:id="390"/>
      <w:r/>
      <w:r/>
    </w:p>
    <w:tbl>
      <w:tblPr>
        <w:tblStyle w:val="878"/>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第1.2（6）项</w:t>
            </w:r>
            <w:r/>
          </w:p>
        </w:tc>
        <w:tc>
          <w:tcPr>
            <w:tcW w:w="1742" w:type="dxa"/>
            <w:vAlign w:val="center"/>
            <w:textDirection w:val="lrTb"/>
            <w:noWrap w:val="false"/>
          </w:tcPr>
          <w:p>
            <w:pPr>
              <w:jc w:val="left"/>
              <w:rPr>
                <w:color w:val="auto"/>
                <w:highlight w:val="none"/>
              </w:rPr>
            </w:pPr>
            <w:r>
              <w:rPr>
                <w:color w:val="auto"/>
                <w:highlight w:val="none"/>
              </w:rPr>
              <w:t xml:space="preserve">联合体具体要求</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0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第1.2（7）项</w:t>
            </w:r>
            <w:r/>
          </w:p>
        </w:tc>
        <w:tc>
          <w:tcPr>
            <w:tcW w:w="1742" w:type="dxa"/>
            <w:vAlign w:val="center"/>
            <w:textDirection w:val="lrTb"/>
            <w:noWrap w:val="false"/>
          </w:tcPr>
          <w:p>
            <w:pPr>
              <w:jc w:val="left"/>
              <w:rPr>
                <w:color w:val="auto"/>
                <w:highlight w:val="none"/>
              </w:rPr>
            </w:pPr>
            <w:r>
              <w:rPr>
                <w:color w:val="auto"/>
                <w:highlight w:val="none"/>
              </w:rPr>
              <w:t xml:space="preserve">其他术语解释</w:t>
            </w:r>
            <w:r/>
          </w:p>
        </w:tc>
        <w:tc>
          <w:tcPr>
            <w:tcW w:w="5634" w:type="dxa"/>
            <w:vAlign w:val="center"/>
            <w:textDirection w:val="lrTb"/>
            <w:noWrap w:val="false"/>
          </w:tcPr>
          <w:p>
            <w:pPr>
              <w:ind w:firstLine="420"/>
              <w:jc w:val="left"/>
              <w:rPr>
                <w:color w:val="auto"/>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第4.4款</w:t>
            </w:r>
            <w:r/>
          </w:p>
        </w:tc>
        <w:tc>
          <w:tcPr>
            <w:tcW w:w="1742" w:type="dxa"/>
            <w:vAlign w:val="center"/>
            <w:textDirection w:val="lrTb"/>
            <w:noWrap w:val="false"/>
          </w:tcPr>
          <w:p>
            <w:pPr>
              <w:jc w:val="left"/>
              <w:rPr>
                <w:color w:val="auto"/>
                <w:highlight w:val="none"/>
              </w:rPr>
            </w:pPr>
            <w:r>
              <w:rPr>
                <w:color w:val="auto"/>
                <w:highlight w:val="none"/>
              </w:rPr>
              <w:t xml:space="preserve">履约验收中甲方提出异议或作出说明的期限</w:t>
            </w:r>
            <w:r/>
          </w:p>
        </w:tc>
        <w:tc>
          <w:tcPr>
            <w:tcW w:w="5634" w:type="dxa"/>
            <w:vAlign w:val="center"/>
            <w:textDirection w:val="lrTb"/>
            <w:noWrap w:val="false"/>
          </w:tcPr>
          <w:p>
            <w:pPr>
              <w:ind w:firstLine="420"/>
              <w:jc w:val="left"/>
              <w:rPr>
                <w:color w:val="auto"/>
                <w:highlight w:val="none"/>
              </w:rPr>
            </w:pPr>
            <w:r>
              <w:rPr>
                <w:color w:val="auto"/>
                <w:highlight w:val="none"/>
              </w:rPr>
              <w:t xml:space="preserve">履约验收中甲方提出异议的期限：3个工作日。</w:t>
            </w:r>
            <w:r/>
          </w:p>
          <w:p>
            <w:pPr>
              <w:pStyle w:val="1222"/>
              <w:ind w:firstLine="420"/>
              <w:rPr>
                <w:rFonts w:ascii="Times New Roman" w:hAnsi="Times New Roman" w:cs="Times New Roman"/>
                <w:color w:val="auto"/>
                <w:highlight w:val="none"/>
              </w:rPr>
            </w:pPr>
            <w:r>
              <w:rPr>
                <w:rFonts w:ascii="Times New Roman" w:hAnsi="Times New Roman" w:eastAsia="宋体" w:cs="Times New Roman"/>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第4.6款</w:t>
            </w:r>
            <w:r/>
          </w:p>
        </w:tc>
        <w:tc>
          <w:tcPr>
            <w:tcW w:w="1742" w:type="dxa"/>
            <w:vAlign w:val="center"/>
            <w:textDirection w:val="lrTb"/>
            <w:noWrap w:val="false"/>
          </w:tcPr>
          <w:p>
            <w:pPr>
              <w:jc w:val="left"/>
              <w:rPr>
                <w:color w:val="auto"/>
                <w:highlight w:val="none"/>
              </w:rPr>
            </w:pPr>
            <w:r>
              <w:rPr>
                <w:color w:val="auto"/>
                <w:highlight w:val="none"/>
              </w:rPr>
              <w:t xml:space="preserve">约定甲方承担的其他义务和责任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第5.4款</w:t>
            </w:r>
            <w:r/>
          </w:p>
        </w:tc>
        <w:tc>
          <w:tcPr>
            <w:tcW w:w="1742" w:type="dxa"/>
            <w:vAlign w:val="center"/>
            <w:textDirection w:val="lrTb"/>
            <w:noWrap w:val="false"/>
          </w:tcPr>
          <w:p>
            <w:pPr>
              <w:jc w:val="left"/>
              <w:rPr>
                <w:color w:val="auto"/>
                <w:highlight w:val="none"/>
              </w:rPr>
            </w:pPr>
            <w:r>
              <w:rPr>
                <w:color w:val="auto"/>
                <w:highlight w:val="none"/>
              </w:rPr>
              <w:t xml:space="preserve">约定乙方承担的其他义务和责任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第6.1款</w:t>
            </w:r>
            <w:r/>
          </w:p>
        </w:tc>
        <w:tc>
          <w:tcPr>
            <w:tcW w:w="1742" w:type="dxa"/>
            <w:vAlign w:val="center"/>
            <w:textDirection w:val="lrTb"/>
            <w:noWrap w:val="false"/>
          </w:tcPr>
          <w:p>
            <w:pPr>
              <w:jc w:val="left"/>
              <w:rPr>
                <w:color w:val="auto"/>
                <w:highlight w:val="none"/>
              </w:rPr>
            </w:pPr>
            <w:r>
              <w:rPr>
                <w:color w:val="auto"/>
                <w:highlight w:val="none"/>
              </w:rPr>
              <w:t xml:space="preserve">履行合同义务的顺序</w:t>
            </w:r>
            <w:r/>
          </w:p>
        </w:tc>
        <w:tc>
          <w:tcPr>
            <w:tcW w:w="5634" w:type="dxa"/>
            <w:vAlign w:val="center"/>
            <w:textDirection w:val="lrTb"/>
            <w:noWrap w:val="false"/>
          </w:tcPr>
          <w:p>
            <w:pPr>
              <w:ind w:firstLine="420"/>
              <w:jc w:val="left"/>
              <w:rPr>
                <w:color w:val="auto"/>
                <w:highlight w:val="none"/>
              </w:rPr>
            </w:pPr>
            <w:r>
              <w:rPr>
                <w:color w:val="auto"/>
                <w:highlight w:val="none"/>
              </w:rPr>
              <w:t xml:space="preserve">(1)本合同协议书；(2)中标通知书；(3)投标声明及承诺函等；(4)本合同专用条款；(5)本合同通用条款；(6)技术要求和商务要求；(7)其他合同文件。</w:t>
            </w:r>
            <w:r/>
          </w:p>
        </w:tc>
      </w:tr>
      <w:tr>
        <w:trPr>
          <w:trHeight w:val="667"/>
        </w:trPr>
        <w:tc>
          <w:tcPr>
            <w:tcW w:w="1607" w:type="dxa"/>
            <w:vAlign w:val="center"/>
            <w:vMerge w:val="restart"/>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第7.1款</w:t>
            </w:r>
            <w:r/>
          </w:p>
        </w:tc>
        <w:tc>
          <w:tcPr>
            <w:tcW w:w="1742" w:type="dxa"/>
            <w:vAlign w:val="center"/>
            <w:textDirection w:val="lrTb"/>
            <w:noWrap w:val="false"/>
          </w:tcPr>
          <w:p>
            <w:pPr>
              <w:jc w:val="left"/>
              <w:rPr>
                <w:color w:val="auto"/>
                <w:highlight w:val="none"/>
              </w:rPr>
            </w:pPr>
            <w:r>
              <w:rPr>
                <w:color w:val="auto"/>
                <w:highlight w:val="none"/>
              </w:rPr>
              <w:t xml:space="preserve">包装特殊要求</w:t>
            </w:r>
            <w:r/>
          </w:p>
        </w:tc>
        <w:tc>
          <w:tcPr>
            <w:tcW w:w="5634" w:type="dxa"/>
            <w:vAlign w:val="center"/>
            <w:textDirection w:val="lrTb"/>
            <w:noWrap w:val="false"/>
          </w:tcPr>
          <w:p>
            <w:pPr>
              <w:ind w:firstLine="420"/>
              <w:rPr>
                <w:rFonts w:hint="eastAsia"/>
                <w:color w:val="auto"/>
                <w:highlight w:val="none"/>
                <w:u w:val="none"/>
              </w:rPr>
            </w:pPr>
            <w:r>
              <w:rPr>
                <w:rFonts w:hint="eastAsia"/>
                <w:color w:val="auto"/>
                <w:highlight w:val="none"/>
                <w:u w:val="none"/>
              </w:rPr>
              <w:t xml:space="preserve">商品包装、快递包装政府采购需求标准</w:t>
            </w:r>
            <w:r/>
          </w:p>
          <w:p>
            <w:pPr>
              <w:ind w:firstLine="420"/>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ind w:firstLine="420"/>
              <w:rPr>
                <w:rFonts w:hint="eastAsia"/>
                <w:color w:val="auto"/>
                <w:highlight w:val="none"/>
                <w:u w:val="none"/>
              </w:rPr>
            </w:pPr>
            <w:r>
              <w:rPr>
                <w:rFonts w:hint="eastAsia"/>
                <w:color w:val="auto"/>
                <w:highlight w:val="none"/>
                <w:u w:val="none"/>
              </w:rPr>
              <w:t xml:space="preserve">（1）商品包装层数不得超过 3 层，空隙率不大于 40%； </w:t>
            </w:r>
            <w:r/>
          </w:p>
          <w:p>
            <w:pPr>
              <w:ind w:firstLine="420"/>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ind w:firstLine="420"/>
              <w:rPr>
                <w:rFonts w:hint="eastAsia"/>
                <w:color w:val="auto"/>
                <w:highlight w:val="none"/>
                <w:u w:val="none"/>
              </w:rPr>
            </w:pPr>
            <w:r>
              <w:rPr>
                <w:rFonts w:hint="eastAsia"/>
                <w:color w:val="auto"/>
                <w:highlight w:val="none"/>
                <w:u w:val="none"/>
              </w:rPr>
              <w:t xml:space="preserve">（3）商品包装中铅、汞、镉、六价铬的总含量应不大于 100mg/kg； </w:t>
            </w:r>
            <w:r/>
          </w:p>
          <w:p>
            <w:pPr>
              <w:ind w:firstLine="420"/>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ind w:firstLine="420"/>
              <w:rPr>
                <w:rFonts w:hint="eastAsia"/>
                <w:color w:val="auto"/>
                <w:highlight w:val="none"/>
                <w:u w:val="none"/>
              </w:rPr>
            </w:pPr>
            <w:r>
              <w:rPr>
                <w:rFonts w:hint="eastAsia"/>
                <w:color w:val="auto"/>
                <w:highlight w:val="none"/>
                <w:u w:val="none"/>
              </w:rPr>
              <w:t xml:space="preserve">（5）塑料材质商品包装上呈现的印刷颜色不得超过 6 色； </w:t>
            </w:r>
            <w:r/>
          </w:p>
          <w:p>
            <w:pPr>
              <w:ind w:firstLine="420"/>
              <w:rPr>
                <w:rFonts w:hint="eastAsia"/>
                <w:color w:val="auto"/>
                <w:highlight w:val="none"/>
                <w:u w:val="none"/>
              </w:rPr>
            </w:pPr>
            <w:r>
              <w:rPr>
                <w:rFonts w:hint="eastAsia"/>
                <w:color w:val="auto"/>
                <w:highlight w:val="none"/>
                <w:u w:val="none"/>
              </w:rPr>
              <w:t xml:space="preserve">（6）纸质商品包装应使用 75%以上的可再生纤维原料生产； </w:t>
            </w:r>
            <w:r/>
          </w:p>
          <w:p>
            <w:pPr>
              <w:ind w:firstLine="420"/>
              <w:rPr>
                <w:rFonts w:hint="eastAsia"/>
                <w:color w:val="auto"/>
                <w:highlight w:val="none"/>
                <w:u w:val="none"/>
              </w:rPr>
            </w:pPr>
            <w:r>
              <w:rPr>
                <w:rFonts w:hint="eastAsia"/>
                <w:color w:val="auto"/>
                <w:highlight w:val="none"/>
                <w:u w:val="none"/>
              </w:rPr>
              <w:t xml:space="preserve">（7）木质商品包装的原料应来源于可持续性森林。 </w:t>
            </w:r>
            <w:r/>
          </w:p>
          <w:p>
            <w:pPr>
              <w:ind w:firstLine="420"/>
              <w:rPr>
                <w:rFonts w:hint="eastAsia"/>
                <w:color w:val="auto"/>
                <w:highlight w:val="none"/>
                <w:u w:val="none"/>
              </w:rPr>
            </w:pPr>
            <w:r>
              <w:rPr>
                <w:rFonts w:hint="eastAsia"/>
                <w:color w:val="auto"/>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ind w:firstLine="420"/>
              <w:rPr>
                <w:rFonts w:hint="eastAsia"/>
                <w:color w:val="auto"/>
                <w:highlight w:val="none"/>
                <w:u w:val="none"/>
              </w:rPr>
            </w:pPr>
            <w:r>
              <w:rPr>
                <w:rFonts w:hint="eastAsia"/>
                <w:color w:val="auto"/>
                <w:highlight w:val="none"/>
                <w:u w:val="none"/>
                <w:lang w:val="en-US" w:eastAsia="zh-CN"/>
              </w:rPr>
              <w:t xml:space="preserve">2.</w:t>
            </w:r>
            <w:r>
              <w:rPr>
                <w:rFonts w:hint="eastAsia"/>
                <w:color w:val="auto"/>
                <w:highlight w:val="none"/>
                <w:u w:val="none"/>
              </w:rPr>
              <w:t xml:space="preserve">快递包装环保要求</w:t>
            </w:r>
            <w:r/>
          </w:p>
          <w:p>
            <w:pPr>
              <w:ind w:firstLine="420"/>
              <w:rPr>
                <w:rFonts w:hint="eastAsia"/>
                <w:color w:val="auto"/>
                <w:highlight w:val="none"/>
                <w:u w:val="none"/>
              </w:rPr>
            </w:pPr>
            <w:r>
              <w:rPr>
                <w:rFonts w:hint="eastAsia"/>
                <w:color w:val="auto"/>
                <w:highlight w:val="none"/>
                <w:u w:val="none"/>
              </w:rPr>
              <w:t xml:space="preserve">（1）快递包装中重金属（铅、汞、镉、六价铬）总量应不大于100mg/kg；</w:t>
            </w:r>
            <w:r/>
          </w:p>
          <w:p>
            <w:pPr>
              <w:ind w:firstLine="420"/>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ind w:firstLine="420"/>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ind w:firstLine="420"/>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ind w:firstLine="420"/>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ind w:firstLine="420"/>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ind w:firstLine="420"/>
              <w:rPr>
                <w:rFonts w:hint="eastAsia"/>
                <w:color w:val="auto"/>
                <w:highlight w:val="none"/>
                <w:u w:val="none"/>
              </w:rPr>
            </w:pPr>
            <w:r>
              <w:rPr>
                <w:rFonts w:hint="eastAsia"/>
                <w:color w:val="auto"/>
                <w:highlight w:val="none"/>
                <w:u w:val="none"/>
              </w:rPr>
              <w:t xml:space="preserve">（8）快递中应使用幅宽不大于45mm 的生物降解胶带；</w:t>
            </w:r>
            <w:r/>
          </w:p>
          <w:p>
            <w:pPr>
              <w:ind w:firstLine="420"/>
              <w:rPr>
                <w:rFonts w:hint="eastAsia"/>
                <w:color w:val="auto"/>
                <w:highlight w:val="none"/>
                <w:u w:val="none"/>
              </w:rPr>
            </w:pPr>
            <w:r>
              <w:rPr>
                <w:rFonts w:hint="eastAsia"/>
                <w:color w:val="auto"/>
                <w:highlight w:val="none"/>
                <w:u w:val="none"/>
              </w:rPr>
              <w:t xml:space="preserve">（9）快递包装中不得使用溶剂型胶粘剂；</w:t>
            </w:r>
            <w:r/>
          </w:p>
          <w:p>
            <w:pPr>
              <w:ind w:firstLine="420"/>
              <w:rPr>
                <w:rFonts w:hint="eastAsia"/>
                <w:color w:val="auto"/>
                <w:highlight w:val="none"/>
                <w:u w:val="none"/>
              </w:rPr>
            </w:pPr>
            <w:r>
              <w:rPr>
                <w:rFonts w:hint="eastAsia"/>
                <w:color w:val="auto"/>
                <w:highlight w:val="none"/>
                <w:u w:val="none"/>
              </w:rPr>
              <w:t xml:space="preserve">（10）快递应使用电子面单；</w:t>
            </w:r>
            <w:r/>
          </w:p>
          <w:p>
            <w:pPr>
              <w:ind w:firstLine="420"/>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color w:val="auto"/>
                <w:highlight w:val="none"/>
              </w:rPr>
            </w:pPr>
            <w:r>
              <w:rPr>
                <w:color w:val="auto"/>
                <w:highlight w:val="none"/>
              </w:rPr>
            </w:r>
            <w:r/>
          </w:p>
        </w:tc>
        <w:tc>
          <w:tcPr>
            <w:tcW w:w="1742" w:type="dxa"/>
            <w:vAlign w:val="center"/>
            <w:textDirection w:val="lrTb"/>
            <w:noWrap w:val="false"/>
          </w:tcPr>
          <w:p>
            <w:pPr>
              <w:jc w:val="left"/>
              <w:rPr>
                <w:color w:val="auto"/>
                <w:highlight w:val="none"/>
              </w:rPr>
            </w:pPr>
            <w:r>
              <w:rPr>
                <w:color w:val="auto"/>
                <w:highlight w:val="none"/>
              </w:rPr>
              <w:t xml:space="preserve">指定现场</w:t>
            </w:r>
            <w:r/>
          </w:p>
        </w:tc>
        <w:tc>
          <w:tcPr>
            <w:tcW w:w="5634" w:type="dxa"/>
            <w:vAlign w:val="center"/>
            <w:textDirection w:val="lrTb"/>
            <w:noWrap w:val="false"/>
          </w:tcPr>
          <w:p>
            <w:pPr>
              <w:ind w:firstLine="420"/>
              <w:rPr>
                <w:color w:val="auto"/>
                <w:highlight w:val="none"/>
              </w:rPr>
            </w:pPr>
            <w:r>
              <w:rPr>
                <w:color w:val="auto"/>
                <w:highlight w:val="none"/>
              </w:rPr>
              <w:t xml:space="preserve">甲方指定地点。</w:t>
            </w:r>
            <w:r/>
          </w:p>
        </w:tc>
      </w:tr>
      <w:tr>
        <w:trPr>
          <w:trHeight w:val="772"/>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第7.2款</w:t>
            </w:r>
            <w:r/>
          </w:p>
        </w:tc>
        <w:tc>
          <w:tcPr>
            <w:tcW w:w="1742" w:type="dxa"/>
            <w:vAlign w:val="center"/>
            <w:textDirection w:val="lrTb"/>
            <w:noWrap w:val="false"/>
          </w:tcPr>
          <w:p>
            <w:pPr>
              <w:jc w:val="left"/>
              <w:rPr>
                <w:color w:val="auto"/>
                <w:highlight w:val="none"/>
              </w:rPr>
            </w:pPr>
            <w:r>
              <w:rPr>
                <w:color w:val="auto"/>
                <w:highlight w:val="none"/>
              </w:rPr>
              <w:t xml:space="preserve">运输特殊要求</w:t>
            </w:r>
            <w:r/>
          </w:p>
        </w:tc>
        <w:tc>
          <w:tcPr>
            <w:tcW w:w="5634" w:type="dxa"/>
            <w:vAlign w:val="center"/>
            <w:textDirection w:val="lrTb"/>
            <w:noWrap w:val="false"/>
          </w:tcPr>
          <w:p>
            <w:pPr>
              <w:ind w:firstLine="420"/>
              <w:rPr>
                <w:color w:val="auto"/>
                <w:highlight w:val="none"/>
              </w:rPr>
            </w:pPr>
            <w:r>
              <w:rPr>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第7.3款</w:t>
            </w:r>
            <w:r/>
          </w:p>
        </w:tc>
        <w:tc>
          <w:tcPr>
            <w:tcW w:w="1742" w:type="dxa"/>
            <w:vAlign w:val="center"/>
            <w:textDirection w:val="lrTb"/>
            <w:noWrap w:val="false"/>
          </w:tcPr>
          <w:p>
            <w:pPr>
              <w:jc w:val="left"/>
              <w:rPr>
                <w:color w:val="auto"/>
                <w:highlight w:val="none"/>
              </w:rPr>
            </w:pPr>
            <w:r>
              <w:rPr>
                <w:color w:val="auto"/>
                <w:highlight w:val="none"/>
              </w:rPr>
              <w:t xml:space="preserve">保险要求</w:t>
            </w:r>
            <w:r/>
          </w:p>
        </w:tc>
        <w:tc>
          <w:tcPr>
            <w:tcW w:w="5634" w:type="dxa"/>
            <w:vAlign w:val="center"/>
            <w:textDirection w:val="lrTb"/>
            <w:noWrap w:val="false"/>
          </w:tcPr>
          <w:p>
            <w:pPr>
              <w:ind w:firstLine="420"/>
              <w:rPr>
                <w:color w:val="auto"/>
                <w:highlight w:val="none"/>
              </w:rPr>
            </w:pPr>
            <w:r>
              <w:rPr>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第8.2（1）项</w:t>
            </w:r>
            <w:r/>
          </w:p>
        </w:tc>
        <w:tc>
          <w:tcPr>
            <w:tcW w:w="1742" w:type="dxa"/>
            <w:vAlign w:val="center"/>
            <w:textDirection w:val="lrTb"/>
            <w:noWrap w:val="false"/>
          </w:tcPr>
          <w:p>
            <w:pPr>
              <w:jc w:val="left"/>
              <w:rPr>
                <w:color w:val="auto"/>
                <w:highlight w:val="none"/>
              </w:rPr>
            </w:pPr>
            <w:r>
              <w:rPr>
                <w:color w:val="auto"/>
                <w:highlight w:val="none"/>
              </w:rPr>
              <w:t xml:space="preserve">质量保证期</w:t>
            </w:r>
            <w:r/>
          </w:p>
        </w:tc>
        <w:tc>
          <w:tcPr>
            <w:tcW w:w="5634" w:type="dxa"/>
            <w:vAlign w:val="center"/>
            <w:textDirection w:val="lrTb"/>
            <w:noWrap w:val="false"/>
          </w:tcPr>
          <w:p>
            <w:pPr>
              <w:numPr>
                <w:ilvl w:val="0"/>
                <w:numId w:val="0"/>
              </w:numPr>
              <w:jc w:val="left"/>
              <w:rPr>
                <w:rFonts w:hint="eastAsia"/>
                <w:color w:val="auto"/>
                <w:highlight w:val="none"/>
                <w:lang w:val="en-US" w:eastAsia="zh-CN"/>
              </w:rPr>
            </w:pPr>
            <w:r>
              <w:rPr>
                <w:rFonts w:hint="eastAsia"/>
                <w:color w:val="auto"/>
                <w:highlight w:val="none"/>
                <w:lang w:val="en-US" w:eastAsia="zh-CN"/>
              </w:rPr>
              <w:t xml:space="preserve">1、疫苗：产品最终交到采购人的有效期在7个月（疫苗有效期为12个月的）和11个月（疫苗有效期为18个月的）以上（自交货验收合格之日起计）。</w:t>
            </w:r>
            <w:r/>
          </w:p>
          <w:p>
            <w:pPr>
              <w:numPr>
                <w:ilvl w:val="0"/>
                <w:numId w:val="0"/>
              </w:numPr>
              <w:jc w:val="left"/>
              <w:rPr>
                <w:rFonts w:hint="eastAsia"/>
                <w:color w:val="auto"/>
                <w:highlight w:val="none"/>
                <w:lang w:val="en-US" w:eastAsia="zh-CN"/>
              </w:rPr>
            </w:pPr>
            <w:r>
              <w:rPr>
                <w:rFonts w:hint="eastAsia"/>
                <w:color w:val="auto"/>
                <w:highlight w:val="none"/>
                <w:lang w:val="en-US" w:eastAsia="zh-CN"/>
              </w:rPr>
            </w:r>
            <w:r/>
          </w:p>
        </w:tc>
      </w:tr>
      <w:tr>
        <w:trPr>
          <w:trHeight w:val="9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第8.2（3）项</w:t>
            </w:r>
            <w:r/>
          </w:p>
        </w:tc>
        <w:tc>
          <w:tcPr>
            <w:tcW w:w="1742" w:type="dxa"/>
            <w:vAlign w:val="center"/>
            <w:textDirection w:val="lrTb"/>
            <w:noWrap w:val="false"/>
          </w:tcPr>
          <w:p>
            <w:pPr>
              <w:jc w:val="left"/>
              <w:rPr>
                <w:color w:val="auto"/>
                <w:highlight w:val="none"/>
              </w:rPr>
            </w:pPr>
            <w:r>
              <w:rPr>
                <w:color w:val="auto"/>
                <w:highlight w:val="none"/>
              </w:rPr>
              <w:t xml:space="preserve">货物质量缺陷</w:t>
            </w:r>
            <w:r/>
          </w:p>
          <w:p>
            <w:pPr>
              <w:jc w:val="left"/>
              <w:rPr>
                <w:color w:val="auto"/>
                <w:highlight w:val="none"/>
              </w:rPr>
            </w:pPr>
            <w:r>
              <w:rPr>
                <w:color w:val="auto"/>
                <w:highlight w:val="none"/>
              </w:rPr>
              <w:t xml:space="preserve">响应时间</w:t>
            </w:r>
            <w:r/>
          </w:p>
        </w:tc>
        <w:tc>
          <w:tcPr>
            <w:tcW w:w="5634" w:type="dxa"/>
            <w:vAlign w:val="center"/>
            <w:textDirection w:val="lrTb"/>
            <w:noWrap w:val="false"/>
          </w:tcPr>
          <w:p>
            <w:pPr>
              <w:pStyle w:val="911"/>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 乙方应按招标文件规定的货物性能、技术要求、质量标准向甲方提供未经使用的全新产品。</w:t>
            </w:r>
            <w:r/>
          </w:p>
          <w:p>
            <w:pPr>
              <w:pStyle w:val="911"/>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 w:val="21"/>
                <w:szCs w:val="21"/>
                <w:highlight w:val="none"/>
                <w:lang w:val="en-US" w:eastAsia="zh-CN" w:bidi="ar-SA"/>
              </w:rPr>
              <w:t xml:space="preserve"> 乙方提供的货物在有效期内因货物本身的质量问题发生故障，乙方应负责免费更换。对达不到技术要求者，根据实际情况，经双方协商，可按以下办法处理：</w:t>
            </w:r>
            <w:r/>
          </w:p>
          <w:p>
            <w:pPr>
              <w:pStyle w:val="911"/>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（1）更换：由乙方承担所发生的全部费用。</w:t>
            </w:r>
            <w:r/>
          </w:p>
          <w:p>
            <w:pPr>
              <w:pStyle w:val="911"/>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（2）贬值处理：由用户与乙双方合议定价。</w:t>
            </w:r>
            <w:r/>
          </w:p>
          <w:p>
            <w:pPr>
              <w:pStyle w:val="911"/>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（3）退货处理：乙方应退还用户支付的合同款，同时应承担该货物的直接费用（运输、保险、检验、货款利息及银行手续费等）。</w:t>
            </w:r>
            <w:r/>
          </w:p>
          <w:p>
            <w:pPr>
              <w:pStyle w:val="911"/>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如在使用过程中发生质量问题，乙方在接到用户通知后在48小时内到达县用户指定现场研究解决方案并负责实施。</w:t>
            </w:r>
            <w:r/>
          </w:p>
          <w:p>
            <w:pPr>
              <w:pStyle w:val="911"/>
              <w:ind w:firstLine="420"/>
              <w:rPr>
                <w:rFonts w:hint="default"/>
                <w:color w:val="auto"/>
                <w:highlight w:val="none"/>
                <w:lang w:val="en-US"/>
              </w:rPr>
            </w:pP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 在质保期内，乙方应对货物出现的质量及安全问题负责，按照国家有关规定妥善处理，并承担所有相关费用。</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pStyle w:val="1222"/>
              <w:ind w:firstLine="0"/>
              <w:jc w:val="center"/>
              <w:rPr>
                <w:rFonts w:ascii="Times New Roman" w:hAnsi="Times New Roman" w:cs="Times New Roman"/>
                <w:color w:val="auto"/>
                <w:highlight w:val="none"/>
              </w:rPr>
            </w:pPr>
            <w:r>
              <w:rPr>
                <w:rFonts w:ascii="Times New Roman" w:hAnsi="Times New Roman" w:eastAsia="宋体" w:cs="Times New Roman"/>
                <w:color w:val="auto"/>
                <w:highlight w:val="none"/>
              </w:rPr>
              <w:t xml:space="preserve">第11.1款</w:t>
            </w:r>
            <w:r/>
          </w:p>
        </w:tc>
        <w:tc>
          <w:tcPr>
            <w:tcW w:w="1742" w:type="dxa"/>
            <w:vAlign w:val="center"/>
            <w:textDirection w:val="lrTb"/>
            <w:noWrap w:val="false"/>
          </w:tcPr>
          <w:p>
            <w:pPr>
              <w:rPr>
                <w:color w:val="auto"/>
                <w:highlight w:val="none"/>
              </w:rPr>
            </w:pPr>
            <w:r>
              <w:rPr>
                <w:color w:val="auto"/>
                <w:highlight w:val="none"/>
              </w:rPr>
              <w:t xml:space="preserve">其他应当保密的信息</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第12.2款</w:t>
            </w:r>
            <w:r/>
          </w:p>
        </w:tc>
        <w:tc>
          <w:tcPr>
            <w:tcW w:w="1742" w:type="dxa"/>
            <w:vAlign w:val="center"/>
            <w:textDirection w:val="lrTb"/>
            <w:noWrap w:val="false"/>
          </w:tcPr>
          <w:p>
            <w:pPr>
              <w:jc w:val="left"/>
              <w:rPr>
                <w:color w:val="auto"/>
                <w:highlight w:val="none"/>
              </w:rPr>
            </w:pPr>
            <w:r>
              <w:rPr>
                <w:color w:val="auto"/>
                <w:highlight w:val="none"/>
              </w:rPr>
              <w:t xml:space="preserve">合同价款支付时间</w:t>
            </w:r>
            <w:r/>
          </w:p>
        </w:tc>
        <w:tc>
          <w:tcPr>
            <w:tcW w:w="5634" w:type="dxa"/>
            <w:vAlign w:val="center"/>
            <w:textDirection w:val="lrTb"/>
            <w:noWrap w:val="false"/>
          </w:tcPr>
          <w:p>
            <w:pPr>
              <w:ind w:firstLine="420"/>
              <w:jc w:val="left"/>
              <w:rPr>
                <w:color w:val="auto"/>
                <w:highlight w:val="none"/>
              </w:rPr>
            </w:pPr>
            <w:r>
              <w:rPr>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第13.2款</w:t>
            </w:r>
            <w:r/>
          </w:p>
        </w:tc>
        <w:tc>
          <w:tcPr>
            <w:tcW w:w="1742" w:type="dxa"/>
            <w:vAlign w:val="center"/>
            <w:textDirection w:val="lrTb"/>
            <w:noWrap w:val="false"/>
          </w:tcPr>
          <w:p>
            <w:pPr>
              <w:jc w:val="left"/>
              <w:rPr>
                <w:color w:val="auto"/>
                <w:highlight w:val="none"/>
              </w:rPr>
            </w:pPr>
            <w:r>
              <w:rPr>
                <w:color w:val="auto"/>
                <w:highlight w:val="none"/>
              </w:rPr>
              <w:t xml:space="preserve">履约保证金不予退还的情形</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不涉及</w:t>
            </w:r>
            <w:r/>
          </w:p>
        </w:tc>
      </w:tr>
      <w:tr>
        <w:trPr>
          <w:trHeight w:val="35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第13.3款</w:t>
            </w:r>
            <w:r/>
          </w:p>
        </w:tc>
        <w:tc>
          <w:tcPr>
            <w:tcW w:w="1742" w:type="dxa"/>
            <w:vAlign w:val="center"/>
            <w:textDirection w:val="lrTb"/>
            <w:noWrap w:val="false"/>
          </w:tcPr>
          <w:p>
            <w:pPr>
              <w:jc w:val="left"/>
              <w:rPr>
                <w:color w:val="auto"/>
                <w:highlight w:val="none"/>
              </w:rPr>
            </w:pPr>
            <w:r>
              <w:rPr>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color w:val="auto"/>
                <w:highlight w:val="none"/>
              </w:rPr>
            </w:pPr>
            <w:r>
              <w:rPr>
                <w:rFonts w:hint="eastAsia"/>
                <w:color w:val="auto"/>
                <w:highlight w:val="none"/>
                <w:lang w:val="en-US" w:eastAsia="zh-CN"/>
              </w:rPr>
              <w:t xml:space="preserve">不涉及</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第14.1（3）项</w:t>
            </w:r>
            <w:r/>
          </w:p>
        </w:tc>
        <w:tc>
          <w:tcPr>
            <w:tcW w:w="1742" w:type="dxa"/>
            <w:vAlign w:val="center"/>
            <w:textDirection w:val="lrTb"/>
            <w:noWrap w:val="false"/>
          </w:tcPr>
          <w:p>
            <w:pPr>
              <w:jc w:val="left"/>
              <w:rPr>
                <w:color w:val="auto"/>
                <w:highlight w:val="none"/>
              </w:rPr>
            </w:pPr>
            <w:r>
              <w:rPr>
                <w:color w:val="auto"/>
                <w:highlight w:val="none"/>
              </w:rPr>
              <w:t xml:space="preserve">运行监督、维修期限</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第14.1（5）项</w:t>
            </w:r>
            <w:r/>
          </w:p>
        </w:tc>
        <w:tc>
          <w:tcPr>
            <w:tcW w:w="1742" w:type="dxa"/>
            <w:vAlign w:val="center"/>
            <w:textDirection w:val="lrTb"/>
            <w:noWrap w:val="false"/>
          </w:tcPr>
          <w:p>
            <w:pPr>
              <w:jc w:val="left"/>
              <w:rPr>
                <w:color w:val="auto"/>
                <w:highlight w:val="none"/>
              </w:rPr>
            </w:pPr>
            <w:r>
              <w:rPr>
                <w:color w:val="auto"/>
                <w:highlight w:val="none"/>
              </w:rPr>
              <w:t xml:space="preserve">货物回收的约定</w:t>
            </w:r>
            <w:r/>
          </w:p>
        </w:tc>
        <w:tc>
          <w:tcPr>
            <w:tcW w:w="5634" w:type="dxa"/>
            <w:vAlign w:val="center"/>
            <w:textDirection w:val="lrTb"/>
            <w:noWrap w:val="false"/>
          </w:tcPr>
          <w:p>
            <w:pPr>
              <w:ind w:firstLine="420"/>
              <w:jc w:val="left"/>
              <w:rPr>
                <w:color w:val="auto"/>
                <w:highlight w:val="none"/>
              </w:rPr>
            </w:pPr>
            <w:r>
              <w:rPr>
                <w:color w:val="auto"/>
                <w:highlight w:val="none"/>
              </w:rPr>
              <w:t xml:space="preserve">由甲乙双方合议定价。</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第14.1（6）项</w:t>
            </w:r>
            <w:r/>
          </w:p>
        </w:tc>
        <w:tc>
          <w:tcPr>
            <w:tcW w:w="1742" w:type="dxa"/>
            <w:vAlign w:val="center"/>
            <w:textDirection w:val="lrTb"/>
            <w:noWrap w:val="false"/>
          </w:tcPr>
          <w:p>
            <w:pPr>
              <w:jc w:val="left"/>
              <w:rPr>
                <w:color w:val="auto"/>
                <w:highlight w:val="none"/>
              </w:rPr>
            </w:pPr>
            <w:r>
              <w:rPr>
                <w:color w:val="auto"/>
                <w:highlight w:val="none"/>
              </w:rPr>
              <w:t xml:space="preserve">乙方提供的其他服务</w:t>
            </w:r>
            <w:r/>
          </w:p>
        </w:tc>
        <w:tc>
          <w:tcPr>
            <w:tcW w:w="5634" w:type="dxa"/>
            <w:vAlign w:val="center"/>
            <w:textDirection w:val="lrTb"/>
            <w:noWrap w:val="false"/>
          </w:tcPr>
          <w:p>
            <w:pPr>
              <w:ind w:firstLine="420"/>
              <w:jc w:val="left"/>
              <w:rPr>
                <w:color w:val="auto"/>
                <w:highlight w:val="none"/>
              </w:rPr>
            </w:pPr>
            <w:r>
              <w:rPr>
                <w:color w:val="auto"/>
                <w:highlight w:val="none"/>
              </w:rPr>
              <w:t xml:space="preserve">详见</w:t>
            </w:r>
            <w:r>
              <w:rPr>
                <w:rFonts w:hint="eastAsia"/>
                <w:color w:val="auto"/>
                <w:highlight w:val="none"/>
                <w:lang w:val="en-US" w:eastAsia="zh-CN"/>
              </w:rPr>
              <w:t xml:space="preserve">投标</w:t>
            </w:r>
            <w:r>
              <w:rPr>
                <w:color w:val="auto"/>
                <w:highlight w:val="none"/>
              </w:rPr>
              <w:t xml:space="preserve">文件。</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第15.1款</w:t>
            </w:r>
            <w:r/>
          </w:p>
        </w:tc>
        <w:tc>
          <w:tcPr>
            <w:tcW w:w="1742" w:type="dxa"/>
            <w:vAlign w:val="center"/>
            <w:textDirection w:val="lrTb"/>
            <w:noWrap w:val="false"/>
          </w:tcPr>
          <w:p>
            <w:pPr>
              <w:jc w:val="left"/>
              <w:rPr>
                <w:color w:val="auto"/>
                <w:highlight w:val="none"/>
              </w:rPr>
            </w:pPr>
            <w:r>
              <w:rPr>
                <w:color w:val="auto"/>
                <w:highlight w:val="none"/>
              </w:rPr>
              <w:t xml:space="preserve">修理、重作、更换相关具体规定</w:t>
            </w:r>
            <w:r/>
          </w:p>
        </w:tc>
        <w:tc>
          <w:tcPr>
            <w:tcW w:w="5634" w:type="dxa"/>
            <w:vAlign w:val="center"/>
            <w:textDirection w:val="lrTb"/>
            <w:noWrap w:val="false"/>
          </w:tcPr>
          <w:p>
            <w:pPr>
              <w:ind w:firstLine="420"/>
              <w:jc w:val="left"/>
              <w:rPr>
                <w:rFonts w:hint="eastAsia" w:eastAsia="宋体"/>
                <w:color w:val="auto"/>
                <w:highlight w:val="none"/>
                <w:lang w:eastAsia="zh-CN"/>
              </w:rPr>
            </w:pPr>
            <w:r>
              <w:rPr>
                <w:rFonts w:hint="eastAsia"/>
                <w:color w:val="auto"/>
                <w:highlight w:val="none"/>
                <w:lang w:val="en-US" w:eastAsia="zh-CN"/>
              </w:rPr>
              <w:t xml:space="preserve">/</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第15.2（2）项</w:t>
            </w:r>
            <w:r/>
          </w:p>
        </w:tc>
        <w:tc>
          <w:tcPr>
            <w:tcW w:w="1742" w:type="dxa"/>
            <w:vAlign w:val="center"/>
            <w:textDirection w:val="lrTb"/>
            <w:noWrap w:val="false"/>
          </w:tcPr>
          <w:p>
            <w:pPr>
              <w:jc w:val="left"/>
              <w:rPr>
                <w:color w:val="auto"/>
                <w:highlight w:val="none"/>
              </w:rPr>
            </w:pPr>
            <w:r>
              <w:rPr>
                <w:color w:val="auto"/>
                <w:highlight w:val="none"/>
              </w:rPr>
              <w:t xml:space="preserve">迟延交货赔偿费</w:t>
            </w:r>
            <w:r/>
          </w:p>
        </w:tc>
        <w:tc>
          <w:tcPr>
            <w:tcW w:w="5634" w:type="dxa"/>
            <w:vAlign w:val="center"/>
            <w:textDirection w:val="lrTb"/>
            <w:noWrap w:val="false"/>
          </w:tcPr>
          <w:p>
            <w:pPr>
              <w:ind w:firstLine="420"/>
              <w:jc w:val="left"/>
              <w:rPr>
                <w:color w:val="auto"/>
                <w:highlight w:val="none"/>
              </w:rPr>
            </w:pPr>
            <w:r>
              <w:rPr>
                <w:color w:val="auto"/>
                <w:highlight w:val="none"/>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color w:val="auto"/>
                <w:highlight w:val="none"/>
              </w:rPr>
              <w:t xml:space="preserve">分之一支付违约金，违约金可直接从</w:t>
            </w:r>
            <w:r>
              <w:rPr>
                <w:rFonts w:hint="eastAsia"/>
                <w:color w:val="auto"/>
                <w:highlight w:val="none"/>
              </w:rPr>
              <w:t xml:space="preserve">待付货款</w:t>
            </w:r>
            <w:r>
              <w:rPr>
                <w:color w:val="auto"/>
                <w:highlight w:val="none"/>
              </w:rPr>
              <w:t xml:space="preserve">中扣除；延期超过10 日，甲方有权强制解除合同。</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第15.3款</w:t>
            </w:r>
            <w:r/>
          </w:p>
        </w:tc>
        <w:tc>
          <w:tcPr>
            <w:tcW w:w="1742" w:type="dxa"/>
            <w:vAlign w:val="center"/>
            <w:textDirection w:val="lrTb"/>
            <w:noWrap w:val="false"/>
          </w:tcPr>
          <w:p>
            <w:pPr>
              <w:jc w:val="left"/>
              <w:rPr>
                <w:color w:val="auto"/>
                <w:highlight w:val="none"/>
              </w:rPr>
            </w:pPr>
            <w:r>
              <w:rPr>
                <w:color w:val="auto"/>
                <w:highlight w:val="none"/>
              </w:rPr>
              <w:t xml:space="preserve">逾期付款利息</w:t>
            </w:r>
            <w:r/>
          </w:p>
        </w:tc>
        <w:tc>
          <w:tcPr>
            <w:tcW w:w="5634" w:type="dxa"/>
            <w:vAlign w:val="center"/>
            <w:textDirection w:val="lrTb"/>
            <w:noWrap w:val="false"/>
          </w:tcPr>
          <w:p>
            <w:pPr>
              <w:ind w:firstLine="420"/>
              <w:jc w:val="left"/>
              <w:rPr>
                <w:color w:val="auto"/>
                <w:highlight w:val="none"/>
              </w:rPr>
            </w:pPr>
            <w:r>
              <w:rPr>
                <w:color w:val="auto"/>
                <w:highlight w:val="none"/>
              </w:rPr>
              <w:t xml:space="preserve">甲方无故逾期验收和办理货款支付手续的，甲方应按逾期付款总额每日</w:t>
            </w:r>
            <w:r>
              <w:rPr>
                <w:rFonts w:hint="eastAsia"/>
                <w:color w:val="auto"/>
                <w:highlight w:val="none"/>
                <w:lang w:val="en-US" w:eastAsia="zh-CN"/>
              </w:rPr>
              <w:t xml:space="preserve">千</w:t>
            </w:r>
            <w:r>
              <w:rPr>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乙方所交的货物品种、型号、规格、技术参数、质量不符合合同规定及招标文件规定标准</w:t>
            </w:r>
            <w:r>
              <w:rPr>
                <w:rFonts w:hint="eastAsia"/>
                <w:color w:val="auto"/>
                <w:highlight w:val="none"/>
              </w:rPr>
              <w:t xml:space="preserve">和国家有关质量标准</w:t>
            </w:r>
            <w:r>
              <w:rPr>
                <w:color w:val="auto"/>
                <w:highlight w:val="none"/>
              </w:rPr>
              <w:t xml:space="preserve">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jc w:val="left"/>
              <w:spacing w:line="400" w:lineRule="exact"/>
              <w:rPr>
                <w:iCs/>
                <w:color w:val="auto"/>
                <w:highlight w:val="none"/>
              </w:rPr>
            </w:pPr>
            <w:r>
              <w:rPr>
                <w:iCs/>
                <w:color w:val="auto"/>
                <w:highlight w:val="none"/>
              </w:rPr>
              <w:t xml:space="preserve">因本合同及合同有关事项发生的争议，按下列第（2）种方式解决：</w:t>
            </w:r>
            <w:r/>
          </w:p>
          <w:p>
            <w:pPr>
              <w:jc w:val="left"/>
              <w:spacing w:line="400" w:lineRule="exact"/>
              <w:rPr>
                <w:iCs/>
                <w:color w:val="auto"/>
                <w:highlight w:val="none"/>
              </w:rPr>
            </w:pPr>
            <w:r>
              <w:rPr>
                <w:iCs/>
                <w:color w:val="auto"/>
                <w:highlight w:val="none"/>
              </w:rPr>
              <w:t xml:space="preserve">（1）向</w:t>
            </w:r>
            <w:r>
              <w:rPr>
                <w:iCs/>
                <w:color w:val="auto"/>
                <w:highlight w:val="none"/>
                <w:u w:val="single"/>
              </w:rPr>
              <w:t xml:space="preserve"> / </w:t>
            </w:r>
            <w:r>
              <w:rPr>
                <w:iCs/>
                <w:color w:val="auto"/>
                <w:highlight w:val="none"/>
              </w:rPr>
              <w:t xml:space="preserve">仲裁委员会申请仲裁，仲裁地点为</w:t>
            </w:r>
            <w:r>
              <w:rPr>
                <w:iCs/>
                <w:color w:val="auto"/>
                <w:highlight w:val="none"/>
                <w:u w:val="single"/>
              </w:rPr>
              <w:t xml:space="preserve"> / </w:t>
            </w:r>
            <w:r>
              <w:rPr>
                <w:iCs/>
                <w:color w:val="auto"/>
                <w:highlight w:val="none"/>
              </w:rPr>
              <w:t xml:space="preserve">；</w:t>
            </w:r>
            <w:r/>
          </w:p>
          <w:p>
            <w:pPr>
              <w:jc w:val="left"/>
              <w:rPr>
                <w:color w:val="auto"/>
                <w:highlight w:val="none"/>
              </w:rPr>
            </w:pPr>
            <w:r>
              <w:rPr>
                <w:iCs/>
                <w:color w:val="auto"/>
                <w:highlight w:val="none"/>
              </w:rPr>
              <w:t xml:space="preserve">（2）向 </w:t>
            </w:r>
            <w:r>
              <w:rPr>
                <w:rFonts w:hint="eastAsia"/>
                <w:iCs/>
                <w:color w:val="auto"/>
                <w:highlight w:val="none"/>
                <w:u w:val="single"/>
                <w:lang w:eastAsia="zh-CN"/>
              </w:rPr>
              <w:t xml:space="preserve">泗阳县</w:t>
            </w:r>
            <w:r>
              <w:rPr>
                <w:rFonts w:hint="eastAsia"/>
                <w:iCs/>
                <w:color w:val="auto"/>
                <w:highlight w:val="none"/>
                <w:u w:val="single"/>
              </w:rPr>
              <w:t xml:space="preserve"> </w:t>
            </w:r>
            <w:r>
              <w:rPr>
                <w:iCs/>
                <w:color w:val="auto"/>
                <w:highlight w:val="none"/>
              </w:rPr>
              <w:t xml:space="preserve">人民法院起诉。</w:t>
            </w:r>
            <w:r/>
          </w:p>
        </w:tc>
      </w:tr>
      <w:tr>
        <w:trPr>
          <w:trHeight w:val="77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第23.1款</w:t>
            </w:r>
            <w:r/>
          </w:p>
        </w:tc>
        <w:tc>
          <w:tcPr>
            <w:tcW w:w="1742" w:type="dxa"/>
            <w:vAlign w:val="center"/>
            <w:textDirection w:val="lrTb"/>
            <w:noWrap w:val="false"/>
          </w:tcPr>
          <w:p>
            <w:pPr>
              <w:jc w:val="left"/>
              <w:rPr>
                <w:color w:val="auto"/>
                <w:highlight w:val="none"/>
              </w:rPr>
            </w:pPr>
            <w:r>
              <w:rPr>
                <w:bCs/>
                <w:color w:val="auto"/>
                <w:highlight w:val="none"/>
              </w:rPr>
              <w:t xml:space="preserve">其他专用条款</w:t>
            </w:r>
            <w:r/>
          </w:p>
        </w:tc>
        <w:tc>
          <w:tcPr>
            <w:tcW w:w="5634" w:type="dxa"/>
            <w:vAlign w:val="center"/>
            <w:textDirection w:val="lrTb"/>
            <w:noWrap w:val="false"/>
          </w:tcPr>
          <w:p>
            <w:pPr>
              <w:jc w:val="left"/>
              <w:rPr>
                <w:color w:val="auto"/>
                <w:highlight w:val="none"/>
              </w:rPr>
            </w:pPr>
            <w:r>
              <w:rPr>
                <w:color w:val="auto"/>
                <w:highlight w:val="none"/>
              </w:rPr>
              <w:t xml:space="preserve">无。</w:t>
            </w:r>
            <w:r/>
          </w:p>
        </w:tc>
      </w:tr>
    </w:tbl>
    <w:p>
      <w:pPr>
        <w:spacing w:line="0" w:lineRule="atLeast"/>
        <w:rPr>
          <w:bCs/>
          <w:color w:val="auto"/>
          <w:sz w:val="24"/>
          <w:szCs w:val="24"/>
          <w:highlight w:val="none"/>
        </w:rPr>
      </w:pPr>
      <w:r>
        <w:rPr>
          <w:bCs/>
          <w:color w:val="auto"/>
          <w:sz w:val="24"/>
          <w:szCs w:val="24"/>
          <w:highlight w:val="none"/>
        </w:rPr>
      </w:r>
      <w:r/>
    </w:p>
    <w:p>
      <w:pPr>
        <w:pStyle w:val="1096"/>
        <w:jc w:val="center"/>
        <w:spacing w:line="360" w:lineRule="auto"/>
        <w:rPr>
          <w:rFonts w:hint="eastAsia" w:ascii="Times New Roman" w:hAnsi="Times New Roman"/>
          <w:color w:val="auto"/>
          <w:sz w:val="24"/>
          <w:szCs w:val="24"/>
          <w:highlight w:val="none"/>
        </w:rPr>
        <w:outlineLvl w:val="0"/>
      </w:pPr>
      <w:r/>
      <w:bookmarkStart w:id="391" w:name="_Toc1287"/>
      <w:r/>
      <w:bookmarkStart w:id="392" w:name="_Toc20511"/>
      <w:r>
        <w:rPr>
          <w:rFonts w:hint="eastAsia" w:hAnsi="宋体" w:cs="宋体"/>
          <w:b/>
          <w:color w:val="auto"/>
          <w:sz w:val="44"/>
          <w:highlight w:val="none"/>
        </w:rPr>
        <w:t xml:space="preserve">第</w:t>
      </w:r>
      <w:bookmarkEnd w:id="309"/>
      <w:r>
        <w:rPr>
          <w:rFonts w:hint="eastAsia" w:hAnsi="宋体" w:cs="宋体"/>
          <w:b/>
          <w:color w:val="auto"/>
          <w:sz w:val="44"/>
          <w:highlight w:val="none"/>
        </w:rPr>
        <w:t xml:space="preserve">四章 采购需求</w:t>
      </w:r>
      <w:bookmarkEnd w:id="310"/>
      <w:r/>
      <w:bookmarkEnd w:id="311"/>
      <w:r/>
      <w:bookmarkEnd w:id="312"/>
      <w:r/>
      <w:bookmarkEnd w:id="391"/>
      <w:r/>
      <w:bookmarkEnd w:id="392"/>
      <w:r/>
      <w:r/>
    </w:p>
    <w:p>
      <w:pPr>
        <w:spacing w:before="120" w:after="120" w:line="0" w:lineRule="atLeast"/>
        <w:rPr>
          <w:rFonts w:hint="eastAsia" w:cs="Courier New"/>
          <w:b/>
          <w:bCs/>
          <w:color w:val="auto"/>
          <w:sz w:val="24"/>
          <w:szCs w:val="24"/>
          <w:highlight w:val="none"/>
        </w:rPr>
      </w:pPr>
      <w:r/>
      <w:bookmarkStart w:id="393" w:name="_Toc26554093"/>
      <w:r/>
      <w:bookmarkStart w:id="394" w:name="_Toc49090575"/>
      <w:r>
        <w:rPr>
          <w:rFonts w:hint="eastAsia" w:cs="Courier New"/>
          <w:b/>
          <w:bCs/>
          <w:color w:val="auto"/>
          <w:sz w:val="24"/>
          <w:szCs w:val="24"/>
          <w:highlight w:val="none"/>
        </w:rPr>
        <w:t xml:space="preserve">项目属性：</w:t>
      </w:r>
      <w:r>
        <w:rPr>
          <w:rFonts w:hint="eastAsia" w:cs="Courier New"/>
          <w:b/>
          <w:bCs/>
          <w:color w:val="auto"/>
          <w:sz w:val="24"/>
          <w:szCs w:val="24"/>
          <w:highlight w:val="none"/>
          <w:u w:val="single"/>
        </w:rPr>
        <w:t xml:space="preserve">货物类项目</w:t>
      </w:r>
      <w:r/>
    </w:p>
    <w:p>
      <w:pPr>
        <w:spacing w:before="120" w:after="120" w:line="0" w:lineRule="atLeast"/>
        <w:rPr>
          <w:rFonts w:hint="eastAsia" w:cs="Courier New"/>
          <w:b/>
          <w:bCs/>
          <w:color w:val="auto"/>
          <w:sz w:val="24"/>
          <w:szCs w:val="24"/>
          <w:highlight w:val="none"/>
          <w:u w:val="single"/>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rPr>
        <w:t xml:space="preserve">工业</w:t>
      </w:r>
      <w:r/>
    </w:p>
    <w:p>
      <w:pPr>
        <w:spacing w:before="120" w:after="120" w:line="0" w:lineRule="atLeast"/>
        <w:rPr>
          <w:rFonts w:hint="eastAsia" w:cs="Courier New"/>
          <w:b/>
          <w:bCs/>
          <w:color w:val="auto"/>
          <w:sz w:val="24"/>
          <w:szCs w:val="24"/>
          <w:highlight w:val="none"/>
        </w:rPr>
      </w:pPr>
      <w:r>
        <w:rPr>
          <w:rFonts w:hint="eastAsia" w:cs="Courier New"/>
          <w:b/>
          <w:bCs/>
          <w:color w:val="auto"/>
          <w:sz w:val="24"/>
          <w:szCs w:val="24"/>
          <w:highlight w:val="none"/>
        </w:rPr>
        <w:t xml:space="preserve">本项目</w:t>
      </w:r>
      <w:r>
        <w:rPr>
          <w:rFonts w:hint="eastAsia" w:cs="Courier New"/>
          <w:b/>
          <w:bCs/>
          <w:color w:val="auto"/>
          <w:sz w:val="24"/>
          <w:szCs w:val="24"/>
          <w:highlight w:val="none"/>
          <w:u w:val="single"/>
        </w:rPr>
        <w:t xml:space="preserve"> </w:t>
      </w:r>
      <w:r>
        <w:rPr>
          <w:rFonts w:hint="eastAsia" w:cs="Courier New"/>
          <w:b/>
          <w:bCs/>
          <w:color w:val="auto"/>
          <w:sz w:val="24"/>
          <w:szCs w:val="24"/>
          <w:highlight w:val="none"/>
          <w:u w:val="single"/>
          <w:lang w:val="en-US" w:eastAsia="zh-CN"/>
        </w:rPr>
        <w:t xml:space="preserve">不</w:t>
      </w:r>
      <w:r>
        <w:rPr>
          <w:rFonts w:hint="eastAsia" w:cs="Courier New"/>
          <w:b/>
          <w:bCs/>
          <w:color w:val="auto"/>
          <w:sz w:val="24"/>
          <w:szCs w:val="24"/>
          <w:highlight w:val="none"/>
          <w:u w:val="single"/>
        </w:rPr>
        <w:t xml:space="preserve">接受 </w:t>
      </w:r>
      <w:r>
        <w:rPr>
          <w:rFonts w:hint="eastAsia" w:cs="Courier New"/>
          <w:b/>
          <w:bCs/>
          <w:color w:val="auto"/>
          <w:sz w:val="24"/>
          <w:szCs w:val="24"/>
          <w:highlight w:val="none"/>
        </w:rPr>
        <w:t xml:space="preserve">进口产品。</w:t>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ascii="宋体" w:hAnsi="宋体" w:cs="宋体"/>
          <w:b/>
          <w:color w:val="auto"/>
          <w:sz w:val="30"/>
          <w:szCs w:val="30"/>
          <w:highlight w:val="none"/>
        </w:rPr>
        <w:outlineLvl w:val="0"/>
      </w:pPr>
      <w:r/>
      <w:bookmarkStart w:id="395" w:name="_Toc20076"/>
      <w:r/>
      <w:bookmarkStart w:id="396" w:name="_Toc10088"/>
      <w:r>
        <w:rPr>
          <w:rFonts w:hint="eastAsia" w:ascii="宋体" w:hAnsi="宋体" w:cs="宋体"/>
          <w:b/>
          <w:color w:val="auto"/>
          <w:sz w:val="30"/>
          <w:szCs w:val="30"/>
          <w:highlight w:val="none"/>
        </w:rPr>
        <w:t xml:space="preserve">一、项目概况</w:t>
      </w:r>
      <w:bookmarkEnd w:id="395"/>
      <w:r/>
      <w:bookmarkEnd w:id="396"/>
      <w:r/>
      <w:r/>
    </w:p>
    <w:p>
      <w:pPr>
        <w:pStyle w:val="1193"/>
        <w:ind w:firstLine="482"/>
        <w:jc w:val="left"/>
        <w:spacing w:line="480" w:lineRule="exact"/>
        <w:rPr>
          <w:rFonts w:hint="eastAsia" w:ascii="宋体" w:hAnsi="宋体" w:cs="宋体"/>
          <w:color w:val="auto"/>
          <w:sz w:val="24"/>
          <w:highlight w:val="none"/>
          <w:lang w:eastAsia="zh-CN"/>
        </w:rPr>
      </w:pPr>
      <w:r/>
      <w:bookmarkStart w:id="397" w:name="_Toc120614281"/>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泗阳县2025年度重大动物疫病免疫补助项目（疫苗、标识）</w:t>
      </w:r>
      <w:r/>
    </w:p>
    <w:p>
      <w:pPr>
        <w:pStyle w:val="903"/>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highlight w:val="none"/>
        </w:rPr>
        <w:t xml:space="preserve">（二）预算金额</w:t>
      </w:r>
      <w:r>
        <w:rPr>
          <w:rFonts w:hint="eastAsia" w:ascii="宋体" w:hAnsi="宋体" w:cs="宋体"/>
          <w:b w:val="0"/>
          <w:bCs w:val="0"/>
          <w:color w:val="auto"/>
          <w:sz w:val="24"/>
          <w:highlight w:val="none"/>
        </w:rPr>
        <w:t xml:space="preserve">:</w:t>
      </w:r>
      <w:r>
        <w:rPr>
          <w:rFonts w:hint="eastAsia" w:ascii="宋体" w:hAnsi="宋体" w:eastAsia="宋体" w:cs="宋体"/>
          <w:color w:val="auto"/>
          <w:sz w:val="24"/>
          <w:szCs w:val="24"/>
          <w:highlight w:val="none"/>
          <w:lang w:val="en-US" w:eastAsia="zh-CN"/>
        </w:rPr>
        <w:t xml:space="preserve">130.99996万元，共分为5个采购包</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采购包1：28.11998万元；采购包2：12.8万元；采购包3：61.23万元；采购包4：15.64998万元；采购包5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13.2万元。</w:t>
      </w:r>
      <w:r/>
    </w:p>
    <w:p>
      <w:pPr>
        <w:pStyle w:val="1193"/>
        <w:ind w:firstLine="482"/>
        <w:jc w:val="left"/>
        <w:spacing w:line="480" w:lineRule="exact"/>
        <w:rPr>
          <w:rFonts w:hint="eastAsia" w:ascii="宋体" w:hAnsi="宋体" w:cs="宋体"/>
          <w:color w:val="auto"/>
          <w:sz w:val="24"/>
          <w:szCs w:val="24"/>
          <w:highlight w:val="none"/>
        </w:rPr>
      </w:pPr>
      <w:r>
        <w:rPr>
          <w:rFonts w:hint="eastAsia" w:ascii="宋体" w:hAnsi="宋体" w:cs="宋体"/>
          <w:b/>
          <w:bCs/>
          <w:color w:val="auto"/>
          <w:sz w:val="24"/>
          <w:highlight w:val="none"/>
        </w:rPr>
        <w:t xml:space="preserve">（三）采购内容：</w:t>
      </w:r>
      <w:r>
        <w:rPr>
          <w:rFonts w:hint="eastAsia" w:ascii="宋体" w:hAnsi="宋体" w:cs="宋体"/>
          <w:b w:val="0"/>
          <w:bCs w:val="0"/>
          <w:color w:val="auto"/>
          <w:sz w:val="24"/>
          <w:highlight w:val="none"/>
          <w:lang w:eastAsia="zh-CN"/>
        </w:rPr>
        <w:t xml:space="preserve">泗阳县畜牧兽医站</w:t>
      </w:r>
      <w:r>
        <w:rPr>
          <w:rFonts w:hint="eastAsia" w:ascii="宋体" w:hAnsi="宋体" w:cs="宋体"/>
          <w:b w:val="0"/>
          <w:bCs w:val="0"/>
          <w:color w:val="auto"/>
          <w:sz w:val="24"/>
          <w:highlight w:val="none"/>
        </w:rPr>
        <w:t xml:space="preserve">拟采购</w:t>
      </w:r>
      <w:r>
        <w:rPr>
          <w:rFonts w:hint="eastAsia" w:ascii="宋体" w:hAnsi="宋体" w:cs="宋体"/>
          <w:b w:val="0"/>
          <w:bCs w:val="0"/>
          <w:color w:val="auto"/>
          <w:sz w:val="24"/>
          <w:highlight w:val="none"/>
          <w:lang w:val="en-US" w:eastAsia="zh-CN"/>
        </w:rPr>
        <w:t xml:space="preserve">一批</w:t>
      </w:r>
      <w:r>
        <w:rPr>
          <w:rFonts w:hint="eastAsia" w:ascii="宋体" w:hAnsi="宋体" w:cs="宋体"/>
          <w:b w:val="0"/>
          <w:bCs w:val="0"/>
          <w:color w:val="auto"/>
          <w:sz w:val="24"/>
          <w:highlight w:val="none"/>
        </w:rPr>
        <w:t xml:space="preserve">重大动物疫病免疫所需</w:t>
      </w:r>
      <w:r>
        <w:rPr>
          <w:rFonts w:hint="eastAsia" w:ascii="宋体" w:hAnsi="宋体" w:cs="宋体"/>
          <w:b w:val="0"/>
          <w:bCs w:val="0"/>
          <w:color w:val="auto"/>
          <w:sz w:val="24"/>
          <w:highlight w:val="none"/>
          <w:lang w:val="en-US" w:eastAsia="zh-CN"/>
        </w:rPr>
        <w:t xml:space="preserve">相关的</w:t>
      </w:r>
      <w:r>
        <w:rPr>
          <w:rFonts w:hint="eastAsia" w:ascii="宋体" w:hAnsi="宋体" w:cs="宋体"/>
          <w:b w:val="0"/>
          <w:bCs w:val="0"/>
          <w:color w:val="auto"/>
          <w:sz w:val="24"/>
          <w:highlight w:val="none"/>
        </w:rPr>
        <w:t xml:space="preserve">疫苗、耳标及相关配套服务、疫苗配套稀释液等。</w:t>
      </w:r>
      <w:r/>
    </w:p>
    <w:p>
      <w:pPr>
        <w:pStyle w:val="1193"/>
        <w:ind w:firstLine="482"/>
        <w:jc w:val="left"/>
        <w:spacing w:line="480" w:lineRule="exact"/>
        <w:rPr>
          <w:rFonts w:hint="eastAsia" w:ascii="宋体" w:hAnsi="宋体" w:cs="宋体"/>
          <w:b w:val="0"/>
          <w:bCs w:val="0"/>
          <w:color w:val="auto"/>
          <w:sz w:val="24"/>
          <w:highlight w:val="gree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合同履行期限：</w:t>
      </w:r>
      <w:r>
        <w:rPr>
          <w:rFonts w:hint="eastAsia" w:ascii="宋体" w:hAnsi="宋体" w:cs="宋体"/>
          <w:b w:val="0"/>
          <w:bCs w:val="0"/>
          <w:color w:val="auto"/>
          <w:sz w:val="24"/>
          <w:highlight w:val="none"/>
        </w:rPr>
        <w:t xml:space="preserve">合同签订后1</w:t>
      </w:r>
      <w:r>
        <w:rPr>
          <w:rFonts w:hint="eastAsia" w:ascii="宋体" w:hAnsi="宋体" w:cs="宋体"/>
          <w:b w:val="0"/>
          <w:bCs w:val="0"/>
          <w:color w:val="auto"/>
          <w:sz w:val="24"/>
          <w:highlight w:val="none"/>
          <w:lang w:val="en-US" w:eastAsia="zh-CN"/>
        </w:rPr>
        <w:t xml:space="preserve">年</w:t>
      </w:r>
      <w:r>
        <w:rPr>
          <w:rFonts w:hint="eastAsia" w:ascii="宋体" w:hAnsi="宋体" w:cs="宋体"/>
          <w:b w:val="0"/>
          <w:bCs w:val="0"/>
          <w:color w:val="auto"/>
          <w:sz w:val="24"/>
          <w:highlight w:val="none"/>
        </w:rPr>
        <w:t xml:space="preserve">。</w:t>
      </w:r>
      <w:r/>
    </w:p>
    <w:p>
      <w:pPr>
        <w:pStyle w:val="1193"/>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）资金支付的方式：</w:t>
      </w:r>
      <w:r/>
    </w:p>
    <w:p>
      <w:pPr>
        <w:pStyle w:val="1195"/>
        <w:ind w:firstLine="480"/>
        <w:spacing w:line="480" w:lineRule="exact"/>
        <w:rPr>
          <w:rFonts w:hint="eastAsia" w:ascii="宋体" w:hAnsi="宋体" w:cs="宋体"/>
          <w:color w:val="auto"/>
          <w:sz w:val="24"/>
          <w:highlight w:val="green"/>
        </w:rPr>
      </w:pPr>
      <w:r>
        <w:rPr>
          <w:rFonts w:hint="eastAsia" w:ascii="宋体" w:hAnsi="宋体" w:cs="宋体"/>
          <w:color w:val="auto"/>
          <w:sz w:val="24"/>
          <w:highlight w:val="none"/>
        </w:rPr>
        <w:t xml:space="preserve">资金支付的方式：</w:t>
      </w:r>
      <w:r/>
    </w:p>
    <w:p>
      <w:pPr>
        <w:pStyle w:val="1195"/>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预付款，签订合同后支付合同总价款的30%；</w:t>
      </w:r>
      <w:r/>
    </w:p>
    <w:p>
      <w:pPr>
        <w:pStyle w:val="1195"/>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进度款：中标</w:t>
      </w:r>
      <w:r>
        <w:rPr>
          <w:rFonts w:hint="eastAsia" w:ascii="宋体" w:hAnsi="宋体" w:cs="宋体"/>
          <w:color w:val="auto"/>
          <w:sz w:val="24"/>
          <w:highlight w:val="none"/>
          <w:lang w:val="en-US" w:eastAsia="zh-CN"/>
        </w:rPr>
        <w:t xml:space="preserve">后</w:t>
      </w:r>
      <w:r>
        <w:rPr>
          <w:rFonts w:hint="eastAsia" w:ascii="宋体" w:hAnsi="宋体" w:cs="宋体"/>
          <w:color w:val="auto"/>
          <w:sz w:val="24"/>
          <w:highlight w:val="none"/>
        </w:rPr>
        <w:t xml:space="preserve">货物根据甲方要求送达指定地点，以年度实际发货数量一次性结算余款。</w:t>
      </w:r>
      <w:r/>
    </w:p>
    <w:p>
      <w:pPr>
        <w:pStyle w:val="1195"/>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（1）可以采用数字人民币支付。</w:t>
      </w:r>
      <w:r/>
    </w:p>
    <w:p>
      <w:pPr>
        <w:pStyle w:val="1195"/>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（2）资金支付的时间：收到供应商发票10个工作日内。</w:t>
      </w:r>
      <w:r/>
    </w:p>
    <w:p>
      <w:pPr>
        <w:pStyle w:val="1195"/>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（3）资金支付的条件：满足相应阶段的要求且收到供应商发票。</w:t>
      </w:r>
      <w:r/>
    </w:p>
    <w:p>
      <w:pPr>
        <w:pStyle w:val="1195"/>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（4）甲方根据乙方的实际供货数量按实结算，且不超过每分包总预算金额。</w:t>
      </w:r>
      <w:r/>
    </w:p>
    <w:p>
      <w:pPr>
        <w:pStyle w:val="1195"/>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（5）在签订合同时，供应商明确表示无需预付款或者主动要求降低预付款比例的，采购人可不适用前述规定。</w:t>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0" w:lineRule="atLeast"/>
        <w:rPr>
          <w:rFonts w:hint="default" w:ascii="宋体" w:hAnsi="宋体" w:eastAsia="宋体" w:cs="宋体"/>
          <w:b/>
          <w:color w:val="auto"/>
          <w:sz w:val="30"/>
          <w:szCs w:val="30"/>
          <w:highlight w:val="green"/>
          <w:lang w:val="en-US" w:eastAsia="zh-CN"/>
        </w:rPr>
        <w:outlineLvl w:val="0"/>
      </w:pPr>
      <w:r/>
      <w:bookmarkStart w:id="398" w:name="_Toc9212"/>
      <w:r/>
      <w:bookmarkStart w:id="399" w:name="_Toc8572"/>
      <w:r>
        <w:rPr>
          <w:rFonts w:hint="eastAsia" w:ascii="宋体" w:hAnsi="宋体" w:cs="宋体"/>
          <w:b/>
          <w:color w:val="auto"/>
          <w:sz w:val="30"/>
          <w:szCs w:val="30"/>
          <w:highlight w:val="none"/>
        </w:rPr>
        <w:t xml:space="preserve">二、采购清单</w:t>
      </w:r>
      <w:r>
        <w:rPr>
          <w:rFonts w:hint="eastAsia" w:ascii="宋体" w:hAnsi="宋体" w:cs="宋体"/>
          <w:b/>
          <w:color w:val="auto"/>
          <w:sz w:val="30"/>
          <w:szCs w:val="30"/>
          <w:highlight w:val="none"/>
          <w:lang w:val="en-US" w:eastAsia="zh-CN"/>
        </w:rPr>
        <w:t xml:space="preserve">及参数</w:t>
      </w:r>
      <w:bookmarkEnd w:id="398"/>
      <w:r/>
      <w:bookmarkEnd w:id="399"/>
      <w:r/>
      <w:r/>
    </w:p>
    <w:p>
      <w:pPr>
        <w:pStyle w:val="1197"/>
        <w:keepLines w:val="0"/>
        <w:keepNext w:val="0"/>
        <w:pageBreakBefore w:val="0"/>
        <w:spacing w:line="360" w:lineRule="auto"/>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tbl>
      <w:tblPr>
        <w:tblStyle w:val="878"/>
        <w:tblW w:w="98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1801"/>
        <w:gridCol w:w="1292"/>
        <w:gridCol w:w="1027"/>
        <w:gridCol w:w="1235"/>
        <w:gridCol w:w="1142"/>
        <w:gridCol w:w="1177"/>
        <w:gridCol w:w="1489"/>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Theme="minorEastAsia" w:hAnsiTheme="minorEastAsia" w:cstheme="minorEastAsia"/>
                <w:b/>
                <w:bCs/>
                <w:color w:val="auto"/>
                <w:sz w:val="21"/>
                <w:szCs w:val="21"/>
                <w:highlight w:val="none"/>
                <w:lang w:val="en-US" w:eastAsia="zh-CN"/>
              </w:rPr>
              <w:t xml:space="preserve">采购包号</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预算总价(万元)</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cs="Times New Roman" w:asciiTheme="majorEastAsia" w:hAnsiTheme="majorEastAsia" w:eastAsiaTheme="majorEastAsia"/>
                <w:b/>
                <w:bCs/>
                <w:sz w:val="24"/>
                <w:highlight w:val="none"/>
              </w:rPr>
              <w:t xml:space="preserve">主要配置或技术参数</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重组禽流感病毒(H5+H7)四价灭活疫苗</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100、250毫升/瓶</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毫升</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1004285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28.11998</w:t>
            </w:r>
            <w:r/>
          </w:p>
        </w:tc>
        <w:tc>
          <w:tcPr>
            <w:shd w:val="clear" w:color="auto" w:fill="auto"/>
            <w:tcBorders>
              <w:top w:val="single" w:color="000000" w:sz="4" w:space="0"/>
              <w:left w:val="single" w:color="000000" w:sz="4" w:space="0"/>
              <w:right w:val="single" w:color="000000" w:sz="4" w:space="0"/>
            </w:tcBorders>
            <w:tcW w:w="148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cs="Times New Roman" w:asciiTheme="majorEastAsia" w:hAnsiTheme="majorEastAsia" w:eastAsiaTheme="majorEastAsia"/>
                <w:sz w:val="22"/>
                <w:szCs w:val="20"/>
                <w:highlight w:val="none"/>
              </w:rPr>
              <w:t xml:space="preserve">农业农村部规定标准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猪口蹄疫O型合成肽疫苗</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仿宋" w:hAnsi="仿宋" w:eastAsia="仿宋" w:cs="仿宋"/>
                <w:color w:val="auto"/>
                <w:sz w:val="22"/>
                <w:szCs w:val="22"/>
                <w:vertAlign w:val="baseline"/>
                <w:lang w:val="en-US" w:eastAsia="zh-CN"/>
              </w:rPr>
              <w:t xml:space="preserve">50、100毫升/瓶</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毫升</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12.8</w:t>
            </w:r>
            <w:r/>
          </w:p>
        </w:tc>
        <w:tc>
          <w:tcPr>
            <w:shd w:val="clear" w:color="auto" w:fill="auto"/>
            <w:tcBorders>
              <w:left w:val="single" w:color="000000" w:sz="4" w:space="0"/>
              <w:right w:val="single" w:color="000000" w:sz="4" w:space="0"/>
            </w:tcBorders>
            <w:tcW w:w="1489"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牛羊口蹄疫O型、A型二价灭活疫苗</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仿宋" w:hAnsi="仿宋" w:eastAsia="仿宋" w:cs="仿宋"/>
                <w:color w:val="auto"/>
                <w:sz w:val="22"/>
                <w:szCs w:val="22"/>
                <w:vertAlign w:val="baseline"/>
                <w:lang w:val="en-US" w:eastAsia="zh-CN"/>
              </w:rPr>
              <w:t xml:space="preserve">50、100毫升/瓶</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毫升</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306150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61.23</w:t>
            </w:r>
            <w:r/>
          </w:p>
        </w:tc>
        <w:tc>
          <w:tcPr>
            <w:shd w:val="clear" w:color="auto" w:fill="auto"/>
            <w:tcBorders>
              <w:left w:val="single" w:color="000000" w:sz="4" w:space="0"/>
              <w:right w:val="single" w:color="000000" w:sz="4" w:space="0"/>
            </w:tcBorders>
            <w:tcW w:w="1489"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小反刍兽疫活疫苗(或含小反刍）</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仿宋" w:hAnsi="仿宋" w:eastAsia="仿宋" w:cs="仿宋"/>
                <w:color w:val="auto"/>
                <w:sz w:val="22"/>
                <w:szCs w:val="22"/>
                <w:vertAlign w:val="baseline"/>
                <w:lang w:val="en-US" w:eastAsia="zh-CN"/>
              </w:rPr>
              <w:t xml:space="preserve">50、100头份/瓶</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头份</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260833</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15.64998</w:t>
            </w:r>
            <w:r/>
          </w:p>
        </w:tc>
        <w:tc>
          <w:tcPr>
            <w:shd w:val="clear" w:color="auto" w:fill="auto"/>
            <w:tcBorders>
              <w:left w:val="single" w:color="000000" w:sz="4" w:space="0"/>
              <w:bottom w:val="single" w:color="auto" w:sz="4" w:space="0"/>
              <w:right w:val="single" w:color="000000" w:sz="4" w:space="0"/>
            </w:tcBorders>
            <w:tcW w:w="1489"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猪耳标</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仿宋" w:hAnsi="仿宋" w:eastAsia="仿宋" w:cs="仿宋"/>
                <w:color w:val="auto"/>
                <w:sz w:val="22"/>
                <w:szCs w:val="22"/>
                <w:vertAlign w:val="baseline"/>
                <w:lang w:val="en-US" w:eastAsia="zh-CN"/>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cs="宋体"/>
                <w:i w:val="0"/>
                <w:iCs w:val="0"/>
                <w:color w:val="000000"/>
                <w:sz w:val="22"/>
                <w:szCs w:val="22"/>
                <w:u w:val="none"/>
                <w:lang w:val="en-US" w:eastAsia="zh-CN" w:bidi="ar"/>
              </w:rPr>
              <w:t xml:space="preserve">0000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13.2</w:t>
            </w:r>
            <w:r/>
          </w:p>
        </w:tc>
        <w:tc>
          <w:tcPr>
            <w:shd w:val="clear" w:color="auto" w:fill="auto"/>
            <w:tcBorders>
              <w:top w:val="single" w:color="auto"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cs="Times New Roman" w:asciiTheme="majorEastAsia" w:hAnsiTheme="majorEastAsia" w:eastAsiaTheme="majorEastAsia"/>
                <w:sz w:val="22"/>
                <w:szCs w:val="20"/>
              </w:rPr>
              <w:t xml:space="preserve">农办牧〔2021〕3号文规定</w:t>
            </w:r>
            <w:r/>
          </w:p>
        </w:tc>
      </w:tr>
    </w:tbl>
    <w:p>
      <w:pPr>
        <w:pStyle w:val="1197"/>
        <w:keepLines w:val="0"/>
        <w:keepNext w:val="0"/>
        <w:pageBreakBefore w:val="0"/>
        <w:spacing w:line="360" w:lineRule="auto"/>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ind w:firstLine="482"/>
        <w:spacing w:line="360" w:lineRule="auto"/>
        <w:rPr>
          <w:rFonts w:hint="default" w:cs="宋体" w:asciiTheme="majorEastAsia" w:hAnsiTheme="majorEastAsia" w:eastAsiaTheme="majorEastAsia"/>
          <w:b/>
          <w:color w:val="auto"/>
          <w:sz w:val="24"/>
          <w:lang w:val="en-US" w:eastAsia="zh-CN"/>
        </w:rPr>
      </w:pPr>
      <w:r/>
      <w:bookmarkStart w:id="400" w:name="_Toc29383"/>
      <w:r>
        <w:rPr>
          <w:rFonts w:hint="eastAsia" w:cs="宋体" w:asciiTheme="majorEastAsia" w:hAnsiTheme="majorEastAsia" w:eastAsiaTheme="majorEastAsia"/>
          <w:b/>
          <w:color w:val="auto"/>
          <w:sz w:val="24"/>
          <w:lang w:val="en-US" w:eastAsia="zh-CN"/>
        </w:rPr>
        <w:t xml:space="preserve">注：供应数量以采购人实际需求为准，除上表要求外，还有购买上述疫苗和耳标后的配套服务、疫苗配套稀释液以及耳标配套耳标钳、针等。</w:t>
      </w:r>
      <w:r/>
    </w:p>
    <w:p>
      <w:pPr>
        <w:keepLines w:val="0"/>
        <w:keepNext w:val="0"/>
        <w:pageBreakBefore w:val="0"/>
        <w:spacing w:line="360" w:lineRule="auto"/>
        <w:rPr>
          <w:rFonts w:hint="eastAsia" w:ascii="宋体" w:hAnsi="宋体" w:eastAsia="宋体" w:cs="宋体"/>
          <w:b/>
          <w:color w:val="auto"/>
          <w:sz w:val="30"/>
          <w:szCs w:val="30"/>
          <w:highlight w:val="none"/>
          <w:lang w:val="en-US" w:eastAsia="zh-CN"/>
        </w:rPr>
        <w:outlineLvl w:val="0"/>
      </w:pPr>
      <w:r/>
      <w:bookmarkStart w:id="401" w:name="_Toc16469"/>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、技术</w:t>
      </w:r>
      <w:r>
        <w:rPr>
          <w:rFonts w:hint="eastAsia" w:ascii="宋体" w:hAnsi="宋体" w:cs="宋体"/>
          <w:b/>
          <w:color w:val="auto"/>
          <w:sz w:val="30"/>
          <w:szCs w:val="30"/>
          <w:highlight w:val="none"/>
          <w:lang w:val="en-US" w:eastAsia="zh-CN"/>
        </w:rPr>
        <w:t xml:space="preserve">要求</w:t>
      </w:r>
      <w:bookmarkEnd w:id="400"/>
      <w:r/>
      <w:bookmarkEnd w:id="401"/>
      <w:r/>
      <w:r/>
    </w:p>
    <w:p>
      <w:pPr>
        <w:jc w:val="left"/>
        <w:keepLines w:val="0"/>
        <w:keepNext w:val="0"/>
        <w:pageBreakBefore w:val="0"/>
        <w:spacing w:before="60" w:after="60"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w:t>
      </w:r>
      <w:bookmarkStart w:id="402" w:name="_Toc21984"/>
      <w:r/>
      <w:bookmarkStart w:id="403" w:name="_Toc28348"/>
      <w:r/>
      <w:bookmarkStart w:id="404" w:name="_Toc27307"/>
      <w:r>
        <w:rPr>
          <w:rFonts w:hint="eastAsia" w:ascii="宋体" w:hAnsi="宋体" w:eastAsia="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.1 </w:t>
      </w:r>
      <w:r>
        <w:rPr>
          <w:rFonts w:hint="eastAsia" w:ascii="宋体" w:hAnsi="宋体" w:eastAsia="宋体" w:cs="宋体"/>
          <w:b/>
          <w:color w:val="auto"/>
          <w:sz w:val="28"/>
          <w:szCs w:val="28"/>
          <w:highlight w:val="none"/>
          <w:lang w:val="en-US" w:eastAsia="zh-CN"/>
        </w:rPr>
        <w:t xml:space="preserve">疫苗</w:t>
      </w:r>
      <w:r>
        <w:rPr>
          <w:rFonts w:hint="eastAsia" w:ascii="宋体" w:hAnsi="宋体" w:eastAsia="宋体" w:cs="宋体"/>
          <w:b/>
          <w:color w:val="auto"/>
          <w:sz w:val="28"/>
          <w:szCs w:val="28"/>
          <w:highlight w:val="none"/>
        </w:rPr>
        <w:t xml:space="preserve">质量要求</w:t>
      </w:r>
      <w:bookmarkEnd w:id="402"/>
      <w:r/>
      <w:bookmarkEnd w:id="403"/>
      <w:r/>
      <w:r/>
    </w:p>
    <w:p>
      <w:pPr>
        <w:ind w:firstLine="480"/>
        <w:keepLines w:val="0"/>
        <w:keepNext w:val="0"/>
        <w:pageBreakBefore w:val="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.1.1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符合农业农村部对动物疫苗的现行相关质量要求</w:t>
      </w:r>
      <w:r>
        <w:rPr>
          <w:rFonts w:hint="eastAsia" w:ascii="宋体" w:hAnsi="宋体" w:eastAsia="宋体" w:cs="宋体"/>
          <w:i w:val="0"/>
          <w:iCs/>
          <w:color w:val="auto"/>
          <w:sz w:val="24"/>
          <w:szCs w:val="21"/>
          <w:highlight w:val="none"/>
          <w:u w:val="none"/>
        </w:rPr>
        <w:t xml:space="preserve">。</w:t>
      </w:r>
      <w:r/>
    </w:p>
    <w:p>
      <w:pPr>
        <w:ind w:firstLine="482"/>
        <w:spacing w:line="360" w:lineRule="auto"/>
        <w:rPr>
          <w:rFonts w:hint="eastAsia" w:cs="宋体" w:asciiTheme="majorEastAsia" w:hAnsiTheme="majorEastAsia" w:eastAsiaTheme="majorEastAsia"/>
          <w:b/>
          <w:color w:val="000000" w:themeColor="text1"/>
          <w:sz w:val="24"/>
        </w:rPr>
      </w:pPr>
      <w:r>
        <w:rPr>
          <w:rFonts w:hint="eastAsia" w:cs="宋体" w:asciiTheme="majorEastAsia" w:hAnsiTheme="majorEastAsia" w:eastAsiaTheme="majorEastAsia"/>
          <w:b/>
          <w:color w:val="auto"/>
          <w:sz w:val="24"/>
        </w:rPr>
        <w:t xml:space="preserve">重组禽流感病毒（H5+H7）四价灭活疫苗</w:t>
      </w:r>
      <w:r>
        <w:rPr>
          <w:rFonts w:hint="eastAsia" w:cs="宋体" w:asciiTheme="majorEastAsia" w:hAnsiTheme="majorEastAsia" w:eastAsiaTheme="majorEastAsia"/>
          <w:b/>
          <w:color w:val="000000" w:themeColor="text1"/>
          <w:sz w:val="24"/>
        </w:rPr>
        <w:t xml:space="preserve">（H5N6H5-Re15株+H5-Re16株，H7N9 H7-Re5株+H7-Re6株）</w:t>
      </w:r>
      <w:r>
        <w:rPr>
          <w:color w:val="000000" w:themeColor="text1"/>
        </w:rP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[主要成分与含量]</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疫苗中含灭活的重组禽流感病毒H5N6亚型H5-Re15株、H5-Re16株和 H7N9亚型H7-Re5株、H7-Re6株。</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b/>
          <w:sz w:val="24"/>
          <w:lang w:eastAsia="zh-CN"/>
        </w:rPr>
        <w:t xml:space="preserve">（</w:t>
      </w:r>
      <w:r>
        <w:rPr>
          <w:rFonts w:hint="eastAsia" w:cs="宋体" w:asciiTheme="majorEastAsia" w:hAnsiTheme="majorEastAsia"/>
          <w:b/>
          <w:sz w:val="24"/>
          <w:lang w:val="en-US" w:eastAsia="zh-CN"/>
        </w:rPr>
        <w:t xml:space="preserve">1</w:t>
      </w:r>
      <w:r>
        <w:rPr>
          <w:rFonts w:hint="eastAsia" w:cs="宋体" w:asciiTheme="majorEastAsia" w:hAnsiTheme="majorEastAsia"/>
          <w:b/>
          <w:sz w:val="24"/>
          <w:lang w:eastAsia="zh-CN"/>
        </w:rPr>
        <w:t xml:space="preserve">）</w:t>
      </w:r>
      <w:r>
        <w:rPr>
          <w:rFonts w:hint="eastAsia" w:cs="宋体" w:asciiTheme="majorEastAsia" w:hAnsiTheme="majorEastAsia" w:eastAsiaTheme="majorEastAsia"/>
          <w:b/>
          <w:sz w:val="24"/>
        </w:rPr>
        <w:t xml:space="preserve">.培养方法：鸡胚培养</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b/>
          <w:sz w:val="24"/>
          <w:lang w:eastAsia="zh-CN"/>
        </w:rPr>
        <w:t xml:space="preserve">（</w:t>
      </w:r>
      <w:r>
        <w:rPr>
          <w:rFonts w:hint="eastAsia" w:cs="宋体" w:asciiTheme="majorEastAsia" w:hAnsiTheme="majorEastAsia"/>
          <w:b/>
          <w:sz w:val="24"/>
          <w:lang w:val="en-US" w:eastAsia="zh-CN"/>
        </w:rPr>
        <w:t xml:space="preserve">2</w:t>
      </w:r>
      <w:r>
        <w:rPr>
          <w:rFonts w:hint="eastAsia" w:cs="宋体" w:asciiTheme="majorEastAsia" w:hAnsiTheme="majorEastAsia"/>
          <w:b/>
          <w:sz w:val="24"/>
          <w:lang w:eastAsia="zh-CN"/>
        </w:rPr>
        <w:t xml:space="preserve">）</w:t>
      </w:r>
      <w:r>
        <w:rPr>
          <w:rFonts w:hint="eastAsia" w:cs="宋体" w:asciiTheme="majorEastAsia" w:hAnsiTheme="majorEastAsia" w:eastAsiaTheme="majorEastAsia"/>
          <w:b/>
          <w:sz w:val="24"/>
        </w:rPr>
        <w:t xml:space="preserve">.抗原含量：疫苗中含灭活的重组禽流感病毒H5N6亚型H5-Re15株、H5-Re16株和 H7N9亚型H7-Re5株、H7-Re6株。灭活前其HA效价均为1:512。</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b/>
          <w:sz w:val="24"/>
          <w:lang w:eastAsia="zh-CN"/>
        </w:rPr>
        <w:t xml:space="preserve">（</w:t>
      </w:r>
      <w:r>
        <w:rPr>
          <w:rFonts w:hint="eastAsia" w:cs="宋体" w:asciiTheme="majorEastAsia" w:hAnsiTheme="majorEastAsia"/>
          <w:b/>
          <w:sz w:val="24"/>
          <w:lang w:val="en-US" w:eastAsia="zh-CN"/>
        </w:rPr>
        <w:t xml:space="preserve">3</w:t>
      </w:r>
      <w:r>
        <w:rPr>
          <w:rFonts w:hint="eastAsia" w:cs="宋体" w:asciiTheme="majorEastAsia" w:hAnsiTheme="majorEastAsia"/>
          <w:b/>
          <w:sz w:val="24"/>
          <w:lang w:eastAsia="zh-CN"/>
        </w:rPr>
        <w:t xml:space="preserve">）</w:t>
      </w:r>
      <w:r>
        <w:rPr>
          <w:rFonts w:hint="eastAsia" w:cs="宋体" w:asciiTheme="majorEastAsia" w:hAnsiTheme="majorEastAsia" w:eastAsiaTheme="majorEastAsia"/>
          <w:b/>
          <w:sz w:val="24"/>
        </w:rPr>
        <w:t xml:space="preserve">.佐剂类型:注射用白油、司本-80、吐温-80</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疫苗符合农业农村部发布的“重组禽流感病毒（H5+H7）四价灭活疫苗质量标准。</w:t>
      </w:r>
      <w:r/>
    </w:p>
    <w:p>
      <w:pPr>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[规格]</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(1)100ml/瓶(2)250ml/瓶</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[贮藏与有效期]</w:t>
      </w:r>
      <w:bookmarkStart w:id="484" w:name="_GoBack"/>
      <w:r/>
      <w:bookmarkEnd w:id="484"/>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2℃~8℃保存，有效期为12个月。</w:t>
      </w:r>
      <w:r/>
    </w:p>
    <w:p>
      <w:pPr>
        <w:ind w:firstLine="482"/>
        <w:spacing w:line="360" w:lineRule="auto"/>
        <w:rPr>
          <w:rFonts w:hint="eastAsia" w:cs="宋体" w:asciiTheme="majorEastAsia" w:hAnsiTheme="majorEastAsia" w:eastAsiaTheme="majorEastAsia"/>
          <w:b/>
          <w:sz w:val="24"/>
        </w:rPr>
      </w:pPr>
      <w:r>
        <w:rPr>
          <w:rFonts w:hint="eastAsia" w:cs="宋体" w:asciiTheme="majorEastAsia" w:hAnsiTheme="majorEastAsia" w:eastAsiaTheme="majorEastAsia"/>
          <w:b/>
          <w:sz w:val="24"/>
        </w:rPr>
        <w:t xml:space="preserve">服务:接客户发货通知后，立即发货，采用疫苗专用冷藏车运输，4小时内到货。</w:t>
      </w:r>
      <w:r/>
    </w:p>
    <w:p>
      <w:pPr>
        <w:ind w:firstLine="482"/>
        <w:spacing w:line="360" w:lineRule="auto"/>
        <w:rPr>
          <w:rFonts w:hint="eastAsia" w:cs="宋体" w:asciiTheme="majorEastAsia" w:hAnsiTheme="majorEastAsia" w:eastAsiaTheme="majorEastAsia"/>
          <w:bCs/>
          <w:iCs/>
          <w:sz w:val="24"/>
          <w:highlight w:val="none"/>
          <w:u w:val="single"/>
        </w:rPr>
      </w:pPr>
      <w:r>
        <w:rPr>
          <w:rFonts w:hint="eastAsia" w:cs="宋体" w:asciiTheme="majorEastAsia" w:hAnsiTheme="majorEastAsia" w:eastAsiaTheme="majorEastAsia"/>
          <w:b/>
          <w:sz w:val="24"/>
          <w:highlight w:val="none"/>
        </w:rPr>
        <w:t xml:space="preserve">★</w:t>
      </w:r>
      <w:r>
        <w:rPr>
          <w:rFonts w:hint="eastAsia" w:cs="宋体" w:asciiTheme="majorEastAsia" w:hAnsiTheme="majorEastAsia" w:eastAsiaTheme="majorEastAsia"/>
          <w:bCs/>
          <w:iCs/>
          <w:sz w:val="24"/>
          <w:highlight w:val="none"/>
          <w:u w:val="single"/>
        </w:rPr>
        <w:t xml:space="preserve">疫苗的制苗毒株为</w:t>
      </w:r>
      <w:r>
        <w:rPr>
          <w:rFonts w:hint="eastAsia" w:eastAsia="宋体" w:cs="宋体" w:asciiTheme="majorEastAsia" w:hAnsiTheme="majorEastAsia"/>
          <w:bCs/>
          <w:iCs/>
          <w:sz w:val="24"/>
          <w:highlight w:val="none"/>
          <w:u w:val="single"/>
          <w:lang w:eastAsia="zh-CN"/>
        </w:rPr>
        <w:t xml:space="preserve">H5N6H5-Re15株+H5-Re16株，H7N9 H7-Re5株+H7-Re6株</w:t>
      </w:r>
      <w:r>
        <w:rPr>
          <w:rFonts w:hint="eastAsia" w:cs="宋体" w:asciiTheme="majorEastAsia" w:hAnsiTheme="majorEastAsia" w:eastAsiaTheme="majorEastAsia"/>
          <w:bCs/>
          <w:iCs/>
          <w:sz w:val="24"/>
          <w:highlight w:val="none"/>
          <w:u w:val="single"/>
        </w:rPr>
        <w:t xml:space="preserve">。</w:t>
      </w:r>
      <w:r/>
    </w:p>
    <w:p>
      <w:pPr>
        <w:ind w:firstLine="482"/>
        <w:spacing w:line="360" w:lineRule="auto"/>
        <w:rPr>
          <w:rFonts w:hint="eastAsia" w:cs="宋体" w:asciiTheme="majorEastAsia" w:hAnsiTheme="majorEastAsia" w:eastAsiaTheme="majorEastAsia"/>
          <w:iCs/>
          <w:sz w:val="24"/>
        </w:rPr>
      </w:pPr>
      <w:r>
        <w:rPr>
          <w:rFonts w:hint="eastAsia" w:cs="宋体" w:asciiTheme="majorEastAsia" w:hAnsiTheme="majorEastAsia" w:eastAsiaTheme="majorEastAsia"/>
          <w:b/>
          <w:bCs/>
          <w:iCs/>
          <w:color w:val="auto"/>
          <w:sz w:val="24"/>
        </w:rPr>
        <w:t xml:space="preserve">口蹄疫疫苗</w:t>
      </w:r>
      <w:r>
        <w:rPr>
          <w:rFonts w:hint="eastAsia" w:eastAsia="宋体" w:cs="宋体" w:asciiTheme="majorEastAsia" w:hAnsiTheme="majorEastAsia"/>
          <w:b/>
          <w:bCs/>
          <w:iCs/>
          <w:color w:val="auto"/>
          <w:sz w:val="24"/>
          <w:lang w:eastAsia="zh-CN"/>
        </w:rPr>
        <w:t xml:space="preserve">（</w:t>
      </w:r>
      <w:r>
        <w:rPr>
          <w:rFonts w:hint="eastAsia" w:eastAsia="宋体" w:cs="宋体" w:asciiTheme="majorEastAsia" w:hAnsiTheme="majorEastAsia"/>
          <w:b/>
          <w:bCs/>
          <w:iCs/>
          <w:color w:val="auto"/>
          <w:sz w:val="24"/>
          <w:lang w:val="en-US" w:eastAsia="zh-CN"/>
        </w:rPr>
        <w:t xml:space="preserve">猪口蹄疫O型合成肽疫苗、牛羊口蹄疫O型、A型二价灭活疫苗</w:t>
      </w:r>
      <w:r>
        <w:rPr>
          <w:rFonts w:hint="eastAsia" w:eastAsia="宋体" w:cs="宋体" w:asciiTheme="majorEastAsia" w:hAnsiTheme="majorEastAsia"/>
          <w:b/>
          <w:bCs/>
          <w:iCs/>
          <w:color w:val="auto"/>
          <w:sz w:val="24"/>
          <w:lang w:eastAsia="zh-CN"/>
        </w:rPr>
        <w:t xml:space="preserve">）</w:t>
      </w:r>
      <w:r>
        <w:rPr>
          <w:rFonts w:hint="eastAsia" w:cs="宋体" w:asciiTheme="majorEastAsia" w:hAnsiTheme="majorEastAsia" w:eastAsiaTheme="majorEastAsia"/>
          <w:b/>
          <w:bCs/>
          <w:iCs/>
          <w:sz w:val="24"/>
        </w:rPr>
        <w:t xml:space="preserve">：</w:t>
      </w:r>
      <w:r>
        <w:rPr>
          <w:rFonts w:hint="eastAsia" w:cs="宋体" w:asciiTheme="majorEastAsia" w:hAnsiTheme="majorEastAsia" w:eastAsiaTheme="majorEastAsia"/>
          <w:iCs/>
          <w:sz w:val="24"/>
        </w:rPr>
        <w:t xml:space="preserve">效力检验每头份疫苗各毒株的效力应≥10个PD50。</w:t>
      </w:r>
      <w:r/>
    </w:p>
    <w:p>
      <w:pPr>
        <w:ind w:firstLine="482"/>
        <w:spacing w:line="360" w:lineRule="auto"/>
        <w:rPr>
          <w:rFonts w:hint="eastAsia" w:cs="宋体" w:asciiTheme="majorEastAsia" w:hAnsiTheme="majorEastAsia" w:eastAsiaTheme="majorEastAsia"/>
          <w:iCs/>
          <w:sz w:val="24"/>
        </w:rPr>
      </w:pPr>
      <w:r>
        <w:rPr>
          <w:rFonts w:hint="eastAsia" w:cs="宋体" w:asciiTheme="majorEastAsia" w:hAnsiTheme="majorEastAsia" w:eastAsiaTheme="majorEastAsia"/>
          <w:b/>
          <w:sz w:val="24"/>
        </w:rPr>
        <w:t xml:space="preserve">★</w:t>
      </w:r>
      <w:r>
        <w:rPr>
          <w:rFonts w:hint="eastAsia" w:cs="宋体" w:asciiTheme="majorEastAsia" w:hAnsiTheme="majorEastAsia" w:eastAsiaTheme="majorEastAsia"/>
          <w:iCs/>
          <w:sz w:val="24"/>
        </w:rPr>
        <w:t xml:space="preserve">使用剂量羊0.5ml/头、牛1ml/头。</w:t>
      </w:r>
      <w:r/>
    </w:p>
    <w:p>
      <w:pPr>
        <w:ind w:firstLine="482"/>
        <w:spacing w:line="360" w:lineRule="auto"/>
        <w:rPr>
          <w:rFonts w:hint="eastAsia" w:cs="宋体" w:asciiTheme="majorEastAsia" w:hAnsiTheme="majorEastAsia" w:eastAsiaTheme="majorEastAsia"/>
          <w:iCs/>
          <w:sz w:val="24"/>
        </w:rPr>
      </w:pPr>
      <w:r>
        <w:rPr>
          <w:rFonts w:hint="eastAsia" w:cs="宋体" w:asciiTheme="majorEastAsia" w:hAnsiTheme="majorEastAsia" w:eastAsiaTheme="majorEastAsia"/>
          <w:b/>
          <w:sz w:val="24"/>
        </w:rPr>
        <w:t xml:space="preserve">★</w:t>
      </w:r>
      <w:r>
        <w:rPr>
          <w:rFonts w:hint="eastAsia" w:cs="宋体" w:asciiTheme="majorEastAsia" w:hAnsiTheme="majorEastAsia" w:eastAsiaTheme="majorEastAsia"/>
          <w:bCs/>
          <w:iCs/>
          <w:sz w:val="24"/>
          <w:u w:val="single"/>
        </w:rPr>
        <w:t xml:space="preserve">符合农业农村部的相应质量标准</w:t>
      </w:r>
      <w:r>
        <w:rPr>
          <w:rFonts w:hint="eastAsia" w:cs="宋体" w:asciiTheme="majorEastAsia" w:hAnsiTheme="majorEastAsia" w:eastAsiaTheme="majorEastAsia"/>
          <w:bCs/>
          <w:iCs/>
          <w:sz w:val="24"/>
        </w:rPr>
        <w:t xml:space="preserve">。</w:t>
      </w:r>
      <w:r/>
    </w:p>
    <w:p>
      <w:pPr>
        <w:ind w:right="-57"/>
        <w:spacing w:line="360" w:lineRule="auto"/>
        <w:widowControl/>
        <w:tabs>
          <w:tab w:val="left" w:pos="5900" w:leader="none"/>
        </w:tabs>
        <w:rPr>
          <w:rFonts w:hint="eastAsia" w:ascii="宋体" w:hAnsi="宋体" w:eastAsia="宋体" w:cs="宋体"/>
          <w:i w:val="0"/>
          <w:iCs/>
          <w:color w:val="auto"/>
          <w:sz w:val="24"/>
          <w:szCs w:val="21"/>
          <w:highlight w:val="none"/>
          <w:u w:val="none"/>
        </w:rPr>
      </w:pPr>
      <w:r>
        <w:rPr>
          <w:rFonts w:hint="eastAsia" w:cs="宋体" w:asciiTheme="majorEastAsia" w:hAnsiTheme="majorEastAsia" w:eastAsiaTheme="majorEastAsia"/>
          <w:iCs/>
          <w:sz w:val="24"/>
          <w:lang w:bidi="ar"/>
        </w:rPr>
        <w:t xml:space="preserve">   </w:t>
      </w:r>
      <w:r>
        <w:rPr>
          <w:rFonts w:hint="eastAsia" w:cs="宋体" w:asciiTheme="majorEastAsia" w:hAnsiTheme="majorEastAsia" w:eastAsiaTheme="majorEastAsia"/>
          <w:b/>
          <w:bCs/>
          <w:iCs/>
          <w:sz w:val="24"/>
          <w:lang w:bidi="ar"/>
        </w:rPr>
        <w:t xml:space="preserve"> </w:t>
      </w:r>
      <w:r>
        <w:rPr>
          <w:rFonts w:hint="eastAsia" w:cs="宋体" w:asciiTheme="majorEastAsia" w:hAnsiTheme="majorEastAsia" w:eastAsiaTheme="majorEastAsia"/>
          <w:b/>
          <w:bCs/>
          <w:iCs/>
          <w:sz w:val="24"/>
        </w:rPr>
        <w:t xml:space="preserve">小反刍兽疫疫苗</w:t>
      </w:r>
      <w:r>
        <w:rPr>
          <w:rFonts w:hint="eastAsia" w:cs="宋体" w:asciiTheme="majorEastAsia" w:hAnsiTheme="majorEastAsia" w:eastAsiaTheme="majorEastAsia"/>
          <w:b/>
          <w:bCs/>
          <w:sz w:val="24"/>
          <w:lang w:bidi="ar"/>
        </w:rPr>
        <w:t xml:space="preserve">（或含小反刍）</w:t>
      </w:r>
      <w:r>
        <w:rPr>
          <w:rFonts w:hint="eastAsia" w:cs="宋体" w:asciiTheme="majorEastAsia" w:hAnsiTheme="majorEastAsia" w:eastAsiaTheme="majorEastAsia"/>
          <w:b/>
          <w:bCs/>
          <w:iCs/>
          <w:sz w:val="24"/>
        </w:rPr>
        <w:t xml:space="preserve">：</w:t>
      </w:r>
      <w:r>
        <w:rPr>
          <w:rFonts w:hint="eastAsia" w:cs="宋体" w:asciiTheme="majorEastAsia" w:hAnsiTheme="majorEastAsia" w:eastAsiaTheme="majorEastAsia"/>
          <w:iCs/>
          <w:sz w:val="24"/>
        </w:rPr>
        <w:t xml:space="preserve">每头份病毒含量≥10</w:t>
      </w:r>
      <w:r>
        <w:rPr>
          <w:rFonts w:hint="eastAsia" w:cs="宋体" w:asciiTheme="majorEastAsia" w:hAnsiTheme="majorEastAsia" w:eastAsiaTheme="majorEastAsia"/>
          <w:iCs/>
          <w:sz w:val="24"/>
          <w:vertAlign w:val="superscript"/>
        </w:rPr>
        <w:t xml:space="preserve">3</w:t>
      </w:r>
      <w:r>
        <w:rPr>
          <w:rFonts w:hint="eastAsia" w:cs="宋体" w:asciiTheme="majorEastAsia" w:hAnsiTheme="majorEastAsia" w:eastAsiaTheme="majorEastAsia"/>
          <w:iCs/>
          <w:sz w:val="24"/>
        </w:rPr>
        <w:t xml:space="preserve">TCID</w:t>
      </w:r>
      <w:r>
        <w:rPr>
          <w:rFonts w:hint="eastAsia" w:cs="宋体" w:asciiTheme="majorEastAsia" w:hAnsiTheme="majorEastAsia" w:eastAsiaTheme="majorEastAsia"/>
          <w:iCs/>
          <w:sz w:val="24"/>
          <w:vertAlign w:val="subscript"/>
        </w:rPr>
        <w:t xml:space="preserve">50</w:t>
      </w:r>
      <w:r>
        <w:rPr>
          <w:rFonts w:hint="eastAsia" w:cs="宋体" w:asciiTheme="majorEastAsia" w:hAnsiTheme="majorEastAsia" w:eastAsiaTheme="majorEastAsia"/>
          <w:iCs/>
          <w:sz w:val="24"/>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.1.2 产品质量控制。</w:t>
      </w:r>
      <w:r>
        <w:rPr>
          <w:rFonts w:hint="eastAsia" w:ascii="宋体" w:hAnsi="宋体" w:eastAsia="宋体" w:cs="宋体"/>
          <w:color w:val="auto"/>
          <w:sz w:val="24"/>
          <w:szCs w:val="24"/>
          <w:highlight w:val="none"/>
        </w:rPr>
        <w:t xml:space="preserve">针对自身产品开展调查；为提升产品质量开展产品控制、经费投入、创新研究、技术合作等措施。品控后产品质量提高，免疫副反应降低，抗体合格率提高，更能满足市场需求。</w:t>
      </w:r>
      <w:r>
        <w:rPr>
          <w:rFonts w:hint="eastAsia" w:ascii="宋体" w:hAnsi="宋体" w:eastAsia="宋体" w:cs="宋体"/>
          <w:color w:val="auto"/>
          <w:sz w:val="24"/>
          <w:szCs w:val="21"/>
          <w:highlight w:val="none"/>
        </w:rPr>
        <w:t xml:space="preserve">投标企业在管理中的软、硬件设施，生产环节管理，原、辅料把控等方面进行综合质量控制。</w:t>
      </w:r>
      <w:r/>
    </w:p>
    <w:p>
      <w:pPr>
        <w:ind w:firstLine="480"/>
        <w:keepLines w:val="0"/>
        <w:keepNext w:val="0"/>
        <w:pageBreakBefore w:val="0"/>
        <w:spacing w:line="360" w:lineRule="auto"/>
        <w:rPr>
          <w:rFonts w:hint="eastAsia" w:ascii="宋体" w:hAnsi="宋体" w:eastAsia="宋体" w:cs="宋体"/>
          <w:color w:val="0000ff"/>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.1.3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所投疫苗品种应具有产品</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批签发报告。</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.1.4 招标之前或之后，如遇农业农村部政策调整，有关疫苗品种、毒株变更，相应产品直接变更。</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lang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.1.5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val="0"/>
          <w:color w:val="auto"/>
          <w:sz w:val="24"/>
          <w:szCs w:val="21"/>
          <w:highlight w:val="none"/>
          <w:u w:val="single"/>
        </w:rPr>
        <w:t xml:space="preserve">参加口蹄疫和高致病性禽流感投标的疫苗投标供应商，根据“</w:t>
      </w:r>
      <w:r>
        <w:rPr>
          <w:rFonts w:hint="eastAsia" w:ascii="宋体" w:hAnsi="宋体" w:eastAsia="宋体" w:cs="宋体"/>
          <w:i w:val="0"/>
          <w:iCs w:val="0"/>
          <w:color w:val="auto"/>
          <w:spacing w:val="6"/>
          <w:sz w:val="24"/>
          <w:szCs w:val="21"/>
          <w:highlight w:val="none"/>
          <w:u w:val="single"/>
        </w:rPr>
        <w:t xml:space="preserve">农办牧</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2018</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74号</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文件规定，其所投的高致病性禽流感、口蹄疫疫苗需提供本企业生产工艺、固化控制指标</w:t>
      </w:r>
      <w:r>
        <w:rPr>
          <w:rFonts w:hint="eastAsia" w:ascii="宋体" w:hAnsi="宋体" w:eastAsia="宋体" w:cs="宋体"/>
          <w:i w:val="0"/>
          <w:iCs w:val="0"/>
          <w:color w:val="auto"/>
          <w:sz w:val="24"/>
          <w:szCs w:val="21"/>
          <w:highlight w:val="none"/>
          <w:u w:val="single"/>
        </w:rPr>
        <w:t xml:space="preserve">〔包含但不限于如下内容：培养方法、抗原含量、佐剂类型等〕承诺。不得擅自改变疫苗生产工艺。</w:t>
      </w:r>
      <w:r>
        <w:rPr>
          <w:rFonts w:hint="eastAsia" w:ascii="宋体" w:hAnsi="宋体" w:eastAsia="宋体" w:cs="宋体"/>
          <w:i w:val="0"/>
          <w:iCs w:val="0"/>
          <w:color w:val="auto"/>
          <w:sz w:val="24"/>
          <w:szCs w:val="21"/>
          <w:highlight w:val="none"/>
          <w:u w:val="single"/>
          <w:lang w:eastAsia="zh-CN"/>
        </w:rPr>
        <w:t xml:space="preserve">（</w:t>
      </w:r>
      <w:r>
        <w:rPr>
          <w:rFonts w:hint="eastAsia" w:ascii="宋体" w:hAnsi="宋体" w:eastAsia="宋体" w:cs="宋体"/>
          <w:b/>
          <w:bCs/>
          <w:i w:val="0"/>
          <w:iCs w:val="0"/>
          <w:color w:val="auto"/>
          <w:sz w:val="24"/>
          <w:szCs w:val="21"/>
          <w:highlight w:val="none"/>
          <w:u w:val="single"/>
          <w:lang w:val="en-US" w:eastAsia="zh-CN"/>
        </w:rPr>
        <w:t xml:space="preserve">投标文件中提供</w:t>
      </w:r>
      <w:r>
        <w:rPr>
          <w:rFonts w:hint="eastAsia" w:ascii="宋体" w:hAnsi="宋体" w:eastAsia="宋体" w:cs="宋体"/>
          <w:b/>
          <w:bCs/>
          <w:i w:val="0"/>
          <w:iCs w:val="0"/>
          <w:color w:val="auto"/>
          <w:spacing w:val="6"/>
          <w:sz w:val="24"/>
          <w:szCs w:val="21"/>
          <w:highlight w:val="none"/>
          <w:u w:val="single"/>
        </w:rPr>
        <w:t xml:space="preserve">企业生产工艺、固化控制指标</w:t>
      </w:r>
      <w:r>
        <w:rPr>
          <w:rFonts w:hint="eastAsia" w:ascii="宋体" w:hAnsi="宋体" w:eastAsia="宋体" w:cs="宋体"/>
          <w:b/>
          <w:bCs/>
          <w:i w:val="0"/>
          <w:iCs w:val="0"/>
          <w:color w:val="auto"/>
          <w:sz w:val="24"/>
          <w:szCs w:val="21"/>
          <w:highlight w:val="none"/>
          <w:u w:val="single"/>
          <w:lang w:val="en-US" w:eastAsia="zh-CN"/>
        </w:rPr>
        <w:t xml:space="preserve">承诺</w:t>
      </w:r>
      <w:r>
        <w:rPr>
          <w:rFonts w:hint="eastAsia" w:ascii="宋体" w:hAnsi="宋体" w:cs="宋体"/>
          <w:b/>
          <w:bCs/>
          <w:i w:val="0"/>
          <w:iCs w:val="0"/>
          <w:color w:val="auto"/>
          <w:sz w:val="24"/>
          <w:szCs w:val="21"/>
          <w:highlight w:val="none"/>
          <w:u w:val="single"/>
          <w:lang w:val="en-US" w:eastAsia="zh-CN"/>
        </w:rPr>
        <w:t xml:space="preserve">书，格式自拟</w:t>
      </w:r>
      <w:r>
        <w:rPr>
          <w:rFonts w:hint="eastAsia" w:ascii="宋体" w:hAnsi="宋体" w:eastAsia="宋体" w:cs="宋体"/>
          <w:i w:val="0"/>
          <w:iCs w:val="0"/>
          <w:color w:val="auto"/>
          <w:sz w:val="24"/>
          <w:szCs w:val="21"/>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lang w:val="en-US" w:eastAsia="zh-CN"/>
        </w:rPr>
        <w:t xml:space="preserve">3</w:t>
      </w:r>
      <w:r>
        <w:rPr>
          <w:rFonts w:hint="eastAsia" w:ascii="宋体" w:hAnsi="宋体" w:eastAsia="宋体" w:cs="宋体"/>
          <w:iCs/>
          <w:color w:val="auto"/>
          <w:sz w:val="24"/>
          <w:szCs w:val="21"/>
          <w:highlight w:val="none"/>
        </w:rPr>
        <w:t xml:space="preserve">.1.6 </w:t>
      </w:r>
      <w:r>
        <w:rPr>
          <w:rFonts w:hint="eastAsia" w:ascii="宋体" w:hAnsi="宋体" w:eastAsia="宋体" w:cs="宋体"/>
          <w:color w:val="auto"/>
          <w:sz w:val="24"/>
          <w:szCs w:val="21"/>
          <w:highlight w:val="none"/>
        </w:rPr>
        <w:t xml:space="preserve">按规定具有完备的检测设备和人员，并能按规定标准和方法实施正常检测，各项制度、记录规范、齐全。</w:t>
      </w:r>
      <w:r/>
    </w:p>
    <w:p>
      <w:pPr>
        <w:ind w:firstLine="562"/>
        <w:jc w:val="left"/>
        <w:keepLines w:val="0"/>
        <w:keepNext w:val="0"/>
        <w:pageBreakBefore w:val="0"/>
        <w:spacing w:before="60" w:after="60" w:line="360" w:lineRule="auto"/>
        <w:widowControl w:val="off"/>
        <w:rPr>
          <w:rFonts w:hint="default" w:ascii="宋体" w:hAnsi="宋体" w:eastAsia="宋体" w:cs="宋体"/>
          <w:b/>
          <w:color w:val="auto"/>
          <w:sz w:val="28"/>
          <w:szCs w:val="28"/>
          <w:highlight w:val="none"/>
          <w:lang w:val="en-US" w:eastAsia="zh-CN"/>
        </w:rPr>
        <w:outlineLvl w:val="1"/>
      </w:pPr>
      <w:r/>
      <w:bookmarkStart w:id="405" w:name="_Toc20590"/>
      <w:r/>
      <w:bookmarkStart w:id="406" w:name="_Toc15304"/>
      <w:r/>
      <w:bookmarkStart w:id="407" w:name="_Toc504995980"/>
      <w:r>
        <w:rPr>
          <w:rFonts w:hint="eastAsia" w:ascii="宋体" w:hAnsi="宋体" w:eastAsia="宋体" w:cs="宋体"/>
          <w:b/>
          <w:color w:val="auto"/>
          <w:sz w:val="28"/>
          <w:szCs w:val="28"/>
          <w:highlight w:val="none"/>
          <w:lang w:val="en-US" w:eastAsia="zh-CN"/>
        </w:rPr>
        <w:t xml:space="preserve">3.2</w:t>
      </w:r>
      <w:r>
        <w:rPr>
          <w:rFonts w:hint="eastAsia" w:ascii="宋体" w:hAnsi="宋体" w:cs="宋体"/>
          <w:b/>
          <w:color w:val="auto"/>
          <w:sz w:val="28"/>
          <w:szCs w:val="28"/>
          <w:highlight w:val="none"/>
          <w:lang w:val="en-US" w:eastAsia="zh-CN"/>
        </w:rPr>
        <w:t xml:space="preserve">标识质量要求</w:t>
      </w:r>
      <w:bookmarkEnd w:id="405"/>
      <w:r/>
      <w:bookmarkEnd w:id="40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w:t>
      </w:r>
      <w:r>
        <w:rPr>
          <w:rFonts w:hint="eastAsia" w:ascii="宋体" w:hAnsi="宋体" w:eastAsia="宋体" w:cs="宋体"/>
          <w:iCs/>
          <w:color w:val="auto"/>
          <w:sz w:val="24"/>
          <w:szCs w:val="24"/>
          <w:highlight w:val="none"/>
        </w:rPr>
        <w:t xml:space="preserve">符合农业农村部对牲畜耳标的现行相关质量要求。</w:t>
      </w:r>
      <w:r>
        <w:rPr>
          <w:rFonts w:hint="eastAsia" w:ascii="宋体" w:hAnsi="宋体" w:eastAsia="宋体" w:cs="宋体"/>
          <w:color w:val="auto"/>
          <w:sz w:val="24"/>
          <w:szCs w:val="24"/>
          <w:highlight w:val="none"/>
        </w:rPr>
        <w:t xml:space="preserve">偏离农业农村部相关要求者，必须详细说明。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产品技术参数执行的标准（文件）：</w:t>
      </w:r>
      <w:r>
        <w:rPr>
          <w:rFonts w:hint="eastAsia" w:ascii="宋体" w:hAnsi="宋体" w:eastAsia="宋体" w:cs="宋体"/>
          <w:color w:val="auto"/>
          <w:sz w:val="24"/>
          <w:szCs w:val="24"/>
          <w:highlight w:val="none"/>
        </w:rPr>
        <w:t xml:space="preserve">NY534-2002家畜用耳标及固定器，NY/T938-2005动物防疫耳标规范，</w:t>
      </w:r>
      <w:r>
        <w:rPr>
          <w:rFonts w:hint="eastAsia" w:ascii="宋体" w:hAnsi="宋体" w:eastAsia="宋体" w:cs="宋体"/>
          <w:color w:val="auto"/>
          <w:sz w:val="24"/>
          <w:szCs w:val="21"/>
          <w:highlight w:val="none"/>
        </w:rPr>
        <w:t xml:space="preserve">农办牧〔2021〕3号</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各品种耳标采用的主要原材料均为热塑性弹性体聚氨酯加全铜头</w:t>
      </w:r>
      <w:r>
        <w:rPr>
          <w:rFonts w:hint="eastAsia" w:ascii="宋体" w:hAnsi="宋体" w:eastAsia="宋体" w:cs="宋体"/>
          <w:i w:val="0"/>
          <w:iCs w:val="0"/>
          <w:color w:val="auto"/>
          <w:sz w:val="24"/>
          <w:szCs w:val="24"/>
          <w:highlight w:val="none"/>
          <w:u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接到基层用户反映畜用耳标质量有问题等情况时，会同所在地或上级动物卫生监督机构等对中标人所供畜用耳标按规定实施抽样，所抽样品送具备相应检验资质条件的检验机构检测。畜牧兽医等部门可根据国家和省有关要求进行抽检。对检测发现有不合格的，将取消中标人资格。 </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标识生产场地和主要设备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eastAsia="宋体" w:cs="宋体"/>
          <w:bCs/>
          <w:color w:val="auto"/>
          <w:sz w:val="24"/>
          <w:szCs w:val="24"/>
          <w:highlight w:val="none"/>
        </w:rPr>
        <w:t xml:space="preserve">《畜禽标识和养殖档案管理办法》（2006年农业部令第67号）要求</w:t>
      </w:r>
      <w:r>
        <w:rPr>
          <w:rFonts w:hint="eastAsia" w:ascii="宋体" w:hAnsi="宋体" w:eastAsia="宋体" w:cs="宋体"/>
          <w:color w:val="auto"/>
          <w:sz w:val="24"/>
          <w:szCs w:val="24"/>
          <w:highlight w:val="none"/>
        </w:rPr>
        <w:t xml:space="preserve">执行。</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标识备品备件及耗材等要求</w:t>
      </w:r>
      <w:r/>
    </w:p>
    <w:p>
      <w:pPr>
        <w:ind w:firstLine="482"/>
        <w:keepLines w:val="0"/>
        <w:keepNext w:val="0"/>
        <w:pageBreakBefore w:val="0"/>
        <w:spacing w:line="360" w:lineRule="auto"/>
        <w:widowControl w:val="off"/>
        <w:rPr>
          <w:rFonts w:hint="eastAsia" w:ascii="宋体" w:hAnsi="宋体" w:eastAsia="宋体" w:cs="宋体"/>
          <w:b/>
          <w:i/>
          <w:iCs w:val="0"/>
          <w:color w:val="auto"/>
          <w:sz w:val="30"/>
          <w:szCs w:val="30"/>
          <w:highlight w:val="none"/>
          <w:u w:val="single"/>
          <w:lang w:val="en-US" w:eastAsia="zh-CN"/>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4"/>
          <w:highlight w:val="none"/>
          <w:u w:val="single"/>
        </w:rPr>
        <w:t xml:space="preserve">牲畜耳标供应企业免费配送符合NY 534-2002《家畜用耳标及固定器》规定的耳标固定钳及针。根据采购人需求免费提供并保证供应。（</w:t>
      </w:r>
      <w:r>
        <w:rPr>
          <w:rFonts w:hint="eastAsia" w:ascii="宋体" w:hAnsi="宋体" w:eastAsia="宋体" w:cs="宋体"/>
          <w:b/>
          <w:bCs/>
          <w:i w:val="0"/>
          <w:iCs/>
          <w:color w:val="auto"/>
          <w:sz w:val="24"/>
          <w:szCs w:val="24"/>
          <w:highlight w:val="none"/>
          <w:u w:val="single"/>
        </w:rPr>
        <w:t xml:space="preserve">投标文件中提供承诺函</w:t>
      </w:r>
      <w:r>
        <w:rPr>
          <w:rFonts w:hint="eastAsia" w:ascii="宋体" w:hAnsi="宋体" w:cs="宋体"/>
          <w:b/>
          <w:bCs/>
          <w:i w:val="0"/>
          <w:iCs/>
          <w:color w:val="auto"/>
          <w:sz w:val="24"/>
          <w:szCs w:val="21"/>
          <w:highlight w:val="none"/>
          <w:u w:val="single"/>
          <w:lang w:val="en-US" w:eastAsia="zh-CN"/>
        </w:rPr>
        <w:t xml:space="preserve">，</w:t>
      </w:r>
      <w:r>
        <w:rPr>
          <w:rFonts w:hint="eastAsia" w:ascii="宋体" w:hAnsi="宋体" w:cs="宋体"/>
          <w:b/>
          <w:bCs/>
          <w:i w:val="0"/>
          <w:iCs/>
          <w:color w:val="auto"/>
          <w:sz w:val="24"/>
          <w:szCs w:val="24"/>
          <w:highlight w:val="none"/>
          <w:u w:val="single"/>
          <w:lang w:val="en-US" w:eastAsia="zh-CN"/>
        </w:rPr>
        <w:t xml:space="preserve">格式自拟</w:t>
      </w:r>
      <w:r>
        <w:rPr>
          <w:rFonts w:hint="eastAsia" w:ascii="宋体" w:hAnsi="宋体" w:eastAsia="宋体" w:cs="宋体"/>
          <w:i w:val="0"/>
          <w:iCs/>
          <w:color w:val="auto"/>
          <w:sz w:val="24"/>
          <w:szCs w:val="24"/>
          <w:highlight w:val="none"/>
          <w:u w:val="single"/>
        </w:rPr>
        <w:t xml:space="preserve">）</w:t>
      </w:r>
      <w:r/>
    </w:p>
    <w:p>
      <w:pPr>
        <w:keepLines w:val="0"/>
        <w:keepNext w:val="0"/>
        <w:pageBreakBefore w:val="0"/>
        <w:spacing w:line="360" w:lineRule="auto"/>
        <w:rPr>
          <w:rFonts w:hint="eastAsia" w:ascii="宋体" w:hAnsi="宋体" w:cs="宋体"/>
          <w:b/>
          <w:color w:val="auto"/>
          <w:sz w:val="30"/>
          <w:szCs w:val="30"/>
          <w:highlight w:val="none"/>
          <w:lang w:val="en-US" w:eastAsia="zh-CN"/>
        </w:rPr>
        <w:outlineLvl w:val="0"/>
      </w:pPr>
      <w:r/>
      <w:bookmarkStart w:id="408" w:name="_Toc15076"/>
      <w:r/>
      <w:bookmarkStart w:id="409" w:name="_Toc16724"/>
      <w:r>
        <w:rPr>
          <w:rFonts w:hint="eastAsia" w:ascii="宋体" w:hAnsi="宋体" w:cs="宋体"/>
          <w:b/>
          <w:color w:val="auto"/>
          <w:sz w:val="30"/>
          <w:szCs w:val="30"/>
          <w:highlight w:val="none"/>
          <w:lang w:val="en-US" w:eastAsia="zh-CN"/>
        </w:rPr>
        <w:t xml:space="preserve">四、商务条款</w:t>
      </w:r>
      <w:bookmarkEnd w:id="407"/>
      <w:r/>
      <w:bookmarkEnd w:id="408"/>
      <w:r/>
      <w:bookmarkEnd w:id="409"/>
      <w:r/>
      <w:r/>
    </w:p>
    <w:p>
      <w:pPr>
        <w:ind w:firstLine="562"/>
        <w:jc w:val="left"/>
        <w:keepLines w:val="0"/>
        <w:keepNext w:val="0"/>
        <w:pageBreakBefore w:val="0"/>
        <w:spacing w:before="60" w:after="60" w:line="360" w:lineRule="auto"/>
        <w:widowControl w:val="off"/>
        <w:rPr>
          <w:rFonts w:hint="default" w:ascii="宋体" w:hAnsi="宋体" w:eastAsia="宋体" w:cs="宋体"/>
          <w:b/>
          <w:color w:val="auto"/>
          <w:sz w:val="28"/>
          <w:szCs w:val="28"/>
          <w:highlight w:val="none"/>
          <w:lang w:val="en-US" w:eastAsia="zh-CN"/>
        </w:rPr>
        <w:outlineLvl w:val="1"/>
      </w:pPr>
      <w:r/>
      <w:bookmarkStart w:id="410" w:name="_Toc2571"/>
      <w:r/>
      <w:bookmarkStart w:id="411" w:name="_Toc12076"/>
      <w:r>
        <w:rPr>
          <w:rFonts w:hint="eastAsia" w:ascii="宋体" w:hAnsi="宋体" w:eastAsia="宋体" w:cs="宋体"/>
          <w:b/>
          <w:color w:val="auto"/>
          <w:sz w:val="28"/>
          <w:szCs w:val="28"/>
          <w:highlight w:val="none"/>
          <w:lang w:val="en-US" w:eastAsia="zh-CN"/>
        </w:rPr>
        <w:t xml:space="preserve">（一）疫苗部分</w:t>
      </w:r>
      <w:bookmarkEnd w:id="410"/>
      <w:r/>
      <w:bookmarkEnd w:id="411"/>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.1 质保期</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rPr>
        <w:t xml:space="preserve">投标人承诺投标产品最终交到</w:t>
      </w:r>
      <w:r>
        <w:rPr>
          <w:rFonts w:hint="eastAsia" w:ascii="宋体" w:hAnsi="宋体" w:cs="宋体"/>
          <w:iCs/>
          <w:color w:val="auto"/>
          <w:sz w:val="24"/>
          <w:szCs w:val="21"/>
          <w:highlight w:val="none"/>
          <w:lang w:val="en-US" w:eastAsia="zh-CN"/>
        </w:rPr>
        <w:t xml:space="preserve">采购人</w:t>
      </w:r>
      <w:r>
        <w:rPr>
          <w:rFonts w:hint="eastAsia" w:ascii="宋体" w:hAnsi="宋体" w:eastAsia="宋体" w:cs="宋体"/>
          <w:iCs/>
          <w:color w:val="auto"/>
          <w:sz w:val="24"/>
          <w:szCs w:val="21"/>
          <w:highlight w:val="none"/>
        </w:rPr>
        <w:t xml:space="preserve">的有效期在7个月（疫苗有效期为12个月的）和11个月（疫苗有效期为18个月的）以上（自交货验收合格之日起计）。</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.2 服务与培训</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.2.3 投标人提供包含冷链运输方式、全程温度管理、突发事件处理等方面的冷链运输方案。重点服务项目明确、服务内容量化，有利于冷链运输管理，可操作性较强。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.2.4 投标人提供废弃疫苗瓶回收、处理方案。包括回收的品种、数量等，如何处理回收的废弃疫苗瓶。重点服务项目明确、内容量化，符合环保部门要求，可操作性较强。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.2.5 投标人提供培训方案。内容包括培训的内容、师资力量、区域、计划等。培训内容符合当前重大动物疫病防控需求，内容新颖实用，服务内容量化，可操作性较强。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.2.6 投标人提供强制免疫“先打后补”实施方案。内容包括投标人对强制免疫“先打后补”政策实施过程中提供的实施方案、案例。</w:t>
      </w:r>
      <w:r>
        <w:rPr>
          <w:rFonts w:hint="eastAsia" w:ascii="宋体" w:hAnsi="宋体" w:eastAsia="宋体" w:cs="宋体"/>
          <w:color w:val="auto"/>
          <w:sz w:val="24"/>
          <w:szCs w:val="24"/>
          <w:highlight w:val="none"/>
        </w:rPr>
        <w:t xml:space="preserve">能积极配合</w:t>
      </w:r>
      <w:r>
        <w:rPr>
          <w:rFonts w:hint="eastAsia" w:ascii="宋体" w:hAnsi="宋体" w:cs="宋体"/>
          <w:color w:val="auto"/>
          <w:sz w:val="24"/>
          <w:szCs w:val="24"/>
          <w:highlight w:val="none"/>
          <w:lang w:val="en-US" w:eastAsia="zh-CN"/>
        </w:rPr>
        <w:t xml:space="preserve">泗阳县</w:t>
      </w:r>
      <w:r>
        <w:rPr>
          <w:rFonts w:hint="eastAsia" w:ascii="宋体" w:hAnsi="宋体" w:eastAsia="宋体" w:cs="宋体"/>
          <w:color w:val="auto"/>
          <w:sz w:val="24"/>
          <w:szCs w:val="24"/>
          <w:highlight w:val="none"/>
        </w:rPr>
        <w:t xml:space="preserve">强制免疫先打后补工作。</w:t>
      </w:r>
      <w:r/>
    </w:p>
    <w:p>
      <w:p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4.2.7投标人提供产品控制方案。内容包括投标人用于提升产品质量、创新研究、技术合作等品控措施，提供如开发专项经费、科研合作、专利等佐证材料。</w:t>
      </w:r>
      <w:r/>
    </w:p>
    <w:p>
      <w:pPr>
        <w:ind w:firstLine="482"/>
        <w:keepLines w:val="0"/>
        <w:keepNext w:val="0"/>
        <w:pageBreakBefore w:val="0"/>
        <w:spacing w:line="360" w:lineRule="auto"/>
        <w:rPr>
          <w:rFonts w:hint="eastAsia" w:ascii="宋体" w:hAnsi="宋体" w:eastAsia="宋体" w:cs="宋体"/>
          <w:b w:val="0"/>
          <w:bCs w:val="0"/>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4.3</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val="0"/>
          <w:i w:val="0"/>
          <w:iCs w:val="0"/>
          <w:color w:val="auto"/>
          <w:sz w:val="24"/>
          <w:szCs w:val="21"/>
          <w:highlight w:val="none"/>
          <w:u w:val="single"/>
          <w:lang w:val="en-US"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val="0"/>
          <w:bCs w:val="0"/>
          <w:i w:val="0"/>
          <w:iCs w:val="0"/>
          <w:color w:val="auto"/>
          <w:sz w:val="24"/>
          <w:szCs w:val="21"/>
          <w:highlight w:val="none"/>
          <w:u w:val="single"/>
          <w:lang w:val="en-US" w:eastAsia="zh-CN"/>
        </w:rPr>
        <w:t xml:space="preserve">（</w:t>
      </w:r>
      <w:r>
        <w:rPr>
          <w:rFonts w:hint="eastAsia" w:ascii="宋体" w:hAnsi="宋体" w:cs="宋体"/>
          <w:b/>
          <w:bCs/>
          <w:i w:val="0"/>
          <w:iCs w:val="0"/>
          <w:color w:val="auto"/>
          <w:sz w:val="24"/>
          <w:szCs w:val="21"/>
          <w:highlight w:val="none"/>
          <w:u w:val="single"/>
          <w:lang w:val="en-US" w:eastAsia="zh-CN"/>
        </w:rPr>
        <w:t xml:space="preserve">提供市场行为自律承诺书，格式详见第五章</w:t>
      </w:r>
      <w:r>
        <w:rPr>
          <w:rFonts w:hint="eastAsia" w:ascii="宋体" w:hAnsi="宋体" w:cs="宋体"/>
          <w:b w:val="0"/>
          <w:bCs w:val="0"/>
          <w:i w:val="0"/>
          <w:iCs w:val="0"/>
          <w:color w:val="auto"/>
          <w:sz w:val="24"/>
          <w:szCs w:val="21"/>
          <w:highlight w:val="none"/>
          <w:u w:val="singl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w:t>
      </w:r>
      <w:r>
        <w:rPr>
          <w:rFonts w:hint="eastAsia" w:ascii="宋体" w:hAnsi="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 货物验收</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rPr>
        <w:t xml:space="preserve">动物疫苗的验收，由</w:t>
      </w:r>
      <w:r>
        <w:rPr>
          <w:rFonts w:hint="eastAsia" w:ascii="宋体" w:hAnsi="宋体" w:eastAsia="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根据动物疫苗有关质量要求等实施验收，并出具验收合格书面证明；交货时收货方</w:t>
      </w:r>
      <w:r>
        <w:rPr>
          <w:rFonts w:hint="eastAsia" w:ascii="宋体" w:hAnsi="宋体" w:eastAsia="宋体" w:cs="宋体"/>
          <w:color w:val="auto"/>
          <w:sz w:val="24"/>
          <w:szCs w:val="21"/>
          <w:highlight w:val="none"/>
          <w:lang w:val="en-US" w:eastAsia="zh-CN"/>
        </w:rPr>
        <w:t xml:space="preserve">有权</w:t>
      </w:r>
      <w:r>
        <w:rPr>
          <w:rFonts w:hint="eastAsia" w:ascii="宋体" w:hAnsi="宋体" w:eastAsia="宋体" w:cs="宋体"/>
          <w:color w:val="auto"/>
          <w:sz w:val="24"/>
          <w:szCs w:val="21"/>
          <w:highlight w:val="none"/>
        </w:rPr>
        <w:t xml:space="preserve">对疫苗产品进行抽检，液态疫苗如发现产品有沉淀、混浊、分层、破乳等质变先兆，收货方拒收；上述凭现状的初步验收，不能解除在使用过程中供方对货物的内部缺陷应负的责任。</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w:t>
      </w:r>
      <w:r>
        <w:rPr>
          <w:rFonts w:hint="eastAsia" w:ascii="宋体" w:hAnsi="宋体" w:cs="宋体"/>
          <w:b/>
          <w:color w:val="auto"/>
          <w:sz w:val="24"/>
          <w:szCs w:val="21"/>
          <w:highlight w:val="none"/>
          <w:lang w:val="en-US" w:eastAsia="zh-CN"/>
        </w:rPr>
        <w:t xml:space="preserve">5</w:t>
      </w:r>
      <w:r>
        <w:rPr>
          <w:rFonts w:hint="eastAsia" w:ascii="宋体" w:hAnsi="宋体" w:eastAsia="宋体" w:cs="宋体"/>
          <w:b/>
          <w:color w:val="auto"/>
          <w:sz w:val="24"/>
          <w:szCs w:val="21"/>
          <w:highlight w:val="none"/>
        </w:rPr>
        <w:t xml:space="preserve"> 合同部分内容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 交货期、交货方式及交货地点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交货期：接供货通知后，五日内发货；</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交货方式：按照疫苗的运输管理具体要求，快速送达交货地点。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交货地点：收货方指定地点。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 投标货币：人民币</w:t>
      </w:r>
      <w:r/>
    </w:p>
    <w:p>
      <w:pPr>
        <w:jc w:val="left"/>
        <w:keepLines w:val="0"/>
        <w:keepNext w:val="0"/>
        <w:pageBreakBefore w:val="0"/>
        <w:spacing w:before="60" w:after="60" w:line="360" w:lineRule="auto"/>
        <w:widowControl w:val="off"/>
        <w:rPr>
          <w:rFonts w:hint="eastAsia" w:ascii="宋体" w:hAnsi="宋体" w:eastAsia="宋体" w:cs="宋体"/>
          <w:b/>
          <w:color w:val="auto"/>
          <w:sz w:val="28"/>
          <w:szCs w:val="28"/>
          <w:highlight w:val="none"/>
          <w:lang w:val="en-US" w:eastAsia="zh-CN"/>
        </w:rPr>
        <w:outlineLvl w:val="1"/>
      </w:pPr>
      <w:r/>
      <w:bookmarkStart w:id="412" w:name="_Toc23086"/>
      <w:r/>
      <w:bookmarkStart w:id="413" w:name="_Toc3038"/>
      <w:r>
        <w:rPr>
          <w:rFonts w:hint="eastAsia" w:ascii="宋体" w:hAnsi="宋体" w:eastAsia="宋体" w:cs="宋体"/>
          <w:b/>
          <w:color w:val="auto"/>
          <w:sz w:val="28"/>
          <w:szCs w:val="28"/>
          <w:highlight w:val="none"/>
          <w:lang w:val="en-US" w:eastAsia="zh-CN"/>
        </w:rPr>
        <w:t xml:space="preserve">（二）标识部分</w:t>
      </w:r>
      <w:bookmarkEnd w:id="412"/>
      <w:r/>
      <w:bookmarkEnd w:id="413"/>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质保期</w:t>
      </w:r>
      <w:r/>
    </w:p>
    <w:p>
      <w:pPr>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投标人承诺投标产品最终交到</w:t>
      </w:r>
      <w:r>
        <w:rPr>
          <w:rFonts w:hint="eastAsia" w:ascii="宋体" w:hAnsi="宋体" w:cs="宋体"/>
          <w:iCs/>
          <w:color w:val="auto"/>
          <w:sz w:val="24"/>
          <w:szCs w:val="24"/>
          <w:highlight w:val="none"/>
          <w:lang w:val="en-US" w:eastAsia="zh-CN"/>
        </w:rPr>
        <w:t xml:space="preserve">采购人</w:t>
      </w:r>
      <w:r>
        <w:rPr>
          <w:rFonts w:hint="eastAsia" w:ascii="宋体" w:hAnsi="宋体" w:eastAsia="宋体" w:cs="宋体"/>
          <w:iCs/>
          <w:color w:val="auto"/>
          <w:sz w:val="24"/>
          <w:szCs w:val="24"/>
          <w:highlight w:val="none"/>
        </w:rPr>
        <w:t xml:space="preserve">的保质期在12个月以上（自交货验收合格之日起计）。</w:t>
      </w:r>
      <w:r/>
    </w:p>
    <w:p>
      <w:pPr>
        <w:ind w:firstLine="482"/>
        <w:keepLines w:val="0"/>
        <w:keepNext w:val="0"/>
        <w:pageBreakBefore w:val="0"/>
        <w:spacing w:line="360" w:lineRule="auto"/>
        <w:widowControl w:val="off"/>
        <w:rPr>
          <w:rFonts w:hint="eastAsia"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lang w:val="en-US" w:eastAsia="zh-CN"/>
        </w:rPr>
        <w:t xml:space="preserve">4.7</w:t>
      </w:r>
      <w:r>
        <w:rPr>
          <w:rFonts w:hint="eastAsia" w:ascii="宋体" w:hAnsi="宋体" w:eastAsia="宋体" w:cs="宋体"/>
          <w:b/>
          <w:iCs/>
          <w:color w:val="auto"/>
          <w:sz w:val="24"/>
          <w:szCs w:val="24"/>
          <w:highlight w:val="none"/>
        </w:rPr>
        <w:t xml:space="preserve">规格和包装</w:t>
      </w:r>
      <w:r/>
    </w:p>
    <w:p>
      <w:pPr>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所供耳标连号（不缺号），猪</w:t>
      </w:r>
      <w:r>
        <w:rPr>
          <w:rFonts w:hint="eastAsia" w:ascii="宋体" w:hAnsi="宋体" w:eastAsia="宋体" w:cs="宋体"/>
          <w:iCs/>
          <w:color w:val="auto"/>
          <w:sz w:val="24"/>
          <w:szCs w:val="24"/>
          <w:highlight w:val="none"/>
          <w:lang w:val="en-US" w:eastAsia="zh-CN"/>
        </w:rPr>
        <w:t xml:space="preserve">耳</w:t>
      </w:r>
      <w:r>
        <w:rPr>
          <w:rFonts w:hint="eastAsia" w:ascii="宋体" w:hAnsi="宋体" w:eastAsia="宋体" w:cs="宋体"/>
          <w:iCs/>
          <w:color w:val="auto"/>
          <w:sz w:val="24"/>
          <w:szCs w:val="24"/>
          <w:highlight w:val="none"/>
        </w:rPr>
        <w:t xml:space="preserve">标每16个连号耳标为一个小袋，小袋上需标注包装袋的顺序号和袋里耳标的号段，并在外包装箱内按顺序摆放。在外包装箱上根据号段标注该箱顺序号的标签。内外包装符合国家有关规定，未经</w:t>
      </w:r>
      <w:r>
        <w:rPr>
          <w:rFonts w:hint="eastAsia" w:ascii="宋体" w:hAnsi="宋体" w:eastAsia="宋体" w:cs="宋体"/>
          <w:iCs/>
          <w:color w:val="auto"/>
          <w:sz w:val="24"/>
          <w:szCs w:val="24"/>
          <w:highlight w:val="none"/>
          <w:lang w:val="en-US" w:eastAsia="zh-CN"/>
        </w:rPr>
        <w:t xml:space="preserve">采购人</w:t>
      </w:r>
      <w:r>
        <w:rPr>
          <w:rFonts w:hint="eastAsia" w:ascii="宋体" w:hAnsi="宋体" w:eastAsia="宋体" w:cs="宋体"/>
          <w:iCs/>
          <w:color w:val="auto"/>
          <w:sz w:val="24"/>
          <w:szCs w:val="24"/>
          <w:highlight w:val="none"/>
        </w:rPr>
        <w:t xml:space="preserve">授权同意，不得擅自使用我</w:t>
      </w:r>
      <w:r>
        <w:rPr>
          <w:rFonts w:hint="eastAsia" w:ascii="宋体" w:hAnsi="宋体" w:eastAsia="宋体" w:cs="宋体"/>
          <w:iCs/>
          <w:color w:val="auto"/>
          <w:sz w:val="24"/>
          <w:szCs w:val="24"/>
          <w:highlight w:val="none"/>
          <w:lang w:val="en-US" w:eastAsia="zh-CN"/>
        </w:rPr>
        <w:t xml:space="preserve">县</w:t>
      </w:r>
      <w:r>
        <w:rPr>
          <w:rFonts w:hint="eastAsia" w:ascii="宋体" w:hAnsi="宋体" w:eastAsia="宋体" w:cs="宋体"/>
          <w:iCs/>
          <w:color w:val="auto"/>
          <w:sz w:val="24"/>
          <w:szCs w:val="24"/>
          <w:highlight w:val="none"/>
        </w:rPr>
        <w:t xml:space="preserve">兽医部门（机构）名称。</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4.8</w:t>
      </w:r>
      <w:r>
        <w:rPr>
          <w:rFonts w:hint="eastAsia" w:ascii="宋体" w:hAnsi="宋体" w:eastAsia="宋体" w:cs="宋体"/>
          <w:b/>
          <w:color w:val="auto"/>
          <w:sz w:val="24"/>
          <w:szCs w:val="24"/>
          <w:highlight w:val="none"/>
        </w:rPr>
        <w:t xml:space="preserve">服务与培训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.1 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.2 投标人提供详细的应急处理方案，内容包括用户反映问题的处理，用户走访等。用户反映问题及异常掉标、断标、碎标等问题的及时处理，可操</w:t>
      </w:r>
      <w:r>
        <w:rPr>
          <w:rFonts w:hint="eastAsia" w:ascii="宋体" w:hAnsi="宋体" w:eastAsia="宋体" w:cs="宋体"/>
          <w:color w:val="auto"/>
          <w:sz w:val="24"/>
          <w:szCs w:val="24"/>
        </w:rPr>
        <w:t xml:space="preserve">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4.8</w:t>
      </w:r>
      <w:r>
        <w:rPr>
          <w:rFonts w:hint="eastAsia" w:ascii="宋体" w:hAnsi="宋体" w:eastAsia="宋体" w:cs="宋体"/>
          <w:color w:val="auto"/>
          <w:sz w:val="24"/>
          <w:szCs w:val="24"/>
        </w:rPr>
        <w:t xml:space="preserve">.3 投标人提供用户回收耳标（已在</w:t>
      </w:r>
      <w:r>
        <w:rPr>
          <w:rFonts w:hint="eastAsia" w:ascii="宋体" w:hAnsi="宋体" w:eastAsia="宋体" w:cs="宋体"/>
          <w:color w:val="auto"/>
          <w:spacing w:val="-7"/>
          <w:sz w:val="24"/>
          <w:szCs w:val="21"/>
          <w:lang w:val="zh-CN" w:bidi="zh-CN"/>
        </w:rPr>
        <w:t xml:space="preserve">全国兽医卫生综合信息平台</w:t>
      </w:r>
      <w:r>
        <w:rPr>
          <w:rFonts w:hint="eastAsia" w:ascii="宋体" w:hAnsi="宋体" w:eastAsia="宋体" w:cs="宋体"/>
          <w:color w:val="auto"/>
          <w:sz w:val="24"/>
          <w:szCs w:val="24"/>
        </w:rPr>
        <w:t xml:space="preserve">注销）后的销毁方案，内容包括回收耳标的运输、销毁、全程监控等服务。服务项目明确，内容量化，符合环保部门要求，可操作性较强。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4.8</w:t>
      </w:r>
      <w:r>
        <w:rPr>
          <w:rFonts w:hint="eastAsia" w:ascii="宋体" w:hAnsi="宋体" w:eastAsia="宋体" w:cs="宋体"/>
          <w:color w:val="auto"/>
          <w:sz w:val="24"/>
          <w:szCs w:val="24"/>
        </w:rPr>
        <w:t xml:space="preserve">.4</w:t>
      </w:r>
      <w:r>
        <w:rPr>
          <w:rFonts w:hint="eastAsia" w:ascii="宋体" w:hAnsi="宋体" w:eastAsia="宋体" w:cs="宋体"/>
          <w:color w:val="auto"/>
          <w:sz w:val="24"/>
          <w:szCs w:val="21"/>
        </w:rPr>
        <w:t xml:space="preserve">投标人提供其产品的使用效果调查方案，内容包括</w:t>
      </w:r>
      <w:r>
        <w:rPr>
          <w:rFonts w:hint="eastAsia" w:ascii="宋体" w:hAnsi="宋体" w:eastAsia="宋体" w:cs="宋体"/>
          <w:color w:val="auto"/>
          <w:spacing w:val="-9"/>
          <w:sz w:val="24"/>
          <w:szCs w:val="21"/>
          <w:lang w:val="zh-CN" w:bidi="zh-CN"/>
        </w:rPr>
        <w:t xml:space="preserve">耳标检测方案（主动送检、抽检）、用户评价、县疫控部门评价等，</w:t>
      </w:r>
      <w:r>
        <w:rPr>
          <w:rFonts w:hint="eastAsia" w:ascii="宋体" w:hAnsi="宋体" w:eastAsia="宋体" w:cs="宋体"/>
          <w:color w:val="auto"/>
          <w:sz w:val="24"/>
          <w:szCs w:val="21"/>
        </w:rPr>
        <w:t xml:space="preserve">重点服务项目明确、服务内容量化，可操作性较强。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4.8.5投标人提供产品控制方案。内容包括投标人用于提升产品质量、创新研究、技术合作等品控措施，提供如开发专项经费、科研合作、专利等佐证材料。</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4.8.6 投标人提供其所投产品的产品自检方案，内容包括投标人实施自检的佐证材料、生产环节管理方案等。</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lang w:val="en-US" w:eastAsia="zh-CN"/>
        </w:rPr>
        <w:t xml:space="preserve">4.8</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 </w:t>
      </w:r>
      <w:r>
        <w:rPr>
          <w:rFonts w:hint="eastAsia" w:ascii="宋体" w:hAnsi="宋体" w:eastAsia="宋体" w:cs="宋体"/>
          <w:color w:val="auto"/>
          <w:sz w:val="24"/>
          <w:szCs w:val="24"/>
        </w:rPr>
        <w:t xml:space="preserve">投标人提供培训方案。内容包括培训的内容、师资力量、区域、时间</w:t>
      </w:r>
      <w:r>
        <w:rPr>
          <w:rFonts w:hint="eastAsia" w:ascii="宋体" w:hAnsi="宋体" w:eastAsia="宋体" w:cs="宋体"/>
          <w:color w:val="auto"/>
          <w:sz w:val="24"/>
          <w:szCs w:val="24"/>
          <w:highlight w:val="none"/>
        </w:rPr>
        <w:t xml:space="preserve">计划等。培训内容符合当前耳标管理需求，内容规范实用。</w:t>
      </w:r>
      <w:r/>
    </w:p>
    <w:p>
      <w:pPr>
        <w:ind w:firstLine="482"/>
        <w:keepLines w:val="0"/>
        <w:keepNext w:val="0"/>
        <w:pageBreakBefore w:val="0"/>
        <w:spacing w:line="360" w:lineRule="auto"/>
        <w:widowControl w:val="off"/>
        <w:rPr>
          <w:rFonts w:hint="default" w:ascii="宋体" w:hAnsi="宋体" w:cs="宋体"/>
          <w:b w:val="0"/>
          <w:bCs/>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4.9</w:t>
      </w:r>
      <w:r>
        <w:rPr>
          <w:rFonts w:hint="eastAsia" w:ascii="宋体" w:hAnsi="宋体" w:cs="宋体"/>
          <w:b w:val="0"/>
          <w:bCs/>
          <w:color w:val="auto"/>
          <w:sz w:val="24"/>
          <w:szCs w:val="24"/>
          <w:highlight w:val="none"/>
          <w:lang w:val="en-US" w:eastAsia="zh-CN"/>
        </w:rPr>
        <w:t xml:space="preserve">投标供应商需满足采购人在全国兽医卫生综合信息平台上订货。</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4</w:t>
      </w: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10</w:t>
      </w:r>
      <w:r>
        <w:rPr>
          <w:rFonts w:hint="eastAsia" w:ascii="宋体" w:hAnsi="宋体" w:eastAsia="宋体" w:cs="宋体"/>
          <w:b/>
          <w:color w:val="auto"/>
          <w:sz w:val="24"/>
          <w:szCs w:val="24"/>
        </w:rPr>
        <w:t xml:space="preserve"> 货物验收</w:t>
      </w:r>
      <w:r/>
    </w:p>
    <w:p>
      <w:pPr>
        <w:ind w:firstLine="48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根据有关要求实施验收，并出具验收合格书面证明。</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4</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1</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合同部分内容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交货期、交货方式及交货地点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（1）交货期：接供货通知后，二十日内</w:t>
      </w:r>
      <w:r>
        <w:rPr>
          <w:rFonts w:hint="eastAsia" w:ascii="宋体" w:hAnsi="宋体" w:eastAsia="宋体" w:cs="宋体"/>
          <w:color w:val="auto"/>
          <w:sz w:val="24"/>
          <w:szCs w:val="24"/>
          <w:highlight w:val="none"/>
        </w:rPr>
        <w:t xml:space="preserve">发货；</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（2）交货方式：按照耳标的运输管理具体要求，快速送达交货地点。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（3）交货地点：收货方指定地点。</w:t>
      </w:r>
      <w:r/>
    </w:p>
    <w:p>
      <w:pPr>
        <w:ind w:firstLine="480"/>
        <w:jc w:val="left"/>
        <w:keepLines w:val="0"/>
        <w:keepNext w:val="0"/>
        <w:pageBreakBefore w:val="0"/>
        <w:spacing w:before="60" w:after="60" w:line="360" w:lineRule="auto"/>
        <w:widowControl w:val="off"/>
        <w:rPr>
          <w:rFonts w:hint="eastAsia" w:ascii="宋体" w:hAnsi="宋体" w:cs="宋体"/>
          <w:b/>
          <w:sz w:val="30"/>
          <w:szCs w:val="30"/>
          <w:lang w:val="en-US" w:eastAsia="zh-CN"/>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投标货币：人民币</w:t>
      </w:r>
      <w:r/>
    </w:p>
    <w:p>
      <w:pPr>
        <w:keepLines w:val="0"/>
        <w:keepNext w:val="0"/>
        <w:pageBreakBefore w:val="0"/>
        <w:spacing w:line="360" w:lineRule="auto"/>
        <w:rPr>
          <w:rFonts w:hint="eastAsia" w:ascii="宋体" w:hAnsi="宋体" w:cs="宋体"/>
          <w:b/>
          <w:sz w:val="30"/>
          <w:szCs w:val="30"/>
          <w:lang w:val="en-US" w:eastAsia="zh-CN"/>
        </w:rPr>
        <w:outlineLvl w:val="0"/>
      </w:pPr>
      <w:r/>
      <w:bookmarkStart w:id="414" w:name="_Toc13681"/>
      <w:r/>
      <w:bookmarkStart w:id="415" w:name="_Toc24073"/>
      <w:r>
        <w:rPr>
          <w:rFonts w:hint="eastAsia" w:ascii="宋体" w:hAnsi="宋体" w:cs="宋体"/>
          <w:b/>
          <w:sz w:val="30"/>
          <w:szCs w:val="30"/>
          <w:lang w:val="en-US" w:eastAsia="zh-CN"/>
        </w:rPr>
        <w:t xml:space="preserve">五、注意</w:t>
      </w:r>
      <w:bookmarkEnd w:id="414"/>
      <w:r/>
      <w:bookmarkEnd w:id="415"/>
      <w:r/>
      <w:r/>
    </w:p>
    <w:p>
      <w:pPr>
        <w:pStyle w:val="1193"/>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lang w:val="en-US" w:eastAsia="zh-CN"/>
        </w:rPr>
        <w:t xml:space="preserve">投标报价一次报定</w:t>
      </w:r>
      <w:r>
        <w:rPr>
          <w:rFonts w:hint="eastAsia" w:ascii="宋体" w:hAnsi="宋体" w:cs="宋体"/>
          <w:color w:val="auto"/>
          <w:sz w:val="24"/>
        </w:rPr>
        <w:t xml:space="preserve">。报价内容包括: </w:t>
      </w:r>
      <w:r>
        <w:rPr>
          <w:rFonts w:hint="eastAsia" w:ascii="Times New Roman" w:hAnsi="Times New Roman" w:eastAsia="宋体" w:cs="Times New Roman"/>
          <w:bCs/>
          <w:caps w:val="0"/>
          <w:color w:val="auto"/>
          <w:sz w:val="24"/>
          <w:highlight w:val="none"/>
          <w:lang w:val="en-US" w:eastAsia="zh-CN"/>
        </w:rPr>
        <w:t xml:space="preserve">货款、标准附件、备品备件、</w:t>
      </w:r>
      <w:r>
        <w:rPr>
          <w:rFonts w:hint="eastAsia" w:ascii="Times New Roman" w:hAnsi="Times New Roman" w:cs="Times New Roman"/>
          <w:bCs/>
          <w:caps w:val="0"/>
          <w:color w:val="auto"/>
          <w:sz w:val="24"/>
          <w:highlight w:val="none"/>
          <w:lang w:val="en-US" w:eastAsia="zh-CN"/>
        </w:rPr>
        <w:t xml:space="preserve">配套服务、</w:t>
      </w:r>
      <w:r>
        <w:rPr>
          <w:rFonts w:hint="eastAsia" w:ascii="Times New Roman" w:hAnsi="Times New Roman" w:eastAsia="宋体" w:cs="Times New Roman"/>
          <w:bCs/>
          <w:caps w:val="0"/>
          <w:color w:val="auto"/>
          <w:sz w:val="24"/>
          <w:highlight w:val="none"/>
          <w:lang w:val="en-US" w:eastAsia="zh-CN"/>
        </w:rPr>
        <w:t xml:space="preserve">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rPr>
          <w:rFonts w:hint="eastAsia" w:ascii="宋体" w:hAnsi="宋体" w:cs="宋体"/>
          <w:color w:val="auto"/>
          <w:sz w:val="24"/>
        </w:rPr>
        <w:t xml:space="preserve">。 </w:t>
      </w:r>
      <w:r/>
    </w:p>
    <w:p>
      <w:pPr>
        <w:pStyle w:val="1193"/>
        <w:ind w:firstLine="480"/>
        <w:keepLines w:val="0"/>
        <w:keepNext w:val="0"/>
        <w:pageBreakBefore w:val="0"/>
        <w:spacing w:line="360" w:lineRule="auto"/>
        <w:rPr>
          <w:rFonts w:hint="eastAsia" w:ascii="宋体" w:hAnsi="宋体" w:cs="宋体"/>
          <w:sz w:val="24"/>
        </w:rPr>
      </w:pPr>
      <w:r>
        <w:rPr>
          <w:rFonts w:hint="eastAsia" w:ascii="宋体" w:hAnsi="宋体" w:cs="宋体"/>
          <w:color w:val="auto"/>
          <w:sz w:val="24"/>
        </w:rPr>
        <w:t xml:space="preserve">（二）供应商报价时应充分考虑所有可能影响到报价的因素，一旦最终中标，总价将包定。不予调整。如发生漏、缺</w:t>
      </w:r>
      <w:r>
        <w:rPr>
          <w:rFonts w:hint="eastAsia" w:ascii="宋体" w:hAnsi="宋体" w:cs="宋体"/>
          <w:sz w:val="24"/>
        </w:rPr>
        <w:t xml:space="preserve">、少项，都将被认为是成交人的报价让利行为，损失自负。</w:t>
      </w:r>
      <w:r/>
    </w:p>
    <w:p>
      <w:pPr>
        <w:keepLines w:val="0"/>
        <w:keepNext w:val="0"/>
        <w:pageBreakBefore w:val="0"/>
        <w:spacing w:line="360" w:lineRule="auto"/>
        <w:rPr>
          <w:rFonts w:hint="eastAsia" w:ascii="宋体" w:hAnsi="宋体" w:cs="宋体"/>
          <w:b/>
          <w:sz w:val="30"/>
          <w:szCs w:val="30"/>
          <w:lang w:val="en-US" w:eastAsia="zh-CN"/>
        </w:rPr>
        <w:outlineLvl w:val="0"/>
      </w:pPr>
      <w:r/>
      <w:bookmarkStart w:id="416" w:name="_Toc24049"/>
      <w:r/>
      <w:bookmarkStart w:id="417" w:name="_Toc29521"/>
      <w:r>
        <w:rPr>
          <w:rFonts w:hint="eastAsia" w:ascii="宋体" w:hAnsi="宋体" w:cs="宋体"/>
          <w:b/>
          <w:sz w:val="30"/>
          <w:szCs w:val="30"/>
          <w:lang w:val="en-US" w:eastAsia="zh-CN"/>
        </w:rPr>
        <w:t xml:space="preserve">六、商品包装环保要求</w:t>
      </w:r>
      <w:bookmarkEnd w:id="416"/>
      <w:r/>
      <w:bookmarkEnd w:id="417"/>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层，空隙率不大于40%；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 需求必需使用不同材质，不同材质间应便于分离；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 100mg/kg；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 含量应不大于 5%（以重量计）；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keepLines w:val="0"/>
        <w:keepNext w:val="0"/>
        <w:pageBreakBefore w:val="0"/>
        <w:spacing w:line="360" w:lineRule="auto"/>
        <w:rPr>
          <w:rFonts w:hint="eastAsia" w:ascii="宋体" w:hAnsi="宋体" w:cs="宋体"/>
          <w:b/>
          <w:sz w:val="30"/>
          <w:szCs w:val="30"/>
          <w:lang w:val="en-US" w:eastAsia="zh-CN"/>
        </w:rPr>
        <w:outlineLvl w:val="0"/>
      </w:pPr>
      <w:r/>
      <w:bookmarkStart w:id="418" w:name="_Toc11629"/>
      <w:r/>
      <w:bookmarkStart w:id="419" w:name="_Toc29349"/>
      <w:r>
        <w:rPr>
          <w:rFonts w:hint="eastAsia" w:ascii="宋体" w:hAnsi="宋体" w:cs="宋体"/>
          <w:b/>
          <w:sz w:val="30"/>
          <w:szCs w:val="30"/>
          <w:lang w:val="en-US" w:eastAsia="zh-CN"/>
        </w:rPr>
        <w:t xml:space="preserve">七、快递包装环保要求</w:t>
      </w:r>
      <w:bookmarkEnd w:id="418"/>
      <w:r/>
      <w:bookmarkEnd w:id="419"/>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 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pStyle w:val="1194"/>
        <w:rPr>
          <w:rFonts w:hint="eastAsia" w:ascii="宋体" w:hAnsi="宋体" w:eastAsia="宋体" w:cs="宋体"/>
          <w:sz w:val="24"/>
          <w:szCs w:val="24"/>
        </w:rPr>
      </w:pPr>
      <w:r>
        <w:rPr>
          <w:rFonts w:hint="eastAsia" w:ascii="宋体" w:hAnsi="宋体" w:eastAsia="宋体" w:cs="宋体"/>
          <w:sz w:val="24"/>
          <w:szCs w:val="24"/>
        </w:rPr>
      </w:r>
      <w:r/>
    </w:p>
    <w:p>
      <w:pPr>
        <w:pStyle w:val="1194"/>
        <w:rPr>
          <w:rFonts w:hint="eastAsia" w:ascii="宋体" w:hAnsi="宋体" w:eastAsia="宋体" w:cs="宋体"/>
        </w:rPr>
      </w:pPr>
      <w:r>
        <w:rPr>
          <w:rFonts w:hint="eastAsia" w:ascii="宋体" w:hAnsi="宋体" w:eastAsia="宋体" w:cs="宋体"/>
        </w:rPr>
      </w:r>
      <w:r/>
    </w:p>
    <w:p>
      <w:pPr>
        <w:jc w:val="both"/>
        <w:rPr>
          <w:rFonts w:hint="eastAsia" w:eastAsia="黑体"/>
          <w:bCs/>
          <w:sz w:val="44"/>
        </w:rPr>
        <w:outlineLvl w:val="0"/>
      </w:pPr>
      <w:r>
        <w:rPr>
          <w:rFonts w:eastAsia="黑体"/>
          <w:bCs/>
          <w:sz w:val="44"/>
        </w:rPr>
        <w:br w:type="page" w:clear="all"/>
      </w:r>
      <w:bookmarkStart w:id="420" w:name="_Toc4605"/>
      <w:r>
        <w:rPr>
          <w:rFonts w:hint="eastAsia" w:eastAsia="黑体"/>
          <w:bCs/>
          <w:sz w:val="44"/>
        </w:rPr>
        <w:t xml:space="preserve">第五章  </w:t>
      </w:r>
      <w:r>
        <w:rPr>
          <w:rFonts w:hint="eastAsia" w:eastAsia="黑体"/>
          <w:b/>
          <w:bCs/>
          <w:sz w:val="44"/>
        </w:rPr>
        <w:t xml:space="preserve">评标方法与评标标准</w:t>
      </w:r>
      <w:bookmarkEnd w:id="404"/>
      <w:r/>
      <w:bookmarkEnd w:id="420"/>
      <w:r/>
      <w:r/>
    </w:p>
    <w:p>
      <w:pPr>
        <w:spacing w:line="500" w:lineRule="exact"/>
        <w:rPr>
          <w:rFonts w:hint="eastAsia" w:eastAsia="仿宋_GB2312"/>
          <w:sz w:val="24"/>
        </w:rPr>
        <w:outlineLvl w:val="0"/>
      </w:pPr>
      <w:r/>
      <w:bookmarkStart w:id="421" w:name="_Toc14558"/>
      <w:r/>
      <w:bookmarkStart w:id="422" w:name="_Toc17259"/>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bookmarkEnd w:id="421"/>
      <w:r/>
      <w:bookmarkEnd w:id="422"/>
      <w:r/>
      <w:r/>
    </w:p>
    <w:tbl>
      <w:tblPr>
        <w:tblStyle w:val="878"/>
        <w:tblW w:w="502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1"/>
        <w:gridCol w:w="4184"/>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rHeight w:val="90"/>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ascii="Times New Roman" w:hAnsi="Times New Roman" w:eastAsia="宋体" w:cs="Times New Roman"/>
                <w:sz w:val="21"/>
                <w:szCs w:val="22"/>
                <w:lang w:val="en-US" w:eastAsia="zh-CN" w:bidi="ar-SA"/>
              </w:rPr>
            </w:pPr>
            <w:r>
              <w:rPr>
                <w:rFonts w:hint="eastAsia"/>
                <w:szCs w:val="22"/>
              </w:rPr>
              <w:t xml:space="preserve">资格要求</w:t>
            </w:r>
            <w:r/>
          </w:p>
        </w:tc>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ascii="Times New Roman" w:hAnsi="Times New Roman" w:eastAsia="宋体" w:cs="Times New Roman"/>
                <w:sz w:val="21"/>
                <w:szCs w:val="22"/>
                <w:lang w:val="en-US" w:eastAsia="zh-CN" w:bidi="ar-SA"/>
              </w:rPr>
            </w:pPr>
            <w:r>
              <w:rPr>
                <w:szCs w:val="22"/>
              </w:rPr>
              <w:t xml:space="preserve">符合招标文件要求</w:t>
            </w:r>
            <w:r/>
          </w:p>
        </w:tc>
      </w:tr>
      <w:tr>
        <w:trPr>
          <w:trHeight w:val="9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eastAsia="宋体"/>
                <w:szCs w:val="22"/>
                <w:lang w:val="en-US" w:eastAsia="zh-CN"/>
              </w:rPr>
            </w:pPr>
            <w:r>
              <w:rPr>
                <w:rFonts w:hint="eastAsia"/>
                <w:szCs w:val="22"/>
                <w:lang w:val="en-US" w:eastAsia="zh-CN"/>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878"/>
        <w:tblW w:w="4980" w:type="pct"/>
        <w:tblInd w:w="6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12"/>
        <w:gridCol w:w="4177"/>
      </w:tblGrid>
      <w:tr>
        <w:trPr/>
        <w:tc>
          <w:tcPr>
            <w:tcBorders>
              <w:top w:val="single" w:color="000000" w:sz="6" w:space="0"/>
              <w:left w:val="single" w:color="000000" w:sz="6" w:space="0"/>
              <w:bottom w:val="single" w:color="000000" w:sz="6" w:space="0"/>
              <w:right w:val="single" w:color="000000" w:sz="6" w:space="0"/>
            </w:tcBorders>
            <w:tcW w:w="2480"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19"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2480" w:type="pct"/>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2519" w:type="pct"/>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2480" w:type="pct"/>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2519" w:type="pct"/>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2480" w:type="pct"/>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2519" w:type="pct"/>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2480" w:type="pct"/>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2519" w:type="pct"/>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highlight w:val="white"/>
        </w:rPr>
        <w:outlineLvl w:val="0"/>
      </w:pPr>
      <w:r/>
      <w:bookmarkStart w:id="423" w:name="_Toc27119"/>
      <w:r/>
      <w:bookmarkStart w:id="424" w:name="_Toc2669"/>
      <w:r>
        <w:rPr>
          <w:rFonts w:hint="eastAsia" w:eastAsia="仿宋_GB2312"/>
          <w:b/>
          <w:sz w:val="28"/>
          <w:szCs w:val="22"/>
          <w:highlight w:val="white"/>
        </w:rPr>
        <w:t xml:space="preserve">三、评分办法—</w:t>
      </w:r>
      <w:r>
        <w:rPr>
          <w:rFonts w:hint="eastAsia" w:ascii="Times New Roman" w:hAnsi="Times New Roman" w:eastAsia="仿宋_GB2312" w:cs="Times New Roman"/>
          <w:b/>
          <w:caps w:val="0"/>
          <w:color w:val="auto"/>
          <w:sz w:val="28"/>
          <w:szCs w:val="22"/>
          <w:highlight w:val="white"/>
          <w:lang w:val="en-US" w:eastAsia="zh-CN"/>
        </w:rPr>
        <w:t xml:space="preserve">综合评分法</w:t>
      </w:r>
      <w:bookmarkEnd w:id="423"/>
      <w:r/>
      <w:bookmarkEnd w:id="424"/>
      <w:r/>
      <w:r/>
    </w:p>
    <w:p>
      <w:pPr>
        <w:ind w:firstLine="241"/>
        <w:jc w:val="both"/>
        <w:spacing w:line="500" w:lineRule="exact"/>
        <w:rPr>
          <w:rFonts w:hint="eastAsia" w:ascii="Times New Roman" w:hAnsi="Times New Roman" w:eastAsia="宋体" w:cs="Times New Roman"/>
          <w:caps w:val="0"/>
          <w:color w:val="auto"/>
          <w:sz w:val="24"/>
          <w:highlight w:val="white"/>
        </w:rPr>
      </w:pPr>
      <w:r>
        <w:rPr>
          <w:rFonts w:hint="eastAsia" w:eastAsia="仿宋_GB2312"/>
          <w:b/>
          <w:sz w:val="24"/>
          <w:highlight w:val="white"/>
        </w:rPr>
        <w:t xml:space="preserve">（一）评标办法：</w:t>
      </w:r>
      <w:r>
        <w:rPr>
          <w:rFonts w:hint="eastAsia" w:ascii="Times New Roman" w:hAnsi="Times New Roman" w:eastAsia="宋体" w:cs="Times New Roman"/>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auto"/>
          <w:sz w:val="24"/>
          <w:highlight w:val="white"/>
        </w:rPr>
      </w:pPr>
      <w:r>
        <w:rPr>
          <w:rFonts w:hint="eastAsia" w:ascii="Times New Roman" w:hAnsi="Times New Roman" w:eastAsia="宋体" w:cs="Times New Roman"/>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sz w:val="24"/>
          <w:highlight w:val="white"/>
        </w:rPr>
      </w:pPr>
      <w:r>
        <w:rPr>
          <w:rFonts w:hint="eastAsia" w:ascii="Times New Roman" w:hAnsi="Times New Roman" w:eastAsia="宋体" w:cs="Times New Roman"/>
          <w:caps w:val="0"/>
          <w:color w:val="auto"/>
          <w:sz w:val="24"/>
          <w:highlight w:val="white"/>
        </w:rPr>
        <w:t xml:space="preserve">综合评分保留至小数点后两位。</w:t>
      </w:r>
      <w:r>
        <w:rPr>
          <w:rFonts w:hint="eastAsia"/>
          <w:sz w:val="24"/>
          <w:highlight w:val="white"/>
        </w:rPr>
        <w:t xml:space="preserve"> </w:t>
      </w:r>
      <w:r/>
    </w:p>
    <w:p>
      <w:pPr>
        <w:ind w:firstLine="241"/>
        <w:jc w:val="left"/>
        <w:spacing w:line="500" w:lineRule="exact"/>
        <w:rPr>
          <w:rFonts w:hint="eastAsia" w:ascii="宋体" w:hAnsi="宋体" w:eastAsia="宋体" w:cs="宋体"/>
          <w:caps w:val="0"/>
          <w:color w:val="auto"/>
          <w:sz w:val="24"/>
          <w:highlight w:val="white"/>
        </w:rPr>
      </w:pPr>
      <w:r>
        <w:rPr>
          <w:rFonts w:hint="eastAsia" w:eastAsia="仿宋_GB2312"/>
          <w:b/>
          <w:sz w:val="24"/>
          <w:highlight w:val="white"/>
        </w:rPr>
        <w:t xml:space="preserve">（二）详细评审。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spacing w:line="500" w:lineRule="exact"/>
        <w:rPr>
          <w:rFonts w:hint="eastAsia" w:ascii="宋体" w:hAnsi="宋体" w:cs="宋体"/>
          <w:b/>
          <w:bCs/>
          <w:caps w:val="0"/>
          <w:color w:val="auto"/>
          <w:sz w:val="24"/>
          <w:highlight w:val="white"/>
          <w:lang w:val="en-US" w:eastAsia="zh-CN"/>
        </w:rPr>
      </w:pPr>
      <w:r>
        <w:rPr>
          <w:rFonts w:hint="eastAsia" w:ascii="宋体" w:hAnsi="宋体" w:cs="宋体"/>
          <w:b/>
          <w:bCs/>
          <w:caps w:val="0"/>
          <w:color w:val="auto"/>
          <w:sz w:val="24"/>
          <w:highlight w:val="none"/>
          <w:lang w:val="en-US" w:eastAsia="zh-CN"/>
        </w:rPr>
        <w:t xml:space="preserve">分包1至分包4评分</w:t>
      </w:r>
      <w:r>
        <w:rPr>
          <w:rFonts w:hint="eastAsia" w:ascii="宋体" w:hAnsi="宋体" w:cs="宋体"/>
          <w:b/>
          <w:bCs/>
          <w:caps w:val="0"/>
          <w:color w:val="auto"/>
          <w:sz w:val="24"/>
          <w:highlight w:val="white"/>
          <w:lang w:val="en-US" w:eastAsia="zh-CN"/>
        </w:rPr>
        <w:t xml:space="preserve">标准：</w:t>
      </w:r>
      <w:r/>
    </w:p>
    <w:tbl>
      <w:tblPr>
        <w:tblStyle w:val="878"/>
        <w:tblW w:w="5319"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1213"/>
        <w:gridCol w:w="1421"/>
        <w:gridCol w:w="1432"/>
        <w:gridCol w:w="4802"/>
      </w:tblGrid>
      <w:tr>
        <w:trPr>
          <w:trHeight w:val="492"/>
        </w:trPr>
        <w:tc>
          <w:tcPr>
            <w:gridSpan w:val="2"/>
            <w:tcW w:w="1485"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评审因素</w:t>
            </w:r>
            <w:r/>
          </w:p>
        </w:tc>
        <w:tc>
          <w:tcPr>
            <w:tcW w:w="807"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分数</w:t>
            </w:r>
            <w:r/>
          </w:p>
        </w:tc>
        <w:tc>
          <w:tcPr>
            <w:tcW w:w="2707"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评审标准</w:t>
            </w:r>
            <w:r/>
          </w:p>
        </w:tc>
      </w:tr>
      <w:tr>
        <w:trPr>
          <w:trHeight w:val="1116"/>
        </w:trPr>
        <w:tc>
          <w:tcPr>
            <w:tcW w:w="684"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报价分</w:t>
            </w:r>
            <w:r/>
          </w:p>
        </w:tc>
        <w:tc>
          <w:tcPr>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投标报价</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rPr>
              <w:t xml:space="preserve">30.00</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分</w:t>
            </w:r>
            <w:r>
              <w:rPr>
                <w:rFonts w:hint="eastAsia" w:ascii="宋体" w:hAnsi="宋体" w:cs="宋体"/>
                <w:color w:val="auto"/>
                <w:highlight w:val="none"/>
                <w:lang w:eastAsia="zh-CN"/>
              </w:rPr>
              <w:t xml:space="preserve">）</w:t>
            </w:r>
            <w:r/>
          </w:p>
        </w:tc>
        <w:tc>
          <w:tcPr>
            <w:tcW w:w="2707" w:type="pct"/>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1194"/>
        </w:trPr>
        <w:tc>
          <w:tcPr>
            <w:tcBorders>
              <w:top w:val="single" w:color="auto" w:sz="4" w:space="0"/>
            </w:tcBorders>
            <w:tcW w:w="684" w:type="pct"/>
            <w:vAlign w:val="center"/>
            <w:vMerge w:val="restart"/>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技术响应</w:t>
            </w:r>
            <w:r/>
          </w:p>
        </w:tc>
        <w:tc>
          <w:tcPr>
            <w:shd w:val="clear" w:color="auto" w:fill="auto"/>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CMA检测报告</w:t>
            </w:r>
            <w:r/>
          </w:p>
        </w:tc>
        <w:tc>
          <w:tcPr>
            <w:shd w:val="clear" w:color="auto" w:fill="auto"/>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shd w:val="clear" w:color="auto" w:fill="auto"/>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投标人提供该品种疫苗202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1月1日以来</w:t>
            </w:r>
            <w:r>
              <w:rPr>
                <w:rFonts w:hint="eastAsia" w:ascii="宋体" w:hAnsi="宋体" w:cs="宋体"/>
                <w:color w:val="auto"/>
                <w:highlight w:val="none"/>
              </w:rPr>
              <w:t xml:space="preserve">的CMA检测报告，报告合格得5分，不合格不得分；或提供该品种疫苗202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1月1日以来</w:t>
            </w:r>
            <w:r>
              <w:rPr>
                <w:rFonts w:hint="eastAsia" w:ascii="宋体" w:hAnsi="宋体" w:cs="宋体"/>
                <w:color w:val="auto"/>
                <w:highlight w:val="none"/>
              </w:rPr>
              <w:t xml:space="preserve">连续批次批签发报告（显示质量合格），连续1批次得1分，最高5分。</w:t>
            </w:r>
            <w:r/>
          </w:p>
        </w:tc>
      </w:tr>
      <w:tr>
        <w:trPr>
          <w:trHeight w:val="879"/>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抗体检测合格证明</w:t>
            </w:r>
            <w:r/>
          </w:p>
        </w:tc>
        <w:tc>
          <w:tcPr>
            <w:shd w:val="clear" w:color="auto" w:fill="auto"/>
            <w:tcW w:w="807" w:type="pct"/>
            <w:vAlign w:val="center"/>
            <w:textDirection w:val="lrTb"/>
            <w:noWrap w:val="false"/>
          </w:tcPr>
          <w:p>
            <w:pPr>
              <w:jc w:val="center"/>
              <w:rPr>
                <w:rFonts w:hint="default" w:ascii="宋体" w:hAnsi="宋体" w:cs="宋体"/>
                <w:color w:val="auto"/>
                <w:highlight w:val="none"/>
                <w:lang w:val="en-US"/>
              </w:rPr>
            </w:pPr>
            <w:r>
              <w:rPr>
                <w:rFonts w:hint="eastAsia" w:ascii="宋体" w:hAnsi="宋体" w:eastAsia="宋体" w:cs="宋体"/>
                <w:caps w:val="0"/>
                <w:color w:val="auto"/>
                <w:sz w:val="22"/>
                <w:szCs w:val="22"/>
                <w:highlight w:val="none"/>
                <w:lang w:val="en-US" w:eastAsia="zh-CN" w:bidi="ar-SA"/>
              </w:rPr>
              <w:t xml:space="preserve">5</w:t>
            </w:r>
            <w:r>
              <w:rPr>
                <w:rFonts w:hint="eastAsia" w:ascii="宋体" w:hAnsi="宋体" w:cs="宋体"/>
                <w:caps w:val="0"/>
                <w:color w:val="auto"/>
                <w:sz w:val="22"/>
                <w:szCs w:val="22"/>
                <w:highlight w:val="none"/>
                <w:lang w:val="en-US" w:eastAsia="zh-CN" w:bidi="ar-SA"/>
              </w:rPr>
              <w:t xml:space="preserve">.00（分）</w:t>
            </w:r>
            <w:r/>
          </w:p>
        </w:tc>
        <w:tc>
          <w:tcPr>
            <w:shd w:val="clear" w:color="auto" w:fill="auto"/>
            <w:tcW w:w="2707" w:type="pct"/>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投标人提供该品种疫苗202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1月1日以来第三方机构</w:t>
            </w:r>
            <w:r>
              <w:rPr>
                <w:rFonts w:hint="eastAsia" w:ascii="宋体" w:hAnsi="宋体" w:cs="宋体"/>
                <w:color w:val="auto"/>
                <w:highlight w:val="none"/>
              </w:rPr>
              <w:t xml:space="preserve">出具的抗体检测合格报告或履约证明，</w:t>
            </w:r>
            <w:r>
              <w:rPr>
                <w:rFonts w:hint="eastAsia" w:ascii="宋体" w:hAnsi="宋体" w:cs="宋体"/>
                <w:color w:val="auto"/>
                <w:highlight w:val="none"/>
                <w:lang w:val="en-US" w:eastAsia="zh-CN"/>
              </w:rPr>
              <w:t xml:space="preserve">每</w:t>
            </w:r>
            <w:r>
              <w:rPr>
                <w:rFonts w:hint="eastAsia" w:ascii="宋体" w:hAnsi="宋体" w:cs="宋体"/>
                <w:color w:val="auto"/>
                <w:highlight w:val="none"/>
              </w:rPr>
              <w:t xml:space="preserve">提供</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个</w:t>
            </w:r>
            <w:r>
              <w:rPr>
                <w:rFonts w:hint="eastAsia" w:ascii="宋体" w:hAnsi="宋体" w:cs="宋体"/>
                <w:color w:val="auto"/>
                <w:highlight w:val="none"/>
                <w:lang w:val="en-US" w:eastAsia="zh-CN"/>
              </w:rPr>
              <w:t xml:space="preserve">得0.5分</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本项最高</w:t>
            </w:r>
            <w:r>
              <w:rPr>
                <w:rFonts w:hint="eastAsia" w:ascii="宋体" w:hAnsi="宋体" w:cs="宋体"/>
                <w:color w:val="auto"/>
                <w:highlight w:val="none"/>
              </w:rPr>
              <w:t xml:space="preserve">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tc>
      </w:tr>
      <w:tr>
        <w:trPr>
          <w:trHeight w:val="920"/>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设备与工艺</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aps w:val="0"/>
                <w:color w:val="auto"/>
                <w:sz w:val="22"/>
                <w:szCs w:val="22"/>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shd w:val="clear" w:color="auto" w:fill="auto"/>
            <w:tcW w:w="2707"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投标人提供主要生产设备清单和照片，提供关键技术创新案例和创新产品工艺佐证材料。提供满足生产的设备清单和照片得1分，提供关键技术创新案例和创新产品工艺佐证材料得1分。</w:t>
            </w:r>
            <w:r/>
          </w:p>
        </w:tc>
      </w:tr>
      <w:tr>
        <w:trPr>
          <w:trHeight w:val="920"/>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原、辅材料</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aps w:val="0"/>
                <w:color w:val="auto"/>
                <w:sz w:val="22"/>
                <w:szCs w:val="22"/>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shd w:val="clear" w:color="auto" w:fill="auto"/>
            <w:tcW w:w="2707"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投标人提供202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使用原、辅料购买发票和供货合同</w:t>
            </w:r>
            <w:r>
              <w:rPr>
                <w:rFonts w:hint="eastAsia" w:ascii="宋体" w:hAnsi="宋体" w:cs="宋体"/>
                <w:color w:val="auto"/>
                <w:sz w:val="21"/>
                <w:szCs w:val="21"/>
                <w:lang w:val="en-US" w:eastAsia="zh-CN"/>
              </w:rPr>
              <w:t xml:space="preserve">扫描件的</w:t>
            </w:r>
            <w:r>
              <w:rPr>
                <w:rFonts w:hint="eastAsia" w:ascii="宋体" w:hAnsi="宋体" w:eastAsia="宋体" w:cs="宋体"/>
                <w:color w:val="auto"/>
                <w:sz w:val="21"/>
                <w:szCs w:val="21"/>
              </w:rPr>
              <w:t xml:space="preserve">得1分；提供原辅料足量用于实际生产的佐证资料，得1分。</w:t>
            </w:r>
            <w:r/>
          </w:p>
        </w:tc>
      </w:tr>
      <w:tr>
        <w:trPr>
          <w:trHeight w:val="920"/>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自检与后续要求</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aps w:val="0"/>
                <w:color w:val="auto"/>
                <w:sz w:val="22"/>
                <w:szCs w:val="22"/>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shd w:val="clear" w:color="auto" w:fill="auto"/>
            <w:tcW w:w="2707"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投标人提供企业202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实施批批检测佐证资料，提供对不符合质量要求产品实行一票否决实际案例或者相关评估记录资料，得1分；提供运输、储存、使用等环节风险调查报告和对有关风险采取预防或整改措施的实际案例</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得1分。</w:t>
            </w:r>
            <w:r/>
          </w:p>
        </w:tc>
      </w:tr>
      <w:tr>
        <w:trPr>
          <w:trHeight w:val="920"/>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产品情况调查</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aps w:val="0"/>
                <w:color w:val="auto"/>
                <w:sz w:val="22"/>
                <w:szCs w:val="22"/>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shd w:val="clear" w:color="auto" w:fill="auto"/>
            <w:tcW w:w="2707"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rPr>
              <w:t xml:space="preserve">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投标人对产品使用情况进行专项调查佐证材料。提供调查报告得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r>
      <w:tr>
        <w:trPr>
          <w:trHeight w:val="920"/>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center"/>
              <w:spacing w:after="0" w:afterAutospacing="0"/>
              <w:widowControl w:val="off"/>
              <w:rPr>
                <w:rFonts w:hint="eastAsia" w:ascii="宋体" w:hAnsi="宋体" w:eastAsia="宋体" w:cs="宋体"/>
                <w:color w:val="auto"/>
                <w:sz w:val="21"/>
                <w:szCs w:val="21"/>
              </w:rPr>
            </w:pPr>
            <w:r>
              <w:rPr>
                <w:rFonts w:hint="eastAsia" w:ascii="宋体" w:hAnsi="宋体" w:eastAsia="宋体" w:cs="宋体"/>
                <w:caps w:val="0"/>
                <w:color w:val="auto"/>
                <w:sz w:val="21"/>
                <w:szCs w:val="21"/>
                <w:highlight w:val="none"/>
                <w:lang w:val="en-US" w:eastAsia="zh-CN" w:bidi="ar-SA"/>
              </w:rPr>
              <w:t xml:space="preserve">检测报告</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6.00</w:t>
            </w:r>
            <w:r/>
          </w:p>
        </w:tc>
        <w:tc>
          <w:tcPr>
            <w:shd w:val="clear" w:color="auto" w:fill="auto"/>
            <w:tcW w:w="2707" w:type="pct"/>
            <w:vAlign w:val="center"/>
            <w:textDirection w:val="lrTb"/>
            <w:noWrap w:val="false"/>
          </w:tcPr>
          <w:p>
            <w:pPr>
              <w:jc w:val="left"/>
              <w:spacing w:after="0" w:afterAutospacing="0"/>
              <w:widowControl w:val="off"/>
              <w:rPr>
                <w:rFonts w:hint="eastAsia" w:ascii="宋体" w:hAnsi="宋体" w:eastAsia="宋体" w:cs="宋体"/>
                <w:color w:val="auto"/>
                <w:sz w:val="21"/>
                <w:szCs w:val="21"/>
              </w:rPr>
            </w:pPr>
            <w:r>
              <w:rPr>
                <w:rFonts w:hint="eastAsia" w:ascii="宋体" w:hAnsi="宋体" w:eastAsia="宋体" w:cs="宋体"/>
                <w:caps w:val="0"/>
                <w:color w:val="auto"/>
                <w:sz w:val="21"/>
                <w:szCs w:val="21"/>
                <w:highlight w:val="none"/>
                <w:lang w:val="en-US" w:eastAsia="zh-CN" w:bidi="ar-SA"/>
              </w:rPr>
              <w:t xml:space="preserve">投标人提供</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cs="宋体"/>
                <w:caps w:val="0"/>
                <w:color w:val="auto"/>
                <w:sz w:val="21"/>
                <w:szCs w:val="21"/>
                <w:highlight w:val="none"/>
                <w:lang w:val="en-US" w:eastAsia="zh-CN" w:bidi="ar-SA"/>
              </w:rPr>
              <w:t xml:space="preserve">用户</w:t>
            </w:r>
            <w:r>
              <w:rPr>
                <w:rFonts w:hint="eastAsia" w:ascii="宋体" w:hAnsi="宋体" w:eastAsia="宋体" w:cs="宋体"/>
                <w:caps w:val="0"/>
                <w:color w:val="auto"/>
                <w:sz w:val="21"/>
                <w:szCs w:val="21"/>
                <w:highlight w:val="none"/>
                <w:lang w:val="en-US" w:eastAsia="zh-CN" w:bidi="ar-SA"/>
              </w:rPr>
              <w:t xml:space="preserve">（畜牧兽医部门或委托第三方检测机构）出具的该产品使用效果优良的检测报告（内容包括疫苗品种、检测数量、免疫抗体合格率等情况），</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得1分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rHeight w:val="1308"/>
        </w:trPr>
        <w:tc>
          <w:tcPr>
            <w:tcW w:w="684"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企业经营业绩、信誉</w:t>
            </w:r>
            <w:r>
              <w:rPr>
                <w:rFonts w:hint="eastAsia" w:ascii="宋体" w:hAnsi="宋体" w:cs="宋体"/>
                <w:color w:val="auto"/>
                <w:highlight w:val="none"/>
                <w:lang w:val="en-US" w:eastAsia="zh-CN"/>
              </w:rPr>
              <w:t xml:space="preserve"> </w:t>
            </w:r>
            <w:r/>
          </w:p>
        </w:tc>
        <w:tc>
          <w:tcPr>
            <w:shd w:val="clear" w:color="auto" w:fill="auto"/>
            <w:tcW w:w="80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类似业绩</w:t>
            </w:r>
            <w:r/>
          </w:p>
        </w:tc>
        <w:tc>
          <w:tcPr>
            <w:shd w:val="clear" w:color="auto" w:fill="auto"/>
            <w:tcW w:w="807" w:type="pct"/>
            <w:vAlign w:val="center"/>
            <w:textDirection w:val="lrTb"/>
            <w:noWrap w:val="false"/>
          </w:tcPr>
          <w:p>
            <w:pPr>
              <w:jc w:val="center"/>
              <w:rPr>
                <w:rFonts w:hint="eastAsia" w:ascii="宋体" w:hAnsi="宋体" w:eastAsia="宋体" w:cs="宋体"/>
                <w:caps w:val="0"/>
                <w:color w:val="auto"/>
                <w:sz w:val="22"/>
                <w:szCs w:val="22"/>
                <w:highlight w:val="none"/>
                <w:lang w:val="en-US" w:eastAsia="zh-CN" w:bidi="ar-SA"/>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shd w:val="clear" w:color="auto" w:fill="auto"/>
            <w:tcW w:w="2707" w:type="pct"/>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投标人提供202</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年1月1日以来（以合同签订时间为准）类似项目业绩的，每有一个得2分，最高得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分。投标文件中提供采购中标（成交）通知书、合同</w:t>
            </w:r>
            <w:r>
              <w:rPr>
                <w:rFonts w:hint="eastAsia" w:ascii="宋体" w:hAnsi="宋体" w:cs="宋体"/>
                <w:color w:val="auto"/>
                <w:highlight w:val="none"/>
                <w:lang w:val="en-US" w:eastAsia="zh-CN"/>
              </w:rPr>
              <w:t xml:space="preserve">原件</w:t>
            </w:r>
            <w:r>
              <w:rPr>
                <w:rFonts w:hint="eastAsia" w:ascii="宋体" w:hAnsi="宋体" w:cs="宋体"/>
                <w:color w:val="auto"/>
                <w:highlight w:val="none"/>
              </w:rPr>
              <w:t xml:space="preserve">扫描件</w:t>
            </w:r>
            <w:r>
              <w:rPr>
                <w:rFonts w:hint="eastAsia" w:ascii="宋体" w:hAnsi="宋体" w:cs="宋体"/>
                <w:color w:val="auto"/>
                <w:highlight w:val="none"/>
                <w:lang w:eastAsia="zh-CN"/>
              </w:rPr>
              <w:t xml:space="preserve">，</w:t>
            </w:r>
            <w:r>
              <w:rPr>
                <w:rFonts w:hint="eastAsia" w:ascii="宋体" w:hAnsi="宋体" w:cs="宋体"/>
                <w:color w:val="auto"/>
                <w:sz w:val="21"/>
                <w:szCs w:val="21"/>
                <w:highlight w:val="none"/>
              </w:rPr>
              <w:t xml:space="preserve">未提供或提供不全或模糊不清无法辨认均不予计分</w:t>
            </w:r>
            <w:r>
              <w:rPr>
                <w:rFonts w:hint="eastAsia" w:ascii="宋体" w:hAnsi="宋体" w:cs="宋体"/>
                <w:color w:val="auto"/>
                <w:sz w:val="21"/>
                <w:szCs w:val="21"/>
                <w:highlight w:val="none"/>
                <w:lang w:eastAsia="zh-CN"/>
              </w:rPr>
              <w:t xml:space="preserve">。</w:t>
            </w:r>
            <w:r>
              <w:rPr>
                <w:rFonts w:hint="eastAsia" w:ascii="宋体" w:hAnsi="宋体" w:cs="宋体"/>
                <w:color w:val="auto"/>
                <w:highlight w:val="none"/>
              </w:rPr>
              <w:t xml:space="preserve">注：投标人提供的业绩将随中标结果公告同步公开。</w:t>
            </w:r>
            <w:r/>
          </w:p>
        </w:tc>
      </w:tr>
      <w:tr>
        <w:trPr>
          <w:trHeight w:val="937"/>
        </w:trPr>
        <w:tc>
          <w:tcPr>
            <w:tcW w:w="684"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shd w:val="clear" w:color="auto" w:fill="auto"/>
            <w:tcW w:w="801" w:type="pct"/>
            <w:vAlign w:val="center"/>
            <w:textDirection w:val="lrTb"/>
            <w:noWrap w:val="false"/>
          </w:tcPr>
          <w:p>
            <w:pPr>
              <w:jc w:val="center"/>
              <w:spacing w:after="0" w:afterAutospacing="0"/>
              <w:widowControl w:val="off"/>
              <w:rPr>
                <w:rFonts w:hint="eastAsia" w:ascii="宋体" w:hAnsi="宋体" w:cs="宋体"/>
                <w:color w:val="auto"/>
                <w:highlight w:val="none"/>
              </w:rPr>
            </w:pPr>
            <w:r>
              <w:rPr>
                <w:rFonts w:hint="eastAsia" w:ascii="宋体" w:hAnsi="宋体" w:eastAsia="宋体" w:cs="宋体"/>
                <w:caps w:val="0"/>
                <w:color w:val="auto"/>
                <w:sz w:val="21"/>
                <w:szCs w:val="21"/>
                <w:highlight w:val="none"/>
                <w:lang w:val="en-US" w:eastAsia="zh-CN" w:bidi="ar-SA"/>
              </w:rPr>
              <w:t xml:space="preserve">用户评价</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cs="宋体"/>
                <w:color w:val="auto"/>
                <w:highlight w:val="none"/>
                <w:lang w:val="en-US" w:eastAsia="zh-CN"/>
              </w:rPr>
            </w:pPr>
            <w:r>
              <w:rPr>
                <w:rFonts w:hint="eastAsia" w:ascii="宋体" w:hAnsi="宋体" w:cs="宋体"/>
                <w:caps w:val="0"/>
                <w:color w:val="auto"/>
                <w:sz w:val="21"/>
                <w:szCs w:val="21"/>
                <w:highlight w:val="none"/>
                <w:lang w:val="en-US" w:eastAsia="zh-CN" w:bidi="ar-SA"/>
              </w:rPr>
              <w:t xml:space="preserve">6</w:t>
            </w:r>
            <w:r>
              <w:rPr>
                <w:rFonts w:hint="eastAsia" w:ascii="宋体" w:hAnsi="宋体" w:eastAsia="宋体" w:cs="宋体"/>
                <w:caps w:val="0"/>
                <w:color w:val="auto"/>
                <w:sz w:val="21"/>
                <w:szCs w:val="21"/>
                <w:highlight w:val="none"/>
                <w:lang w:val="en-US" w:eastAsia="zh-CN" w:bidi="ar-SA"/>
              </w:rPr>
              <w:t xml:space="preserve">.00</w:t>
            </w:r>
            <w:r/>
          </w:p>
        </w:tc>
        <w:tc>
          <w:tcPr>
            <w:shd w:val="clear" w:color="auto" w:fill="auto"/>
            <w:tcW w:w="2707"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aps w:val="0"/>
                <w:color w:val="auto"/>
                <w:sz w:val="21"/>
                <w:szCs w:val="21"/>
                <w:highlight w:val="none"/>
                <w:lang w:val="en-US" w:eastAsia="zh-CN" w:bidi="ar-SA"/>
              </w:rPr>
              <w:t xml:space="preserve">投标人提供用户（畜牧兽医部门</w:t>
            </w:r>
            <w:r>
              <w:rPr>
                <w:rFonts w:hint="eastAsia" w:ascii="宋体" w:hAnsi="宋体" w:cs="宋体"/>
                <w:caps w:val="0"/>
                <w:color w:val="auto"/>
                <w:sz w:val="21"/>
                <w:szCs w:val="21"/>
                <w:highlight w:val="none"/>
                <w:lang w:val="en-US" w:eastAsia="zh-CN" w:bidi="ar-SA"/>
              </w:rPr>
              <w:t xml:space="preserve">或</w:t>
            </w:r>
            <w:r>
              <w:rPr>
                <w:rFonts w:hint="eastAsia" w:ascii="宋体" w:hAnsi="宋体" w:eastAsia="宋体" w:cs="宋体"/>
                <w:caps w:val="0"/>
                <w:color w:val="auto"/>
                <w:sz w:val="21"/>
                <w:szCs w:val="21"/>
                <w:highlight w:val="none"/>
                <w:lang w:val="en-US" w:eastAsia="zh-CN" w:bidi="ar-SA"/>
              </w:rPr>
              <w:t xml:space="preserve">养殖场）对企业所提供服务合格的证明材料</w:t>
            </w:r>
            <w:r>
              <w:rPr>
                <w:rFonts w:hint="eastAsia" w:ascii="宋体" w:hAnsi="宋体" w:cs="宋体"/>
                <w:caps w:val="0"/>
                <w:color w:val="auto"/>
                <w:sz w:val="21"/>
                <w:szCs w:val="21"/>
                <w:highlight w:val="none"/>
                <w:lang w:val="en-US" w:eastAsia="zh-CN" w:bidi="ar-SA"/>
              </w:rPr>
              <w:t xml:space="preserve">扫描件</w:t>
            </w:r>
            <w:r>
              <w:rPr>
                <w:rFonts w:hint="eastAsia" w:ascii="宋体" w:hAnsi="宋体" w:eastAsia="宋体" w:cs="宋体"/>
                <w:cap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得1分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rHeight w:val="1634"/>
        </w:trPr>
        <w:tc>
          <w:tcPr>
            <w:tcW w:w="684"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bCs/>
                <w:color w:val="auto"/>
                <w:highlight w:val="none"/>
              </w:rPr>
              <w:t xml:space="preserve">项目实施方案</w:t>
            </w:r>
            <w:r/>
          </w:p>
        </w:tc>
        <w:tc>
          <w:tcPr>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服务方案</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供应商根据招标文件“第四章、采购需求-四、商务部分4.2.1”，投标人提供其产品售前、售中、售后（包括小批量和小规格疫苗发货、有效期、储存和使用等环节）服务和免疫效果跟踪评价方案。优于采购需求得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分；满足采购需求得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分；低于采购需求后期可以通过优化实现的得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分，不满足采购需求不得分。</w:t>
            </w:r>
            <w:r/>
          </w:p>
        </w:tc>
      </w:tr>
      <w:tr>
        <w:trPr>
          <w:trHeight w:val="1481"/>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应急处理方案</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供应商根据招标文件“第四章、采购需求-四、商务部分4.2.2，投标人提供快速便捷的免疫副反应理赔、用户反映问题处理、用户走访等方面的工作方案。优于采购需求得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分；满足采购需求得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分；低于采购需求后期可以通过优化实现的得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分，不满足采购需求不得分。</w:t>
            </w:r>
            <w:r/>
          </w:p>
        </w:tc>
      </w:tr>
      <w:tr>
        <w:trPr>
          <w:trHeight w:val="1505"/>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冷链运输方案</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供应商根据招标文件“第四章、采购需求-四、商务部分4.2.3，投标人提供包含冷链运输方式、全程温度管理、突发事件处理等方面内容的冷链运输方案。优于采购需求得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分；满足采购需求得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分；低于采购需求后期可以通过优化实现的得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分，不满足采购需求不得分。</w:t>
            </w:r>
            <w:r/>
          </w:p>
        </w:tc>
      </w:tr>
      <w:tr>
        <w:trPr>
          <w:trHeight w:val="1241"/>
        </w:trPr>
        <w:tc>
          <w:tcPr>
            <w:tcBorders>
              <w:bottom w:val="single" w:color="auto" w:sz="4" w:space="0"/>
            </w:tcBorders>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产品控制方案</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，投标人提供其所投产品的产品控制方案，包括但不限于产品质量、创新研究等品控措施，优于采购需求得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分；满足采购需求得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分；低于采购需求后期可以通过优化实现的得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分，不满足采购需求不得分。</w:t>
            </w:r>
            <w:r/>
          </w:p>
        </w:tc>
      </w:tr>
      <w:tr>
        <w:trPr>
          <w:trHeight w:val="1303"/>
        </w:trPr>
        <w:tc>
          <w:tcPr>
            <w:tcBorders>
              <w:top w:val="single" w:color="auto" w:sz="4" w:space="0"/>
            </w:tcBorders>
            <w:tcW w:w="684" w:type="pct"/>
            <w:vAlign w:val="center"/>
            <w:vMerge w:val="restart"/>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售后服务</w:t>
            </w:r>
            <w:r/>
          </w:p>
        </w:tc>
        <w:tc>
          <w:tcPr>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培训方案</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供应商根据招标文件“第四章、采购需求-四、商务部分4.2.5，投标人提供包括培训计划、培训内容、培训人次、师资力量、培训案例等方面内容的培训方案。优于采购需求得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分；满足采购需求得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分；低于采购需求后期可以通过优化实现的得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分，不满足采购需求不得分。</w:t>
            </w:r>
            <w:r/>
          </w:p>
        </w:tc>
      </w:tr>
      <w:tr>
        <w:trPr>
          <w:trHeight w:val="1315"/>
        </w:trPr>
        <w:tc>
          <w:tcPr>
            <w:tcW w:w="684"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80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废弃疫苗瓶回收方案</w:t>
            </w:r>
            <w:r/>
          </w:p>
        </w:tc>
        <w:tc>
          <w:tcPr>
            <w:shd w:val="clear" w:color="auto" w:fill="auto"/>
            <w:tcW w:w="807" w:type="pct"/>
            <w:vAlign w:val="center"/>
            <w:textDirection w:val="lrTb"/>
            <w:noWrap w:val="false"/>
          </w:tcPr>
          <w:p>
            <w:pPr>
              <w:ind w:firstLine="210"/>
              <w:jc w:val="both"/>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w:t>
            </w:r>
            <w:r>
              <w:rPr>
                <w:rFonts w:hint="eastAsia" w:ascii="宋体" w:hAnsi="宋体" w:cs="宋体"/>
                <w:color w:val="auto"/>
                <w:highlight w:val="none"/>
                <w:lang w:eastAsia="zh-CN"/>
              </w:rPr>
              <w:t xml:space="preserve">（分）</w:t>
            </w:r>
            <w:r/>
          </w:p>
        </w:tc>
        <w:tc>
          <w:tcPr>
            <w:shd w:val="clear" w:color="auto" w:fill="auto"/>
            <w:tcW w:w="2707"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供应商根据招标文件“第四章、采购需求-四、商务部分4.2.4，投标人提供协助废弃疫苗瓶回收、处理方案。优于采购需求得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分；满足采购需求得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分；低于采购需求后期可以通过优化实现的得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分，不满足采购需求不得分。</w:t>
            </w:r>
            <w:r/>
          </w:p>
        </w:tc>
      </w:tr>
    </w:tbl>
    <w:p>
      <w:pPr>
        <w:pStyle w:val="910"/>
        <w:rPr>
          <w:rFonts w:hint="default"/>
          <w:lang w:val="en-US" w:eastAsia="zh-CN"/>
        </w:rPr>
      </w:pPr>
      <w:r>
        <w:rPr>
          <w:rFonts w:hint="default"/>
          <w:lang w:val="en-US" w:eastAsia="zh-CN"/>
        </w:rPr>
      </w:r>
      <w:r/>
    </w:p>
    <w:p>
      <w:pPr>
        <w:jc w:val="left"/>
        <w:spacing w:line="500" w:lineRule="exact"/>
        <w:rPr>
          <w:rFonts w:hint="default" w:ascii="宋体" w:hAnsi="宋体" w:eastAsia="宋体" w:cs="宋体"/>
          <w:b/>
          <w:bCs/>
          <w:caps w:val="0"/>
          <w:color w:val="auto"/>
          <w:sz w:val="24"/>
          <w:highlight w:val="white"/>
          <w:lang w:val="en-US" w:eastAsia="zh-CN"/>
        </w:rPr>
      </w:pPr>
      <w:r>
        <w:rPr>
          <w:rFonts w:hint="eastAsia" w:ascii="宋体" w:hAnsi="宋体" w:cs="宋体"/>
          <w:b/>
          <w:bCs/>
          <w:caps w:val="0"/>
          <w:color w:val="auto"/>
          <w:sz w:val="24"/>
          <w:highlight w:val="none"/>
          <w:lang w:val="en-US" w:eastAsia="zh-CN"/>
        </w:rPr>
        <w:t xml:space="preserve">分包5评分标准：</w:t>
      </w:r>
      <w:r/>
    </w:p>
    <w:tbl>
      <w:tblPr>
        <w:tblStyle w:val="878"/>
        <w:tblW w:w="5452"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1300"/>
        <w:gridCol w:w="1398"/>
        <w:gridCol w:w="1467"/>
        <w:gridCol w:w="4925"/>
      </w:tblGrid>
      <w:tr>
        <w:trPr>
          <w:trHeight w:val="492"/>
        </w:trPr>
        <w:tc>
          <w:tcPr>
            <w:gridSpan w:val="2"/>
            <w:tcW w:w="1484"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评审因素</w:t>
            </w:r>
            <w:r/>
          </w:p>
        </w:tc>
        <w:tc>
          <w:tcPr>
            <w:tcW w:w="807"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分数</w:t>
            </w:r>
            <w:r/>
          </w:p>
        </w:tc>
        <w:tc>
          <w:tcPr>
            <w:tcW w:w="2708"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评审标准</w:t>
            </w:r>
            <w:r/>
          </w:p>
        </w:tc>
      </w:tr>
      <w:tr>
        <w:trPr>
          <w:trHeight w:val="1116"/>
        </w:trPr>
        <w:tc>
          <w:tcPr>
            <w:tcW w:w="715"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报价分</w:t>
            </w:r>
            <w:r/>
          </w:p>
        </w:tc>
        <w:tc>
          <w:tcPr>
            <w:tcW w:w="76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投标报价</w:t>
            </w:r>
            <w:r/>
          </w:p>
        </w:tc>
        <w:tc>
          <w:tcPr>
            <w:tcW w:w="807" w:type="pct"/>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rPr>
              <w:t xml:space="preserve">30.00</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分</w:t>
            </w:r>
            <w:r>
              <w:rPr>
                <w:rFonts w:hint="eastAsia" w:ascii="宋体" w:hAnsi="宋体" w:cs="宋体"/>
                <w:color w:val="auto"/>
                <w:highlight w:val="none"/>
                <w:lang w:eastAsia="zh-CN"/>
              </w:rPr>
              <w:t xml:space="preserve">）</w:t>
            </w:r>
            <w:r/>
          </w:p>
        </w:tc>
        <w:tc>
          <w:tcPr>
            <w:tcW w:w="2708" w:type="pct"/>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1116"/>
        </w:trPr>
        <w:tc>
          <w:tcPr>
            <w:tcW w:w="715" w:type="pct"/>
            <w:vAlign w:val="center"/>
            <w:vMerge w:val="restart"/>
            <w:textDirection w:val="lrTb"/>
            <w:noWrap w:val="false"/>
          </w:tcPr>
          <w:p>
            <w:pPr>
              <w:jc w:val="both"/>
              <w:rPr>
                <w:rFonts w:hint="default" w:ascii="宋体" w:hAnsi="宋体" w:cs="宋体" w:eastAsiaTheme="minorEastAsia"/>
                <w:color w:val="auto"/>
                <w:highlight w:val="none"/>
                <w:lang w:val="en-US" w:eastAsia="zh-CN"/>
              </w:rPr>
            </w:pPr>
            <w:r>
              <w:rPr>
                <w:rFonts w:hint="eastAsia" w:ascii="宋体" w:hAnsi="宋体" w:cs="宋体"/>
                <w:color w:val="auto"/>
                <w:highlight w:val="none"/>
                <w:lang w:val="en-US" w:eastAsia="zh-CN"/>
              </w:rPr>
              <w:t xml:space="preserve">技术响应</w:t>
            </w:r>
            <w:r/>
          </w:p>
        </w:tc>
        <w:tc>
          <w:tcPr>
            <w:tcW w:w="76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质量检测</w:t>
            </w:r>
            <w:r/>
          </w:p>
        </w:tc>
        <w:tc>
          <w:tcPr>
            <w:tcW w:w="807" w:type="pct"/>
            <w:vAlign w:val="center"/>
            <w:textDirection w:val="lrTb"/>
            <w:noWrap w:val="false"/>
          </w:tcPr>
          <w:p>
            <w:pPr>
              <w:ind w:firstLine="210"/>
              <w:jc w:val="lef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6.00（分）</w:t>
            </w:r>
            <w:r/>
          </w:p>
        </w:tc>
        <w:tc>
          <w:tcPr>
            <w:tcW w:w="2708" w:type="pct"/>
            <w:vAlign w:val="center"/>
            <w:textDirection w:val="lrTb"/>
            <w:noWrap w:val="false"/>
          </w:tcPr>
          <w:p>
            <w:pPr>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提供所投耳标自2023年起由农业农村部认可的检测机构出具的聚氨酯带全铜头耳标质量检验合格报告（内容应包括：耳标外观、字迹附着力、强度、高温结合力等主要质量指标），每提供一份检验合格报告得2分，本项最高得6分。</w:t>
            </w:r>
            <w:r/>
          </w:p>
        </w:tc>
      </w:tr>
      <w:tr>
        <w:trPr>
          <w:trHeight w:val="1194"/>
        </w:trPr>
        <w:tc>
          <w:tcPr>
            <w:tcW w:w="715" w:type="pct"/>
            <w:vAlign w:val="center"/>
            <w:vMerge w:val="continue"/>
            <w:textDirection w:val="lrTb"/>
            <w:noWrap w:val="false"/>
          </w:tcPr>
          <w:p>
            <w:pPr>
              <w:jc w:val="left"/>
              <w:rPr>
                <w:rFonts w:ascii="宋体" w:hAnsi="宋体" w:cs="宋体"/>
                <w:color w:val="auto"/>
                <w:highlight w:val="green"/>
              </w:rPr>
            </w:pPr>
            <w:r>
              <w:rPr>
                <w:rFonts w:ascii="宋体" w:hAnsi="宋体" w:cs="宋体"/>
                <w:color w:val="auto"/>
                <w:highlight w:val="green"/>
              </w:rPr>
            </w:r>
            <w:r/>
          </w:p>
        </w:tc>
        <w:tc>
          <w:tcPr>
            <w:shd w:val="clear" w:color="auto" w:fill="auto"/>
            <w:tcW w:w="768" w:type="pct"/>
            <w:vAlign w:val="center"/>
            <w:textDirection w:val="lrTb"/>
            <w:noWrap w:val="false"/>
          </w:tcPr>
          <w:p>
            <w:pPr>
              <w:jc w:val="left"/>
              <w:spacing w:after="0" w:afterAutospacing="0"/>
              <w:widowControl w:val="off"/>
              <w:rPr>
                <w:rFonts w:ascii="宋体" w:hAnsi="宋体" w:cs="宋体"/>
                <w:color w:val="auto"/>
                <w:highlight w:val="green"/>
              </w:rPr>
            </w:pPr>
            <w:r>
              <w:rPr>
                <w:rFonts w:hint="eastAsia" w:ascii="宋体" w:hAnsi="宋体" w:eastAsia="宋体" w:cs="宋体"/>
                <w:b w:val="0"/>
                <w:bCs w:val="0"/>
                <w:color w:val="auto"/>
                <w:sz w:val="21"/>
                <w:szCs w:val="21"/>
              </w:rPr>
              <w:t xml:space="preserve">设备、材料</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olor w:val="auto"/>
                <w:highlight w:val="green"/>
                <w:lang w:eastAsia="zh-CN"/>
              </w:rPr>
            </w:pPr>
            <w:r>
              <w:rPr>
                <w:rFonts w:hint="eastAsia" w:ascii="宋体" w:hAnsi="宋体" w:eastAsia="宋体" w:cs="宋体"/>
                <w:b w:val="0"/>
                <w:bCs w:val="0"/>
                <w:caps w:val="0"/>
                <w:color w:val="auto"/>
                <w:sz w:val="21"/>
                <w:szCs w:val="21"/>
                <w:highlight w:val="none"/>
                <w:lang w:val="en-US" w:eastAsia="zh-CN" w:bidi="ar-SA"/>
              </w:rPr>
              <w:t xml:space="preserve">1.00（分）</w:t>
            </w:r>
            <w:r/>
          </w:p>
        </w:tc>
        <w:tc>
          <w:tcPr>
            <w:shd w:val="clear" w:color="auto" w:fill="auto"/>
            <w:tcW w:w="2708" w:type="pct"/>
            <w:vAlign w:val="center"/>
            <w:textDirection w:val="lrTb"/>
            <w:noWrap w:val="false"/>
          </w:tcPr>
          <w:p>
            <w:pPr>
              <w:jc w:val="left"/>
              <w:spacing w:after="0" w:afterAutospacing="0"/>
              <w:widowControl w:val="off"/>
              <w:rPr>
                <w:rFonts w:ascii="宋体" w:hAnsi="宋体" w:cs="宋体"/>
                <w:color w:val="auto"/>
                <w:highlight w:val="green"/>
              </w:rPr>
            </w:pPr>
            <w:r>
              <w:rPr>
                <w:rFonts w:hint="eastAsia" w:ascii="宋体" w:hAnsi="宋体" w:eastAsia="宋体" w:cs="宋体"/>
                <w:b w:val="0"/>
                <w:bCs w:val="0"/>
                <w:color w:val="auto"/>
                <w:sz w:val="21"/>
                <w:szCs w:val="21"/>
              </w:rPr>
              <w:t xml:space="preserve">投标人提供主要生产设备清单和照片、202</w:t>
            </w: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年</w:t>
            </w:r>
            <w:r>
              <w:rPr>
                <w:rFonts w:hint="eastAsia" w:ascii="宋体" w:hAnsi="宋体" w:cs="宋体"/>
                <w:b w:val="0"/>
                <w:bCs w:val="0"/>
                <w:color w:val="auto"/>
                <w:sz w:val="21"/>
                <w:szCs w:val="21"/>
                <w:lang w:val="en-US" w:eastAsia="zh-CN"/>
              </w:rPr>
              <w:t xml:space="preserve">1月1日以来</w:t>
            </w:r>
            <w:r>
              <w:rPr>
                <w:rFonts w:hint="eastAsia" w:ascii="宋体" w:hAnsi="宋体" w:eastAsia="宋体" w:cs="宋体"/>
                <w:b w:val="0"/>
                <w:bCs w:val="0"/>
                <w:color w:val="auto"/>
                <w:sz w:val="21"/>
                <w:szCs w:val="21"/>
              </w:rPr>
              <w:t xml:space="preserve">使用优质原、辅料（聚氨酯、铜等）购买发票和供货合同。得1分，不提供不得分。</w:t>
            </w:r>
            <w:r/>
          </w:p>
        </w:tc>
      </w:tr>
      <w:tr>
        <w:trPr>
          <w:trHeight w:val="920"/>
        </w:trPr>
        <w:tc>
          <w:tcPr>
            <w:tcW w:w="715" w:type="pct"/>
            <w:vAlign w:val="center"/>
            <w:vMerge w:val="continue"/>
            <w:textDirection w:val="lrTb"/>
            <w:noWrap w:val="false"/>
          </w:tcPr>
          <w:p>
            <w:pPr>
              <w:jc w:val="left"/>
              <w:rPr>
                <w:rFonts w:ascii="宋体" w:hAnsi="宋体" w:cs="宋体"/>
                <w:color w:val="auto"/>
                <w:highlight w:val="green"/>
              </w:rPr>
            </w:pPr>
            <w:r>
              <w:rPr>
                <w:rFonts w:ascii="宋体" w:hAnsi="宋体" w:cs="宋体"/>
                <w:color w:val="auto"/>
                <w:highlight w:val="green"/>
              </w:rPr>
            </w:r>
            <w:r/>
          </w:p>
        </w:tc>
        <w:tc>
          <w:tcPr>
            <w:shd w:val="clear" w:color="auto" w:fill="auto"/>
            <w:tcW w:w="768"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green"/>
                <w:lang w:val="en-US" w:eastAsia="zh-CN"/>
              </w:rPr>
            </w:pPr>
            <w:r>
              <w:rPr>
                <w:rFonts w:hint="eastAsia" w:ascii="宋体" w:hAnsi="宋体" w:eastAsia="宋体" w:cs="宋体"/>
                <w:b w:val="0"/>
                <w:bCs w:val="0"/>
                <w:color w:val="auto"/>
                <w:sz w:val="21"/>
                <w:szCs w:val="21"/>
              </w:rPr>
              <w:t xml:space="preserve">工艺</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green"/>
                <w:lang w:val="en-US" w:eastAsia="zh-CN" w:bidi="ar-SA"/>
              </w:rPr>
            </w:pPr>
            <w:r>
              <w:rPr>
                <w:rFonts w:hint="eastAsia" w:ascii="宋体" w:hAnsi="宋体" w:cs="宋体"/>
                <w:b w:val="0"/>
                <w:bCs w:val="0"/>
                <w:caps w:val="0"/>
                <w:color w:val="auto"/>
                <w:sz w:val="21"/>
                <w:szCs w:val="21"/>
                <w:highlight w:val="none"/>
                <w:lang w:val="en-US" w:eastAsia="zh-CN" w:bidi="ar-SA"/>
              </w:rPr>
              <w:t xml:space="preserve">2</w:t>
            </w:r>
            <w:r>
              <w:rPr>
                <w:rFonts w:hint="eastAsia" w:ascii="宋体" w:hAnsi="宋体" w:eastAsia="宋体" w:cs="宋体"/>
                <w:b w:val="0"/>
                <w:bCs w:val="0"/>
                <w:caps w:val="0"/>
                <w:color w:val="auto"/>
                <w:sz w:val="21"/>
                <w:szCs w:val="21"/>
                <w:highlight w:val="none"/>
                <w:lang w:val="en-US" w:eastAsia="zh-CN" w:bidi="ar-SA"/>
              </w:rPr>
              <w:t xml:space="preserve">.00（分）</w:t>
            </w:r>
            <w:r/>
          </w:p>
        </w:tc>
        <w:tc>
          <w:tcPr>
            <w:shd w:val="clear" w:color="auto" w:fill="auto"/>
            <w:tcW w:w="2708"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green"/>
              </w:rPr>
            </w:pPr>
            <w:r>
              <w:rPr>
                <w:rFonts w:hint="eastAsia" w:ascii="宋体" w:hAnsi="宋体" w:cs="宋体"/>
                <w:b w:val="0"/>
                <w:bCs w:val="0"/>
                <w:color w:val="auto"/>
                <w:sz w:val="21"/>
                <w:szCs w:val="21"/>
                <w:lang w:val="en-US" w:eastAsia="zh-CN"/>
              </w:rPr>
              <w:t xml:space="preserve">投标人提供关键技术创新案例和创新产品工艺佐证材料得2分，不提供不得分。</w:t>
            </w:r>
            <w:r/>
          </w:p>
        </w:tc>
      </w:tr>
      <w:tr>
        <w:trPr>
          <w:trHeight w:val="920"/>
        </w:trPr>
        <w:tc>
          <w:tcPr>
            <w:tcW w:w="715" w:type="pct"/>
            <w:vAlign w:val="center"/>
            <w:vMerge w:val="continue"/>
            <w:textDirection w:val="lrTb"/>
            <w:noWrap w:val="false"/>
          </w:tcPr>
          <w:p>
            <w:pPr>
              <w:jc w:val="left"/>
              <w:rPr>
                <w:rFonts w:ascii="宋体" w:hAnsi="宋体" w:cs="宋体"/>
                <w:color w:val="auto"/>
                <w:highlight w:val="green"/>
              </w:rPr>
            </w:pPr>
            <w:r>
              <w:rPr>
                <w:rFonts w:ascii="宋体" w:hAnsi="宋体" w:cs="宋体"/>
                <w:color w:val="auto"/>
                <w:highlight w:val="green"/>
              </w:rPr>
            </w:r>
            <w:r/>
          </w:p>
        </w:tc>
        <w:tc>
          <w:tcPr>
            <w:shd w:val="clear" w:color="auto" w:fill="auto"/>
            <w:tcW w:w="768" w:type="pct"/>
            <w:vAlign w:val="center"/>
            <w:textDirection w:val="lrTb"/>
            <w:noWrap w:val="false"/>
          </w:tcPr>
          <w:p>
            <w:pPr>
              <w:jc w:val="left"/>
              <w:spacing w:after="0" w:afterAutospacing="0"/>
              <w:widowControl w:val="off"/>
              <w:rPr>
                <w:rFonts w:hint="eastAsia" w:ascii="宋体" w:hAnsi="宋体" w:cs="宋体"/>
                <w:color w:val="auto"/>
                <w:highlight w:val="green"/>
              </w:rPr>
            </w:pPr>
            <w:r>
              <w:rPr>
                <w:rFonts w:hint="eastAsia" w:ascii="宋体" w:hAnsi="宋体" w:eastAsia="宋体" w:cs="宋体"/>
                <w:b w:val="0"/>
                <w:bCs w:val="0"/>
                <w:color w:val="auto"/>
                <w:sz w:val="21"/>
                <w:szCs w:val="21"/>
              </w:rPr>
              <w:t xml:space="preserve">产品情况调查</w:t>
            </w:r>
            <w:r/>
          </w:p>
        </w:tc>
        <w:tc>
          <w:tcPr>
            <w:shd w:val="clear" w:color="auto" w:fill="auto"/>
            <w:tcW w:w="807" w:type="pct"/>
            <w:vAlign w:val="center"/>
            <w:textDirection w:val="lrTb"/>
            <w:noWrap w:val="false"/>
          </w:tcPr>
          <w:p>
            <w:pPr>
              <w:jc w:val="center"/>
              <w:spacing w:after="0" w:afterAutospacing="0"/>
              <w:widowControl w:val="off"/>
              <w:rPr>
                <w:rFonts w:hint="default" w:ascii="宋体" w:hAnsi="宋体" w:cs="宋体"/>
                <w:color w:val="auto"/>
                <w:highlight w:val="green"/>
                <w:lang w:val="en-US"/>
              </w:rPr>
            </w:pPr>
            <w:r>
              <w:rPr>
                <w:rFonts w:hint="eastAsia" w:ascii="宋体" w:hAnsi="宋体" w:eastAsia="宋体" w:cs="宋体"/>
                <w:b w:val="0"/>
                <w:bCs w:val="0"/>
                <w:caps w:val="0"/>
                <w:color w:val="auto"/>
                <w:sz w:val="21"/>
                <w:szCs w:val="21"/>
                <w:highlight w:val="none"/>
                <w:lang w:val="en-US" w:eastAsia="zh-CN" w:bidi="ar-SA"/>
              </w:rPr>
              <w:t xml:space="preserve">1.00（分）</w:t>
            </w:r>
            <w:r/>
          </w:p>
        </w:tc>
        <w:tc>
          <w:tcPr>
            <w:shd w:val="clear" w:color="auto" w:fill="auto"/>
            <w:tcW w:w="2708" w:type="pct"/>
            <w:vAlign w:val="center"/>
            <w:textDirection w:val="lrTb"/>
            <w:noWrap w:val="false"/>
          </w:tcPr>
          <w:p>
            <w:pPr>
              <w:jc w:val="left"/>
              <w:spacing w:after="0" w:afterAutospacing="0"/>
              <w:widowControl w:val="off"/>
              <w:rPr>
                <w:rFonts w:hint="eastAsia" w:ascii="宋体" w:hAnsi="宋体" w:cs="宋体"/>
                <w:color w:val="auto"/>
                <w:highlight w:val="green"/>
              </w:rPr>
            </w:pPr>
            <w:r>
              <w:rPr>
                <w:rFonts w:hint="eastAsia" w:ascii="宋体" w:hAnsi="宋体" w:eastAsia="宋体" w:cs="宋体"/>
                <w:b w:val="0"/>
                <w:bCs w:val="0"/>
                <w:color w:val="auto"/>
                <w:sz w:val="21"/>
                <w:szCs w:val="21"/>
                <w:highlight w:val="none"/>
              </w:rPr>
              <w:t xml:space="preserve">提供2023年1月1日以来投标人对产品使用情况进行专项调查材料，提供调查报告得1分。</w:t>
            </w:r>
            <w:r/>
          </w:p>
        </w:tc>
      </w:tr>
      <w:tr>
        <w:trPr>
          <w:trHeight w:val="780"/>
        </w:trPr>
        <w:tc>
          <w:tcPr>
            <w:tcW w:w="715" w:type="pct"/>
            <w:vAlign w:val="center"/>
            <w:vMerge w:val="restart"/>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highlight w:val="none"/>
              </w:rPr>
            </w:pPr>
            <w:r>
              <w:rPr>
                <w:rFonts w:hint="eastAsia" w:ascii="宋体" w:hAnsi="宋体" w:cs="宋体"/>
                <w:color w:val="auto"/>
                <w:highlight w:val="none"/>
              </w:rPr>
              <w:t xml:space="preserve">企业经营业绩、信誉</w:t>
            </w:r>
            <w:r>
              <w:rPr>
                <w:rFonts w:hint="eastAsia" w:ascii="宋体" w:hAnsi="宋体" w:cs="宋体"/>
                <w:color w:val="auto"/>
                <w:highlight w:val="none"/>
                <w:lang w:val="en-US" w:eastAsia="zh-CN"/>
              </w:rPr>
              <w:t xml:space="preserve"> </w:t>
            </w:r>
            <w:r/>
          </w:p>
          <w:p>
            <w:pPr>
              <w:jc w:val="center"/>
              <w:rPr>
                <w:rFonts w:ascii="宋体" w:hAnsi="宋体" w:cs="宋体"/>
                <w:color w:val="auto"/>
                <w:highlight w:val="none"/>
              </w:rPr>
            </w:pPr>
            <w:r>
              <w:rPr>
                <w:rFonts w:ascii="宋体" w:hAnsi="宋体" w:cs="宋体"/>
                <w:color w:val="auto"/>
                <w:highlight w:val="none"/>
              </w:rPr>
            </w:r>
            <w:r/>
          </w:p>
        </w:tc>
        <w:tc>
          <w:tcPr>
            <w:shd w:val="clear" w:color="auto" w:fill="auto"/>
            <w:tcW w:w="768"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认证证书</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3.00（分）</w:t>
            </w:r>
            <w:r/>
          </w:p>
        </w:tc>
        <w:tc>
          <w:tcPr>
            <w:shd w:val="clear" w:color="auto" w:fill="auto"/>
            <w:tcW w:w="2708" w:type="pct"/>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投标人提供质量管理体系认证证书、环境管理体系认证证书和职业健康安全管理体系认证证书，每项1分，满分3分。</w:t>
            </w:r>
            <w:r/>
          </w:p>
        </w:tc>
      </w:tr>
      <w:tr>
        <w:trPr>
          <w:trHeight w:val="780"/>
        </w:trPr>
        <w:tc>
          <w:tcPr>
            <w:tcBorders>
              <w:bottom w:val="single" w:color="auto" w:sz="4" w:space="0"/>
            </w:tcBorders>
            <w:tcW w:w="715" w:type="pct"/>
            <w:vAlign w:val="center"/>
            <w:vMerge w:val="continue"/>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shd w:val="clear" w:color="auto" w:fill="auto"/>
            <w:tcBorders>
              <w:bottom w:val="single" w:color="auto" w:sz="4" w:space="0"/>
            </w:tcBorders>
            <w:tcW w:w="768"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b w:val="0"/>
                <w:bCs w:val="0"/>
                <w:color w:val="auto"/>
                <w:sz w:val="21"/>
                <w:szCs w:val="21"/>
                <w:highlight w:val="none"/>
                <w:lang w:val="en-US" w:eastAsia="zh-CN"/>
              </w:rPr>
              <w:t xml:space="preserve">类似业绩</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aps w:val="0"/>
                <w:color w:val="auto"/>
                <w:sz w:val="22"/>
                <w:szCs w:val="22"/>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10</w:t>
            </w:r>
            <w:r>
              <w:rPr>
                <w:rFonts w:hint="eastAsia" w:ascii="宋体" w:hAnsi="宋体" w:eastAsia="宋体" w:cs="宋体"/>
                <w:b w:val="0"/>
                <w:bCs w:val="0"/>
                <w:caps w:val="0"/>
                <w:color w:val="auto"/>
                <w:sz w:val="21"/>
                <w:szCs w:val="21"/>
                <w:highlight w:val="none"/>
                <w:lang w:val="en-US" w:eastAsia="zh-CN" w:bidi="ar-SA"/>
              </w:rPr>
              <w:t xml:space="preserve">.00（分）</w:t>
            </w:r>
            <w:r/>
          </w:p>
        </w:tc>
        <w:tc>
          <w:tcPr>
            <w:shd w:val="clear" w:color="auto" w:fill="auto"/>
            <w:tcW w:w="2708" w:type="pct"/>
            <w:vAlign w:val="center"/>
            <w:textDirection w:val="lrTb"/>
            <w:noWrap w:val="false"/>
          </w:tcPr>
          <w:p>
            <w:pPr>
              <w:jc w:val="left"/>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highlight w:val="none"/>
              </w:rPr>
              <w:t xml:space="preserve">投标人提供202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1月1日以来（以合同签订时间为准）类似项目业绩的，每有一个得2分，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投标文件中提供</w:t>
            </w:r>
            <w:r>
              <w:rPr>
                <w:rFonts w:hint="eastAsia" w:ascii="宋体" w:hAnsi="宋体" w:eastAsia="宋体" w:cs="宋体"/>
                <w:color w:val="auto"/>
                <w:sz w:val="21"/>
                <w:szCs w:val="21"/>
                <w:highlight w:val="none"/>
              </w:rPr>
              <w:t xml:space="preserve">采购中标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扫描件及验收通过材料，三者缺一不可</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rPr>
              <w:t xml:space="preserve">未提供或提供不全或模糊不清无法辨认均不予计分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注：投标人提供的业绩将随中标结果公告同步公开。</w:t>
            </w:r>
            <w:r/>
          </w:p>
        </w:tc>
      </w:tr>
      <w:tr>
        <w:trPr>
          <w:trHeight w:val="780"/>
        </w:trPr>
        <w:tc>
          <w:tcPr>
            <w:tcBorders>
              <w:top w:val="single" w:color="auto" w:sz="4" w:space="0"/>
            </w:tcBorders>
            <w:tcW w:w="715"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产品使用效果</w:t>
            </w:r>
            <w:r/>
          </w:p>
        </w:tc>
        <w:tc>
          <w:tcPr>
            <w:shd w:val="clear" w:color="auto" w:fill="auto"/>
            <w:tcBorders>
              <w:top w:val="single" w:color="auto" w:sz="4" w:space="0"/>
              <w:bottom w:val="single" w:color="auto" w:sz="4" w:space="0"/>
            </w:tcBorders>
            <w:tcW w:w="768"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履约证明</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6</w:t>
            </w:r>
            <w:r>
              <w:rPr>
                <w:rFonts w:hint="eastAsia" w:ascii="宋体" w:hAnsi="宋体" w:eastAsia="宋体" w:cs="宋体"/>
                <w:b w:val="0"/>
                <w:bCs w:val="0"/>
                <w:caps w:val="0"/>
                <w:color w:val="auto"/>
                <w:sz w:val="21"/>
                <w:szCs w:val="21"/>
                <w:highlight w:val="none"/>
                <w:lang w:val="en-US" w:eastAsia="zh-CN" w:bidi="ar-SA"/>
              </w:rPr>
              <w:t xml:space="preserve">.00（分）</w:t>
            </w:r>
            <w:r/>
          </w:p>
        </w:tc>
        <w:tc>
          <w:tcPr>
            <w:shd w:val="clear" w:color="auto" w:fill="auto"/>
            <w:tcW w:w="2708" w:type="pct"/>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投标人提供所投</w:t>
            </w:r>
            <w:r>
              <w:rPr>
                <w:rFonts w:hint="eastAsia" w:ascii="宋体" w:hAnsi="宋体" w:cs="宋体"/>
                <w:b w:val="0"/>
                <w:bCs w:val="0"/>
                <w:color w:val="auto"/>
                <w:sz w:val="21"/>
                <w:szCs w:val="21"/>
                <w:highlight w:val="none"/>
                <w:lang w:val="en-US" w:eastAsia="zh-CN"/>
              </w:rPr>
              <w:t xml:space="preserve">产品</w:t>
            </w:r>
            <w:r>
              <w:rPr>
                <w:rFonts w:hint="eastAsia" w:ascii="宋体" w:hAnsi="宋体" w:eastAsia="宋体" w:cs="宋体"/>
                <w:b w:val="0"/>
                <w:bCs w:val="0"/>
                <w:color w:val="auto"/>
                <w:sz w:val="21"/>
                <w:szCs w:val="21"/>
                <w:highlight w:val="none"/>
              </w:rPr>
              <w:t xml:space="preserve">202</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w:t>
            </w:r>
            <w:r>
              <w:rPr>
                <w:rFonts w:hint="eastAsia" w:ascii="宋体" w:hAnsi="宋体" w:cs="宋体"/>
                <w:b w:val="0"/>
                <w:bCs w:val="0"/>
                <w:color w:val="auto"/>
                <w:sz w:val="21"/>
                <w:szCs w:val="21"/>
                <w:highlight w:val="none"/>
                <w:lang w:val="en-US" w:eastAsia="zh-CN"/>
              </w:rPr>
              <w:t xml:space="preserve">1月1日以来</w:t>
            </w:r>
            <w:r>
              <w:rPr>
                <w:rFonts w:hint="eastAsia" w:ascii="宋体" w:hAnsi="宋体" w:eastAsia="宋体" w:cs="宋体"/>
                <w:b w:val="0"/>
                <w:bCs w:val="0"/>
                <w:color w:val="auto"/>
                <w:sz w:val="21"/>
                <w:szCs w:val="21"/>
                <w:highlight w:val="none"/>
              </w:rPr>
              <w:t xml:space="preserve">兽医部门出具的显示产品使用情况良好的履约证明</w:t>
            </w:r>
            <w:r>
              <w:rPr>
                <w:rFonts w:hint="eastAsia" w:ascii="宋体" w:hAnsi="宋体"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rPr>
              <w:t xml:space="preserve">，每提供1个得0.5分，本项最高得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r>
        <w:trPr>
          <w:trHeight w:val="780"/>
        </w:trPr>
        <w:tc>
          <w:tcPr>
            <w:tcBorders>
              <w:bottom w:val="single" w:color="auto" w:sz="4" w:space="0"/>
            </w:tcBorders>
            <w:tcW w:w="715" w:type="pct"/>
            <w:vAlign w:val="center"/>
            <w:vMerge w:val="continue"/>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shd w:val="clear" w:color="auto" w:fill="auto"/>
            <w:tcBorders>
              <w:bottom w:val="single" w:color="auto" w:sz="4" w:space="0"/>
            </w:tcBorders>
            <w:tcW w:w="768"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aps w:val="0"/>
                <w:color w:val="auto"/>
                <w:sz w:val="21"/>
                <w:szCs w:val="21"/>
                <w:highlight w:val="none"/>
                <w:lang w:val="en-US" w:eastAsia="zh-CN" w:bidi="ar-SA"/>
              </w:rPr>
              <w:t xml:space="preserve">服务合格证明</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6</w:t>
            </w:r>
            <w:r>
              <w:rPr>
                <w:rFonts w:hint="eastAsia" w:ascii="宋体" w:hAnsi="宋体" w:eastAsia="宋体" w:cs="宋体"/>
                <w:b w:val="0"/>
                <w:bCs w:val="0"/>
                <w:caps w:val="0"/>
                <w:color w:val="auto"/>
                <w:sz w:val="21"/>
                <w:szCs w:val="21"/>
                <w:highlight w:val="none"/>
                <w:lang w:val="en-US" w:eastAsia="zh-CN" w:bidi="ar-SA"/>
              </w:rPr>
              <w:t xml:space="preserve">.00（分）</w:t>
            </w:r>
            <w:r/>
          </w:p>
        </w:tc>
        <w:tc>
          <w:tcPr>
            <w:shd w:val="clear" w:color="auto" w:fill="auto"/>
            <w:tcW w:w="2708" w:type="pct"/>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投标人提供用户（畜牧兽医部门</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养殖场）对企业所提供服务合格的书面证明材料</w:t>
            </w:r>
            <w:r>
              <w:rPr>
                <w:rFonts w:hint="eastAsia" w:ascii="宋体" w:hAnsi="宋体"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rPr>
              <w:t xml:space="preserve">。每提供1个得0.5分，本项最高得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r>
        <w:trPr>
          <w:trHeight w:val="1634"/>
        </w:trPr>
        <w:tc>
          <w:tcPr>
            <w:tcBorders>
              <w:top w:val="single" w:color="auto" w:sz="4" w:space="0"/>
            </w:tcBorders>
            <w:tcW w:w="715"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bCs/>
                <w:color w:val="auto"/>
                <w:highlight w:val="none"/>
              </w:rPr>
              <w:t xml:space="preserve">项目实施方案</w:t>
            </w:r>
            <w:r/>
          </w:p>
        </w:tc>
        <w:tc>
          <w:tcPr>
            <w:tcBorders>
              <w:top w:val="single" w:color="auto" w:sz="4" w:space="0"/>
            </w:tcBorders>
            <w:tcW w:w="76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b w:val="0"/>
                <w:bCs w:val="0"/>
                <w:color w:val="auto"/>
                <w:sz w:val="21"/>
                <w:szCs w:val="21"/>
              </w:rPr>
              <w:t xml:space="preserve">服务方案</w:t>
            </w:r>
            <w:r/>
          </w:p>
        </w:tc>
        <w:tc>
          <w:tcPr>
            <w:tcW w:w="807"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eastAsia="zh-CN"/>
              </w:rPr>
            </w:pPr>
            <w:r>
              <w:rPr>
                <w:rFonts w:hint="eastAsia" w:ascii="宋体" w:hAnsi="宋体" w:eastAsia="宋体" w:cs="宋体"/>
                <w:b w:val="0"/>
                <w:bCs w:val="0"/>
                <w:caps w:val="0"/>
                <w:color w:val="auto"/>
                <w:sz w:val="21"/>
                <w:szCs w:val="21"/>
                <w:highlight w:val="none"/>
                <w:lang w:val="en-US" w:eastAsia="zh-CN" w:bidi="ar-SA"/>
              </w:rPr>
              <w:t xml:space="preserve">5.00（分）</w:t>
            </w:r>
            <w:r/>
          </w:p>
        </w:tc>
        <w:tc>
          <w:tcPr>
            <w:tcW w:w="270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供应商根据招标文件“第四章、采购需求-四、商务部分-（二）标识部分4.8.1，制定</w:t>
            </w:r>
            <w:r>
              <w:rPr>
                <w:rFonts w:hint="eastAsia" w:ascii="宋体" w:hAnsi="宋体" w:eastAsia="宋体" w:cs="宋体"/>
                <w:b w:val="0"/>
                <w:bCs w:val="0"/>
                <w:color w:val="auto"/>
                <w:sz w:val="21"/>
                <w:szCs w:val="21"/>
                <w:highlight w:val="none"/>
                <w:lang w:val="en-US"/>
              </w:rPr>
              <w:t xml:space="preserve">详细</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lang w:val="en-US"/>
              </w:rPr>
              <w:t xml:space="preserve">方案，</w:t>
            </w:r>
            <w:r>
              <w:rPr>
                <w:rFonts w:hint="eastAsia" w:ascii="宋体" w:hAnsi="宋体" w:cs="宋体"/>
                <w:b w:val="0"/>
                <w:bCs w:val="0"/>
                <w:color w:val="auto"/>
                <w:sz w:val="21"/>
                <w:szCs w:val="21"/>
                <w:lang w:val="en-US" w:eastAsia="zh-CN"/>
              </w:rPr>
              <w:t xml:space="preserve">包括但不限于</w:t>
            </w:r>
            <w:r>
              <w:rPr>
                <w:rFonts w:hint="eastAsia" w:ascii="宋体" w:hAnsi="宋体" w:eastAsia="宋体" w:cs="宋体"/>
                <w:b w:val="0"/>
                <w:bCs w:val="0"/>
                <w:color w:val="auto"/>
                <w:sz w:val="21"/>
                <w:szCs w:val="21"/>
              </w:rPr>
              <w:t xml:space="preserve">其产品详细的售前、售中、售后服务方案和产品使用跟踪评价方案，内容包括所能提供的产品批量（无论需求量大小均能按用户需求发货）、规格、有效期、存储和使用等环节。优于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rHeight w:val="1481"/>
        </w:trPr>
        <w:tc>
          <w:tcPr>
            <w:tcW w:w="71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76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b w:val="0"/>
                <w:bCs w:val="0"/>
                <w:color w:val="auto"/>
                <w:sz w:val="21"/>
                <w:szCs w:val="21"/>
              </w:rPr>
              <w:t xml:space="preserve">应急处理方案</w:t>
            </w:r>
            <w:r/>
          </w:p>
        </w:tc>
        <w:tc>
          <w:tcPr>
            <w:tcW w:w="807"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eastAsia="zh-CN"/>
              </w:rPr>
            </w:pPr>
            <w:r>
              <w:rPr>
                <w:rFonts w:hint="eastAsia" w:ascii="宋体" w:hAnsi="宋体" w:eastAsia="宋体" w:cs="宋体"/>
                <w:b w:val="0"/>
                <w:bCs w:val="0"/>
                <w:caps w:val="0"/>
                <w:color w:val="auto"/>
                <w:sz w:val="21"/>
                <w:szCs w:val="21"/>
                <w:highlight w:val="none"/>
                <w:lang w:val="en-US" w:eastAsia="zh-CN" w:bidi="ar-SA"/>
              </w:rPr>
              <w:t xml:space="preserve">5.00（分）</w:t>
            </w:r>
            <w:r/>
          </w:p>
        </w:tc>
        <w:tc>
          <w:tcPr>
            <w:tcW w:w="270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供应商根据招标文件“第四章、采购需求-四、商务部分-（二）标识部分4.8.2，制定</w:t>
            </w:r>
            <w:r>
              <w:rPr>
                <w:rFonts w:hint="eastAsia" w:ascii="宋体" w:hAnsi="宋体" w:eastAsia="宋体" w:cs="宋体"/>
                <w:b w:val="0"/>
                <w:bCs w:val="0"/>
                <w:color w:val="auto"/>
                <w:sz w:val="21"/>
                <w:szCs w:val="21"/>
                <w:highlight w:val="none"/>
                <w:lang w:val="en-US" w:eastAsia="zh-CN"/>
              </w:rPr>
              <w:t xml:space="preserve">应急处理</w:t>
            </w:r>
            <w:r>
              <w:rPr>
                <w:rFonts w:hint="eastAsia" w:ascii="宋体" w:hAnsi="宋体" w:eastAsia="宋体" w:cs="宋体"/>
                <w:b w:val="0"/>
                <w:bCs w:val="0"/>
                <w:color w:val="auto"/>
                <w:sz w:val="21"/>
                <w:szCs w:val="21"/>
                <w:highlight w:val="none"/>
                <w:lang w:val="en-US"/>
              </w:rPr>
              <w:t xml:space="preserve">方案</w:t>
            </w:r>
            <w:r>
              <w:rPr>
                <w:rFonts w:hint="eastAsia" w:ascii="宋体" w:hAnsi="宋体" w:eastAsia="宋体" w:cs="宋体"/>
                <w:b w:val="0"/>
                <w:bCs w:val="0"/>
                <w:color w:val="auto"/>
                <w:sz w:val="21"/>
                <w:szCs w:val="21"/>
              </w:rPr>
              <w:t xml:space="preserve">，内容包括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z w:val="21"/>
                <w:szCs w:val="21"/>
              </w:rPr>
              <w:t xml:space="preserve">用户反映问题的处理，用户走访等。优于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rHeight w:val="1505"/>
        </w:trPr>
        <w:tc>
          <w:tcPr>
            <w:tcW w:w="71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76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b w:val="0"/>
                <w:bCs w:val="0"/>
                <w:color w:val="auto"/>
                <w:sz w:val="21"/>
                <w:szCs w:val="21"/>
              </w:rPr>
              <w:t xml:space="preserve">回收耳标的销毁方案</w:t>
            </w:r>
            <w:r/>
          </w:p>
        </w:tc>
        <w:tc>
          <w:tcPr>
            <w:tcW w:w="807"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eastAsia="zh-CN"/>
              </w:rPr>
            </w:pPr>
            <w:r>
              <w:rPr>
                <w:rFonts w:hint="eastAsia" w:ascii="宋体" w:hAnsi="宋体" w:eastAsia="宋体" w:cs="宋体"/>
                <w:b w:val="0"/>
                <w:bCs w:val="0"/>
                <w:caps w:val="0"/>
                <w:color w:val="auto"/>
                <w:sz w:val="21"/>
                <w:szCs w:val="21"/>
                <w:highlight w:val="none"/>
                <w:lang w:val="en-US" w:eastAsia="zh-CN" w:bidi="ar-SA"/>
              </w:rPr>
              <w:t xml:space="preserve">5.00（分）</w:t>
            </w:r>
            <w:r/>
          </w:p>
        </w:tc>
        <w:tc>
          <w:tcPr>
            <w:tcW w:w="270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供应商根据招标文件“第四章、采购需求-四、商务部分-（二）标识部分4.8.3，</w:t>
            </w:r>
            <w:r>
              <w:rPr>
                <w:rFonts w:hint="eastAsia" w:ascii="宋体" w:hAnsi="宋体" w:eastAsia="宋体" w:cs="宋体"/>
                <w:b w:val="0"/>
                <w:bCs w:val="0"/>
                <w:color w:val="auto"/>
                <w:sz w:val="21"/>
                <w:szCs w:val="21"/>
              </w:rPr>
              <w:t xml:space="preserve">提供用户回收耳标（已在</w:t>
            </w:r>
            <w:r>
              <w:rPr>
                <w:rFonts w:hint="eastAsia" w:ascii="宋体" w:hAnsi="宋体" w:eastAsia="宋体" w:cs="宋体"/>
                <w:b w:val="0"/>
                <w:bCs w:val="0"/>
                <w:color w:val="auto"/>
                <w:spacing w:val="-7"/>
                <w:sz w:val="21"/>
                <w:szCs w:val="21"/>
                <w:lang w:val="zh-CN" w:bidi="zh-CN"/>
              </w:rPr>
              <w:t xml:space="preserve">全国兽医卫生综合信息平台</w:t>
            </w:r>
            <w:r>
              <w:rPr>
                <w:rFonts w:hint="eastAsia" w:ascii="宋体" w:hAnsi="宋体" w:eastAsia="宋体" w:cs="宋体"/>
                <w:b w:val="0"/>
                <w:bCs w:val="0"/>
                <w:color w:val="auto"/>
                <w:sz w:val="21"/>
                <w:szCs w:val="21"/>
              </w:rPr>
              <w:t xml:space="preserve">注销）后的销毁方案，内容包括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z w:val="21"/>
                <w:szCs w:val="21"/>
              </w:rPr>
              <w:t xml:space="preserve">回收耳标的运输、销毁、全程监控等服务。优于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rHeight w:val="1241"/>
        </w:trPr>
        <w:tc>
          <w:tcPr>
            <w:tcBorders>
              <w:bottom w:val="single" w:color="auto" w:sz="4" w:space="0"/>
            </w:tcBorders>
            <w:tcW w:w="71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76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b w:val="0"/>
                <w:bCs w:val="0"/>
                <w:color w:val="auto"/>
                <w:sz w:val="21"/>
                <w:szCs w:val="21"/>
              </w:rPr>
              <w:t xml:space="preserve">使用效果调查方案</w:t>
            </w:r>
            <w:r/>
          </w:p>
        </w:tc>
        <w:tc>
          <w:tcPr>
            <w:tcW w:w="807"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eastAsia="zh-CN"/>
              </w:rPr>
            </w:pPr>
            <w:r>
              <w:rPr>
                <w:rFonts w:hint="eastAsia" w:ascii="宋体" w:hAnsi="宋体" w:eastAsia="宋体" w:cs="宋体"/>
                <w:b w:val="0"/>
                <w:bCs w:val="0"/>
                <w:caps w:val="0"/>
                <w:color w:val="auto"/>
                <w:sz w:val="21"/>
                <w:szCs w:val="21"/>
                <w:highlight w:val="none"/>
                <w:lang w:val="en-US" w:eastAsia="zh-CN" w:bidi="ar-SA"/>
              </w:rPr>
              <w:t xml:space="preserve">5.00（分）</w:t>
            </w:r>
            <w:r/>
          </w:p>
        </w:tc>
        <w:tc>
          <w:tcPr>
            <w:tcW w:w="270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供应商根据招标文件“第四章、采购需求-四、商务部分-（二）标识部分4.8.4，</w:t>
            </w:r>
            <w:r>
              <w:rPr>
                <w:rFonts w:hint="eastAsia" w:ascii="宋体" w:hAnsi="宋体" w:eastAsia="宋体" w:cs="宋体"/>
                <w:b w:val="0"/>
                <w:bCs w:val="0"/>
                <w:color w:val="auto"/>
                <w:sz w:val="21"/>
                <w:szCs w:val="21"/>
              </w:rPr>
              <w:t xml:space="preserve">提供其产品的使用效果调查方案，内容包括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pacing w:val="-9"/>
                <w:sz w:val="21"/>
                <w:szCs w:val="21"/>
                <w:lang w:val="zh-CN" w:bidi="zh-CN"/>
              </w:rPr>
              <w:t xml:space="preserve">耳标检测方案（主动送检、抽检）、用户评价、市县疫控等相关机构（部门）评价等。</w:t>
            </w:r>
            <w:r>
              <w:rPr>
                <w:rFonts w:hint="eastAsia" w:ascii="宋体" w:hAnsi="宋体" w:eastAsia="宋体" w:cs="宋体"/>
                <w:b w:val="0"/>
                <w:bCs w:val="0"/>
                <w:color w:val="auto"/>
                <w:sz w:val="21"/>
                <w:szCs w:val="21"/>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rHeight w:val="1241"/>
        </w:trPr>
        <w:tc>
          <w:tcPr>
            <w:tcBorders>
              <w:bottom w:val="single" w:color="auto" w:sz="4" w:space="0"/>
            </w:tcBorders>
            <w:tcW w:w="715" w:type="pct"/>
            <w:vAlign w:val="center"/>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768"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rPr>
            </w:pPr>
            <w:r>
              <w:rPr>
                <w:rFonts w:hint="eastAsia" w:ascii="宋体" w:hAnsi="宋体" w:cs="宋体"/>
                <w:b w:val="0"/>
                <w:bCs w:val="0"/>
                <w:color w:val="auto"/>
                <w:sz w:val="21"/>
                <w:szCs w:val="21"/>
                <w:highlight w:val="none"/>
                <w:lang w:val="en-US" w:eastAsia="zh-CN"/>
              </w:rPr>
              <w:t xml:space="preserve">产品自检方案</w:t>
            </w:r>
            <w:r/>
          </w:p>
        </w:tc>
        <w:tc>
          <w:tcPr>
            <w:tcW w:w="807" w:type="pct"/>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5.00</w:t>
            </w:r>
            <w:r>
              <w:rPr>
                <w:rFonts w:hint="eastAsia" w:ascii="宋体" w:hAnsi="宋体" w:eastAsia="宋体" w:cs="宋体"/>
                <w:b w:val="0"/>
                <w:bCs w:val="0"/>
                <w:caps w:val="0"/>
                <w:color w:val="auto"/>
                <w:sz w:val="21"/>
                <w:szCs w:val="21"/>
                <w:highlight w:val="none"/>
                <w:lang w:val="en-US" w:eastAsia="zh-CN" w:bidi="ar-SA"/>
              </w:rPr>
              <w:t xml:space="preserve">（分）</w:t>
            </w:r>
            <w:r/>
          </w:p>
        </w:tc>
        <w:tc>
          <w:tcPr>
            <w:tcW w:w="2708" w:type="pct"/>
            <w:vAlign w:val="center"/>
            <w:textDirection w:val="lrTb"/>
            <w:noWrap w:val="false"/>
          </w:tcPr>
          <w:p>
            <w:pPr>
              <w:jc w:val="left"/>
              <w:spacing w:after="0" w:afterAutospacing="0"/>
              <w:widowControl w:val="off"/>
              <w:rPr>
                <w:rFonts w:hint="eastAsia" w:ascii="宋体" w:hAnsi="宋体" w:eastAsia="宋体" w:cs="宋体"/>
                <w:color w:val="auto"/>
                <w:sz w:val="21"/>
                <w:szCs w:val="22"/>
                <w:rtl w:val="0"/>
                <w:lang w:val="en-US" w:eastAsia="zh-CN" w:bidi="ar-SA"/>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w:t>
            </w:r>
            <w:r>
              <w:rPr>
                <w:rFonts w:hint="eastAsia" w:ascii="宋体" w:hAnsi="宋体" w:cs="宋体"/>
                <w:color w:val="auto"/>
                <w:sz w:val="21"/>
                <w:szCs w:val="22"/>
                <w:highlight w:val="none"/>
                <w:rtl w:val="0"/>
                <w:lang w:val="en-US" w:eastAsia="zh-CN" w:bidi="ar-SA"/>
              </w:rPr>
              <w:t xml:space="preserve">二</w:t>
            </w:r>
            <w:r>
              <w:rPr>
                <w:rFonts w:hint="eastAsia" w:ascii="宋体" w:hAnsi="宋体" w:eastAsia="宋体" w:cs="宋体"/>
                <w:color w:val="auto"/>
                <w:sz w:val="21"/>
                <w:szCs w:val="22"/>
                <w:highlight w:val="none"/>
                <w:rtl w:val="0"/>
                <w:lang w:val="en-US" w:eastAsia="zh-CN" w:bidi="ar-SA"/>
              </w:rPr>
              <w:t xml:space="preserve">）标识部分4.8.</w:t>
            </w:r>
            <w:r>
              <w:rPr>
                <w:rFonts w:hint="eastAsia" w:ascii="宋体" w:hAnsi="宋体" w:cs="宋体"/>
                <w:color w:val="auto"/>
                <w:sz w:val="21"/>
                <w:szCs w:val="22"/>
                <w:highlight w:val="none"/>
                <w:rtl w:val="0"/>
                <w:lang w:val="en-US" w:eastAsia="zh-CN" w:bidi="ar-SA"/>
              </w:rPr>
              <w:t xml:space="preserve">6</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提供其所投产品的产品自检方案，包括但不限于实施自检佐证材料</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生产环节管理等方案</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r>
        <w:trPr>
          <w:trHeight w:val="1303"/>
        </w:trPr>
        <w:tc>
          <w:tcPr>
            <w:tcBorders>
              <w:top w:val="single" w:color="auto" w:sz="4" w:space="0"/>
            </w:tcBorders>
            <w:tcW w:w="715" w:type="pct"/>
            <w:vAlign w:val="center"/>
            <w:vMerge w:val="restart"/>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售后服务</w:t>
            </w:r>
            <w:r/>
          </w:p>
        </w:tc>
        <w:tc>
          <w:tcPr>
            <w:tcW w:w="76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b w:val="0"/>
                <w:bCs w:val="0"/>
                <w:color w:val="auto"/>
                <w:sz w:val="21"/>
                <w:szCs w:val="21"/>
              </w:rPr>
              <w:t xml:space="preserve">培训方案</w:t>
            </w:r>
            <w:r/>
          </w:p>
        </w:tc>
        <w:tc>
          <w:tcPr>
            <w:tcW w:w="807"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eastAsia="zh-CN"/>
              </w:rPr>
            </w:pPr>
            <w:r>
              <w:rPr>
                <w:rFonts w:hint="eastAsia" w:ascii="宋体" w:hAnsi="宋体" w:eastAsia="宋体" w:cs="宋体"/>
                <w:b w:val="0"/>
                <w:bCs w:val="0"/>
                <w:caps w:val="0"/>
                <w:color w:val="auto"/>
                <w:sz w:val="21"/>
                <w:szCs w:val="21"/>
                <w:highlight w:val="none"/>
                <w:lang w:val="en-US" w:eastAsia="zh-CN" w:bidi="ar-SA"/>
              </w:rPr>
              <w:t xml:space="preserve">5.00（分）</w:t>
            </w:r>
            <w:r/>
          </w:p>
        </w:tc>
        <w:tc>
          <w:tcPr>
            <w:tcW w:w="270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w:t>
            </w:r>
            <w:r>
              <w:rPr>
                <w:rFonts w:hint="eastAsia" w:ascii="宋体" w:hAnsi="宋体" w:cs="宋体"/>
                <w:color w:val="auto"/>
                <w:sz w:val="21"/>
                <w:szCs w:val="22"/>
                <w:rtl w:val="0"/>
                <w:lang w:val="en-US" w:eastAsia="zh-CN" w:bidi="ar-SA"/>
              </w:rPr>
              <w:t xml:space="preserve">7</w:t>
            </w:r>
            <w:r>
              <w:rPr>
                <w:rFonts w:hint="eastAsia" w:ascii="宋体" w:hAnsi="宋体" w:eastAsia="宋体" w:cs="宋体"/>
                <w:color w:val="auto"/>
                <w:sz w:val="21"/>
                <w:szCs w:val="22"/>
                <w:rtl w:val="0"/>
                <w:lang w:val="en-US" w:eastAsia="zh-CN" w:bidi="ar-SA"/>
              </w:rPr>
              <w:t xml:space="preserve">，</w:t>
            </w:r>
            <w:r>
              <w:rPr>
                <w:rFonts w:hint="eastAsia" w:ascii="宋体" w:hAnsi="宋体" w:eastAsia="宋体" w:cs="宋体"/>
                <w:b w:val="0"/>
                <w:bCs w:val="0"/>
                <w:color w:val="auto"/>
                <w:sz w:val="21"/>
                <w:szCs w:val="21"/>
              </w:rPr>
              <w:t xml:space="preserve">投标人提供培训方案。内容包括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z w:val="21"/>
                <w:szCs w:val="21"/>
              </w:rPr>
              <w:t xml:space="preserve">培训的内容、师资力量、区域、时间计划等。优于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rHeight w:val="1315"/>
        </w:trPr>
        <w:tc>
          <w:tcPr>
            <w:tcW w:w="71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76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eastAsia="宋体" w:cs="宋体"/>
                <w:b w:val="0"/>
                <w:bCs w:val="0"/>
                <w:color w:val="auto"/>
                <w:sz w:val="21"/>
                <w:szCs w:val="21"/>
                <w:highlight w:val="none"/>
              </w:rPr>
              <w:t xml:space="preserve">产品控制</w:t>
            </w:r>
            <w:r>
              <w:rPr>
                <w:rFonts w:hint="eastAsia" w:ascii="宋体" w:hAnsi="宋体" w:cs="宋体"/>
                <w:b w:val="0"/>
                <w:bCs w:val="0"/>
                <w:color w:val="auto"/>
                <w:sz w:val="21"/>
                <w:szCs w:val="21"/>
                <w:highlight w:val="none"/>
                <w:lang w:val="en-US" w:eastAsia="zh-CN"/>
              </w:rPr>
              <w:t xml:space="preserve">方案</w:t>
            </w:r>
            <w:r/>
          </w:p>
        </w:tc>
        <w:tc>
          <w:tcPr>
            <w:shd w:val="clear" w:color="auto" w:fill="auto"/>
            <w:tcW w:w="807"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eastAsia="zh-CN"/>
              </w:rPr>
            </w:pPr>
            <w:r>
              <w:rPr>
                <w:rFonts w:hint="eastAsia" w:ascii="宋体" w:hAnsi="宋体" w:eastAsia="宋体" w:cs="宋体"/>
                <w:b w:val="0"/>
                <w:bCs w:val="0"/>
                <w:caps w:val="0"/>
                <w:color w:val="auto"/>
                <w:sz w:val="21"/>
                <w:szCs w:val="21"/>
                <w:highlight w:val="none"/>
                <w:lang w:val="en-US" w:eastAsia="zh-CN" w:bidi="ar-SA"/>
              </w:rPr>
              <w:t xml:space="preserve">5.00（分）</w:t>
            </w:r>
            <w:r/>
          </w:p>
        </w:tc>
        <w:tc>
          <w:tcPr>
            <w:shd w:val="clear" w:color="auto" w:fill="auto"/>
            <w:tcW w:w="2708" w:type="pct"/>
            <w:vAlign w:val="center"/>
            <w:textDirection w:val="lrTb"/>
            <w:noWrap w:val="false"/>
          </w:tcPr>
          <w:p>
            <w:pPr>
              <w:jc w:val="left"/>
              <w:spacing w:after="0" w:afterAutospacing="0"/>
              <w:widowControl w:val="off"/>
              <w:rPr>
                <w:rFonts w:ascii="宋体" w:hAnsi="宋体" w:cs="宋体"/>
                <w:color w:val="auto"/>
                <w:highlight w:val="none"/>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w:t>
            </w:r>
            <w:r>
              <w:rPr>
                <w:rFonts w:hint="eastAsia" w:ascii="宋体" w:hAnsi="宋体" w:cs="宋体"/>
                <w:color w:val="auto"/>
                <w:sz w:val="21"/>
                <w:szCs w:val="22"/>
                <w:highlight w:val="none"/>
                <w:rtl w:val="0"/>
                <w:lang w:val="en-US" w:eastAsia="zh-CN" w:bidi="ar-SA"/>
              </w:rPr>
              <w:t xml:space="preserve">二</w:t>
            </w:r>
            <w:r>
              <w:rPr>
                <w:rFonts w:hint="eastAsia" w:ascii="宋体" w:hAnsi="宋体" w:eastAsia="宋体" w:cs="宋体"/>
                <w:color w:val="auto"/>
                <w:sz w:val="21"/>
                <w:szCs w:val="22"/>
                <w:highlight w:val="none"/>
                <w:rtl w:val="0"/>
                <w:lang w:val="en-US" w:eastAsia="zh-CN" w:bidi="ar-SA"/>
              </w:rPr>
              <w:t xml:space="preserve">）标识部分4.8.</w:t>
            </w:r>
            <w:r>
              <w:rPr>
                <w:rFonts w:hint="eastAsia" w:ascii="宋体" w:hAnsi="宋体" w:cs="宋体"/>
                <w:color w:val="auto"/>
                <w:sz w:val="21"/>
                <w:szCs w:val="22"/>
                <w:highlight w:val="none"/>
                <w:rtl w:val="0"/>
                <w:lang w:val="en-US" w:eastAsia="zh-CN" w:bidi="ar-SA"/>
              </w:rPr>
              <w:t xml:space="preserve">5</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提供其所投产品的产品控制方案，包括但不限于</w:t>
            </w:r>
            <w:r>
              <w:rPr>
                <w:rFonts w:hint="eastAsia" w:ascii="宋体" w:hAnsi="宋体" w:eastAsia="宋体" w:cs="宋体"/>
                <w:color w:val="auto"/>
                <w:sz w:val="21"/>
                <w:szCs w:val="21"/>
                <w:highlight w:val="none"/>
              </w:rPr>
              <w:t xml:space="preserve">产品质量、创新研究、技术合作等品控措施</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bl>
    <w:p>
      <w:pPr>
        <w:ind w:firstLine="482"/>
        <w:spacing w:line="400" w:lineRule="exact"/>
        <w:rPr>
          <w:rFonts w:hint="eastAsia" w:eastAsia="仿宋_GB2312"/>
          <w:b/>
          <w:sz w:val="24"/>
          <w:highlight w:val="none"/>
        </w:rPr>
      </w:pPr>
      <w:r>
        <w:rPr>
          <w:rFonts w:hint="eastAsia" w:eastAsia="仿宋_GB2312"/>
          <w:b/>
          <w:sz w:val="24"/>
          <w:highlight w:val="none"/>
        </w:rPr>
      </w:r>
      <w:r/>
    </w:p>
    <w:p>
      <w:pPr>
        <w:ind w:firstLine="482"/>
        <w:spacing w:line="400" w:lineRule="exact"/>
        <w:rPr>
          <w:rFonts w:hint="eastAsia" w:ascii="宋体" w:hAnsi="宋体" w:cs="宋体"/>
          <w:sz w:val="24"/>
          <w:highlight w:val="whit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w:t>
      </w:r>
      <w:r>
        <w:rPr>
          <w:rFonts w:hint="eastAsia" w:ascii="宋体" w:hAnsi="宋体" w:cs="宋体"/>
          <w:sz w:val="24"/>
          <w:highlight w:val="white"/>
        </w:rPr>
        <w:t xml:space="preserve">告。</w:t>
      </w:r>
      <w:r/>
    </w:p>
    <w:p>
      <w:pPr>
        <w:ind w:firstLine="482"/>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482"/>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1.2.3.4</w:t>
      </w:r>
      <w:r/>
    </w:p>
    <w:p>
      <w:pPr>
        <w:numPr>
          <w:ilvl w:val="0"/>
          <w:numId w:val="0"/>
        </w:numPr>
        <w:ind w:firstLine="480"/>
        <w:spacing w:line="460" w:lineRule="exact"/>
        <w:rPr>
          <w:rFonts w:hint="eastAsia" w:cs="仿宋_GB2312"/>
          <w:sz w:val="24"/>
          <w:highlight w:val="white"/>
        </w:rPr>
      </w:pPr>
      <w:r>
        <w:rPr>
          <w:rFonts w:hint="eastAsia"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rPr>
      </w:pPr>
      <w:r>
        <w:rPr>
          <w:rFonts w:hint="eastAsia"/>
          <w:sz w:val="24"/>
          <w:highlight w:val="white"/>
        </w:rPr>
        <w:t xml:space="preserve">本项目按以</w:t>
      </w:r>
      <w:r>
        <w:rPr>
          <w:rFonts w:hint="eastAsia"/>
          <w:sz w:val="24"/>
        </w:rPr>
        <w:t xml:space="preserve">下第</w:t>
      </w:r>
      <w:r>
        <w:rPr>
          <w:rFonts w:hint="eastAsia"/>
          <w:b/>
          <w:bCs/>
          <w:sz w:val="24"/>
          <w:u w:val="single"/>
        </w:rPr>
        <w:t xml:space="preserve"> （</w:t>
      </w:r>
      <w:r>
        <w:rPr>
          <w:rFonts w:hint="eastAsia"/>
          <w:b/>
          <w:bCs/>
          <w:sz w:val="24"/>
          <w:u w:val="single"/>
          <w:lang w:val="en-US" w:eastAsia="zh-CN"/>
        </w:rPr>
        <w:t xml:space="preserve">1</w:t>
      </w:r>
      <w:r>
        <w:rPr>
          <w:rFonts w:hint="eastAsia"/>
          <w:b/>
          <w:bCs/>
          <w:sz w:val="24"/>
          <w:u w:val="single"/>
        </w:rPr>
        <w:t xml:space="preserve">）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（1）本项目专门面向中小企业（含监狱企业、残疾人福利企业）采购。</w:t>
      </w:r>
      <w:r/>
    </w:p>
    <w:p>
      <w:pPr>
        <w:ind w:firstLine="480"/>
        <w:spacing w:line="460" w:lineRule="exact"/>
        <w:rPr>
          <w:sz w:val="24"/>
          <w:highlight w:val="green"/>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b/>
          <w:bCs/>
          <w:sz w:val="24"/>
          <w:u w:val="single"/>
        </w:rPr>
        <w:t xml:space="preserve"> </w:t>
      </w:r>
      <w:r>
        <w:rPr>
          <w:rFonts w:hint="eastAsia" w:cs="仿宋_GB2312"/>
          <w:b/>
          <w:bCs/>
          <w:sz w:val="24"/>
          <w:u w:val="single"/>
          <w:lang w:val="en-US" w:eastAsia="zh-CN"/>
        </w:rPr>
        <w:t xml:space="preserve">/ </w:t>
      </w:r>
      <w:r>
        <w:rPr>
          <w:rFonts w:hint="eastAsia" w:cs="仿宋_GB2312"/>
          <w:sz w:val="24"/>
        </w:rPr>
        <w:t xml:space="preserve">的扣</w:t>
      </w:r>
      <w:r>
        <w:rPr>
          <w:rFonts w:hint="eastAsia" w:cs="仿宋_GB2312"/>
          <w:sz w:val="24"/>
          <w:highlight w:val="white"/>
        </w:rPr>
        <w:t xml:space="preserve">除，用扣除后的价格参加评审。</w:t>
      </w:r>
      <w:r/>
    </w:p>
    <w:p>
      <w:pPr>
        <w:ind w:firstLine="480"/>
        <w:spacing w:line="44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bookmarkEnd w:id="393"/>
      <w:bookmarkEnd w:id="394"/>
      <w:bookmarkEnd w:id="397"/>
      <w:r/>
    </w:p>
    <w:p>
      <w:pPr>
        <w:rPr>
          <w:rFonts w:hint="eastAsia"/>
        </w:rPr>
      </w:pPr>
      <w:r>
        <w:rPr>
          <w:rFonts w:hint="eastAsia"/>
        </w:rPr>
      </w:r>
      <w:r/>
    </w:p>
    <w:p>
      <w:pPr>
        <w:rPr>
          <w:rFonts w:hint="eastAsia"/>
        </w:rPr>
      </w:pPr>
      <w:r>
        <w:rPr>
          <w:rFonts w:hint="eastAsia"/>
        </w:rPr>
      </w:r>
      <w:r/>
    </w:p>
    <w:p>
      <w:pPr>
        <w:pStyle w:val="1131"/>
        <w:rPr>
          <w:rFonts w:hint="eastAsia" w:ascii="Times New Roman" w:hAnsi="Times New Roman"/>
        </w:rPr>
      </w:pPr>
      <w:r>
        <w:rPr>
          <w:rFonts w:hint="eastAsia" w:ascii="Times New Roman" w:hAnsi="Times New Roman"/>
        </w:rPr>
      </w:r>
      <w:r/>
    </w:p>
    <w:p>
      <w:pPr>
        <w:rPr>
          <w:sz w:val="20"/>
          <w:highlight w:val="white"/>
        </w:rPr>
      </w:pPr>
      <w:r/>
      <w:bookmarkStart w:id="425" w:name="_Toc120614284"/>
      <w:r>
        <w:rPr>
          <w:rFonts w:hint="eastAsia"/>
          <w:sz w:val="20"/>
          <w:highlight w:val="white"/>
        </w:rPr>
        <w:t xml:space="preserve"> </w:t>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outlineLvl w:val="0"/>
      </w:pPr>
      <w:r/>
      <w:bookmarkStart w:id="426" w:name="_Toc18036"/>
      <w:r/>
      <w:bookmarkStart w:id="427" w:name="_Toc12545"/>
      <w:r>
        <w:rPr>
          <w:rFonts w:hint="eastAsia" w:eastAsia="黑体"/>
          <w:bCs/>
          <w:sz w:val="44"/>
        </w:rPr>
        <w:t xml:space="preserve">第六章  投标文件格式</w:t>
      </w:r>
      <w:bookmarkEnd w:id="426"/>
      <w:r/>
      <w:bookmarkEnd w:id="427"/>
      <w:r/>
      <w:r/>
    </w:p>
    <w:p>
      <w:pPr>
        <w:jc w:val="center"/>
        <w:rPr>
          <w:rFonts w:hint="eastAsia"/>
          <w:b/>
          <w:sz w:val="72"/>
        </w:rPr>
      </w:pPr>
      <w:r/>
      <w:bookmarkStart w:id="428" w:name="_Hlt26955039"/>
      <w:r/>
      <w:bookmarkEnd w:id="428"/>
      <w:r/>
      <w:bookmarkStart w:id="429" w:name="_Hlt26671244"/>
      <w:r/>
      <w:bookmarkEnd w:id="429"/>
      <w:r/>
      <w:bookmarkStart w:id="430" w:name="_Toc120614282"/>
      <w:r/>
      <w:bookmarkStart w:id="431" w:name="_Toc26554094"/>
      <w:r/>
      <w:bookmarkStart w:id="432" w:name="_Toc49090576"/>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72"/>
        </w:rPr>
        <w:outlineLvl w:val="0"/>
      </w:pPr>
      <w:r/>
      <w:bookmarkStart w:id="433" w:name="_Toc426"/>
      <w:r/>
      <w:bookmarkStart w:id="434" w:name="_Toc13932"/>
      <w:r>
        <w:rPr>
          <w:rFonts w:hint="eastAsia"/>
          <w:b/>
          <w:sz w:val="72"/>
        </w:rPr>
        <w:t xml:space="preserve">投  标  文  件</w:t>
      </w:r>
      <w:bookmarkEnd w:id="433"/>
      <w:r/>
      <w:bookmarkEnd w:id="434"/>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964"/>
        <w:rPr>
          <w:b/>
          <w:bCs/>
          <w:sz w:val="32"/>
          <w:szCs w:val="32"/>
        </w:rPr>
      </w:pPr>
      <w:r>
        <w:rPr>
          <w:b/>
          <w:bCs/>
          <w:sz w:val="32"/>
          <w:szCs w:val="32"/>
        </w:rPr>
      </w:r>
      <w:r/>
    </w:p>
    <w:p>
      <w:pPr>
        <w:jc w:val="center"/>
        <w:spacing w:line="440" w:lineRule="exact"/>
        <w:rPr>
          <w:rFonts w:hint="eastAsia" w:ascii="宋体" w:hAnsi="宋体" w:eastAsia="宋体" w:cs="宋体"/>
          <w:b/>
          <w:bCs/>
          <w:sz w:val="32"/>
          <w:szCs w:val="32"/>
        </w:rPr>
      </w:pPr>
      <w:r>
        <w:rPr>
          <w:b/>
          <w:bCs/>
          <w:sz w:val="32"/>
          <w:szCs w:val="32"/>
        </w:rPr>
        <w:br w:type="page" w:clear="all"/>
      </w: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一、投标人响应承诺函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二、投标人基本情况</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六、投标报价明细表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七、中小企业声明函</w:t>
      </w:r>
      <w:r>
        <w:rPr>
          <w:rFonts w:hint="eastAsia" w:ascii="宋体" w:hAnsi="宋体" w:cs="宋体"/>
          <w:sz w:val="28"/>
          <w:szCs w:val="28"/>
          <w:lang w:val="en-US" w:eastAsia="zh-CN"/>
        </w:rPr>
        <w:t xml:space="preserve">或</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九、所提供产品技术资料或样本等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十、投标货物、品牌规格、性能、交货期说明表</w:t>
      </w:r>
      <w:r/>
    </w:p>
    <w:p>
      <w:pPr>
        <w:ind w:firstLine="560"/>
        <w:spacing w:line="6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十一</w:t>
      </w:r>
      <w:r>
        <w:rPr>
          <w:rFonts w:hint="eastAsia" w:ascii="宋体" w:hAnsi="宋体" w:eastAsia="宋体" w:cs="宋体"/>
          <w:sz w:val="28"/>
          <w:szCs w:val="28"/>
          <w:lang w:val="en-US" w:eastAsia="zh-CN"/>
        </w:rPr>
        <w:t xml:space="preserve">、售后服务承诺书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rPr>
        <w:t xml:space="preserve">、项目组</w:t>
      </w:r>
      <w:r>
        <w:rPr>
          <w:rFonts w:hint="eastAsia" w:ascii="宋体" w:hAnsi="宋体" w:cs="宋体"/>
          <w:sz w:val="28"/>
          <w:szCs w:val="28"/>
          <w:lang w:val="en-US" w:eastAsia="zh-CN"/>
        </w:rPr>
        <w:t xml:space="preserve">人</w:t>
      </w:r>
      <w:r>
        <w:rPr>
          <w:rFonts w:hint="eastAsia" w:ascii="宋体" w:hAnsi="宋体" w:eastAsia="宋体" w:cs="宋体"/>
          <w:sz w:val="28"/>
          <w:szCs w:val="28"/>
        </w:rPr>
        <w:t xml:space="preserve">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十四、企业生产工艺、固化控制指标承诺书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十五、市场行为自律承诺书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、投标所需其他材料</w:t>
      </w:r>
      <w:r/>
    </w:p>
    <w:p>
      <w:pPr>
        <w:pStyle w:val="894"/>
        <w:rPr>
          <w:rFonts w:hint="eastAsia" w:ascii="宋体" w:hAnsi="宋体" w:eastAsia="宋体" w:cs="宋体"/>
          <w:caps w:val="0"/>
          <w:lang w:val="en-US" w:eastAsia="zh-CN"/>
        </w:rPr>
      </w:pPr>
      <w:r>
        <w:rPr>
          <w:rFonts w:hint="eastAsia" w:ascii="宋体" w:hAnsi="宋体" w:eastAsia="宋体" w:cs="宋体"/>
          <w:caps w:val="0"/>
          <w:lang w:val="en-US" w:eastAsia="zh-CN"/>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bookmarkEnd w:id="430"/>
      <w:bookmarkEnd w:id="431"/>
      <w:bookmarkEnd w:id="432"/>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169"/>
        <w:rPr>
          <w:rFonts w:hint="eastAsia" w:ascii="宋体" w:hAnsi="宋体" w:eastAsia="宋体" w:cs="宋体"/>
          <w:b/>
          <w:sz w:val="32"/>
          <w:szCs w:val="32"/>
        </w:rPr>
        <w:outlineLvl w:val="0"/>
      </w:pPr>
      <w:r/>
      <w:bookmarkStart w:id="435" w:name="_Toc13519"/>
      <w:r/>
      <w:bookmarkStart w:id="436" w:name="_Toc16383"/>
      <w:r>
        <w:rPr>
          <w:rFonts w:hint="eastAsia" w:ascii="宋体" w:hAnsi="宋体" w:eastAsia="宋体" w:cs="宋体"/>
          <w:b/>
          <w:sz w:val="32"/>
          <w:szCs w:val="32"/>
        </w:rPr>
        <w:t xml:space="preserve">一、投标声明及承诺函</w:t>
      </w:r>
      <w:bookmarkEnd w:id="435"/>
      <w:r/>
      <w:bookmarkEnd w:id="436"/>
      <w:r/>
      <w:r/>
    </w:p>
    <w:p>
      <w:pPr>
        <w:pStyle w:val="1169"/>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69"/>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p>
    <w:p>
      <w:pPr>
        <w:pStyle w:val="1169"/>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69"/>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6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pStyle w:val="1169"/>
        <w:ind w:firstLine="480"/>
        <w:rPr>
          <w:rFonts w:hint="eastAsia" w:ascii="宋体" w:hAnsi="宋体" w:eastAsia="宋体" w:cs="宋体"/>
        </w:rPr>
      </w:pPr>
      <w:r>
        <w:rPr>
          <w:rFonts w:hint="eastAsia" w:ascii="宋体" w:hAnsi="宋体" w:eastAsia="宋体" w:cs="宋体"/>
          <w:sz w:val="24"/>
          <w:szCs w:val="24"/>
        </w:rPr>
        <w:t xml:space="preserve">日期：    年    月   日</w:t>
      </w:r>
      <w:r/>
    </w:p>
    <w:p>
      <w:pPr>
        <w:pStyle w:val="1171"/>
        <w:rPr>
          <w:rFonts w:hint="eastAsia" w:ascii="宋体" w:hAnsi="宋体" w:eastAsia="宋体" w:cs="宋体"/>
          <w:b/>
          <w:sz w:val="32"/>
          <w:szCs w:val="32"/>
        </w:rPr>
      </w:pPr>
      <w:r>
        <w:rPr>
          <w:rFonts w:hint="eastAsia" w:ascii="宋体" w:hAnsi="宋体" w:eastAsia="宋体" w:cs="宋体"/>
          <w:b/>
          <w:sz w:val="32"/>
          <w:szCs w:val="32"/>
        </w:rPr>
      </w:r>
      <w:r/>
    </w:p>
    <w:p>
      <w:pPr>
        <w:pStyle w:val="1171"/>
        <w:rPr>
          <w:rFonts w:hint="eastAsia" w:ascii="宋体" w:hAnsi="宋体" w:eastAsia="宋体" w:cs="宋体"/>
          <w:b/>
          <w:sz w:val="32"/>
          <w:szCs w:val="32"/>
        </w:rPr>
      </w:pPr>
      <w:r>
        <w:rPr>
          <w:rFonts w:hint="eastAsia" w:ascii="宋体" w:hAnsi="宋体" w:eastAsia="宋体" w:cs="宋体"/>
          <w:b/>
          <w:sz w:val="32"/>
          <w:szCs w:val="32"/>
        </w:rPr>
      </w:r>
      <w:r/>
    </w:p>
    <w:p>
      <w:pPr>
        <w:pStyle w:val="1171"/>
        <w:rPr>
          <w:rFonts w:hint="eastAsia" w:ascii="宋体" w:hAnsi="宋体" w:eastAsia="宋体" w:cs="宋体"/>
        </w:rPr>
        <w:outlineLvl w:val="0"/>
      </w:pPr>
      <w:r>
        <w:rPr>
          <w:rFonts w:hint="eastAsia" w:ascii="宋体" w:hAnsi="宋体" w:eastAsia="宋体" w:cs="宋体"/>
          <w:b/>
          <w:sz w:val="32"/>
          <w:szCs w:val="32"/>
        </w:rPr>
        <w:br w:type="page" w:clear="all"/>
      </w:r>
      <w:bookmarkStart w:id="437" w:name="_Toc24433"/>
      <w:r/>
      <w:bookmarkStart w:id="438" w:name="_Toc20031"/>
      <w:r>
        <w:rPr>
          <w:rFonts w:hint="eastAsia" w:ascii="宋体" w:hAnsi="宋体" w:eastAsia="宋体" w:cs="宋体"/>
          <w:b/>
          <w:sz w:val="32"/>
          <w:szCs w:val="32"/>
        </w:rPr>
        <w:t xml:space="preserve">二、投标人基本情况</w:t>
      </w:r>
      <w:bookmarkEnd w:id="437"/>
      <w:r/>
      <w:bookmarkEnd w:id="438"/>
      <w:r/>
      <w:r/>
    </w:p>
    <w:p>
      <w:pPr>
        <w:pStyle w:val="117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17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投标人基本情况表</w:t>
      </w:r>
      <w:r/>
    </w:p>
    <w:tbl>
      <w:tblPr>
        <w:tblStyle w:val="8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172"/>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172"/>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vAlign w:val="top"/>
            <w:textDirection w:val="lrTb"/>
            <w:noWrap w:val="false"/>
          </w:tcPr>
          <w:p>
            <w:pPr>
              <w:pStyle w:val="1172"/>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172"/>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17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169"/>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outlineLvl w:val="0"/>
      </w:pPr>
      <w:r>
        <w:rPr>
          <w:rFonts w:hint="eastAsia" w:ascii="宋体" w:hAnsi="宋体" w:eastAsia="宋体" w:cs="宋体"/>
          <w:b/>
          <w:sz w:val="32"/>
          <w:szCs w:val="32"/>
        </w:rPr>
        <w:br w:type="page" w:clear="all"/>
      </w:r>
      <w:bookmarkStart w:id="439" w:name="_Toc31772"/>
      <w:r/>
      <w:bookmarkStart w:id="440" w:name="_Toc31031"/>
      <w:r>
        <w:rPr>
          <w:rFonts w:hint="eastAsia" w:ascii="宋体" w:hAnsi="宋体" w:eastAsia="宋体" w:cs="宋体"/>
          <w:b/>
          <w:sz w:val="32"/>
          <w:szCs w:val="32"/>
        </w:rPr>
        <w:t xml:space="preserve">三、特定资格要求的证明文件</w:t>
      </w:r>
      <w:bookmarkEnd w:id="439"/>
      <w:r/>
      <w:bookmarkEnd w:id="440"/>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1129"/>
        <w:rPr>
          <w:rFonts w:hint="eastAsia" w:ascii="宋体" w:hAnsi="宋体" w:eastAsia="宋体" w:cs="宋体"/>
          <w:i/>
          <w:u w:val="single"/>
          <w:lang w:val="en-US"/>
        </w:rPr>
      </w:pPr>
      <w:r>
        <w:rPr>
          <w:rFonts w:hint="eastAsia" w:ascii="宋体" w:hAnsi="宋体" w:eastAsia="宋体" w:cs="宋体"/>
          <w:i/>
          <w:u w:val="single"/>
          <w:lang w:val="en-US"/>
        </w:rPr>
      </w:r>
      <w:r/>
    </w:p>
    <w:p>
      <w:pPr>
        <w:pStyle w:val="1129"/>
        <w:rPr>
          <w:rFonts w:hint="eastAsia" w:ascii="宋体" w:hAnsi="宋体" w:eastAsia="宋体" w:cs="宋体"/>
          <w:i/>
          <w:u w:val="single"/>
          <w:lang w:val="en-US"/>
        </w:rPr>
      </w:pPr>
      <w:r>
        <w:rPr>
          <w:rFonts w:hint="eastAsia" w:ascii="宋体" w:hAnsi="宋体" w:eastAsia="宋体" w:cs="宋体"/>
          <w:i/>
          <w:u w:val="single"/>
          <w:lang w:val="en-US"/>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outlineLvl w:val="0"/>
      </w:pPr>
      <w:r/>
      <w:bookmarkStart w:id="441" w:name="_Toc26266"/>
      <w:r/>
      <w:bookmarkStart w:id="442" w:name="_Toc8922"/>
      <w:r>
        <w:rPr>
          <w:rFonts w:hint="eastAsia" w:ascii="宋体" w:hAnsi="宋体" w:eastAsia="宋体" w:cs="宋体"/>
          <w:b/>
          <w:sz w:val="32"/>
          <w:szCs w:val="32"/>
        </w:rPr>
        <w:t xml:space="preserve">四、法人授权书</w:t>
      </w:r>
      <w:bookmarkEnd w:id="441"/>
      <w:r/>
      <w:bookmarkEnd w:id="442"/>
      <w:r/>
      <w:r/>
    </w:p>
    <w:p>
      <w:pPr>
        <w:ind w:left="0" w:right="0" w:firstLine="482"/>
        <w:jc w:val="left"/>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0"/>
        <w:jc w:val="left"/>
        <w:spacing w:before="240" w:after="24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注： 后附授权委托人身份证</w:t>
      </w:r>
      <w:r>
        <w:rPr>
          <w:rFonts w:hint="eastAsia" w:ascii="宋体" w:hAnsi="宋体" w:cs="宋体"/>
          <w:color w:val="auto"/>
          <w:sz w:val="24"/>
          <w:highlight w:val="none"/>
          <w:lang w:val="en-US" w:eastAsia="zh-CN"/>
        </w:rPr>
        <w:t xml:space="preserve">扫描件</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ind w:right="0"/>
        <w:jc w:val="left"/>
        <w:spacing w:before="240" w:after="24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right="0"/>
        <w:jc w:val="left"/>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rPr>
          <w:rFonts w:hint="eastAsia" w:ascii="宋体" w:hAnsi="宋体" w:eastAsia="宋体" w:cs="宋体"/>
          <w:b/>
          <w:i/>
          <w:sz w:val="32"/>
          <w:szCs w:val="32"/>
          <w:u w:val="single"/>
        </w:rP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rPr>
          <w:rFonts w:hint="eastAsia" w:ascii="宋体" w:hAnsi="宋体" w:eastAsia="宋体" w:cs="宋体"/>
          <w:sz w:val="24"/>
          <w:szCs w:val="20"/>
        </w:rPr>
        <w:outlineLvl w:val="0"/>
      </w:pPr>
      <w:r>
        <w:rPr>
          <w:rFonts w:hint="eastAsia" w:ascii="宋体" w:hAnsi="宋体" w:eastAsia="宋体" w:cs="宋体"/>
          <w:b/>
          <w:i/>
          <w:sz w:val="32"/>
          <w:szCs w:val="32"/>
          <w:u w:val="single"/>
        </w:rPr>
        <w:br w:type="page" w:clear="all"/>
      </w:r>
      <w:bookmarkStart w:id="443" w:name="_Toc25409"/>
      <w:r/>
      <w:bookmarkStart w:id="444" w:name="_Toc25358"/>
      <w:r>
        <w:rPr>
          <w:rFonts w:hint="eastAsia" w:ascii="宋体" w:hAnsi="宋体" w:eastAsia="宋体" w:cs="宋体"/>
          <w:b/>
          <w:i/>
          <w:sz w:val="32"/>
          <w:szCs w:val="32"/>
          <w:u w:val="single"/>
        </w:rPr>
        <w:t xml:space="preserve">五、开标一览表</w:t>
      </w:r>
      <w:bookmarkEnd w:id="443"/>
      <w:r/>
      <w:bookmarkEnd w:id="444"/>
      <w:r/>
      <w:r/>
    </w:p>
    <w:p>
      <w:pPr>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投标人全称（加盖CA电子签章）：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分包号：</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5960"/>
      </w:tblGrid>
      <w:tr>
        <w:trPr>
          <w:trHeight w:val="6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lang w:val="en-US" w:eastAsia="zh-CN"/>
              </w:rPr>
              <w:t xml:space="preserve">招标</w:t>
            </w:r>
            <w:r>
              <w:rPr>
                <w:rFonts w:hint="default" w:eastAsia="宋体" w:cs="宋体" w:asciiTheme="majorAscii" w:hAnsiTheme="majorAscii"/>
                <w:color w:val="000000"/>
                <w:sz w:val="24"/>
                <w:szCs w:val="24"/>
              </w:rPr>
              <w:t xml:space="preserve">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240" w:lineRule="auto"/>
              <w:rPr>
                <w:rFonts w:hint="default" w:eastAsia="宋体" w:cs="宋体" w:asciiTheme="majorAscii" w:hAnsiTheme="majorAscii"/>
                <w:sz w:val="24"/>
                <w:szCs w:val="24"/>
                <w:lang w:eastAsia="zh-CN"/>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sz w:val="24"/>
                <w:szCs w:val="24"/>
                <w:lang w:eastAsia="zh-CN"/>
              </w:rPr>
              <w:t xml:space="preserve">单价（元/毫升、元/头份</w:t>
            </w:r>
            <w:r>
              <w:rPr>
                <w:rFonts w:hint="eastAsia" w:cs="宋体" w:asciiTheme="majorAscii" w:hAnsiTheme="majorAscii"/>
                <w:sz w:val="24"/>
                <w:szCs w:val="24"/>
                <w:lang w:eastAsia="zh-CN"/>
              </w:rPr>
              <w:t xml:space="preserve">、</w:t>
            </w:r>
            <w:r>
              <w:rPr>
                <w:rFonts w:hint="eastAsia" w:cs="宋体" w:asciiTheme="majorAscii" w:hAnsiTheme="majorAscii"/>
                <w:sz w:val="24"/>
                <w:szCs w:val="24"/>
                <w:lang w:val="en-US" w:eastAsia="zh-CN"/>
              </w:rPr>
              <w:t xml:space="preserve">元/副</w:t>
            </w:r>
            <w:r>
              <w:rPr>
                <w:rFonts w:hint="default" w:eastAsia="宋体" w:cs="宋体" w:asciiTheme="majorAscii" w:hAnsiTheme="majorAscii"/>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315"/>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1、开标一览表必须加盖投标人CA电子公章。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2、投标人投任何一个包的标的，都需单独填写开标一览表。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color w:val="000000"/>
          <w:sz w:val="24"/>
          <w:szCs w:val="24"/>
        </w:rPr>
        <w:outlineLvl w:val="0"/>
      </w:pPr>
      <w:r>
        <w:rPr>
          <w:rFonts w:hint="eastAsia" w:ascii="宋体" w:hAnsi="宋体" w:eastAsia="宋体" w:cs="宋体"/>
          <w:b/>
          <w:sz w:val="32"/>
          <w:szCs w:val="32"/>
        </w:rPr>
        <w:br w:type="page" w:clear="all"/>
      </w:r>
      <w:bookmarkStart w:id="445" w:name="_Toc29514"/>
      <w:r/>
      <w:bookmarkStart w:id="446" w:name="_Toc407"/>
      <w:r>
        <w:rPr>
          <w:rFonts w:hint="eastAsia" w:ascii="宋体" w:hAnsi="宋体" w:eastAsia="宋体" w:cs="宋体"/>
          <w:b/>
          <w:sz w:val="32"/>
          <w:szCs w:val="32"/>
        </w:rPr>
        <w:t xml:space="preserve">六、投标报价明细表</w:t>
      </w:r>
      <w:bookmarkEnd w:id="445"/>
      <w:r/>
      <w:bookmarkEnd w:id="446"/>
      <w:r/>
      <w:r/>
    </w:p>
    <w:p>
      <w:pPr>
        <w:rPr>
          <w:rFonts w:ascii="Times New Roman" w:hAnsi="Times New Roman"/>
          <w:sz w:val="24"/>
          <w:szCs w:val="24"/>
        </w:rPr>
      </w:pPr>
      <w:r>
        <w:rPr>
          <w:rFonts w:ascii="Times New Roman" w:hAnsi="Times New Roman"/>
          <w:sz w:val="24"/>
          <w:szCs w:val="24"/>
        </w:rPr>
      </w:r>
      <w:r/>
    </w:p>
    <w:p>
      <w:pPr>
        <w:rPr>
          <w:rFonts w:hint="default" w:ascii="Times New Roman" w:hAnsi="Times New Roman" w:eastAsia="宋体"/>
          <w:sz w:val="24"/>
          <w:szCs w:val="24"/>
          <w:lang w:val="en-US" w:eastAsia="zh-CN"/>
        </w:rPr>
      </w:pPr>
      <w:r>
        <w:rPr>
          <w:rFonts w:ascii="Times New Roman" w:hAnsi="Times New Roman"/>
          <w:sz w:val="24"/>
          <w:szCs w:val="24"/>
        </w:rPr>
        <w:t xml:space="preserve">投标人全称（加盖CA公章）：               </w:t>
      </w:r>
      <w:r>
        <w:rPr>
          <w:rFonts w:hint="eastAsia" w:ascii="Times New Roman" w:hAnsi="Times New Roman"/>
          <w:sz w:val="24"/>
          <w:szCs w:val="24"/>
          <w:lang w:val="en-US" w:eastAsia="zh-CN"/>
        </w:rPr>
        <w:t xml:space="preserve">                 分包号：</w:t>
      </w:r>
      <w:r/>
    </w:p>
    <w:tbl>
      <w:tblPr>
        <w:tblStyle w:val="878"/>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2126"/>
        <w:gridCol w:w="1701"/>
        <w:gridCol w:w="2097"/>
      </w:tblGrid>
      <w:tr>
        <w:trPr>
          <w:cantSplit/>
          <w:trHeight w:val="523"/>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4</w:t>
            </w:r>
            <w:r/>
          </w:p>
        </w:tc>
      </w:tr>
      <w:tr>
        <w:trPr>
          <w:cantSplit/>
          <w:trHeight w:val="282"/>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产品名称、品牌</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规格、型号</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产地</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单价（元/毫升、元/头份</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元/副</w:t>
            </w:r>
            <w:r>
              <w:rPr>
                <w:rFonts w:ascii="Times New Roman" w:hAnsi="Times New Roman"/>
                <w:sz w:val="24"/>
                <w:szCs w:val="24"/>
              </w:rPr>
              <w:t xml:space="preserve">）</w:t>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bl>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outlineLvl w:val="0"/>
      </w:pPr>
      <w:r/>
      <w:bookmarkStart w:id="447" w:name="_Toc21309"/>
      <w:r/>
      <w:bookmarkStart w:id="448" w:name="_Toc29668"/>
      <w:r>
        <w:rPr>
          <w:rFonts w:hint="eastAsia" w:ascii="宋体" w:hAnsi="宋体" w:eastAsia="宋体" w:cs="宋体"/>
          <w:b/>
          <w:sz w:val="32"/>
          <w:szCs w:val="32"/>
        </w:rPr>
        <w:t xml:space="preserve">七、中小（微）企业声明函（货物）</w:t>
      </w:r>
      <w:bookmarkEnd w:id="447"/>
      <w:r/>
      <w:bookmarkEnd w:id="448"/>
      <w:r/>
      <w:r/>
    </w:p>
    <w:p>
      <w:pPr>
        <w:pStyle w:val="1185"/>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185"/>
        <w:jc w:val="center"/>
        <w:rPr>
          <w:rFonts w:hint="eastAsia" w:ascii="宋体" w:hAnsi="宋体" w:eastAsia="宋体" w:cs="宋体"/>
          <w:b/>
          <w:sz w:val="32"/>
          <w:szCs w:val="32"/>
        </w:rPr>
      </w:pPr>
      <w:r>
        <w:rPr>
          <w:rFonts w:hint="eastAsia" w:ascii="宋体" w:hAnsi="宋体" w:eastAsia="宋体" w:cs="宋体"/>
          <w:b/>
          <w:sz w:val="32"/>
          <w:szCs w:val="32"/>
          <w:lang w:val="en-US" w:eastAsia="zh-CN" w:bidi="ar-SA"/>
        </w:rPr>
        <w:t xml:space="preserve">中小（微）企业声明函（货物）</w:t>
      </w:r>
      <w:r/>
    </w:p>
    <w:p>
      <w:pPr>
        <w:pStyle w:val="118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 采购活动，提供的货物</w:t>
      </w:r>
      <w:r>
        <w:rPr>
          <w:rFonts w:hint="eastAsia" w:ascii="宋体" w:hAnsi="宋体" w:eastAsia="宋体" w:cs="宋体"/>
          <w:b/>
          <w:bCs/>
          <w:sz w:val="24"/>
          <w:szCs w:val="24"/>
          <w:u w:val="single"/>
        </w:rPr>
        <w:t xml:space="preserve">全部</w:t>
      </w:r>
      <w:r>
        <w:rPr>
          <w:rFonts w:hint="eastAsia" w:ascii="宋体" w:hAnsi="宋体" w:eastAsia="宋体" w:cs="宋体"/>
          <w:sz w:val="24"/>
          <w:szCs w:val="24"/>
        </w:rPr>
        <w:t xml:space="preserve">由符合政策要求的中小企业制造。相关企业（含联合体中的中小企业、签订分包意向协议的中小企业）的具体情况如下：</w:t>
      </w:r>
      <w:r/>
    </w:p>
    <w:p>
      <w:pPr>
        <w:pStyle w:val="1185"/>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1185"/>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pStyle w:val="118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pStyle w:val="118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18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1、投标单位需声明出产品制造商的所属行业和中小企业情况（</w:t>
      </w:r>
      <w:r>
        <w:rPr>
          <w:rFonts w:hint="eastAsia" w:ascii="宋体" w:hAnsi="宋体" w:eastAsia="宋体" w:cs="宋体"/>
          <w:b/>
          <w:bCs/>
          <w:color w:val="auto"/>
          <w:sz w:val="21"/>
          <w:szCs w:val="21"/>
          <w:highlight w:val="none"/>
        </w:rPr>
        <w:t xml:space="preserve">中型企业、小型企业、微型企业</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；投标人如不提供此声明函，不得参加专门面向中小企业采购项目，</w:t>
      </w:r>
      <w:r>
        <w:rPr>
          <w:rFonts w:hint="eastAsia" w:ascii="宋体" w:hAnsi="宋体" w:eastAsia="宋体" w:cs="宋体"/>
          <w:b/>
          <w:bCs/>
          <w:color w:val="auto"/>
          <w:sz w:val="21"/>
          <w:szCs w:val="21"/>
          <w:highlight w:val="none"/>
          <w:lang w:val="en-US" w:eastAsia="zh-CN"/>
        </w:rPr>
        <w:t xml:space="preserve">此声明函将随成交结果同时公告，接受社会监督</w:t>
      </w:r>
      <w:r>
        <w:rPr>
          <w:rFonts w:hint="eastAsia" w:ascii="宋体" w:hAnsi="宋体" w:cs="宋体"/>
          <w:b/>
          <w:bCs/>
          <w:color w:val="auto"/>
          <w:sz w:val="21"/>
          <w:szCs w:val="21"/>
          <w:highlight w:val="none"/>
          <w:lang w:val="en-US" w:eastAsia="zh-CN"/>
        </w:rPr>
        <w:t xml:space="preserve">。</w:t>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从业人员、营业收入、资产总额填报上一年度数据，无上一年度数据的新成立企业可不填报。行业划分标准依据工信部联企业[2011]300号文的规定填写。</w:t>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1186"/>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86"/>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187"/>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cs="宋体"/>
          <w:sz w:val="24"/>
          <w:lang w:eastAsia="zh-CN"/>
        </w:rPr>
        <w:t xml:space="preserve">：</w:t>
      </w:r>
      <w:r>
        <w:rPr>
          <w:rFonts w:hint="eastAsia" w:ascii="宋体" w:hAnsi="宋体" w:eastAsia="宋体" w:cs="宋体"/>
          <w:sz w:val="24"/>
        </w:rPr>
        <w:t xml:space="preserve">中标人为残疾人福利单位的，此声明函将随中标结果同时公告，接受社会监督。）</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1173"/>
        <w:spacing w:line="360" w:lineRule="auto"/>
        <w:rPr>
          <w:rFonts w:hint="eastAsia" w:ascii="宋体" w:hAnsi="宋体" w:eastAsia="宋体" w:cs="宋体"/>
        </w:rPr>
      </w:pPr>
      <w:r>
        <w:rPr>
          <w:rFonts w:hint="eastAsia" w:ascii="宋体" w:hAnsi="宋体" w:eastAsia="宋体" w:cs="宋体"/>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outlineLvl w:val="0"/>
      </w:pPr>
      <w:r>
        <w:rPr>
          <w:rFonts w:hint="eastAsia" w:ascii="宋体" w:hAnsi="宋体" w:eastAsia="宋体" w:cs="宋体"/>
          <w:b/>
          <w:sz w:val="32"/>
          <w:szCs w:val="32"/>
        </w:rPr>
        <w:br w:type="page" w:clear="all"/>
      </w:r>
      <w:bookmarkStart w:id="449" w:name="_Toc23483"/>
      <w:r/>
      <w:bookmarkStart w:id="450" w:name="_Toc12967"/>
      <w:r>
        <w:rPr>
          <w:rFonts w:hint="eastAsia" w:ascii="宋体" w:hAnsi="宋体" w:eastAsia="宋体" w:cs="宋体"/>
          <w:b/>
          <w:sz w:val="32"/>
          <w:szCs w:val="32"/>
        </w:rPr>
        <w:t xml:space="preserve">八</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技术要求响应及偏离表</w:t>
      </w:r>
      <w:bookmarkEnd w:id="449"/>
      <w:r/>
      <w:bookmarkEnd w:id="450"/>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tbl>
      <w:tblPr>
        <w:tblStyle w:val="878"/>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25"/>
        <w:gridCol w:w="2050"/>
        <w:gridCol w:w="2155"/>
        <w:gridCol w:w="1900"/>
      </w:tblGrid>
      <w:tr>
        <w:trPr>
          <w:trHeight w:val="570"/>
        </w:trPr>
        <w:tc>
          <w:tcPr>
            <w:tcW w:w="749"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82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货物名称品牌规格</w:t>
            </w:r>
            <w:r/>
          </w:p>
        </w:tc>
        <w:tc>
          <w:tcPr>
            <w:tcW w:w="205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招标技术要求</w:t>
            </w:r>
            <w:r/>
          </w:p>
        </w:tc>
        <w:tc>
          <w:tcPr>
            <w:tcW w:w="21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投标货物技术要求</w:t>
            </w:r>
            <w:r/>
          </w:p>
        </w:tc>
        <w:tc>
          <w:tcPr>
            <w:tcW w:w="190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选择项（正偏离或符合或负偏离）</w:t>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88" w:lineRule="exact"/>
        <w:rPr>
          <w:rFonts w:hint="eastAsia" w:ascii="宋体" w:hAnsi="宋体" w:eastAsia="宋体" w:cs="宋体"/>
          <w:sz w:val="24"/>
        </w:rPr>
      </w:pPr>
      <w:r>
        <w:rPr>
          <w:rFonts w:hint="eastAsia" w:ascii="宋体" w:hAnsi="宋体" w:eastAsia="宋体" w:cs="宋体"/>
          <w:sz w:val="24"/>
        </w:rPr>
        <w:t xml:space="preserve">1.凡</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文件中所投货物或服务，均应在此表中“偏离内容及说明”一栏中详细列出并说明理由（内容较多的可以标注见</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文件第几页）。响应偏离情况使用：正偏离、负偏离或</w:t>
      </w:r>
      <w:r>
        <w:rPr>
          <w:rFonts w:hint="eastAsia" w:ascii="宋体" w:hAnsi="宋体" w:eastAsia="宋体" w:cs="宋体"/>
          <w:sz w:val="24"/>
          <w:lang w:val="en-US" w:eastAsia="zh-CN"/>
        </w:rPr>
        <w:t xml:space="preserve">符合</w:t>
      </w:r>
      <w:r>
        <w:rPr>
          <w:rFonts w:hint="eastAsia" w:ascii="宋体" w:hAnsi="宋体" w:eastAsia="宋体" w:cs="宋体"/>
          <w:sz w:val="24"/>
        </w:rPr>
        <w:t xml:space="preserve">标明。</w:t>
      </w:r>
      <w:r/>
    </w:p>
    <w:p>
      <w:pPr>
        <w:spacing w:line="488" w:lineRule="exact"/>
        <w:rPr>
          <w:rFonts w:hint="eastAsia" w:ascii="宋体" w:hAnsi="宋体" w:eastAsia="宋体" w:cs="宋体"/>
          <w:sz w:val="24"/>
        </w:rPr>
      </w:pPr>
      <w:r>
        <w:rPr>
          <w:rFonts w:hint="eastAsia" w:ascii="宋体" w:hAnsi="宋体" w:eastAsia="宋体" w:cs="宋体"/>
          <w:sz w:val="24"/>
        </w:rPr>
        <w:t xml:space="preserve">2.投标人必须对技术要求和商务要求中的实质性要求做出明确响应，否则作无效</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处理。</w:t>
      </w:r>
      <w:r/>
    </w:p>
    <w:p>
      <w:pPr>
        <w:spacing w:line="488"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w:t>
      </w:r>
      <w:r>
        <w:rPr>
          <w:rFonts w:hint="eastAsia" w:ascii="宋体" w:hAnsi="宋体" w:cs="宋体"/>
          <w:sz w:val="24"/>
          <w:lang w:val="en-US" w:eastAsia="zh-CN"/>
        </w:rPr>
        <w:t xml:space="preserve">如</w:t>
      </w:r>
      <w:r>
        <w:rPr>
          <w:rFonts w:hint="eastAsia" w:ascii="宋体" w:hAnsi="宋体" w:eastAsia="宋体" w:cs="宋体"/>
          <w:sz w:val="24"/>
        </w:rPr>
        <w:t xml:space="preserve">要求提供证明材料</w:t>
      </w:r>
      <w:r>
        <w:rPr>
          <w:rFonts w:hint="eastAsia" w:ascii="宋体" w:hAnsi="宋体" w:cs="宋体"/>
          <w:sz w:val="24"/>
          <w:lang w:val="en-US" w:eastAsia="zh-CN"/>
        </w:rPr>
        <w:t xml:space="preserve">的</w:t>
      </w:r>
      <w:r>
        <w:rPr>
          <w:rFonts w:hint="eastAsia" w:ascii="宋体" w:hAnsi="宋体" w:eastAsia="宋体" w:cs="宋体"/>
          <w:sz w:val="24"/>
        </w:rPr>
        <w:t xml:space="preserve">，投标人</w:t>
      </w:r>
      <w:r>
        <w:rPr>
          <w:rFonts w:hint="eastAsia" w:ascii="宋体" w:hAnsi="宋体" w:cs="宋体"/>
          <w:sz w:val="24"/>
          <w:lang w:val="en-US" w:eastAsia="zh-CN"/>
        </w:rPr>
        <w:t xml:space="preserve">需</w:t>
      </w:r>
      <w:r>
        <w:rPr>
          <w:rFonts w:hint="eastAsia" w:ascii="宋体" w:hAnsi="宋体" w:eastAsia="宋体" w:cs="宋体"/>
          <w:sz w:val="24"/>
        </w:rPr>
        <w:t xml:space="preserve">将证明材料列于该表之下。</w:t>
      </w:r>
      <w:r/>
    </w:p>
    <w:p>
      <w:pPr>
        <w:spacing w:line="488" w:lineRule="exact"/>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.上述表格行数不够，可自行添加。</w:t>
      </w:r>
      <w:r/>
    </w:p>
    <w:p>
      <w:pPr>
        <w:pStyle w:val="1176"/>
        <w:rPr>
          <w:rFonts w:hint="eastAsia" w:ascii="宋体" w:hAnsi="宋体" w:eastAsia="宋体" w:cs="宋体"/>
        </w:rPr>
      </w:pPr>
      <w:r>
        <w:rPr>
          <w:rFonts w:hint="eastAsia" w:ascii="宋体" w:hAnsi="宋体" w:eastAsia="宋体" w:cs="宋体"/>
        </w:rPr>
      </w:r>
      <w:r/>
    </w:p>
    <w:p>
      <w:pPr>
        <w:pStyle w:val="1176"/>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sectPr>
          <w:headerReference w:type="default" r:id="rId12"/>
          <w:footerReference w:type="default" r:id="rId16"/>
          <w:footerReference w:type="first" r:id="rId17"/>
          <w:footnotePr/>
          <w:endnotePr/>
          <w:type w:val="nextPage"/>
          <w:pgSz w:w="11906" w:h="16838" w:orient="portrait"/>
          <w:pgMar w:top="1440" w:right="1800" w:bottom="1440" w:left="1800" w:header="851" w:footer="907" w:gutter="0"/>
          <w:cols w:num="1" w:sep="0" w:space="720" w:equalWidth="1"/>
          <w:docGrid w:linePitch="360"/>
        </w:sect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outlineLvl w:val="0"/>
      </w:pPr>
      <w:r/>
      <w:bookmarkStart w:id="451" w:name="_Toc31898"/>
      <w:r/>
      <w:bookmarkStart w:id="452" w:name="_Toc31326"/>
      <w:r>
        <w:rPr>
          <w:rFonts w:hint="eastAsia" w:ascii="宋体" w:hAnsi="宋体" w:eastAsia="宋体" w:cs="宋体"/>
          <w:b/>
          <w:sz w:val="32"/>
          <w:szCs w:val="24"/>
          <w:lang w:val="en-US" w:eastAsia="zh-CN" w:bidi="ar-SA"/>
        </w:rPr>
        <w:t xml:space="preserve">九、所提供产品技术资料或样本等</w:t>
      </w:r>
      <w:bookmarkEnd w:id="451"/>
      <w:r/>
      <w:bookmarkEnd w:id="452"/>
      <w:r/>
      <w:r/>
    </w:p>
    <w:p>
      <w:pPr>
        <w:jc w:val="center"/>
        <w:spacing w:line="360" w:lineRule="auto"/>
        <w:rPr>
          <w:rFonts w:hint="eastAsia" w:ascii="宋体" w:hAnsi="宋体" w:eastAsia="宋体" w:cs="宋体"/>
          <w:b/>
          <w:sz w:val="32"/>
          <w:szCs w:val="24"/>
          <w:lang w:val="en-US" w:eastAsia="zh-CN" w:bidi="ar-S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sz w:val="32"/>
          <w:szCs w:val="24"/>
          <w:lang w:val="en-US" w:eastAsia="zh-CN" w:bidi="ar-SA"/>
        </w:rPr>
        <w:t xml:space="preserve">格式自拟，可附相关产品技术彩页</w:t>
      </w:r>
      <w:r/>
    </w:p>
    <w:p>
      <w:pPr>
        <w:jc w:val="left"/>
        <w:spacing w:line="360" w:lineRule="auto"/>
        <w:rPr>
          <w:rFonts w:hint="eastAsia" w:ascii="宋体" w:hAnsi="宋体" w:eastAsia="宋体" w:cs="宋体"/>
          <w:b/>
          <w:sz w:val="32"/>
          <w:szCs w:val="24"/>
          <w:lang w:val="en-US" w:eastAsia="zh-CN" w:bidi="ar-SA"/>
        </w:rPr>
        <w:outlineLvl w:val="0"/>
      </w:pPr>
      <w:r/>
      <w:bookmarkStart w:id="453" w:name="_Toc9425"/>
      <w:r/>
      <w:bookmarkStart w:id="454" w:name="_Toc29755"/>
      <w:r>
        <w:rPr>
          <w:rFonts w:hint="eastAsia" w:ascii="宋体" w:hAnsi="宋体" w:eastAsia="宋体" w:cs="宋体"/>
          <w:b/>
          <w:sz w:val="32"/>
          <w:szCs w:val="24"/>
          <w:lang w:val="en-US" w:eastAsia="zh-CN" w:bidi="ar-SA"/>
        </w:rPr>
        <w:t xml:space="preserve">十、投标货物、品牌规格、性能、交货期说明表</w:t>
      </w:r>
      <w:bookmarkEnd w:id="453"/>
      <w:r/>
      <w:bookmarkEnd w:id="454"/>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sz w:val="32"/>
          <w:szCs w:val="32"/>
        </w:rPr>
        <w:t xml:space="preserve">投标货物和服务数量、品牌规格、性能、交货期说明表</w:t>
      </w:r>
      <w:r/>
    </w:p>
    <w:tbl>
      <w:tblPr>
        <w:tblStyle w:val="878"/>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670"/>
        <w:gridCol w:w="1740"/>
        <w:gridCol w:w="945"/>
        <w:gridCol w:w="1770"/>
        <w:gridCol w:w="1215"/>
      </w:tblGrid>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bl>
    <w:p>
      <w:pPr>
        <w:spacing w:line="480" w:lineRule="exac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outlineLvl w:val="0"/>
      </w:pPr>
      <w:r/>
      <w:bookmarkStart w:id="455" w:name="_Toc18003"/>
      <w:r/>
      <w:bookmarkStart w:id="456" w:name="_Toc5208"/>
      <w:r>
        <w:rPr>
          <w:rFonts w:hint="eastAsia" w:ascii="宋体" w:hAnsi="宋体" w:cs="宋体"/>
          <w:b/>
          <w:sz w:val="32"/>
          <w:szCs w:val="24"/>
          <w:lang w:val="en-US" w:eastAsia="zh-CN" w:bidi="ar-SA"/>
        </w:rPr>
        <w:t xml:space="preserve">十一</w:t>
      </w:r>
      <w:r>
        <w:rPr>
          <w:rFonts w:hint="eastAsia" w:ascii="宋体" w:hAnsi="宋体" w:eastAsia="宋体" w:cs="宋体"/>
          <w:b/>
          <w:sz w:val="32"/>
          <w:szCs w:val="24"/>
          <w:lang w:val="en-US" w:eastAsia="zh-CN" w:bidi="ar-SA"/>
        </w:rPr>
        <w:t xml:space="preserve">、售后服务承诺书</w:t>
      </w:r>
      <w:bookmarkEnd w:id="455"/>
      <w:r/>
      <w:bookmarkEnd w:id="456"/>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售后服务承诺书</w:t>
      </w:r>
      <w:r/>
    </w:p>
    <w:tbl>
      <w:tblPr>
        <w:tblStyle w:val="878"/>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90"/>
        <w:gridCol w:w="1920"/>
        <w:gridCol w:w="2490"/>
      </w:tblGrid>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其中：免费更换</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79"/>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免费质保期满后</w:t>
            </w:r>
            <w:r/>
          </w:p>
          <w:p>
            <w:pPr>
              <w:jc w:val="center"/>
              <w:spacing w:before="25" w:after="25" w:line="360" w:lineRule="auto"/>
              <w:rPr>
                <w:rFonts w:hint="eastAsia" w:ascii="宋体" w:hAnsi="宋体" w:cs="宋体"/>
                <w:szCs w:val="21"/>
              </w:rPr>
            </w:pPr>
            <w:r>
              <w:rPr>
                <w:rFonts w:hint="eastAsia" w:ascii="宋体" w:hAnsi="宋体" w:cs="宋体"/>
                <w:szCs w:val="21"/>
              </w:rPr>
              <w:t xml:space="preserve">优惠更换或维修</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其他</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52"/>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ind w:firstLine="420"/>
        <w:spacing w:before="25" w:after="25" w:line="360" w:lineRule="auto"/>
        <w:rPr>
          <w:rFonts w:hint="eastAsia" w:ascii="宋体" w:hAnsi="宋体" w:cs="宋体"/>
          <w:szCs w:val="21"/>
        </w:rPr>
      </w:pPr>
      <w:r>
        <w:rPr>
          <w:rFonts w:hint="eastAsia" w:ascii="宋体" w:hAnsi="宋体" w:cs="宋体"/>
          <w:szCs w:val="21"/>
        </w:rPr>
        <w:t xml:space="preserve">注：1、上述1、2、3条请明确期限，4、5条请明确时间；</w:t>
      </w:r>
      <w:r/>
    </w:p>
    <w:p>
      <w:pPr>
        <w:ind w:firstLine="896"/>
        <w:spacing w:before="25" w:after="25" w:line="360" w:lineRule="auto"/>
        <w:rPr>
          <w:rFonts w:hint="eastAsia" w:ascii="宋体" w:hAnsi="宋体" w:cs="宋体"/>
          <w:szCs w:val="21"/>
        </w:rPr>
      </w:pPr>
      <w:r>
        <w:rPr>
          <w:rFonts w:hint="eastAsia" w:ascii="宋体" w:hAnsi="宋体" w:cs="宋体"/>
          <w:szCs w:val="21"/>
        </w:rPr>
        <w:t xml:space="preserve">2、免费质保期内更换及维修服务，均包含了人工、交通费、材料、运输等一切费用；</w:t>
      </w:r>
      <w:r/>
    </w:p>
    <w:p>
      <w:pPr>
        <w:ind w:firstLine="896"/>
        <w:spacing w:before="25" w:after="25" w:line="360" w:lineRule="auto"/>
        <w:rPr>
          <w:rFonts w:hint="eastAsia" w:ascii="宋体" w:hAnsi="宋体" w:cs="宋体"/>
          <w:szCs w:val="21"/>
        </w:rPr>
      </w:pPr>
      <w:r>
        <w:rPr>
          <w:rFonts w:hint="eastAsia" w:ascii="宋体" w:hAnsi="宋体" w:cs="宋体"/>
          <w:szCs w:val="21"/>
        </w:rPr>
        <w:t xml:space="preserve">3、针对服务内容有必须说明的事项，请在“备注”栏目内注明；</w:t>
      </w:r>
      <w:r/>
    </w:p>
    <w:p>
      <w:pPr>
        <w:ind w:firstLine="896"/>
        <w:spacing w:before="25" w:after="25" w:line="360" w:lineRule="auto"/>
        <w:rPr>
          <w:rFonts w:hint="eastAsia" w:ascii="宋体" w:hAnsi="宋体" w:cs="宋体"/>
          <w:szCs w:val="21"/>
        </w:rPr>
      </w:pPr>
      <w:r>
        <w:rPr>
          <w:rFonts w:hint="eastAsia" w:ascii="宋体" w:hAnsi="宋体" w:cs="宋体"/>
          <w:szCs w:val="21"/>
        </w:rPr>
        <w:t xml:space="preserve">4、如有其它售后服务内容，可自行参照填写。</w:t>
      </w:r>
      <w:r/>
    </w:p>
    <w:p>
      <w:pPr>
        <w:ind w:firstLine="96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76"/>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176"/>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176"/>
        <w:rPr>
          <w:rFonts w:hint="eastAsia" w:ascii="宋体" w:hAnsi="宋体" w:eastAsia="宋体" w:cs="宋体"/>
        </w:rPr>
      </w:pPr>
      <w:r>
        <w:rPr>
          <w:rFonts w:hint="eastAsia" w:ascii="宋体" w:hAnsi="宋体" w:eastAsia="宋体" w:cs="宋体"/>
        </w:rPr>
      </w:r>
      <w:r/>
    </w:p>
    <w:p>
      <w:pPr>
        <w:pStyle w:val="1176"/>
        <w:rPr>
          <w:rFonts w:hint="eastAsia" w:ascii="宋体" w:hAnsi="宋体" w:eastAsia="宋体" w:cs="宋体"/>
        </w:rPr>
      </w:pPr>
      <w:r>
        <w:rPr>
          <w:rFonts w:hint="eastAsia" w:ascii="宋体" w:hAnsi="宋体" w:eastAsia="宋体" w:cs="宋体"/>
        </w:rPr>
      </w:r>
      <w:r/>
    </w:p>
    <w:p>
      <w:pPr>
        <w:pStyle w:val="1176"/>
        <w:rPr>
          <w:rFonts w:hint="eastAsia" w:ascii="宋体" w:hAnsi="宋体" w:eastAsia="宋体" w:cs="宋体"/>
        </w:rPr>
      </w:pPr>
      <w:r>
        <w:rPr>
          <w:rFonts w:hint="eastAsia" w:ascii="宋体" w:hAnsi="宋体" w:eastAsia="宋体" w:cs="宋体"/>
        </w:rPr>
      </w:r>
      <w:r/>
    </w:p>
    <w:p>
      <w:pPr>
        <w:pStyle w:val="1176"/>
        <w:rPr>
          <w:rFonts w:hint="eastAsia" w:ascii="宋体" w:hAnsi="宋体" w:eastAsia="宋体" w:cs="宋体"/>
        </w:rPr>
      </w:pPr>
      <w:r>
        <w:rPr>
          <w:rFonts w:hint="eastAsia" w:ascii="宋体" w:hAnsi="宋体" w:eastAsia="宋体" w:cs="宋体"/>
        </w:rPr>
      </w:r>
      <w:r/>
    </w:p>
    <w:p>
      <w:pPr>
        <w:pStyle w:val="1176"/>
        <w:rPr>
          <w:rFonts w:hint="eastAsia" w:ascii="宋体" w:hAnsi="宋体" w:eastAsia="宋体" w:cs="宋体"/>
        </w:rPr>
        <w:outlineLvl w:val="0"/>
      </w:pPr>
      <w:r/>
      <w:bookmarkStart w:id="457" w:name="_Toc18612"/>
      <w:r/>
      <w:bookmarkStart w:id="458" w:name="_Toc9067"/>
      <w:r>
        <w:rPr>
          <w:rFonts w:hint="eastAsia" w:ascii="宋体" w:hAnsi="宋体" w:eastAsia="宋体" w:cs="宋体"/>
          <w:lang w:val="en-US" w:eastAsia="zh-CN"/>
        </w:rPr>
        <w:t xml:space="preserve">十二</w:t>
      </w:r>
      <w:r>
        <w:rPr>
          <w:rFonts w:hint="eastAsia" w:ascii="宋体" w:hAnsi="宋体" w:eastAsia="宋体" w:cs="宋体"/>
        </w:rPr>
        <w:t xml:space="preserve">、项目组人员</w:t>
      </w:r>
      <w:bookmarkEnd w:id="457"/>
      <w:r/>
      <w:bookmarkEnd w:id="458"/>
      <w:r/>
      <w:r/>
    </w:p>
    <w:p>
      <w:pPr>
        <w:pStyle w:val="1114"/>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w:t>
      </w:r>
      <w:r>
        <w:rPr>
          <w:rFonts w:hint="eastAsia" w:cs="宋体"/>
          <w:b/>
          <w:bCs/>
          <w:sz w:val="32"/>
          <w:szCs w:val="32"/>
          <w:lang w:val="en-US" w:eastAsia="zh-CN" w:bidi="ar"/>
        </w:rPr>
        <w:t xml:space="preserve">人</w:t>
      </w:r>
      <w:r>
        <w:rPr>
          <w:rFonts w:hint="eastAsia" w:ascii="宋体" w:hAnsi="宋体" w:eastAsia="宋体" w:cs="宋体"/>
          <w:b/>
          <w:bCs/>
          <w:sz w:val="32"/>
          <w:szCs w:val="32"/>
          <w:lang w:bidi="ar"/>
        </w:rPr>
        <w:t xml:space="preserve">员</w:t>
      </w:r>
      <w:r/>
    </w:p>
    <w:tbl>
      <w:tblPr>
        <w:tblStyle w:val="87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77"/>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280"/>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4"/>
              <w:jc w:val="center"/>
              <w:rPr>
                <w:rFonts w:hint="eastAsia" w:ascii="宋体" w:hAnsi="宋体" w:eastAsia="宋体" w:cs="宋体"/>
                <w:sz w:val="24"/>
                <w:szCs w:val="24"/>
                <w:lang w:eastAsia="zh-CN"/>
              </w:rPr>
            </w:pPr>
            <w:r>
              <w:rPr>
                <w:rFonts w:hint="eastAsia" w:ascii="宋体" w:hAnsi="宋体" w:eastAsia="宋体" w:cs="宋体"/>
                <w:sz w:val="24"/>
                <w:szCs w:val="24"/>
                <w:lang w:bidi="ar"/>
              </w:rPr>
              <w:t xml:space="preserve">项目</w:t>
            </w:r>
            <w:r>
              <w:rPr>
                <w:rFonts w:hint="eastAsia" w:cs="宋体"/>
                <w:sz w:val="24"/>
                <w:szCs w:val="24"/>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4"/>
              <w:jc w:val="center"/>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4"/>
              <w:ind w:firstLine="280"/>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77"/>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1114"/>
        <w:ind w:firstLine="398"/>
        <w:spacing w:line="460" w:lineRule="exact"/>
        <w:rPr>
          <w:rFonts w:hint="eastAsia" w:ascii="宋体" w:hAnsi="宋体" w:eastAsia="宋体" w:cs="宋体"/>
        </w:rPr>
      </w:pPr>
      <w:r>
        <w:rPr>
          <w:rFonts w:hint="eastAsia" w:ascii="宋体" w:hAnsi="宋体" w:eastAsia="宋体" w:cs="宋体"/>
          <w:b/>
          <w:lang w:bidi="ar"/>
        </w:rPr>
        <w:t xml:space="preserve">注：如供应商中标，项目组成员必须按本表承诺人员操作，不得随意更换。</w:t>
      </w:r>
      <w:r/>
    </w:p>
    <w:p>
      <w:pPr>
        <w:pStyle w:val="1114"/>
        <w:ind w:firstLine="280"/>
        <w:spacing w:line="500" w:lineRule="exact"/>
        <w:rPr>
          <w:rFonts w:hint="eastAsia" w:ascii="宋体" w:hAnsi="宋体" w:eastAsia="宋体" w:cs="宋体"/>
        </w:rPr>
      </w:pPr>
      <w:r>
        <w:rPr>
          <w:rFonts w:hint="eastAsia" w:ascii="宋体" w:hAnsi="宋体" w:eastAsia="宋体" w:cs="宋体"/>
        </w:rPr>
      </w:r>
      <w:r/>
    </w:p>
    <w:p>
      <w:pPr>
        <w:pStyle w:val="1114"/>
        <w:ind w:firstLine="280"/>
        <w:spacing w:line="500" w:lineRule="exact"/>
        <w:rPr>
          <w:rFonts w:hint="eastAsia" w:ascii="宋体" w:hAnsi="宋体" w:eastAsia="宋体" w:cs="宋体"/>
        </w:rPr>
      </w:pPr>
      <w:r>
        <w:rPr>
          <w:rFonts w:hint="eastAsia" w:ascii="宋体" w:hAnsi="宋体" w:eastAsia="宋体" w:cs="宋体"/>
        </w:rPr>
      </w:r>
      <w:r/>
    </w:p>
    <w:p>
      <w:pPr>
        <w:pStyle w:val="1114"/>
        <w:ind w:firstLine="280"/>
        <w:spacing w:line="500" w:lineRule="exact"/>
        <w:rPr>
          <w:rFonts w:hint="eastAsia" w:ascii="宋体" w:hAnsi="宋体" w:eastAsia="宋体" w:cs="宋体"/>
        </w:rPr>
      </w:pPr>
      <w:r>
        <w:rPr>
          <w:rFonts w:hint="eastAsia" w:ascii="宋体" w:hAnsi="宋体" w:eastAsia="宋体" w:cs="宋体"/>
        </w:rPr>
      </w:r>
      <w:r/>
    </w:p>
    <w:p>
      <w:pPr>
        <w:pStyle w:val="1178"/>
        <w:spacing w:line="500" w:lineRule="exact"/>
        <w:rPr>
          <w:rFonts w:hint="eastAsia" w:ascii="宋体" w:hAnsi="宋体" w:eastAsia="宋体" w:cs="宋体"/>
          <w:b/>
          <w:sz w:val="32"/>
        </w:rPr>
      </w:pPr>
      <w:r/>
      <w:bookmarkStart w:id="459" w:name="_Toc11176"/>
      <w:r/>
      <w:r/>
    </w:p>
    <w:p>
      <w:pPr>
        <w:pStyle w:val="1178"/>
        <w:spacing w:line="500" w:lineRule="exact"/>
        <w:rPr>
          <w:rFonts w:hint="eastAsia" w:ascii="宋体" w:hAnsi="宋体" w:eastAsia="宋体" w:cs="宋体"/>
          <w:b/>
          <w:sz w:val="32"/>
        </w:rPr>
      </w:pPr>
      <w:r>
        <w:rPr>
          <w:rFonts w:hint="eastAsia" w:ascii="宋体" w:hAnsi="宋体" w:eastAsia="宋体" w:cs="宋体"/>
          <w:b/>
          <w:sz w:val="32"/>
        </w:rPr>
      </w:r>
      <w:r/>
    </w:p>
    <w:p>
      <w:pPr>
        <w:pStyle w:val="1178"/>
        <w:spacing w:line="500" w:lineRule="exact"/>
        <w:rPr>
          <w:rFonts w:hint="eastAsia" w:ascii="宋体" w:hAnsi="宋体" w:eastAsia="宋体" w:cs="宋体"/>
        </w:rPr>
        <w:outlineLvl w:val="0"/>
      </w:pPr>
      <w:r/>
      <w:bookmarkStart w:id="460" w:name="_Toc12404"/>
      <w:r/>
      <w:bookmarkStart w:id="461" w:name="_Toc6842"/>
      <w:r>
        <w:rPr>
          <w:rFonts w:hint="eastAsia" w:ascii="宋体" w:hAnsi="宋体" w:eastAsia="宋体" w:cs="宋体"/>
          <w:b/>
          <w:sz w:val="32"/>
        </w:rPr>
        <w:t xml:space="preserve">十</w:t>
      </w:r>
      <w:r>
        <w:rPr>
          <w:rFonts w:hint="eastAsia" w:ascii="宋体" w:hAnsi="宋体" w:cs="宋体"/>
          <w:b/>
          <w:sz w:val="32"/>
          <w:lang w:val="en-US" w:eastAsia="zh-CN"/>
        </w:rPr>
        <w:t xml:space="preserve">三</w:t>
      </w:r>
      <w:r>
        <w:rPr>
          <w:rFonts w:hint="eastAsia" w:ascii="宋体" w:hAnsi="宋体" w:eastAsia="宋体" w:cs="宋体"/>
          <w:b/>
          <w:sz w:val="32"/>
        </w:rPr>
        <w:t xml:space="preserve">、</w:t>
      </w:r>
      <w:bookmarkEnd w:id="459"/>
      <w:r>
        <w:rPr>
          <w:rFonts w:hint="eastAsia" w:ascii="宋体" w:hAnsi="宋体" w:eastAsia="宋体" w:cs="宋体"/>
          <w:b/>
          <w:sz w:val="32"/>
        </w:rPr>
        <w:t xml:space="preserve">企业业绩</w:t>
      </w:r>
      <w:bookmarkEnd w:id="460"/>
      <w:r/>
      <w:bookmarkEnd w:id="461"/>
      <w:r/>
      <w:r/>
    </w:p>
    <w:p>
      <w:pPr>
        <w:pStyle w:val="1179"/>
        <w:jc w:val="center"/>
        <w:rPr>
          <w:rFonts w:hint="eastAsia" w:ascii="宋体" w:hAnsi="宋体" w:eastAsia="宋体" w:cs="宋体"/>
          <w:b/>
          <w:sz w:val="32"/>
          <w:szCs w:val="32"/>
        </w:rPr>
      </w:pPr>
      <w:r>
        <w:rPr>
          <w:rFonts w:hint="eastAsia" w:ascii="宋体" w:hAnsi="宋体" w:eastAsia="宋体" w:cs="宋体"/>
          <w:b/>
          <w:sz w:val="32"/>
          <w:szCs w:val="32"/>
        </w:rPr>
      </w:r>
      <w:r/>
    </w:p>
    <w:p>
      <w:pPr>
        <w:pStyle w:val="1179"/>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87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7" w:type="dxa"/>
            <w:vAlign w:val="center"/>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433" w:type="dxa"/>
            <w:vAlign w:val="center"/>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采购单位</w:t>
            </w:r>
            <w:r/>
          </w:p>
        </w:tc>
        <w:tc>
          <w:tcPr>
            <w:tcW w:w="1395" w:type="dxa"/>
            <w:vAlign w:val="center"/>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合同金额</w:t>
            </w:r>
            <w:r/>
          </w:p>
        </w:tc>
      </w:tr>
      <w:tr>
        <w:trPr>
          <w:jc w:val="center"/>
          <w:trHeight w:val="1510"/>
        </w:trPr>
        <w:tc>
          <w:tcPr>
            <w:tcW w:w="1229" w:type="dxa"/>
            <w:vAlign w:val="top"/>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7" w:type="dxa"/>
            <w:vAlign w:val="center"/>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433" w:type="dxa"/>
            <w:vAlign w:val="center"/>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11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10"/>
        </w:trPr>
        <w:tc>
          <w:tcPr>
            <w:tcW w:w="1229" w:type="dxa"/>
            <w:vAlign w:val="top"/>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8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179"/>
        <w:rPr>
          <w:rFonts w:hint="eastAsia" w:ascii="宋体" w:hAnsi="宋体" w:eastAsia="宋体" w:cs="宋体"/>
        </w:rPr>
      </w:pPr>
      <w:r>
        <w:rPr>
          <w:rFonts w:hint="eastAsia" w:ascii="宋体" w:hAnsi="宋体" w:eastAsia="宋体" w:cs="宋体"/>
          <w:b/>
          <w:sz w:val="24"/>
        </w:rPr>
        <w:t xml:space="preserve">注：请填写此表，并按要求上传业绩资料电子件。</w:t>
      </w:r>
      <w:r/>
    </w:p>
    <w:p>
      <w:pPr>
        <w:pStyle w:val="1181"/>
        <w:rPr>
          <w:rFonts w:hint="eastAsia" w:ascii="宋体" w:hAnsi="宋体" w:eastAsia="宋体" w:cs="宋体"/>
        </w:rPr>
      </w:pPr>
      <w:r/>
      <w:bookmarkStart w:id="462" w:name="_Toc28140"/>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sectPr>
          <w:footerReference w:type="default" r:id="rId18"/>
          <w:footerReference w:type="first" r:id="rId19"/>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rPr>
        <w:br w:type="page" w:clear="all"/>
      </w:r>
      <w:r/>
    </w:p>
    <w:p>
      <w:pPr>
        <w:pStyle w:val="1181"/>
        <w:rPr>
          <w:rFonts w:hint="eastAsia" w:ascii="宋体" w:hAnsi="宋体" w:eastAsia="宋体" w:cs="宋体"/>
          <w:lang w:val="en-US" w:eastAsia="zh-CN"/>
        </w:rPr>
        <w:outlineLvl w:val="0"/>
      </w:pPr>
      <w:r/>
      <w:bookmarkStart w:id="463" w:name="_Toc20155"/>
      <w:r/>
      <w:bookmarkStart w:id="464" w:name="_Toc25065"/>
      <w:r>
        <w:rPr>
          <w:rFonts w:hint="eastAsia" w:ascii="宋体" w:hAnsi="宋体" w:eastAsia="宋体" w:cs="宋体"/>
          <w:lang w:val="en-US" w:eastAsia="zh-CN"/>
        </w:rPr>
        <w:t xml:space="preserve">十四、企业生产工艺、固化控制指标承诺书</w:t>
      </w:r>
      <w:bookmarkEnd w:id="463"/>
      <w:r/>
      <w:bookmarkEnd w:id="464"/>
      <w:r/>
      <w:r/>
    </w:p>
    <w:p>
      <w:pPr>
        <w:pStyle w:val="1181"/>
        <w:rPr>
          <w:rFonts w:hint="eastAsia" w:ascii="宋体" w:hAnsi="宋体" w:eastAsia="宋体" w:cs="宋体"/>
          <w:lang w:val="en-US" w:eastAsia="zh-CN"/>
        </w:rPr>
      </w:pPr>
      <w:r>
        <w:rPr>
          <w:rFonts w:hint="eastAsia" w:ascii="宋体" w:hAnsi="宋体" w:eastAsia="宋体" w:cs="宋体"/>
          <w:lang w:val="en-US" w:eastAsia="zh-CN"/>
        </w:rPr>
      </w:r>
      <w:r/>
    </w:p>
    <w:p>
      <w:pPr>
        <w:pStyle w:val="1181"/>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企业生产工艺、固化控制指标承诺书</w:t>
      </w:r>
      <w:r/>
    </w:p>
    <w:p>
      <w:pPr>
        <w:pStyle w:val="1181"/>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项目名称：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分包号：</w:t>
      </w:r>
      <w:r/>
    </w:p>
    <w:p>
      <w:pPr>
        <w:pStyle w:val="1181"/>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本单位对所投产品提供以下承诺：</w:t>
      </w:r>
      <w:r/>
    </w:p>
    <w:p>
      <w:pPr>
        <w:pStyle w:val="1181"/>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 培养方法：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 抗原含量：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 佐剂类型:</w:t>
      </w:r>
      <w:r/>
    </w:p>
    <w:p>
      <w:pPr>
        <w:pStyle w:val="1181"/>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本单位若擅自改变疫苗生产工艺，一经发现，立即终止合同并承担约定的违约金。</w:t>
      </w:r>
      <w:r/>
    </w:p>
    <w:p>
      <w:pPr>
        <w:pStyle w:val="1181"/>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 </w:t>
      </w:r>
      <w:r/>
    </w:p>
    <w:p>
      <w:pPr>
        <w:pStyle w:val="1181"/>
        <w:rPr>
          <w:rFonts w:hint="eastAsia" w:ascii="宋体" w:hAnsi="宋体" w:eastAsia="宋体" w:cs="宋体"/>
          <w:sz w:val="24"/>
          <w:szCs w:val="24"/>
        </w:rPr>
      </w:pPr>
      <w:r>
        <w:rPr>
          <w:rFonts w:hint="eastAsia" w:ascii="宋体" w:hAnsi="宋体" w:eastAsia="宋体" w:cs="宋体"/>
          <w:sz w:val="24"/>
          <w:szCs w:val="24"/>
        </w:rPr>
      </w:r>
      <w:r/>
    </w:p>
    <w:p>
      <w:pPr>
        <w:pStyle w:val="1176"/>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176"/>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181"/>
        <w:rPr>
          <w:rFonts w:hint="eastAsia" w:ascii="宋体" w:hAnsi="宋体" w:eastAsia="宋体" w:cs="宋体"/>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sz w:val="24"/>
          <w:szCs w:val="24"/>
        </w:rPr>
      </w:r>
      <w:r/>
    </w:p>
    <w:p>
      <w:pPr>
        <w:pStyle w:val="1181"/>
        <w:rPr>
          <w:rFonts w:hint="eastAsia" w:ascii="宋体" w:hAnsi="宋体" w:eastAsia="宋体" w:cs="宋体"/>
          <w:lang w:val="en-US" w:eastAsia="zh-CN"/>
        </w:rPr>
        <w:outlineLvl w:val="0"/>
      </w:pPr>
      <w:r/>
      <w:bookmarkStart w:id="465" w:name="_Toc28126"/>
      <w:r/>
      <w:bookmarkStart w:id="466" w:name="_Toc21467"/>
      <w:r>
        <w:rPr>
          <w:rFonts w:hint="eastAsia" w:ascii="宋体" w:hAnsi="宋体" w:eastAsia="宋体" w:cs="宋体"/>
          <w:lang w:val="en-US" w:eastAsia="zh-CN"/>
        </w:rPr>
        <w:t xml:space="preserve">十五、市场行为自律承诺书</w:t>
      </w:r>
      <w:bookmarkEnd w:id="465"/>
      <w:r/>
      <w:bookmarkEnd w:id="466"/>
      <w:r/>
      <w:r/>
    </w:p>
    <w:p>
      <w:pPr>
        <w:pStyle w:val="1181"/>
        <w:jc w:val="center"/>
        <w:rPr>
          <w:rFonts w:hint="default" w:ascii="宋体" w:hAnsi="宋体" w:eastAsia="宋体" w:cs="宋体"/>
          <w:lang w:val="en-US" w:eastAsia="zh-CN"/>
        </w:rPr>
      </w:pPr>
      <w:r>
        <w:rPr>
          <w:rFonts w:hint="default" w:ascii="宋体" w:hAnsi="宋体" w:eastAsia="宋体" w:cs="宋体"/>
          <w:lang w:val="en-US" w:eastAsia="zh-CN"/>
        </w:rPr>
      </w:r>
      <w:r/>
    </w:p>
    <w:p>
      <w:pPr>
        <w:pStyle w:val="1181"/>
        <w:jc w:val="center"/>
        <w:rPr>
          <w:rFonts w:hint="default" w:ascii="宋体" w:hAnsi="宋体" w:eastAsia="宋体" w:cs="宋体"/>
          <w:lang w:val="en-US" w:eastAsia="zh-CN"/>
        </w:rPr>
      </w:pPr>
      <w:r>
        <w:rPr>
          <w:rFonts w:hint="default" w:ascii="宋体" w:hAnsi="宋体" w:eastAsia="宋体" w:cs="宋体"/>
          <w:lang w:val="en-US" w:eastAsia="zh-CN"/>
        </w:rPr>
        <w:t xml:space="preserve">市场行为自律承诺书</w:t>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ind w:firstLine="24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本单位在同一批准文号的入围品种疫苗在江苏省不得出现不同标签和说明书的产品，一经发现，立即终止合同并承担约定的违约金。</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w:t>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76"/>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181"/>
        <w:rPr>
          <w:rFonts w:hint="eastAsia" w:ascii="宋体" w:hAnsi="宋体" w:eastAsia="宋体" w:cs="宋体"/>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outlineLvl w:val="0"/>
      </w:pPr>
      <w:r/>
      <w:bookmarkStart w:id="467" w:name="_Toc21569"/>
      <w:r/>
      <w:bookmarkStart w:id="468" w:name="_Toc6579"/>
      <w:r>
        <w:rPr>
          <w:rFonts w:hint="eastAsia" w:ascii="宋体" w:hAnsi="宋体" w:eastAsia="宋体" w:cs="宋体"/>
        </w:rPr>
        <w:t xml:space="preserve">十</w:t>
      </w:r>
      <w:r>
        <w:rPr>
          <w:rFonts w:hint="eastAsia" w:ascii="宋体" w:hAnsi="宋体" w:eastAsia="宋体" w:cs="宋体"/>
          <w:lang w:val="en-US" w:eastAsia="zh-CN"/>
        </w:rPr>
        <w:t xml:space="preserve">六</w:t>
      </w:r>
      <w:r>
        <w:rPr>
          <w:rFonts w:hint="eastAsia" w:ascii="宋体" w:hAnsi="宋体" w:eastAsia="宋体" w:cs="宋体"/>
        </w:rPr>
        <w:t xml:space="preserve">、投标所需其他材料</w:t>
      </w:r>
      <w:bookmarkEnd w:id="462"/>
      <w:r/>
      <w:bookmarkEnd w:id="467"/>
      <w:r/>
      <w:bookmarkEnd w:id="468"/>
      <w:r/>
      <w:r/>
    </w:p>
    <w:p>
      <w:pPr>
        <w:pStyle w:val="118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eastAsia="黑体"/>
          <w:sz w:val="32"/>
        </w:rPr>
      </w:pPr>
      <w:r>
        <w:rPr>
          <w:rFonts w:hint="eastAsia" w:eastAsia="黑体"/>
          <w:sz w:val="32"/>
        </w:rPr>
      </w:r>
      <w:bookmarkEnd w:id="425"/>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912"/>
        <w:ind w:firstLine="0"/>
        <w:rPr>
          <w:rFonts w:hint="eastAsia"/>
          <w:sz w:val="24"/>
        </w:rPr>
      </w:pPr>
      <w:r/>
      <w:bookmarkStart w:id="469" w:name="_Hlt26609389"/>
      <w:r/>
      <w:bookmarkEnd w:id="469"/>
      <w:r/>
      <w:bookmarkStart w:id="470" w:name="_Hlt26671374"/>
      <w:r/>
      <w:bookmarkEnd w:id="470"/>
      <w:r/>
      <w:bookmarkStart w:id="471" w:name="_Hlt26955066"/>
      <w:r/>
      <w:bookmarkEnd w:id="471"/>
      <w:r/>
      <w:bookmarkStart w:id="472" w:name="_Toc462564146"/>
      <w:r/>
      <w:r/>
    </w:p>
    <w:p>
      <w:pPr>
        <w:rPr>
          <w:rFonts w:hint="eastAsia"/>
          <w:sz w:val="24"/>
        </w:rPr>
      </w:pPr>
      <w:r>
        <w:rPr>
          <w:rFonts w:hint="eastAsia"/>
          <w:sz w:val="24"/>
        </w:rPr>
      </w:r>
      <w:r/>
    </w:p>
    <w:p>
      <w:pPr>
        <w:pStyle w:val="1129"/>
        <w:ind w:firstLine="480"/>
        <w:rPr>
          <w:rFonts w:hint="eastAsia" w:ascii="Times New Roman" w:hAnsi="Times New Roman"/>
          <w:sz w:val="24"/>
        </w:rPr>
      </w:pPr>
      <w:r>
        <w:rPr>
          <w:rFonts w:hint="eastAsia" w:ascii="Times New Roman" w:hAnsi="Times New Roman"/>
          <w:sz w:val="24"/>
        </w:rPr>
      </w:r>
      <w:r/>
    </w:p>
    <w:p>
      <w:pPr>
        <w:pStyle w:val="1129"/>
        <w:ind w:firstLine="480"/>
        <w:rPr>
          <w:rFonts w:hint="eastAsia" w:ascii="Times New Roman" w:hAnsi="Times New Roman"/>
          <w:sz w:val="24"/>
        </w:rPr>
      </w:pPr>
      <w:r>
        <w:rPr>
          <w:rFonts w:hint="eastAsia" w:ascii="Times New Roman" w:hAnsi="Times New Roman"/>
          <w:sz w:val="24"/>
        </w:rPr>
      </w:r>
      <w:r/>
    </w:p>
    <w:p>
      <w:pPr>
        <w:pStyle w:val="1129"/>
        <w:ind w:firstLine="480"/>
        <w:rPr>
          <w:rFonts w:hint="eastAsia" w:ascii="Times New Roman" w:hAnsi="Times New Roman"/>
          <w:sz w:val="24"/>
        </w:rPr>
      </w:pPr>
      <w:r>
        <w:rPr>
          <w:rFonts w:hint="eastAsia" w:ascii="Times New Roman" w:hAnsi="Times New Roman"/>
          <w:sz w:val="24"/>
        </w:rPr>
      </w:r>
      <w:bookmarkEnd w:id="313"/>
      <w:bookmarkEnd w:id="314"/>
      <w:bookmarkEnd w:id="472"/>
      <w:r/>
    </w:p>
    <w:p>
      <w:pPr>
        <w:pStyle w:val="1129"/>
        <w:ind w:firstLine="480"/>
        <w:rPr>
          <w:rFonts w:hint="eastAsia" w:ascii="Times New Roman" w:hAnsi="Times New Roman"/>
          <w:sz w:val="24"/>
        </w:rPr>
      </w:pPr>
      <w:r>
        <w:rPr>
          <w:rFonts w:hint="eastAsia" w:ascii="Times New Roman" w:hAnsi="Times New Roman"/>
          <w:sz w:val="24"/>
        </w:rPr>
      </w:r>
      <w:r/>
    </w:p>
    <w:p>
      <w:pPr>
        <w:pStyle w:val="1129"/>
        <w:ind w:firstLine="480"/>
        <w:rPr>
          <w:rFonts w:hint="eastAsia" w:ascii="Times New Roman" w:hAnsi="Times New Roman"/>
          <w:sz w:val="24"/>
        </w:rPr>
      </w:pPr>
      <w:r>
        <w:rPr>
          <w:rFonts w:hint="eastAsia" w:ascii="Times New Roman" w:hAnsi="Times New Roman"/>
          <w:sz w:val="24"/>
        </w:rPr>
      </w:r>
      <w:r/>
    </w:p>
    <w:p>
      <w:pPr>
        <w:pStyle w:val="1129"/>
        <w:ind w:firstLine="480"/>
        <w:rPr>
          <w:rFonts w:hint="eastAsia" w:ascii="Times New Roman" w:hAnsi="Times New Roman"/>
          <w:sz w:val="24"/>
        </w:rPr>
      </w:pPr>
      <w:r>
        <w:rPr>
          <w:rFonts w:hint="eastAsia" w:ascii="Times New Roman" w:hAnsi="Times New Roman"/>
          <w:sz w:val="24"/>
        </w:rPr>
      </w:r>
      <w:r/>
    </w:p>
    <w:p>
      <w:pPr>
        <w:jc w:val="center"/>
        <w:rPr>
          <w:rFonts w:cs="仿宋"/>
          <w:b/>
          <w:bCs/>
          <w:sz w:val="32"/>
          <w:szCs w:val="32"/>
        </w:rPr>
      </w:pPr>
      <w:r/>
      <w:bookmarkStart w:id="473" w:name="_格式2__法定代表人授权书"/>
      <w:r/>
      <w:bookmarkEnd w:id="473"/>
      <w:r/>
      <w:r/>
    </w:p>
    <w:p>
      <w:pPr>
        <w:jc w:val="center"/>
        <w:rPr>
          <w:rFonts w:cs="仿宋"/>
          <w:b/>
          <w:bCs/>
          <w:sz w:val="32"/>
          <w:szCs w:val="32"/>
        </w:rPr>
      </w:pPr>
      <w:r>
        <w:rPr>
          <w:rFonts w:cs="仿宋"/>
          <w:b/>
          <w:bCs/>
          <w:sz w:val="32"/>
          <w:szCs w:val="32"/>
        </w:rPr>
      </w:r>
      <w:r/>
    </w:p>
    <w:p>
      <w:pPr>
        <w:jc w:val="center"/>
        <w:rPr>
          <w:rFonts w:cs="仿宋"/>
          <w:b/>
          <w:bCs/>
          <w:sz w:val="32"/>
          <w:szCs w:val="32"/>
          <w:highlight w:val="yellow"/>
        </w:rPr>
        <w:outlineLvl w:val="0"/>
      </w:pPr>
      <w:r>
        <w:rPr>
          <w:rFonts w:cs="仿宋"/>
          <w:b/>
          <w:bCs/>
          <w:sz w:val="32"/>
          <w:szCs w:val="32"/>
        </w:rPr>
        <w:br w:type="page" w:clear="all"/>
      </w:r>
      <w:bookmarkStart w:id="474" w:name="_Toc21771"/>
      <w:r/>
      <w:bookmarkStart w:id="475" w:name="_Toc2602"/>
      <w:r>
        <w:rPr>
          <w:rFonts w:hint="eastAsia" w:cs="仿宋"/>
          <w:b/>
          <w:bCs/>
          <w:sz w:val="32"/>
          <w:szCs w:val="32"/>
        </w:rPr>
        <w:t xml:space="preserve">质疑函范本</w:t>
      </w:r>
      <w:bookmarkEnd w:id="474"/>
      <w:r/>
      <w:bookmarkEnd w:id="475"/>
      <w:r/>
      <w:r/>
    </w:p>
    <w:p>
      <w:pPr>
        <w:spacing w:before="290" w:line="360" w:lineRule="auto"/>
        <w:rPr>
          <w:rFonts w:cs="仿宋"/>
          <w:bCs/>
          <w:sz w:val="24"/>
          <w:szCs w:val="24"/>
        </w:rPr>
        <w:outlineLvl w:val="0"/>
      </w:pPr>
      <w:r/>
      <w:bookmarkStart w:id="476" w:name="_Toc20430"/>
      <w:r/>
      <w:bookmarkStart w:id="477" w:name="_Toc7340"/>
      <w:r>
        <w:rPr>
          <w:rFonts w:hint="eastAsia" w:cs="仿宋"/>
          <w:bCs/>
          <w:sz w:val="24"/>
          <w:szCs w:val="24"/>
        </w:rPr>
        <w:t xml:space="preserve">一、质疑投标人基本信息</w:t>
      </w:r>
      <w:bookmarkEnd w:id="476"/>
      <w:r/>
      <w:bookmarkEnd w:id="477"/>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outlineLvl w:val="0"/>
      </w:pPr>
      <w:r/>
      <w:bookmarkStart w:id="478" w:name="_Toc30270"/>
      <w:r/>
      <w:bookmarkStart w:id="479" w:name="_Toc25272"/>
      <w:r>
        <w:rPr>
          <w:rFonts w:hint="eastAsia" w:cs="仿宋"/>
          <w:bCs/>
          <w:sz w:val="24"/>
          <w:szCs w:val="24"/>
        </w:rPr>
        <w:t xml:space="preserve">二、质疑项目基本情况</w:t>
      </w:r>
      <w:bookmarkEnd w:id="478"/>
      <w:r/>
      <w:bookmarkEnd w:id="479"/>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outlineLvl w:val="0"/>
      </w:pPr>
      <w:r/>
      <w:bookmarkStart w:id="480" w:name="_Toc16342"/>
      <w:r/>
      <w:bookmarkStart w:id="481" w:name="_Toc28840"/>
      <w:r>
        <w:rPr>
          <w:rFonts w:hint="eastAsia" w:cs="仿宋"/>
          <w:bCs/>
          <w:sz w:val="24"/>
          <w:szCs w:val="24"/>
        </w:rPr>
        <w:t xml:space="preserve">三、质疑事项具体内容</w:t>
      </w:r>
      <w:bookmarkEnd w:id="480"/>
      <w:r/>
      <w:bookmarkEnd w:id="481"/>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outlineLvl w:val="0"/>
      </w:pPr>
      <w:r/>
      <w:bookmarkStart w:id="482" w:name="_Toc26902"/>
      <w:r/>
      <w:bookmarkStart w:id="483" w:name="_Toc23620"/>
      <w:r>
        <w:rPr>
          <w:rFonts w:hint="eastAsia" w:cs="仿宋"/>
          <w:bCs/>
          <w:sz w:val="24"/>
          <w:szCs w:val="24"/>
        </w:rPr>
        <w:t xml:space="preserve">四、与质疑事项相关的质疑请求</w:t>
      </w:r>
      <w:bookmarkEnd w:id="482"/>
      <w:r/>
      <w:bookmarkEnd w:id="483"/>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12"/>
        <w:rPr>
          <w:rFonts w:hint="eastAsia"/>
          <w:sz w:val="24"/>
          <w:szCs w:val="24"/>
        </w:rPr>
      </w:pPr>
      <w:r>
        <w:rPr>
          <w:rFonts w:hint="eastAsia"/>
          <w:sz w:val="24"/>
          <w:szCs w:val="24"/>
        </w:rPr>
      </w:r>
      <w:r/>
    </w:p>
    <w:p>
      <w:pPr>
        <w:pStyle w:val="912"/>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8"/>
      <w:isLgl w:val="false"/>
      <w:suff w:val="nothing"/>
      <w:lvlText w:val=""/>
      <w:lvlJc w:val="left"/>
      <w:pPr>
        <w:ind w:left="0" w:firstLine="0"/>
      </w:pPr>
      <w:rPr>
        <w:rFonts w:hint="eastAsia"/>
      </w:rPr>
    </w:lvl>
    <w:lvl w:ilvl="6">
      <w:start w:val="1"/>
      <w:numFmt w:val="decimal"/>
      <w:pStyle w:val="1069"/>
      <w:isLgl w:val="false"/>
      <w:suff w:val="nothing"/>
      <w:lvlText w:val=""/>
      <w:lvlJc w:val="left"/>
      <w:pPr>
        <w:ind w:left="0" w:firstLine="0"/>
      </w:pPr>
      <w:rPr>
        <w:rFonts w:hint="eastAsia"/>
      </w:rPr>
    </w:lvl>
    <w:lvl w:ilvl="7">
      <w:start w:val="1"/>
      <w:numFmt w:val="decimal"/>
      <w:pStyle w:val="1070"/>
      <w:isLgl w:val="false"/>
      <w:suff w:val="nothing"/>
      <w:lvlText w:val=""/>
      <w:lvlJc w:val="left"/>
      <w:pPr>
        <w:ind w:left="0" w:firstLine="0"/>
      </w:pPr>
      <w:rPr>
        <w:rFonts w:hint="eastAsia"/>
      </w:rPr>
    </w:lvl>
    <w:lvl w:ilvl="8">
      <w:start w:val="1"/>
      <w:numFmt w:val="decimal"/>
      <w:pStyle w:val="1071"/>
      <w:isLgl w:val="false"/>
      <w:suff w:val="nothing"/>
      <w:lvlText w:val=""/>
      <w:lvlJc w:val="left"/>
      <w:pPr>
        <w:ind w:left="0" w:firstLine="0"/>
      </w:pPr>
      <w:rPr>
        <w:rFonts w:hint="eastAsia"/>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1"/>
  </w:num>
  <w:num w:numId="4">
    <w:abstractNumId w:val="2"/>
  </w:num>
  <w:num w:numId="5">
    <w:abstractNumId w:val="4"/>
  </w:num>
  <w:num w:numId="6">
    <w:abstractNumId w:val="5"/>
  </w:num>
  <w:num w:numId="7">
    <w:abstractNumId w:val="1"/>
  </w:num>
  <w:num w:numId="8">
    <w:abstractNumId w:val="8"/>
  </w:num>
  <w:num w:numId="9">
    <w:abstractNumId w:val="9"/>
  </w:num>
  <w:num w:numId="10">
    <w:abstractNumId w:val="13"/>
  </w:num>
  <w:num w:numId="11">
    <w:abstractNumId w:val="7"/>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link w:val="122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8">
    <w:name w:val="Heading 1"/>
    <w:basedOn w:val="867"/>
    <w:next w:val="867"/>
    <w:link w:val="915"/>
    <w:uiPriority w:val="9"/>
    <w:qFormat/>
    <w:pPr>
      <w:keepLines/>
      <w:keepNext/>
      <w:spacing w:before="480" w:after="200"/>
      <w:outlineLvl w:val="0"/>
    </w:pPr>
    <w:rPr>
      <w:rFonts w:ascii="Arial" w:hAnsi="Arial" w:eastAsia="Arial" w:cs="Arial"/>
      <w:sz w:val="40"/>
      <w:szCs w:val="40"/>
    </w:rPr>
  </w:style>
  <w:style w:type="paragraph" w:styleId="869">
    <w:name w:val="Heading 2"/>
    <w:basedOn w:val="867"/>
    <w:next w:val="867"/>
    <w:link w:val="916"/>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67"/>
    <w:link w:val="917"/>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79"/>
    <w:next w:val="880"/>
    <w:link w:val="918"/>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19"/>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link w:val="920"/>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22"/>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23"/>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customStyle="1">
    <w:name w:val="Normal_22"/>
    <w:next w:val="871"/>
    <w:uiPriority w:val="0"/>
    <w:qFormat/>
    <w:pPr>
      <w:jc w:val="both"/>
      <w:widowControl w:val="off"/>
    </w:pPr>
    <w:rPr>
      <w:rFonts w:hint="default" w:ascii="Calibri" w:hAnsi="Calibri" w:eastAsia="宋体" w:cs="Times New Roman"/>
      <w:sz w:val="21"/>
      <w:szCs w:val="22"/>
      <w:lang w:val="en-US" w:eastAsia="zh-CN" w:bidi="ar-SA"/>
    </w:rPr>
  </w:style>
  <w:style w:type="paragraph" w:styleId="880">
    <w:name w:val="Normal Indent"/>
    <w:basedOn w:val="867"/>
    <w:next w:val="867"/>
    <w:uiPriority w:val="0"/>
    <w:qFormat/>
    <w:pPr>
      <w:ind w:firstLine="420"/>
    </w:pPr>
  </w:style>
  <w:style w:type="paragraph" w:styleId="881">
    <w:name w:val="toc 7"/>
    <w:basedOn w:val="867"/>
    <w:next w:val="867"/>
    <w:uiPriority w:val="0"/>
    <w:semiHidden/>
    <w:qFormat/>
    <w:pPr>
      <w:ind w:left="1260"/>
      <w:jc w:val="left"/>
    </w:pPr>
  </w:style>
  <w:style w:type="paragraph" w:styleId="882">
    <w:name w:val="Caption"/>
    <w:basedOn w:val="867"/>
    <w:next w:val="8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Document Map"/>
    <w:basedOn w:val="867"/>
    <w:uiPriority w:val="0"/>
    <w:semiHidden/>
    <w:qFormat/>
    <w:pPr>
      <w:shd w:val="clear" w:color="auto" w:fill="000080"/>
    </w:pPr>
  </w:style>
  <w:style w:type="paragraph" w:styleId="884">
    <w:name w:val="annotation text"/>
    <w:basedOn w:val="867"/>
    <w:uiPriority w:val="99"/>
    <w:semiHidden/>
    <w:unhideWhenUsed/>
    <w:qFormat/>
    <w:pPr>
      <w:jc w:val="left"/>
    </w:pPr>
  </w:style>
  <w:style w:type="paragraph" w:styleId="885">
    <w:name w:val="Body Text"/>
    <w:basedOn w:val="867"/>
    <w:next w:val="880"/>
    <w:uiPriority w:val="0"/>
    <w:qFormat/>
    <w:rPr>
      <w:rFonts w:ascii="楷体_GB2312" w:hAnsi="Arial" w:eastAsia="楷体_GB2312"/>
      <w:sz w:val="28"/>
      <w:szCs w:val="28"/>
    </w:rPr>
  </w:style>
  <w:style w:type="paragraph" w:styleId="886">
    <w:name w:val="Body Text Indent"/>
    <w:basedOn w:val="867"/>
    <w:uiPriority w:val="0"/>
    <w:qFormat/>
    <w:pPr>
      <w:ind w:left="420"/>
      <w:spacing w:after="120"/>
    </w:pPr>
  </w:style>
  <w:style w:type="paragraph" w:styleId="887">
    <w:name w:val="toc 5"/>
    <w:basedOn w:val="867"/>
    <w:next w:val="867"/>
    <w:uiPriority w:val="0"/>
    <w:semiHidden/>
    <w:qFormat/>
    <w:pPr>
      <w:ind w:left="840"/>
      <w:jc w:val="left"/>
    </w:pPr>
  </w:style>
  <w:style w:type="paragraph" w:styleId="888">
    <w:name w:val="toc 3"/>
    <w:basedOn w:val="867"/>
    <w:next w:val="867"/>
    <w:uiPriority w:val="0"/>
    <w:semiHidden/>
    <w:qFormat/>
    <w:pPr>
      <w:ind w:left="420"/>
      <w:jc w:val="left"/>
    </w:pPr>
    <w:rPr>
      <w:i/>
      <w:iCs/>
      <w:szCs w:val="24"/>
    </w:rPr>
  </w:style>
  <w:style w:type="paragraph" w:styleId="889">
    <w:name w:val="Plain Text"/>
    <w:basedOn w:val="867"/>
    <w:uiPriority w:val="0"/>
    <w:qFormat/>
    <w:rPr>
      <w:rFonts w:ascii="宋体" w:hAnsi="Courier New" w:cs="Courier New"/>
      <w:szCs w:val="21"/>
    </w:rPr>
  </w:style>
  <w:style w:type="paragraph" w:styleId="890">
    <w:name w:val="toc 8"/>
    <w:basedOn w:val="867"/>
    <w:next w:val="867"/>
    <w:uiPriority w:val="0"/>
    <w:semiHidden/>
    <w:qFormat/>
    <w:pPr>
      <w:ind w:left="1470"/>
      <w:jc w:val="left"/>
    </w:pPr>
  </w:style>
  <w:style w:type="paragraph" w:styleId="891">
    <w:name w:val="endnote text"/>
    <w:basedOn w:val="867"/>
    <w:link w:val="1061"/>
    <w:uiPriority w:val="99"/>
    <w:semiHidden/>
    <w:unhideWhenUsed/>
    <w:qFormat/>
    <w:pPr>
      <w:spacing w:after="0" w:line="240" w:lineRule="auto"/>
    </w:pPr>
    <w:rPr>
      <w:sz w:val="20"/>
    </w:rPr>
  </w:style>
  <w:style w:type="paragraph" w:styleId="892">
    <w:name w:val="Footer"/>
    <w:basedOn w:val="867"/>
    <w:link w:val="934"/>
    <w:uiPriority w:val="99"/>
    <w:unhideWhenUsed/>
    <w:qFormat/>
    <w:pPr>
      <w:spacing w:after="0" w:line="240" w:lineRule="auto"/>
      <w:tabs>
        <w:tab w:val="center" w:pos="7143" w:leader="none"/>
        <w:tab w:val="right" w:pos="14287" w:leader="none"/>
      </w:tabs>
    </w:pPr>
  </w:style>
  <w:style w:type="paragraph" w:styleId="893">
    <w:name w:val="Header"/>
    <w:basedOn w:val="867"/>
    <w:link w:val="932"/>
    <w:uiPriority w:val="99"/>
    <w:unhideWhenUsed/>
    <w:qFormat/>
    <w:pPr>
      <w:spacing w:after="0" w:line="240" w:lineRule="auto"/>
      <w:tabs>
        <w:tab w:val="center" w:pos="7143" w:leader="none"/>
        <w:tab w:val="right" w:pos="14287" w:leader="none"/>
      </w:tabs>
    </w:pPr>
  </w:style>
  <w:style w:type="paragraph" w:styleId="894">
    <w:name w:val="toc 1"/>
    <w:basedOn w:val="867"/>
    <w:next w:val="867"/>
    <w:uiPriority w:val="0"/>
    <w:semiHidden/>
    <w:qFormat/>
    <w:pPr>
      <w:jc w:val="left"/>
      <w:spacing w:before="120" w:after="120" w:line="400" w:lineRule="exact"/>
      <w:tabs>
        <w:tab w:val="right" w:pos="8720" w:leader="dot"/>
      </w:tabs>
    </w:pPr>
    <w:rPr>
      <w:rFonts w:ascii="宋体" w:hAnsi="宋体"/>
      <w:caps/>
      <w:sz w:val="24"/>
      <w:szCs w:val="24"/>
    </w:rPr>
  </w:style>
  <w:style w:type="paragraph" w:styleId="895">
    <w:name w:val="toc 4"/>
    <w:basedOn w:val="867"/>
    <w:next w:val="867"/>
    <w:uiPriority w:val="0"/>
    <w:semiHidden/>
    <w:qFormat/>
    <w:pPr>
      <w:ind w:left="630"/>
      <w:jc w:val="left"/>
    </w:pPr>
  </w:style>
  <w:style w:type="paragraph" w:styleId="896">
    <w:name w:val="Subtitle"/>
    <w:basedOn w:val="867"/>
    <w:next w:val="867"/>
    <w:link w:val="927"/>
    <w:uiPriority w:val="11"/>
    <w:qFormat/>
    <w:pPr>
      <w:spacing w:before="200" w:after="200"/>
    </w:pPr>
    <w:rPr>
      <w:sz w:val="24"/>
      <w:szCs w:val="24"/>
    </w:rPr>
  </w:style>
  <w:style w:type="paragraph" w:styleId="897">
    <w:name w:val="footnote text"/>
    <w:basedOn w:val="867"/>
    <w:link w:val="1060"/>
    <w:uiPriority w:val="99"/>
    <w:semiHidden/>
    <w:unhideWhenUsed/>
    <w:qFormat/>
    <w:pPr>
      <w:spacing w:after="40" w:line="240" w:lineRule="auto"/>
    </w:pPr>
    <w:rPr>
      <w:sz w:val="18"/>
    </w:rPr>
  </w:style>
  <w:style w:type="paragraph" w:styleId="898">
    <w:name w:val="toc 6"/>
    <w:basedOn w:val="867"/>
    <w:next w:val="867"/>
    <w:uiPriority w:val="0"/>
    <w:semiHidden/>
    <w:qFormat/>
    <w:pPr>
      <w:ind w:left="1050"/>
      <w:jc w:val="left"/>
    </w:pPr>
  </w:style>
  <w:style w:type="paragraph" w:styleId="899">
    <w:name w:val="table of figures"/>
    <w:basedOn w:val="867"/>
    <w:next w:val="867"/>
    <w:uiPriority w:val="99"/>
    <w:unhideWhenUsed/>
    <w:qFormat/>
    <w:pPr>
      <w:spacing w:after="0" w:afterAutospacing="0"/>
    </w:pPr>
  </w:style>
  <w:style w:type="paragraph" w:styleId="900">
    <w:name w:val="toc 2"/>
    <w:basedOn w:val="867"/>
    <w:next w:val="867"/>
    <w:uiPriority w:val="0"/>
    <w:semiHidden/>
    <w:qFormat/>
    <w:pPr>
      <w:ind w:left="210"/>
      <w:jc w:val="left"/>
    </w:pPr>
    <w:rPr>
      <w:smallCaps/>
      <w:szCs w:val="24"/>
    </w:rPr>
  </w:style>
  <w:style w:type="paragraph" w:styleId="901">
    <w:name w:val="toc 9"/>
    <w:basedOn w:val="867"/>
    <w:next w:val="867"/>
    <w:uiPriority w:val="0"/>
    <w:semiHidden/>
    <w:qFormat/>
    <w:pPr>
      <w:ind w:left="1680"/>
      <w:jc w:val="left"/>
    </w:pPr>
  </w:style>
  <w:style w:type="paragraph" w:styleId="902">
    <w:name w:val="List Continue 2"/>
    <w:basedOn w:val="867"/>
    <w:next w:val="867"/>
    <w:uiPriority w:val="0"/>
    <w:qFormat/>
    <w:pPr>
      <w:ind w:left="840"/>
      <w:spacing w:after="120"/>
    </w:pPr>
  </w:style>
  <w:style w:type="paragraph" w:styleId="903">
    <w:name w:val="Normal (Web)"/>
    <w:basedOn w:val="867"/>
    <w:uiPriority w:val="99"/>
    <w:semiHidden/>
    <w:unhideWhenUsed/>
    <w:qFormat/>
    <w:pPr>
      <w:ind w:left="0" w:right="0"/>
      <w:jc w:val="left"/>
      <w:spacing w:before="0" w:beforeAutospacing="1" w:after="0" w:afterAutospacing="1"/>
    </w:pPr>
    <w:rPr>
      <w:sz w:val="24"/>
      <w:lang w:val="en-US" w:eastAsia="zh-CN" w:bidi="ar"/>
    </w:rPr>
  </w:style>
  <w:style w:type="paragraph" w:styleId="904">
    <w:name w:val="Title"/>
    <w:basedOn w:val="867"/>
    <w:next w:val="867"/>
    <w:link w:val="926"/>
    <w:uiPriority w:val="10"/>
    <w:qFormat/>
    <w:pPr>
      <w:contextualSpacing/>
      <w:spacing w:before="300" w:after="200"/>
    </w:pPr>
    <w:rPr>
      <w:sz w:val="48"/>
      <w:szCs w:val="48"/>
    </w:rPr>
  </w:style>
  <w:style w:type="paragraph" w:styleId="905">
    <w:name w:val="Body Text First Indent"/>
    <w:basedOn w:val="885"/>
    <w:uiPriority w:val="0"/>
    <w:qFormat/>
    <w:pPr>
      <w:ind w:firstLine="420"/>
      <w:spacing w:after="120"/>
    </w:pPr>
    <w:rPr>
      <w:rFonts w:ascii="Calibri"/>
    </w:r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paragraph" w:styleId="910" w:customStyle="1">
    <w:name w:val="Default"/>
    <w:basedOn w:val="867"/>
    <w:uiPriority w:val="0"/>
    <w:semiHidden/>
    <w:qFormat/>
    <w:pPr>
      <w:jc w:val="left"/>
    </w:pPr>
    <w:rPr>
      <w:rFonts w:ascii="宋体" w:hAnsi="Calibri" w:cs="宋体"/>
      <w:color w:val="000000"/>
      <w:sz w:val="24"/>
    </w:rPr>
  </w:style>
  <w:style w:type="paragraph" w:styleId="911" w:customStyle="1">
    <w:name w:val="正文文本11"/>
    <w:basedOn w:val="867"/>
    <w:next w:val="912"/>
    <w:uiPriority w:val="0"/>
    <w:qFormat/>
    <w:rPr>
      <w:rFonts w:ascii="楷体_GB2312" w:hAnsi="Arial" w:eastAsia="楷体_GB2312"/>
      <w:sz w:val="28"/>
      <w:szCs w:val="28"/>
    </w:rPr>
  </w:style>
  <w:style w:type="paragraph" w:styleId="912" w:customStyle="1">
    <w:name w:val="正文缩进1"/>
    <w:basedOn w:val="867"/>
    <w:next w:val="867"/>
    <w:link w:val="1077"/>
    <w:uiPriority w:val="0"/>
    <w:qFormat/>
    <w:pPr>
      <w:ind w:firstLine="420"/>
    </w:pPr>
  </w:style>
  <w:style w:type="paragraph" w:styleId="913"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914" w:customStyle="1">
    <w:name w:val="Normal_0_1"/>
    <w:next w:val="880"/>
    <w:uiPriority w:val="0"/>
    <w:qFormat/>
    <w:pPr>
      <w:jc w:val="both"/>
      <w:widowControl w:val="off"/>
    </w:pPr>
    <w:rPr>
      <w:rFonts w:hint="default" w:ascii="Times New Roman" w:hAnsi="Times New Roman" w:eastAsia="宋体" w:cs="Times New Roman"/>
      <w:lang w:val="en-US" w:eastAsia="zh-CN" w:bidi="ar-SA"/>
    </w:rPr>
  </w:style>
  <w:style w:type="character" w:styleId="915" w:customStyle="1">
    <w:name w:val="Heading 1 Char"/>
    <w:link w:val="868"/>
    <w:uiPriority w:val="9"/>
    <w:qFormat/>
    <w:rPr>
      <w:rFonts w:ascii="Arial" w:hAnsi="Arial" w:eastAsia="Arial" w:cs="Arial"/>
      <w:sz w:val="40"/>
      <w:szCs w:val="40"/>
    </w:rPr>
  </w:style>
  <w:style w:type="character" w:styleId="916" w:customStyle="1">
    <w:name w:val="Heading 2 Char"/>
    <w:link w:val="869"/>
    <w:uiPriority w:val="9"/>
    <w:qFormat/>
    <w:rPr>
      <w:rFonts w:ascii="Arial" w:hAnsi="Arial" w:eastAsia="Arial" w:cs="Arial"/>
      <w:sz w:val="34"/>
    </w:rPr>
  </w:style>
  <w:style w:type="character" w:styleId="917" w:customStyle="1">
    <w:name w:val="Heading 3 Char"/>
    <w:link w:val="870"/>
    <w:uiPriority w:val="9"/>
    <w:qFormat/>
    <w:rPr>
      <w:rFonts w:ascii="Arial" w:hAnsi="Arial" w:eastAsia="Arial" w:cs="Arial"/>
      <w:sz w:val="30"/>
      <w:szCs w:val="30"/>
    </w:rPr>
  </w:style>
  <w:style w:type="character" w:styleId="918" w:customStyle="1">
    <w:name w:val="Heading 4 Char"/>
    <w:link w:val="871"/>
    <w:uiPriority w:val="9"/>
    <w:qFormat/>
    <w:rPr>
      <w:rFonts w:ascii="Arial" w:hAnsi="Arial" w:eastAsia="Arial" w:cs="Arial"/>
      <w:b/>
      <w:bCs/>
      <w:sz w:val="26"/>
      <w:szCs w:val="26"/>
    </w:rPr>
  </w:style>
  <w:style w:type="character" w:styleId="919" w:customStyle="1">
    <w:name w:val="Heading 5 Char"/>
    <w:link w:val="872"/>
    <w:uiPriority w:val="9"/>
    <w:qFormat/>
    <w:rPr>
      <w:rFonts w:ascii="Arial" w:hAnsi="Arial" w:eastAsia="Arial" w:cs="Arial"/>
      <w:b/>
      <w:bCs/>
      <w:sz w:val="24"/>
      <w:szCs w:val="24"/>
    </w:rPr>
  </w:style>
  <w:style w:type="character" w:styleId="920" w:customStyle="1">
    <w:name w:val="Heading 6 Char"/>
    <w:link w:val="873"/>
    <w:uiPriority w:val="9"/>
    <w:qFormat/>
    <w:rPr>
      <w:rFonts w:ascii="Arial" w:hAnsi="Arial" w:eastAsia="Arial" w:cs="Arial"/>
      <w:b/>
      <w:bCs/>
      <w:sz w:val="22"/>
      <w:szCs w:val="22"/>
    </w:rPr>
  </w:style>
  <w:style w:type="character" w:styleId="921" w:customStyle="1">
    <w:name w:val="Heading 7 Char"/>
    <w:link w:val="874"/>
    <w:uiPriority w:val="9"/>
    <w:qFormat/>
    <w:rPr>
      <w:rFonts w:ascii="Arial" w:hAnsi="Arial" w:eastAsia="Arial" w:cs="Arial"/>
      <w:b/>
      <w:bCs/>
      <w:i/>
      <w:iCs/>
      <w:sz w:val="22"/>
      <w:szCs w:val="22"/>
    </w:rPr>
  </w:style>
  <w:style w:type="character" w:styleId="922" w:customStyle="1">
    <w:name w:val="Heading 8 Char"/>
    <w:link w:val="875"/>
    <w:uiPriority w:val="9"/>
    <w:qFormat/>
    <w:rPr>
      <w:rFonts w:ascii="Arial" w:hAnsi="Arial" w:eastAsia="Arial" w:cs="Arial"/>
      <w:i/>
      <w:iCs/>
      <w:sz w:val="22"/>
      <w:szCs w:val="22"/>
    </w:rPr>
  </w:style>
  <w:style w:type="character" w:styleId="923" w:customStyle="1">
    <w:name w:val="Heading 9 Char"/>
    <w:link w:val="876"/>
    <w:uiPriority w:val="9"/>
    <w:qFormat/>
    <w:rPr>
      <w:rFonts w:ascii="Arial" w:hAnsi="Arial" w:eastAsia="Arial" w:cs="Arial"/>
      <w:i/>
      <w:iCs/>
      <w:sz w:val="21"/>
      <w:szCs w:val="21"/>
    </w:rPr>
  </w:style>
  <w:style w:type="paragraph" w:styleId="924">
    <w:name w:val="List Paragraph"/>
    <w:basedOn w:val="867"/>
    <w:uiPriority w:val="34"/>
    <w:qFormat/>
    <w:pPr>
      <w:contextualSpacing/>
      <w:ind w:left="720"/>
    </w:pPr>
  </w:style>
  <w:style w:type="paragraph" w:styleId="925">
    <w:name w:val="No Spacing"/>
    <w:uiPriority w:val="1"/>
    <w:qFormat/>
    <w:pPr>
      <w:spacing w:before="0" w:after="0" w:line="240" w:lineRule="auto"/>
    </w:pPr>
    <w:rPr>
      <w:rFonts w:hint="default" w:ascii="Times New Roman" w:hAnsi="Times New Roman" w:eastAsia="宋体" w:cs="Times New Roman"/>
    </w:rPr>
  </w:style>
  <w:style w:type="character" w:styleId="926" w:customStyle="1">
    <w:name w:val="Title Char"/>
    <w:link w:val="904"/>
    <w:uiPriority w:val="10"/>
    <w:qFormat/>
    <w:rPr>
      <w:sz w:val="48"/>
      <w:szCs w:val="48"/>
    </w:rPr>
  </w:style>
  <w:style w:type="character" w:styleId="927" w:customStyle="1">
    <w:name w:val="Subtitle Char"/>
    <w:link w:val="896"/>
    <w:uiPriority w:val="11"/>
    <w:qFormat/>
    <w:rPr>
      <w:sz w:val="24"/>
      <w:szCs w:val="24"/>
    </w:rPr>
  </w:style>
  <w:style w:type="paragraph" w:styleId="928">
    <w:name w:val="Quote"/>
    <w:basedOn w:val="867"/>
    <w:next w:val="867"/>
    <w:link w:val="929"/>
    <w:uiPriority w:val="29"/>
    <w:qFormat/>
    <w:pPr>
      <w:ind w:left="720" w:right="720"/>
    </w:pPr>
    <w:rPr>
      <w:i/>
    </w:rPr>
  </w:style>
  <w:style w:type="character" w:styleId="929" w:customStyle="1">
    <w:name w:val="Quote Char"/>
    <w:link w:val="928"/>
    <w:uiPriority w:val="29"/>
    <w:qFormat/>
    <w:rPr>
      <w:i/>
    </w:rPr>
  </w:style>
  <w:style w:type="paragraph" w:styleId="930">
    <w:name w:val="Intense Quote"/>
    <w:basedOn w:val="867"/>
    <w:next w:val="867"/>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Intense Quote Char"/>
    <w:link w:val="930"/>
    <w:uiPriority w:val="30"/>
    <w:qFormat/>
    <w:rPr>
      <w:i/>
    </w:rPr>
  </w:style>
  <w:style w:type="character" w:styleId="932" w:customStyle="1">
    <w:name w:val="Header Char"/>
    <w:link w:val="893"/>
    <w:uiPriority w:val="99"/>
    <w:qFormat/>
  </w:style>
  <w:style w:type="character" w:styleId="933" w:customStyle="1">
    <w:name w:val="Footer Char"/>
    <w:link w:val="892"/>
    <w:uiPriority w:val="99"/>
    <w:qFormat/>
  </w:style>
  <w:style w:type="character" w:styleId="934" w:customStyle="1">
    <w:name w:val="Caption Char"/>
    <w:link w:val="892"/>
    <w:uiPriority w:val="99"/>
    <w:qFormat/>
  </w:style>
  <w:style w:type="table" w:styleId="9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link w:val="897"/>
    <w:uiPriority w:val="99"/>
    <w:qFormat/>
    <w:rPr>
      <w:sz w:val="18"/>
    </w:rPr>
  </w:style>
  <w:style w:type="character" w:styleId="1061" w:customStyle="1">
    <w:name w:val="Endnote Text Char"/>
    <w:link w:val="891"/>
    <w:uiPriority w:val="99"/>
    <w:qFormat/>
    <w:rPr>
      <w:sz w:val="20"/>
    </w:rPr>
  </w:style>
  <w:style w:type="paragraph" w:styleId="1062" w:customStyle="1">
    <w:name w:val="TOC Heading"/>
    <w:uiPriority w:val="39"/>
    <w:unhideWhenUsed/>
    <w:qFormat/>
    <w:rPr>
      <w:rFonts w:hint="default" w:ascii="Times New Roman" w:hAnsi="Times New Roman" w:eastAsia="宋体" w:cs="Times New Roman"/>
    </w:rPr>
  </w:style>
  <w:style w:type="paragraph" w:styleId="1063" w:customStyle="1">
    <w:name w:val="标题 11"/>
    <w:basedOn w:val="867"/>
    <w:next w:val="867"/>
    <w:link w:val="1074"/>
    <w:uiPriority w:val="0"/>
    <w:qFormat/>
    <w:pPr>
      <w:jc w:val="center"/>
      <w:keepNext/>
      <w:outlineLvl w:val="0"/>
    </w:pPr>
    <w:rPr>
      <w:rFonts w:ascii="楷体_GB2312" w:eastAsia="楷体_GB2312"/>
      <w:sz w:val="28"/>
      <w:szCs w:val="28"/>
    </w:rPr>
  </w:style>
  <w:style w:type="paragraph" w:styleId="1064" w:customStyle="1">
    <w:name w:val="标题 21"/>
    <w:basedOn w:val="867"/>
    <w:next w:val="867"/>
    <w:link w:val="10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5" w:customStyle="1">
    <w:name w:val="标题 31"/>
    <w:basedOn w:val="867"/>
    <w:next w:val="912"/>
    <w:link w:val="1076"/>
    <w:uiPriority w:val="0"/>
    <w:qFormat/>
    <w:pPr>
      <w:keepLines/>
      <w:keepNext/>
      <w:spacing w:before="260" w:after="260" w:line="416" w:lineRule="auto"/>
      <w:outlineLvl w:val="2"/>
    </w:pPr>
    <w:rPr>
      <w:b/>
      <w:bCs/>
      <w:sz w:val="32"/>
      <w:szCs w:val="32"/>
    </w:rPr>
  </w:style>
  <w:style w:type="paragraph" w:styleId="1066" w:customStyle="1">
    <w:name w:val="标题 41"/>
    <w:basedOn w:val="867"/>
    <w:next w:val="912"/>
    <w:link w:val="1078"/>
    <w:uiPriority w:val="0"/>
    <w:qFormat/>
    <w:pPr>
      <w:keepLines/>
      <w:keepNext/>
      <w:spacing w:before="280" w:after="290" w:line="376" w:lineRule="auto"/>
      <w:outlineLvl w:val="3"/>
    </w:pPr>
    <w:rPr>
      <w:rFonts w:ascii="Arial" w:hAnsi="Arial" w:eastAsia="黑体" w:cs="Arial"/>
      <w:b/>
      <w:bCs/>
      <w:sz w:val="28"/>
      <w:szCs w:val="28"/>
    </w:rPr>
  </w:style>
  <w:style w:type="paragraph" w:styleId="1067" w:customStyle="1">
    <w:name w:val="标题 51"/>
    <w:basedOn w:val="867"/>
    <w:next w:val="912"/>
    <w:link w:val="1079"/>
    <w:uiPriority w:val="0"/>
    <w:qFormat/>
    <w:pPr>
      <w:keepNext/>
      <w:outlineLvl w:val="4"/>
    </w:pPr>
    <w:rPr>
      <w:rFonts w:ascii="宋体"/>
      <w:color w:val="000000"/>
      <w:sz w:val="28"/>
      <w:szCs w:val="28"/>
    </w:rPr>
  </w:style>
  <w:style w:type="paragraph" w:styleId="1068" w:customStyle="1">
    <w:name w:val="标题 61"/>
    <w:basedOn w:val="867"/>
    <w:next w:val="867"/>
    <w:link w:val="10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9" w:customStyle="1">
    <w:name w:val="标题 71"/>
    <w:basedOn w:val="867"/>
    <w:next w:val="867"/>
    <w:link w:val="1081"/>
    <w:uiPriority w:val="0"/>
    <w:qFormat/>
    <w:pPr>
      <w:numPr>
        <w:ilvl w:val="6"/>
        <w:numId w:val="1"/>
      </w:numPr>
      <w:keepLines/>
      <w:keepNext/>
      <w:spacing w:before="240" w:after="64" w:line="320" w:lineRule="auto"/>
      <w:outlineLvl w:val="6"/>
    </w:pPr>
    <w:rPr>
      <w:b/>
      <w:bCs/>
      <w:sz w:val="24"/>
      <w:szCs w:val="24"/>
    </w:rPr>
  </w:style>
  <w:style w:type="paragraph" w:styleId="1070" w:customStyle="1">
    <w:name w:val="标题 81"/>
    <w:basedOn w:val="867"/>
    <w:next w:val="867"/>
    <w:link w:val="10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71" w:customStyle="1">
    <w:name w:val="标题 91"/>
    <w:basedOn w:val="867"/>
    <w:next w:val="867"/>
    <w:link w:val="1083"/>
    <w:uiPriority w:val="0"/>
    <w:qFormat/>
    <w:pPr>
      <w:numPr>
        <w:ilvl w:val="8"/>
        <w:numId w:val="1"/>
      </w:numPr>
      <w:keepLines/>
      <w:keepNext/>
      <w:spacing w:before="240" w:after="64" w:line="320" w:lineRule="auto"/>
      <w:outlineLvl w:val="8"/>
    </w:pPr>
    <w:rPr>
      <w:rFonts w:ascii="Arial" w:hAnsi="Arial" w:eastAsia="黑体"/>
    </w:rPr>
  </w:style>
  <w:style w:type="character" w:styleId="1072" w:customStyle="1">
    <w:name w:val="默认段落字体1"/>
    <w:link w:val="867"/>
    <w:uiPriority w:val="1"/>
    <w:unhideWhenUsed/>
    <w:qFormat/>
  </w:style>
  <w:style w:type="table" w:styleId="1073" w:customStyle="1">
    <w:name w:val="普通表格1"/>
    <w:uiPriority w:val="99"/>
    <w:unhideWhenUsed/>
    <w:qFormat/>
    <w:tblPr/>
  </w:style>
  <w:style w:type="character" w:styleId="1074" w:customStyle="1">
    <w:name w:val="标题 1 字符"/>
    <w:link w:val="1063"/>
    <w:uiPriority w:val="0"/>
    <w:qFormat/>
    <w:rPr>
      <w:rFonts w:ascii="楷体_GB2312" w:hAnsi="Times New Roman" w:eastAsia="楷体_GB2312" w:cs="Times New Roman"/>
      <w:sz w:val="28"/>
      <w:szCs w:val="28"/>
    </w:rPr>
  </w:style>
  <w:style w:type="character" w:styleId="1075" w:customStyle="1">
    <w:name w:val="标题 2 字符"/>
    <w:link w:val="1064"/>
    <w:uiPriority w:val="0"/>
    <w:qFormat/>
    <w:rPr>
      <w:rFonts w:ascii="Arial" w:hAnsi="Arial" w:eastAsia="幼圆" w:cs="Arial"/>
      <w:b/>
      <w:bCs/>
      <w:sz w:val="44"/>
      <w:szCs w:val="44"/>
    </w:rPr>
  </w:style>
  <w:style w:type="character" w:styleId="1076" w:customStyle="1">
    <w:name w:val="标题 3 字符"/>
    <w:link w:val="1065"/>
    <w:uiPriority w:val="0"/>
    <w:qFormat/>
    <w:rPr>
      <w:rFonts w:ascii="Times New Roman" w:hAnsi="Times New Roman" w:eastAsia="宋体" w:cs="Times New Roman"/>
      <w:b/>
      <w:bCs/>
      <w:sz w:val="32"/>
      <w:szCs w:val="32"/>
    </w:rPr>
  </w:style>
  <w:style w:type="character" w:styleId="1077" w:customStyle="1">
    <w:name w:val="正文缩进 字符"/>
    <w:link w:val="912"/>
    <w:uiPriority w:val="0"/>
    <w:qFormat/>
    <w:rPr>
      <w:rFonts w:ascii="Times New Roman" w:hAnsi="Times New Roman" w:eastAsia="宋体" w:cs="Times New Roman"/>
      <w:szCs w:val="21"/>
    </w:rPr>
  </w:style>
  <w:style w:type="character" w:styleId="1078" w:customStyle="1">
    <w:name w:val="标题 4 字符"/>
    <w:link w:val="1066"/>
    <w:uiPriority w:val="0"/>
    <w:qFormat/>
    <w:rPr>
      <w:rFonts w:ascii="Arial" w:hAnsi="Arial" w:eastAsia="黑体" w:cs="Arial"/>
      <w:b/>
      <w:bCs/>
      <w:sz w:val="28"/>
      <w:szCs w:val="28"/>
    </w:rPr>
  </w:style>
  <w:style w:type="character" w:styleId="1079" w:customStyle="1">
    <w:name w:val="标题 5 字符"/>
    <w:link w:val="1067"/>
    <w:uiPriority w:val="0"/>
    <w:qFormat/>
    <w:rPr>
      <w:rFonts w:ascii="宋体" w:hAnsi="Times New Roman" w:eastAsia="宋体" w:cs="Times New Roman"/>
      <w:color w:val="000000"/>
      <w:sz w:val="28"/>
      <w:szCs w:val="28"/>
    </w:rPr>
  </w:style>
  <w:style w:type="character" w:styleId="1080" w:customStyle="1">
    <w:name w:val="标题 6 字符"/>
    <w:link w:val="1068"/>
    <w:uiPriority w:val="0"/>
    <w:qFormat/>
    <w:rPr>
      <w:rFonts w:ascii="Arial" w:hAnsi="Arial" w:eastAsia="黑体" w:cs="Times New Roman"/>
      <w:b/>
      <w:bCs/>
      <w:sz w:val="24"/>
      <w:szCs w:val="24"/>
    </w:rPr>
  </w:style>
  <w:style w:type="character" w:styleId="1081" w:customStyle="1">
    <w:name w:val="标题 7 字符"/>
    <w:link w:val="1069"/>
    <w:uiPriority w:val="0"/>
    <w:qFormat/>
    <w:rPr>
      <w:rFonts w:ascii="Times New Roman" w:hAnsi="Times New Roman" w:eastAsia="宋体" w:cs="Times New Roman"/>
      <w:b/>
      <w:bCs/>
      <w:sz w:val="24"/>
      <w:szCs w:val="24"/>
    </w:rPr>
  </w:style>
  <w:style w:type="character" w:styleId="1082" w:customStyle="1">
    <w:name w:val="标题 8 字符"/>
    <w:link w:val="1070"/>
    <w:uiPriority w:val="0"/>
    <w:qFormat/>
    <w:rPr>
      <w:rFonts w:ascii="Arial" w:hAnsi="Arial" w:eastAsia="黑体" w:cs="Times New Roman"/>
      <w:sz w:val="24"/>
      <w:szCs w:val="24"/>
    </w:rPr>
  </w:style>
  <w:style w:type="character" w:styleId="1083" w:customStyle="1">
    <w:name w:val="标题 9 字符"/>
    <w:link w:val="1071"/>
    <w:uiPriority w:val="0"/>
    <w:qFormat/>
    <w:rPr>
      <w:rFonts w:ascii="Arial" w:hAnsi="Arial" w:eastAsia="黑体" w:cs="Times New Roman"/>
      <w:szCs w:val="21"/>
    </w:rPr>
  </w:style>
  <w:style w:type="paragraph" w:styleId="1084" w:customStyle="1">
    <w:name w:val="列表 31"/>
    <w:basedOn w:val="867"/>
    <w:uiPriority w:val="0"/>
    <w:qFormat/>
    <w:pPr>
      <w:ind w:left="100" w:hanging="200"/>
    </w:pPr>
  </w:style>
  <w:style w:type="paragraph" w:styleId="1085" w:customStyle="1">
    <w:name w:val="文档结构图1"/>
    <w:basedOn w:val="867"/>
    <w:link w:val="1086"/>
    <w:uiPriority w:val="0"/>
    <w:semiHidden/>
    <w:qFormat/>
    <w:pPr>
      <w:shd w:val="clear" w:color="auto" w:fill="000080"/>
    </w:pPr>
  </w:style>
  <w:style w:type="character" w:styleId="1086" w:customStyle="1">
    <w:name w:val="文档结构图 字符"/>
    <w:link w:val="1085"/>
    <w:uiPriority w:val="0"/>
    <w:semiHidden/>
    <w:qFormat/>
    <w:rPr>
      <w:rFonts w:ascii="Times New Roman" w:hAnsi="Times New Roman" w:eastAsia="宋体" w:cs="Times New Roman"/>
      <w:szCs w:val="21"/>
      <w:shd w:val="clear" w:color="auto" w:fill="000080"/>
    </w:rPr>
  </w:style>
  <w:style w:type="paragraph" w:styleId="1087" w:customStyle="1">
    <w:name w:val="批注文字1"/>
    <w:basedOn w:val="867"/>
    <w:link w:val="1088"/>
    <w:uiPriority w:val="0"/>
    <w:semiHidden/>
    <w:qFormat/>
    <w:pPr>
      <w:jc w:val="left"/>
    </w:pPr>
  </w:style>
  <w:style w:type="character" w:styleId="1088" w:customStyle="1">
    <w:name w:val="批注文字 字符"/>
    <w:link w:val="1087"/>
    <w:uiPriority w:val="0"/>
    <w:semiHidden/>
    <w:qFormat/>
    <w:rPr>
      <w:rFonts w:ascii="Times New Roman" w:hAnsi="Times New Roman" w:eastAsia="宋体" w:cs="Times New Roman"/>
      <w:szCs w:val="21"/>
    </w:rPr>
  </w:style>
  <w:style w:type="paragraph" w:styleId="1089" w:customStyle="1">
    <w:name w:val="正文文本 31"/>
    <w:basedOn w:val="867"/>
    <w:link w:val="1090"/>
    <w:uiPriority w:val="0"/>
    <w:qFormat/>
    <w:rPr>
      <w:rFonts w:ascii="仿宋_GB2312" w:hAnsi="Arial" w:eastAsia="仿宋_GB2312"/>
      <w:sz w:val="32"/>
      <w:szCs w:val="32"/>
    </w:rPr>
  </w:style>
  <w:style w:type="character" w:styleId="1090" w:customStyle="1">
    <w:name w:val="正文文本 3 字符"/>
    <w:link w:val="1089"/>
    <w:uiPriority w:val="0"/>
    <w:qFormat/>
    <w:rPr>
      <w:rFonts w:ascii="仿宋_GB2312" w:hAnsi="Arial" w:eastAsia="仿宋_GB2312" w:cs="Times New Roman"/>
      <w:sz w:val="32"/>
      <w:szCs w:val="32"/>
    </w:rPr>
  </w:style>
  <w:style w:type="paragraph" w:styleId="1091" w:customStyle="1">
    <w:name w:val="正文文本1"/>
    <w:basedOn w:val="867"/>
    <w:link w:val="1092"/>
    <w:uiPriority w:val="0"/>
    <w:qFormat/>
    <w:rPr>
      <w:rFonts w:ascii="楷体_GB2312" w:hAnsi="Arial" w:eastAsia="楷体_GB2312"/>
      <w:sz w:val="28"/>
      <w:szCs w:val="28"/>
    </w:rPr>
  </w:style>
  <w:style w:type="character" w:styleId="1092" w:customStyle="1">
    <w:name w:val="正文文本 字符"/>
    <w:link w:val="1091"/>
    <w:uiPriority w:val="0"/>
    <w:qFormat/>
    <w:rPr>
      <w:rFonts w:ascii="楷体_GB2312" w:hAnsi="Arial" w:eastAsia="楷体_GB2312" w:cs="Times New Roman"/>
      <w:sz w:val="28"/>
      <w:szCs w:val="28"/>
    </w:rPr>
  </w:style>
  <w:style w:type="paragraph" w:styleId="1093" w:customStyle="1">
    <w:name w:val="正文文本缩进1"/>
    <w:basedOn w:val="867"/>
    <w:next w:val="867"/>
    <w:link w:val="1094"/>
    <w:uiPriority w:val="0"/>
    <w:qFormat/>
    <w:pPr>
      <w:ind w:firstLine="645"/>
    </w:pPr>
    <w:rPr>
      <w:rFonts w:ascii="楷体_GB2312" w:eastAsia="楷体_GB2312"/>
      <w:sz w:val="32"/>
      <w:szCs w:val="32"/>
    </w:rPr>
  </w:style>
  <w:style w:type="character" w:styleId="1094" w:customStyle="1">
    <w:name w:val="正文文本缩进 字符"/>
    <w:link w:val="1093"/>
    <w:uiPriority w:val="0"/>
    <w:qFormat/>
    <w:rPr>
      <w:rFonts w:ascii="楷体_GB2312" w:hAnsi="Times New Roman" w:eastAsia="楷体_GB2312" w:cs="Times New Roman"/>
      <w:sz w:val="32"/>
      <w:szCs w:val="32"/>
    </w:rPr>
  </w:style>
  <w:style w:type="paragraph" w:styleId="1095" w:customStyle="1">
    <w:name w:val="列表 21"/>
    <w:basedOn w:val="867"/>
    <w:uiPriority w:val="0"/>
    <w:qFormat/>
    <w:pPr>
      <w:ind w:left="100" w:hanging="200"/>
    </w:pPr>
  </w:style>
  <w:style w:type="paragraph" w:styleId="1096" w:customStyle="1">
    <w:name w:val="纯文本1"/>
    <w:basedOn w:val="867"/>
    <w:link w:val="1097"/>
    <w:uiPriority w:val="0"/>
    <w:qFormat/>
    <w:rPr>
      <w:rFonts w:ascii="宋体" w:hAnsi="Courier New" w:cs="Courier New"/>
    </w:rPr>
  </w:style>
  <w:style w:type="character" w:styleId="1097" w:customStyle="1">
    <w:name w:val="纯文本 字符"/>
    <w:link w:val="1096"/>
    <w:uiPriority w:val="0"/>
    <w:qFormat/>
    <w:rPr>
      <w:rFonts w:ascii="宋体" w:hAnsi="Courier New" w:eastAsia="宋体" w:cs="Courier New"/>
      <w:szCs w:val="21"/>
    </w:rPr>
  </w:style>
  <w:style w:type="paragraph" w:styleId="1098" w:customStyle="1">
    <w:name w:val="日期1"/>
    <w:basedOn w:val="867"/>
    <w:next w:val="867"/>
    <w:link w:val="1099"/>
    <w:uiPriority w:val="0"/>
    <w:qFormat/>
    <w:rPr>
      <w:sz w:val="24"/>
      <w:szCs w:val="24"/>
    </w:rPr>
  </w:style>
  <w:style w:type="character" w:styleId="1099" w:customStyle="1">
    <w:name w:val="日期 字符"/>
    <w:link w:val="1098"/>
    <w:uiPriority w:val="0"/>
    <w:qFormat/>
    <w:rPr>
      <w:rFonts w:ascii="Times New Roman" w:hAnsi="Times New Roman" w:eastAsia="宋体" w:cs="Times New Roman"/>
      <w:sz w:val="24"/>
      <w:szCs w:val="24"/>
    </w:rPr>
  </w:style>
  <w:style w:type="paragraph" w:styleId="1100" w:customStyle="1">
    <w:name w:val="正文文本缩进 21"/>
    <w:basedOn w:val="867"/>
    <w:link w:val="1101"/>
    <w:uiPriority w:val="0"/>
    <w:qFormat/>
    <w:pPr>
      <w:ind w:left="630" w:firstLine="645"/>
    </w:pPr>
    <w:rPr>
      <w:rFonts w:ascii="Arial" w:hAnsi="Arial" w:eastAsia="仿宋_GB2312" w:cs="Arial"/>
      <w:sz w:val="32"/>
      <w:szCs w:val="32"/>
    </w:rPr>
  </w:style>
  <w:style w:type="character" w:styleId="1101" w:customStyle="1">
    <w:name w:val="正文文本缩进 2 字符"/>
    <w:link w:val="1100"/>
    <w:uiPriority w:val="0"/>
    <w:qFormat/>
    <w:rPr>
      <w:rFonts w:ascii="Arial" w:hAnsi="Arial" w:eastAsia="仿宋_GB2312" w:cs="Arial"/>
      <w:sz w:val="32"/>
      <w:szCs w:val="32"/>
    </w:rPr>
  </w:style>
  <w:style w:type="paragraph" w:styleId="1102" w:customStyle="1">
    <w:name w:val="批注框文本1"/>
    <w:basedOn w:val="867"/>
    <w:link w:val="1103"/>
    <w:uiPriority w:val="0"/>
    <w:semiHidden/>
    <w:qFormat/>
    <w:rPr>
      <w:sz w:val="18"/>
      <w:szCs w:val="18"/>
    </w:rPr>
  </w:style>
  <w:style w:type="character" w:styleId="1103" w:customStyle="1">
    <w:name w:val="批注框文本 字符"/>
    <w:link w:val="1102"/>
    <w:uiPriority w:val="0"/>
    <w:semiHidden/>
    <w:qFormat/>
    <w:rPr>
      <w:rFonts w:ascii="Times New Roman" w:hAnsi="Times New Roman" w:eastAsia="宋体" w:cs="Times New Roman"/>
      <w:sz w:val="18"/>
      <w:szCs w:val="18"/>
    </w:rPr>
  </w:style>
  <w:style w:type="paragraph" w:styleId="1104" w:customStyle="1">
    <w:name w:val="页脚1"/>
    <w:basedOn w:val="867"/>
    <w:link w:val="1105"/>
    <w:uiPriority w:val="99"/>
    <w:qFormat/>
    <w:pPr>
      <w:jc w:val="left"/>
      <w:tabs>
        <w:tab w:val="center" w:pos="4153" w:leader="none"/>
        <w:tab w:val="right" w:pos="8306" w:leader="none"/>
      </w:tabs>
    </w:pPr>
    <w:rPr>
      <w:sz w:val="18"/>
      <w:szCs w:val="18"/>
    </w:rPr>
  </w:style>
  <w:style w:type="character" w:styleId="1105" w:customStyle="1">
    <w:name w:val="页脚 字符"/>
    <w:link w:val="1104"/>
    <w:uiPriority w:val="99"/>
    <w:qFormat/>
    <w:rPr>
      <w:rFonts w:ascii="Times New Roman" w:hAnsi="Times New Roman" w:eastAsia="宋体" w:cs="Times New Roman"/>
      <w:sz w:val="18"/>
      <w:szCs w:val="18"/>
    </w:rPr>
  </w:style>
  <w:style w:type="paragraph" w:styleId="1106" w:customStyle="1">
    <w:name w:val="页眉1"/>
    <w:basedOn w:val="867"/>
    <w:link w:val="1107"/>
    <w:uiPriority w:val="0"/>
    <w:qFormat/>
    <w:pPr>
      <w:jc w:val="center"/>
      <w:tabs>
        <w:tab w:val="center" w:pos="4153" w:leader="none"/>
        <w:tab w:val="right" w:pos="8306" w:leader="none"/>
      </w:tabs>
      <w:pBdr>
        <w:bottom w:val="single" w:color="000000" w:sz="6" w:space="1"/>
      </w:pBdr>
    </w:pPr>
    <w:rPr>
      <w:sz w:val="18"/>
      <w:szCs w:val="18"/>
    </w:rPr>
  </w:style>
  <w:style w:type="character" w:styleId="1107" w:customStyle="1">
    <w:name w:val="页眉 字符"/>
    <w:link w:val="1106"/>
    <w:uiPriority w:val="0"/>
    <w:qFormat/>
    <w:rPr>
      <w:rFonts w:ascii="Times New Roman" w:hAnsi="Times New Roman" w:eastAsia="宋体" w:cs="Times New Roman"/>
      <w:sz w:val="18"/>
      <w:szCs w:val="18"/>
    </w:rPr>
  </w:style>
  <w:style w:type="paragraph" w:styleId="1108" w:customStyle="1">
    <w:name w:val="列表1"/>
    <w:basedOn w:val="867"/>
    <w:uiPriority w:val="0"/>
    <w:qFormat/>
    <w:pPr>
      <w:ind w:left="200" w:hanging="200"/>
    </w:pPr>
  </w:style>
  <w:style w:type="paragraph" w:styleId="1109" w:customStyle="1">
    <w:name w:val="正文文本缩进 31"/>
    <w:basedOn w:val="867"/>
    <w:link w:val="1110"/>
    <w:uiPriority w:val="0"/>
    <w:qFormat/>
    <w:pPr>
      <w:ind w:left="645" w:firstLine="645"/>
    </w:pPr>
    <w:rPr>
      <w:rFonts w:ascii="Arial" w:hAnsi="Arial" w:eastAsia="仿宋_GB2312" w:cs="Arial"/>
      <w:color w:val="ffff00"/>
      <w:sz w:val="32"/>
      <w:szCs w:val="32"/>
    </w:rPr>
  </w:style>
  <w:style w:type="character" w:styleId="1110" w:customStyle="1">
    <w:name w:val="正文文本缩进 3 字符"/>
    <w:link w:val="1109"/>
    <w:uiPriority w:val="0"/>
    <w:qFormat/>
    <w:rPr>
      <w:rFonts w:ascii="Arial" w:hAnsi="Arial" w:eastAsia="仿宋_GB2312" w:cs="Arial"/>
      <w:color w:val="ffff00"/>
      <w:sz w:val="32"/>
      <w:szCs w:val="32"/>
    </w:rPr>
  </w:style>
  <w:style w:type="paragraph" w:styleId="1111" w:customStyle="1">
    <w:name w:val="图表目录1"/>
    <w:basedOn w:val="867"/>
    <w:next w:val="867"/>
    <w:uiPriority w:val="0"/>
    <w:semiHidden/>
    <w:qFormat/>
    <w:pPr>
      <w:ind w:left="840" w:hanging="420"/>
    </w:pPr>
  </w:style>
  <w:style w:type="paragraph" w:styleId="1112" w:customStyle="1">
    <w:name w:val="正文文本 21"/>
    <w:basedOn w:val="867"/>
    <w:link w:val="1113"/>
    <w:uiPriority w:val="0"/>
    <w:qFormat/>
    <w:pPr>
      <w:jc w:val="center"/>
      <w:widowControl/>
    </w:pPr>
    <w:rPr>
      <w:rFonts w:ascii="楷体_GB2312" w:eastAsia="楷体_GB2312"/>
      <w:sz w:val="28"/>
      <w:szCs w:val="28"/>
    </w:rPr>
  </w:style>
  <w:style w:type="character" w:styleId="1113" w:customStyle="1">
    <w:name w:val="正文文本 2 字符"/>
    <w:link w:val="1112"/>
    <w:uiPriority w:val="0"/>
    <w:qFormat/>
    <w:rPr>
      <w:rFonts w:ascii="楷体_GB2312" w:hAnsi="Times New Roman" w:eastAsia="楷体_GB2312" w:cs="Times New Roman"/>
      <w:sz w:val="28"/>
      <w:szCs w:val="28"/>
    </w:rPr>
  </w:style>
  <w:style w:type="paragraph" w:styleId="1114" w:customStyle="1">
    <w:name w:val="普通(网站)1"/>
    <w:basedOn w:val="867"/>
    <w:uiPriority w:val="99"/>
    <w:qFormat/>
    <w:pPr>
      <w:jc w:val="left"/>
      <w:spacing w:before="100" w:beforeAutospacing="1" w:after="100" w:afterAutospacing="1"/>
      <w:widowControl/>
    </w:pPr>
    <w:rPr>
      <w:rFonts w:ascii="宋体" w:hAnsi="宋体" w:cs="宋体"/>
      <w:sz w:val="24"/>
      <w:szCs w:val="24"/>
    </w:rPr>
  </w:style>
  <w:style w:type="paragraph" w:styleId="1115" w:customStyle="1">
    <w:name w:val="索引 11"/>
    <w:basedOn w:val="867"/>
    <w:next w:val="867"/>
    <w:uiPriority w:val="0"/>
    <w:semiHidden/>
    <w:qFormat/>
    <w:pPr>
      <w:spacing w:line="240" w:lineRule="atLeast"/>
    </w:pPr>
    <w:rPr>
      <w:b/>
      <w:bCs/>
    </w:rPr>
  </w:style>
  <w:style w:type="paragraph" w:styleId="1116" w:customStyle="1">
    <w:name w:val="批注主题1"/>
    <w:basedOn w:val="1087"/>
    <w:next w:val="1087"/>
    <w:link w:val="1117"/>
    <w:uiPriority w:val="0"/>
    <w:semiHidden/>
    <w:qFormat/>
    <w:rPr>
      <w:b/>
      <w:bCs/>
    </w:rPr>
  </w:style>
  <w:style w:type="character" w:styleId="1117" w:customStyle="1">
    <w:name w:val="批注主题 字符"/>
    <w:link w:val="1116"/>
    <w:uiPriority w:val="0"/>
    <w:semiHidden/>
    <w:qFormat/>
    <w:rPr>
      <w:rFonts w:ascii="Times New Roman" w:hAnsi="Times New Roman" w:eastAsia="宋体" w:cs="Times New Roman"/>
      <w:b/>
      <w:bCs/>
      <w:szCs w:val="21"/>
    </w:rPr>
  </w:style>
  <w:style w:type="paragraph" w:styleId="1118" w:customStyle="1">
    <w:name w:val="正文文本首行缩进"/>
    <w:basedOn w:val="867"/>
    <w:link w:val="1119"/>
    <w:uiPriority w:val="0"/>
    <w:qFormat/>
    <w:pPr>
      <w:ind w:firstLine="200"/>
      <w:spacing w:line="360" w:lineRule="auto"/>
    </w:pPr>
    <w:rPr>
      <w:rFonts w:ascii="仿宋_GB2312" w:eastAsia="仿宋_GB2312"/>
      <w:sz w:val="30"/>
      <w:szCs w:val="30"/>
    </w:rPr>
  </w:style>
  <w:style w:type="character" w:styleId="1119" w:customStyle="1">
    <w:name w:val="正文文本首行缩进 字符"/>
    <w:link w:val="1118"/>
    <w:uiPriority w:val="0"/>
    <w:qFormat/>
    <w:rPr>
      <w:rFonts w:ascii="仿宋_GB2312" w:hAnsi="Times New Roman" w:eastAsia="仿宋_GB2312" w:cs="Times New Roman"/>
      <w:sz w:val="30"/>
      <w:szCs w:val="30"/>
    </w:rPr>
  </w:style>
  <w:style w:type="paragraph" w:styleId="1120" w:customStyle="1">
    <w:name w:val="正文文本首行缩进 2"/>
    <w:basedOn w:val="1093"/>
    <w:link w:val="1121"/>
    <w:uiPriority w:val="0"/>
    <w:qFormat/>
    <w:pPr>
      <w:ind w:firstLine="420"/>
      <w:spacing w:line="360" w:lineRule="auto"/>
    </w:pPr>
    <w:rPr>
      <w:rFonts w:ascii="宋体" w:hAnsi="宋体" w:eastAsia="宋体"/>
      <w:sz w:val="21"/>
      <w:szCs w:val="20"/>
    </w:rPr>
  </w:style>
  <w:style w:type="character" w:styleId="1121" w:customStyle="1">
    <w:name w:val="正文文本首行缩进 2 字符"/>
    <w:link w:val="1120"/>
    <w:uiPriority w:val="0"/>
    <w:qFormat/>
    <w:rPr>
      <w:rFonts w:ascii="宋体" w:hAnsi="宋体" w:eastAsia="宋体" w:cs="Times New Roman"/>
      <w:sz w:val="32"/>
      <w:szCs w:val="20"/>
    </w:rPr>
  </w:style>
  <w:style w:type="table" w:styleId="1122" w:customStyle="1">
    <w:name w:val="网格型1"/>
    <w:basedOn w:val="1073"/>
    <w:uiPriority w:val="0"/>
    <w:qFormat/>
    <w:pPr>
      <w:jc w:val="both"/>
      <w:widowControl w:val="off"/>
    </w:pPr>
    <w:rPr>
      <w:rFonts w:ascii="Times New Roman" w:hAnsi="Times New Roman" w:eastAsia="宋体" w:cs="Times New Roman"/>
      <w:sz w:val="20"/>
      <w:szCs w:val="20"/>
    </w:rPr>
    <w:tblPr/>
  </w:style>
  <w:style w:type="character" w:styleId="1123" w:customStyle="1">
    <w:name w:val="要点1"/>
    <w:link w:val="867"/>
    <w:uiPriority w:val="0"/>
    <w:qFormat/>
    <w:rPr>
      <w:b/>
      <w:bCs/>
    </w:rPr>
  </w:style>
  <w:style w:type="character" w:styleId="1124" w:customStyle="1">
    <w:name w:val="页码1"/>
    <w:link w:val="867"/>
    <w:uiPriority w:val="0"/>
    <w:qFormat/>
  </w:style>
  <w:style w:type="character" w:styleId="1125" w:customStyle="1">
    <w:name w:val="访问过的超链接"/>
    <w:link w:val="867"/>
    <w:uiPriority w:val="0"/>
    <w:qFormat/>
    <w:rPr>
      <w:color w:val="800080"/>
      <w:u w:val="single"/>
    </w:rPr>
  </w:style>
  <w:style w:type="character" w:styleId="1126" w:customStyle="1">
    <w:name w:val="超链接1"/>
    <w:link w:val="867"/>
    <w:uiPriority w:val="0"/>
    <w:qFormat/>
    <w:rPr>
      <w:color w:val="0000ff"/>
      <w:u w:val="single"/>
    </w:rPr>
  </w:style>
  <w:style w:type="character" w:styleId="1127" w:customStyle="1">
    <w:name w:val="批注引用1"/>
    <w:link w:val="867"/>
    <w:uiPriority w:val="0"/>
    <w:semiHidden/>
    <w:qFormat/>
    <w:rPr>
      <w:sz w:val="21"/>
      <w:szCs w:val="21"/>
    </w:rPr>
  </w:style>
  <w:style w:type="paragraph" w:styleId="1128" w:customStyle="1">
    <w:name w:val="标题二、"/>
    <w:basedOn w:val="867"/>
    <w:uiPriority w:val="99"/>
    <w:qFormat/>
    <w:pPr>
      <w:ind w:firstLine="200"/>
      <w:spacing w:line="360" w:lineRule="auto"/>
      <w:outlineLvl w:val="2"/>
    </w:pPr>
    <w:rPr>
      <w:rFonts w:ascii="宋体" w:hAnsi="宋体"/>
      <w:b/>
      <w:szCs w:val="21"/>
    </w:rPr>
  </w:style>
  <w:style w:type="paragraph" w:styleId="1129" w:customStyle="1">
    <w:name w:val="正文空2字"/>
    <w:basedOn w:val="1130"/>
    <w:uiPriority w:val="99"/>
    <w:qFormat/>
    <w:pPr>
      <w:ind w:firstLine="640"/>
      <w:spacing w:line="560" w:lineRule="exact"/>
      <w:widowControl w:val="off"/>
    </w:pPr>
    <w:rPr>
      <w:rFonts w:ascii="仿宋_GB2312" w:hAnsi="仿宋_GB2312" w:cs="仿宋_GB2312"/>
      <w:lang w:val="zh-TW"/>
    </w:rPr>
  </w:style>
  <w:style w:type="paragraph" w:styleId="1130" w:customStyle="1">
    <w:name w:val="左对齐正文"/>
    <w:uiPriority w:val="99"/>
    <w:qFormat/>
    <w:rPr>
      <w:rFonts w:hint="default" w:ascii="Calibri" w:hAnsi="Calibri" w:eastAsia="仿宋_GB2312" w:cs="Calibri"/>
      <w:sz w:val="32"/>
      <w:szCs w:val="32"/>
      <w:lang w:val="en-US" w:eastAsia="zh-CN" w:bidi="ar-SA"/>
    </w:rPr>
  </w:style>
  <w:style w:type="paragraph" w:styleId="1131" w:customStyle="1">
    <w:name w:val="索引 41"/>
    <w:basedOn w:val="867"/>
    <w:next w:val="867"/>
    <w:uiPriority w:val="0"/>
    <w:semiHidden/>
    <w:qFormat/>
    <w:pPr>
      <w:ind w:left="1260"/>
    </w:pPr>
    <w:rPr>
      <w:rFonts w:ascii="Calibri" w:hAnsi="Calibri" w:eastAsia="Calibri" w:cs="宋体"/>
      <w:sz w:val="20"/>
      <w:lang w:val="zh-CN"/>
    </w:rPr>
  </w:style>
  <w:style w:type="character" w:styleId="1132" w:customStyle="1">
    <w:name w:val="font5 Char"/>
    <w:link w:val="867"/>
    <w:uiPriority w:val="0"/>
    <w:qFormat/>
    <w:rPr>
      <w:rFonts w:ascii="宋体" w:hAnsi="宋体" w:eastAsia="宋体"/>
      <w:sz w:val="28"/>
      <w:szCs w:val="28"/>
      <w:lang w:val="en-US" w:eastAsia="zh-CN" w:bidi="ar-SA"/>
    </w:rPr>
  </w:style>
  <w:style w:type="character" w:styleId="1133" w:customStyle="1">
    <w:name w:val="二级目录 Char"/>
    <w:link w:val="1134"/>
    <w:uiPriority w:val="0"/>
    <w:qFormat/>
    <w:rPr>
      <w:b/>
      <w:sz w:val="30"/>
      <w:szCs w:val="28"/>
    </w:rPr>
  </w:style>
  <w:style w:type="paragraph" w:styleId="1134" w:customStyle="1">
    <w:name w:val="二级目录"/>
    <w:next w:val="867"/>
    <w:link w:val="11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5" w:customStyle="1">
    <w:name w:val="列出段落 Char"/>
    <w:link w:val="1136"/>
    <w:uiPriority w:val="0"/>
    <w:qFormat/>
    <w:rPr>
      <w:rFonts w:ascii="Calibri" w:hAnsi="Calibri"/>
      <w:sz w:val="24"/>
      <w:szCs w:val="24"/>
      <w:lang w:eastAsia="en-US" w:bidi="en-US"/>
    </w:rPr>
  </w:style>
  <w:style w:type="paragraph" w:styleId="1136" w:customStyle="1">
    <w:name w:val="列出段落1"/>
    <w:basedOn w:val="867"/>
    <w:link w:val="1135"/>
    <w:uiPriority w:val="0"/>
    <w:qFormat/>
    <w:pPr>
      <w:contextualSpacing/>
      <w:ind w:left="720"/>
      <w:jc w:val="left"/>
      <w:widowControl/>
    </w:pPr>
    <w:rPr>
      <w:rFonts w:ascii="Calibri" w:hAnsi="Calibri" w:eastAsia="宋体" w:cs="Times New Roman"/>
      <w:sz w:val="24"/>
      <w:szCs w:val="24"/>
      <w:lang w:eastAsia="en-US" w:bidi="en-US"/>
    </w:rPr>
  </w:style>
  <w:style w:type="paragraph" w:styleId="1137" w:customStyle="1">
    <w:name w:val="Body Text(ch)"/>
    <w:basedOn w:val="867"/>
    <w:next w:val="1091"/>
    <w:uiPriority w:val="0"/>
    <w:qFormat/>
    <w:pPr>
      <w:spacing w:after="120"/>
    </w:pPr>
    <w:rPr>
      <w:rFonts w:ascii="宋体" w:hAnsi="Arial"/>
      <w:bCs/>
      <w:iCs/>
      <w:szCs w:val="24"/>
    </w:rPr>
  </w:style>
  <w:style w:type="paragraph" w:styleId="1138" w:customStyle="1">
    <w:name w:val="xl27"/>
    <w:basedOn w:val="8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9" w:customStyle="1">
    <w:name w:val="xl26"/>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0" w:customStyle="1">
    <w:name w:val="Char"/>
    <w:basedOn w:val="867"/>
    <w:uiPriority w:val="0"/>
    <w:qFormat/>
    <w:pPr>
      <w:ind w:firstLine="200"/>
      <w:tabs>
        <w:tab w:val="left" w:pos="360" w:leader="none"/>
      </w:tabs>
    </w:pPr>
    <w:rPr>
      <w:sz w:val="28"/>
      <w:szCs w:val="30"/>
    </w:rPr>
  </w:style>
  <w:style w:type="paragraph" w:styleId="1141" w:customStyle="1">
    <w:name w:val=" Char"/>
    <w:basedOn w:val="1085"/>
    <w:uiPriority w:val="0"/>
    <w:qFormat/>
    <w:rPr>
      <w:rFonts w:ascii="Tahoma" w:hAnsi="Tahoma"/>
      <w:sz w:val="24"/>
      <w:szCs w:val="24"/>
    </w:rPr>
  </w:style>
  <w:style w:type="paragraph" w:styleId="1142" w:customStyle="1">
    <w:name w:val="普通正文"/>
    <w:basedOn w:val="867"/>
    <w:uiPriority w:val="0"/>
    <w:qFormat/>
    <w:pPr>
      <w:ind w:firstLine="480"/>
      <w:jc w:val="left"/>
      <w:spacing w:before="120" w:after="120" w:line="360" w:lineRule="auto"/>
    </w:pPr>
    <w:rPr>
      <w:rFonts w:ascii="Arial" w:hAnsi="Arial"/>
      <w:sz w:val="24"/>
      <w:szCs w:val="24"/>
    </w:rPr>
  </w:style>
  <w:style w:type="paragraph" w:styleId="1143" w:customStyle="1">
    <w:name w:val="table_lines"/>
    <w:basedOn w:val="867"/>
    <w:uiPriority w:val="0"/>
    <w:qFormat/>
    <w:pPr>
      <w:jc w:val="left"/>
      <w:widowControl/>
    </w:pPr>
    <w:rPr>
      <w:sz w:val="20"/>
      <w:szCs w:val="20"/>
      <w:lang w:val="de-DE" w:eastAsia="de-DE"/>
    </w:rPr>
  </w:style>
  <w:style w:type="paragraph" w:styleId="11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5" w:customStyle="1">
    <w:name w:val="font7"/>
    <w:basedOn w:val="867"/>
    <w:uiPriority w:val="0"/>
    <w:qFormat/>
    <w:pPr>
      <w:jc w:val="left"/>
      <w:spacing w:before="100" w:beforeAutospacing="1" w:after="100" w:afterAutospacing="1"/>
      <w:widowControl/>
    </w:pPr>
    <w:rPr>
      <w:rFonts w:hint="eastAsia" w:ascii="宋体" w:hAnsi="宋体"/>
      <w:sz w:val="18"/>
      <w:szCs w:val="18"/>
    </w:rPr>
  </w:style>
  <w:style w:type="paragraph" w:styleId="1146" w:customStyle="1">
    <w:name w:val=" Char Char Char Char"/>
    <w:basedOn w:val="1085"/>
    <w:uiPriority w:val="0"/>
    <w:qFormat/>
    <w:pPr>
      <w:spacing w:line="360" w:lineRule="auto"/>
    </w:pPr>
    <w:rPr>
      <w:rFonts w:ascii="Tahoma" w:hAnsi="Tahoma"/>
      <w:sz w:val="24"/>
      <w:szCs w:val="24"/>
    </w:rPr>
  </w:style>
  <w:style w:type="paragraph" w:styleId="1147" w:customStyle="1">
    <w:name w:val="列表段落"/>
    <w:basedOn w:val="867"/>
    <w:uiPriority w:val="0"/>
    <w:qFormat/>
    <w:pPr>
      <w:contextualSpacing/>
      <w:ind w:left="720"/>
      <w:jc w:val="left"/>
      <w:widowControl/>
    </w:pPr>
    <w:rPr>
      <w:rFonts w:ascii="Calibri" w:hAnsi="Calibri"/>
      <w:sz w:val="24"/>
      <w:szCs w:val="24"/>
      <w:lang w:eastAsia="en-US" w:bidi="en-US"/>
    </w:rPr>
  </w:style>
  <w:style w:type="paragraph" w:styleId="1148" w:customStyle="1">
    <w:name w:val="4"/>
    <w:basedOn w:val="867"/>
    <w:next w:val="1109"/>
    <w:uiPriority w:val="0"/>
    <w:qFormat/>
    <w:pPr>
      <w:ind w:firstLine="420"/>
      <w:spacing w:line="360" w:lineRule="auto"/>
    </w:pPr>
    <w:rPr>
      <w:color w:val="ff0000"/>
      <w:sz w:val="24"/>
      <w:szCs w:val="24"/>
    </w:rPr>
  </w:style>
  <w:style w:type="paragraph" w:styleId="1149" w:customStyle="1">
    <w:name w:val="普通 (Web)"/>
    <w:basedOn w:val="867"/>
    <w:uiPriority w:val="0"/>
    <w:qFormat/>
    <w:pPr>
      <w:jc w:val="left"/>
      <w:spacing w:before="100" w:beforeAutospacing="1" w:after="100" w:afterAutospacing="1"/>
      <w:widowControl/>
    </w:pPr>
    <w:rPr>
      <w:rFonts w:ascii="宋体" w:hAnsi="宋体"/>
      <w:sz w:val="24"/>
      <w:szCs w:val="24"/>
    </w:rPr>
  </w:style>
  <w:style w:type="paragraph" w:styleId="1150" w:customStyle="1">
    <w:name w:val=" Char Char Char Char Char Char Char Char Char Char"/>
    <w:basedOn w:val="867"/>
    <w:uiPriority w:val="0"/>
    <w:qFormat/>
    <w:pPr>
      <w:spacing w:line="360" w:lineRule="auto"/>
    </w:pPr>
    <w:rPr>
      <w:sz w:val="24"/>
      <w:szCs w:val="20"/>
    </w:rPr>
  </w:style>
  <w:style w:type="paragraph" w:styleId="1151" w:customStyle="1">
    <w:name w:val="样式1"/>
    <w:basedOn w:val="867"/>
    <w:uiPriority w:val="0"/>
    <w:qFormat/>
    <w:pPr>
      <w:numPr>
        <w:ilvl w:val="0"/>
        <w:numId w:val="3"/>
      </w:numPr>
    </w:pPr>
    <w:rPr>
      <w:rFonts w:ascii="宋体" w:hAnsi="宋体"/>
    </w:rPr>
  </w:style>
  <w:style w:type="paragraph" w:styleId="1152" w:customStyle="1">
    <w:name w:val="font6"/>
    <w:basedOn w:val="867"/>
    <w:uiPriority w:val="0"/>
    <w:qFormat/>
    <w:pPr>
      <w:jc w:val="left"/>
      <w:spacing w:before="100" w:beforeAutospacing="1" w:after="100" w:afterAutospacing="1"/>
      <w:widowControl/>
    </w:pPr>
    <w:rPr>
      <w:rFonts w:hint="eastAsia" w:ascii="宋体" w:hAnsi="宋体"/>
      <w:sz w:val="28"/>
      <w:szCs w:val="28"/>
      <w:u w:val="single"/>
    </w:rPr>
  </w:style>
  <w:style w:type="paragraph" w:styleId="1153" w:customStyle="1">
    <w:name w:val="xl25"/>
    <w:basedOn w:val="8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4" w:customStyle="1">
    <w:name w:val="图标"/>
    <w:basedOn w:val="867"/>
    <w:next w:val="8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5" w:customStyle="1">
    <w:name w:val="标题3"/>
    <w:basedOn w:val="867"/>
    <w:next w:val="867"/>
    <w:uiPriority w:val="0"/>
    <w:qFormat/>
    <w:pPr>
      <w:ind w:firstLine="624"/>
      <w:spacing w:line="590" w:lineRule="atLeast"/>
    </w:pPr>
    <w:rPr>
      <w:rFonts w:ascii="方正黑体_GBK" w:eastAsia="方正黑体_GBK"/>
      <w:sz w:val="32"/>
      <w:szCs w:val="32"/>
    </w:rPr>
  </w:style>
  <w:style w:type="paragraph" w:styleId="1156" w:customStyle="1">
    <w:name w:val="xl24"/>
    <w:basedOn w:val="8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customStyle="1">
    <w:name w:val="xl29"/>
    <w:basedOn w:val="86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8" w:customStyle="1">
    <w:name w:val="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159" w:customStyle="1">
    <w:name w:val="xl28"/>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0" w:customStyle="1">
    <w:name w:val="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161" w:customStyle="1">
    <w:name w:val="xl30"/>
    <w:basedOn w:val="867"/>
    <w:uiPriority w:val="0"/>
    <w:qFormat/>
    <w:pPr>
      <w:jc w:val="center"/>
      <w:spacing w:before="100" w:beforeAutospacing="1" w:after="100" w:afterAutospacing="1"/>
      <w:widowControl/>
    </w:pPr>
    <w:rPr>
      <w:rFonts w:ascii="宋体" w:hAnsi="宋体"/>
      <w:b/>
      <w:bCs/>
      <w:sz w:val="36"/>
      <w:szCs w:val="36"/>
    </w:rPr>
  </w:style>
  <w:style w:type="paragraph" w:styleId="1162" w:customStyle="1">
    <w:name w:val="Char Char Char Char"/>
    <w:basedOn w:val="1085"/>
    <w:uiPriority w:val="0"/>
    <w:qFormat/>
    <w:pPr>
      <w:spacing w:line="360" w:lineRule="auto"/>
    </w:pPr>
    <w:rPr>
      <w:rFonts w:ascii="Tahoma" w:hAnsi="Tahoma"/>
      <w:sz w:val="24"/>
      <w:szCs w:val="24"/>
    </w:rPr>
  </w:style>
  <w:style w:type="paragraph" w:styleId="1163" w:customStyle="1">
    <w:name w:val="table_1stline"/>
    <w:basedOn w:val="867"/>
    <w:uiPriority w:val="0"/>
    <w:qFormat/>
    <w:pPr>
      <w:jc w:val="left"/>
      <w:spacing w:before="120"/>
      <w:widowControl/>
    </w:pPr>
    <w:rPr>
      <w:bCs/>
      <w:sz w:val="20"/>
      <w:szCs w:val="20"/>
      <w:lang w:val="de-DE" w:eastAsia="de-DE"/>
    </w:rPr>
  </w:style>
  <w:style w:type="paragraph" w:styleId="1164" w:customStyle="1">
    <w:name w:val="font5"/>
    <w:basedOn w:val="867"/>
    <w:uiPriority w:val="0"/>
    <w:qFormat/>
    <w:pPr>
      <w:jc w:val="left"/>
      <w:spacing w:before="100" w:beforeAutospacing="1" w:after="100" w:afterAutospacing="1"/>
      <w:widowControl/>
    </w:pPr>
    <w:rPr>
      <w:rFonts w:hint="eastAsia" w:ascii="宋体" w:hAnsi="宋体"/>
      <w:sz w:val="28"/>
      <w:szCs w:val="28"/>
    </w:rPr>
  </w:style>
  <w:style w:type="paragraph" w:styleId="1165" w:customStyle="1">
    <w:name w:val="标题1"/>
    <w:basedOn w:val="867"/>
    <w:next w:val="8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6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68" w:customStyle="1">
    <w:name w:val="Table Normal"/>
    <w:uiPriority w:val="0"/>
    <w:qFormat/>
    <w:rPr>
      <w:lang w:val="en-US" w:eastAsia="zh-CN" w:bidi="ar-SA"/>
    </w:rPr>
    <w:tblPr/>
  </w:style>
  <w:style w:type="paragraph" w:styleId="116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6_0"/>
    <w:uiPriority w:val="0"/>
    <w:qFormat/>
    <w:rPr>
      <w:rFonts w:hint="default" w:ascii="黑体" w:hAnsi="黑体" w:eastAsia="黑体" w:cs="黑体"/>
      <w:b/>
      <w:sz w:val="32"/>
      <w:szCs w:val="24"/>
      <w:lang w:val="en-US" w:eastAsia="zh-CN" w:bidi="ar-SA"/>
    </w:rPr>
  </w:style>
  <w:style w:type="paragraph" w:styleId="117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7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文本12"/>
    <w:basedOn w:val="867"/>
    <w:uiPriority w:val="1"/>
    <w:qFormat/>
    <w:pPr>
      <w:ind w:left="120"/>
    </w:pPr>
    <w:rPr>
      <w:rFonts w:ascii="宋体" w:hAnsi="宋体" w:eastAsia="宋体" w:cs="宋体"/>
      <w:sz w:val="21"/>
      <w:szCs w:val="21"/>
      <w:lang w:val="zh-CN" w:eastAsia="zh-CN" w:bidi="zh-CN"/>
    </w:rPr>
  </w:style>
  <w:style w:type="paragraph" w:styleId="1174" w:customStyle="1">
    <w:name w:val="正文2"/>
    <w:basedOn w:val="867"/>
    <w:uiPriority w:val="0"/>
    <w:qFormat/>
    <w:pPr>
      <w:ind w:firstLine="510"/>
      <w:spacing w:before="156" w:line="360" w:lineRule="auto"/>
    </w:pPr>
    <w:rPr>
      <w:sz w:val="24"/>
      <w:szCs w:val="20"/>
    </w:rPr>
  </w:style>
  <w:style w:type="paragraph" w:styleId="1175" w:customStyle="1">
    <w:name w:val="首行缩进"/>
    <w:basedOn w:val="867"/>
    <w:uiPriority w:val="0"/>
    <w:qFormat/>
    <w:pPr>
      <w:ind w:firstLine="480"/>
    </w:pPr>
    <w:rPr>
      <w:rFonts w:ascii="Times New Roman" w:hAnsi="Times New Roman" w:cs="Times New Roman"/>
      <w:lang w:val="zh-CN"/>
    </w:rPr>
  </w:style>
  <w:style w:type="paragraph" w:styleId="1176" w:customStyle="1">
    <w:name w:val="Normal_18_0"/>
    <w:uiPriority w:val="0"/>
    <w:qFormat/>
    <w:rPr>
      <w:rFonts w:hint="default" w:ascii="黑体" w:hAnsi="黑体" w:eastAsia="黑体" w:cs="黑体"/>
      <w:b/>
      <w:sz w:val="32"/>
      <w:szCs w:val="24"/>
      <w:lang w:val="en-US" w:eastAsia="zh-CN" w:bidi="ar-SA"/>
    </w:rPr>
  </w:style>
  <w:style w:type="paragraph" w:styleId="1177" w:customStyle="1">
    <w:name w:val="正文_12_0_0_0_0"/>
    <w:basedOn w:val="867"/>
    <w:uiPriority w:val="0"/>
    <w:qFormat/>
    <w:rPr>
      <w:rFonts w:ascii="Times New Roman" w:hAnsi="Times New Roman"/>
      <w:szCs w:val="24"/>
    </w:rPr>
  </w:style>
  <w:style w:type="paragraph" w:styleId="117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20"/>
    <w:uiPriority w:val="0"/>
    <w:qFormat/>
    <w:rPr>
      <w:rFonts w:hint="default" w:ascii="黑体" w:hAnsi="黑体" w:eastAsia="黑体" w:cs="黑体"/>
      <w:b/>
      <w:sz w:val="32"/>
      <w:szCs w:val="24"/>
      <w:lang w:val="en-US" w:eastAsia="zh-CN" w:bidi="ar-SA"/>
    </w:rPr>
  </w:style>
  <w:style w:type="paragraph" w:styleId="118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0"/>
    <w:uiPriority w:val="0"/>
    <w:qFormat/>
    <w:rPr>
      <w:rFonts w:hint="default" w:ascii="黑体" w:hAnsi="黑体" w:eastAsia="黑体" w:cs="Times New Roman"/>
      <w:b/>
      <w:sz w:val="32"/>
      <w:szCs w:val="24"/>
      <w:lang w:val="en-US" w:eastAsia="zh-CN" w:bidi="ar-SA"/>
    </w:rPr>
  </w:style>
  <w:style w:type="paragraph" w:styleId="1184" w:customStyle="1">
    <w:name w:val="部分1"/>
    <w:basedOn w:val="867"/>
    <w:uiPriority w:val="0"/>
    <w:qFormat/>
    <w:pPr>
      <w:jc w:val="center"/>
      <w:keepNext/>
      <w:pageBreakBefore/>
      <w:spacing w:line="360" w:lineRule="auto"/>
      <w:tabs>
        <w:tab w:val="left" w:pos="720" w:leader="none"/>
      </w:tabs>
      <w:outlineLvl w:val="0"/>
    </w:pPr>
    <w:rPr>
      <w:rFonts w:eastAsia="黑体"/>
      <w:b/>
      <w:sz w:val="36"/>
      <w:szCs w:val="20"/>
    </w:rPr>
  </w:style>
  <w:style w:type="paragraph" w:styleId="118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89" w:customStyle="1">
    <w:name w:val="列出段落_2"/>
    <w:basedOn w:val="1187"/>
    <w:uiPriority w:val="34"/>
    <w:qFormat/>
    <w:pPr>
      <w:ind w:firstLine="420"/>
    </w:pPr>
    <w:rPr>
      <w:rFonts w:ascii="Calibri" w:hAnsi="Calibri" w:eastAsia="宋体"/>
    </w:rPr>
  </w:style>
  <w:style w:type="paragraph" w:styleId="1190" w:customStyle="1">
    <w:name w:val="Normal_13_0"/>
    <w:uiPriority w:val="0"/>
    <w:qFormat/>
    <w:rPr>
      <w:rFonts w:hint="default" w:ascii="黑体" w:hAnsi="黑体" w:eastAsia="黑体" w:cs="黑体"/>
      <w:b/>
      <w:sz w:val="32"/>
      <w:szCs w:val="24"/>
      <w:lang w:val="en-US" w:eastAsia="zh-CN" w:bidi="ar-SA"/>
    </w:rPr>
  </w:style>
  <w:style w:type="paragraph" w:styleId="1191"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93" w:customStyle="1">
    <w:name w:val="正文_16"/>
    <w:next w:val="1194"/>
    <w:uiPriority w:val="0"/>
    <w:qFormat/>
    <w:pPr>
      <w:jc w:val="both"/>
      <w:widowControl w:val="off"/>
    </w:pPr>
    <w:rPr>
      <w:rFonts w:hint="default" w:ascii="Calibri" w:hAnsi="Calibri" w:eastAsia="宋体" w:cs="Times New Roman"/>
      <w:sz w:val="21"/>
      <w:szCs w:val="24"/>
      <w:lang w:val="en-US" w:eastAsia="zh-CN" w:bidi="ar-SA"/>
    </w:rPr>
  </w:style>
  <w:style w:type="paragraph" w:styleId="1194" w:customStyle="1">
    <w:name w:val="正文文本 2_0"/>
    <w:basedOn w:val="1193"/>
    <w:uiPriority w:val="0"/>
    <w:qFormat/>
    <w:rPr>
      <w:rFonts w:ascii="仿宋_GB2312" w:eastAsia="仿宋_GB2312"/>
      <w:sz w:val="28"/>
    </w:rPr>
  </w:style>
  <w:style w:type="paragraph" w:styleId="1195" w:customStyle="1">
    <w:name w:val="正文_3_0"/>
    <w:next w:val="1196"/>
    <w:uiPriority w:val="0"/>
    <w:qFormat/>
    <w:pPr>
      <w:jc w:val="both"/>
      <w:widowControl w:val="off"/>
    </w:pPr>
    <w:rPr>
      <w:rFonts w:hint="default" w:ascii="Calibri" w:hAnsi="Calibri" w:eastAsia="宋体" w:cs="Times New Roman"/>
      <w:sz w:val="21"/>
      <w:szCs w:val="24"/>
      <w:lang w:val="en-US" w:eastAsia="zh-CN" w:bidi="ar-SA"/>
    </w:rPr>
  </w:style>
  <w:style w:type="paragraph" w:styleId="1196" w:customStyle="1">
    <w:name w:val="正文文本缩进_0"/>
    <w:basedOn w:val="1195"/>
    <w:uiPriority w:val="99"/>
    <w:qFormat/>
    <w:pPr>
      <w:ind w:firstLine="225"/>
    </w:pPr>
    <w:rPr>
      <w:rFonts w:ascii="仿宋_GB2312" w:eastAsia="仿宋_GB2312"/>
      <w:sz w:val="32"/>
    </w:rPr>
  </w:style>
  <w:style w:type="paragraph" w:styleId="1197" w:customStyle="1">
    <w:name w:val="纯文本_1"/>
    <w:basedOn w:val="1193"/>
    <w:uiPriority w:val="99"/>
    <w:qFormat/>
    <w:rPr>
      <w:rFonts w:ascii="宋体" w:hAnsi="Courier New"/>
      <w:szCs w:val="20"/>
    </w:rPr>
  </w:style>
  <w:style w:type="paragraph" w:styleId="1198" w:customStyle="1">
    <w:name w:val="正文文本_0"/>
    <w:basedOn w:val="1193"/>
    <w:next w:val="1199"/>
    <w:uiPriority w:val="0"/>
    <w:qFormat/>
    <w:pPr>
      <w:spacing w:after="120" w:afterAutospacing="0"/>
    </w:pPr>
  </w:style>
  <w:style w:type="paragraph" w:styleId="1199" w:customStyle="1">
    <w:name w:val="正文首行缩进_0"/>
    <w:basedOn w:val="1198"/>
    <w:uiPriority w:val="0"/>
    <w:qFormat/>
    <w:pPr>
      <w:ind w:firstLine="420"/>
      <w:spacing w:after="120"/>
    </w:pPr>
    <w:rPr>
      <w:rFonts w:ascii="Times New Roman" w:hAnsi="Times New Roman" w:eastAsia="宋体"/>
      <w:sz w:val="21"/>
      <w:szCs w:val="24"/>
    </w:rPr>
  </w:style>
  <w:style w:type="character" w:styleId="1200" w:customStyle="1">
    <w:name w:val="font31"/>
    <w:link w:val="867"/>
    <w:uiPriority w:val="0"/>
    <w:qFormat/>
    <w:rPr>
      <w:rFonts w:hint="eastAsia" w:ascii="等线" w:hAnsi="等线" w:eastAsia="等线" w:cs="等线"/>
      <w:color w:val="000000"/>
      <w:sz w:val="20"/>
      <w:szCs w:val="20"/>
      <w:u w:val="none"/>
    </w:rPr>
  </w:style>
  <w:style w:type="table" w:styleId="1201" w:customStyle="1">
    <w:name w:val="网格型_0"/>
    <w:basedOn w:val="1073"/>
    <w:uiPriority w:val="0"/>
    <w:qFormat/>
    <w:pPr>
      <w:jc w:val="both"/>
      <w:widowControl w:val="off"/>
    </w:pPr>
    <w:tblPr/>
  </w:style>
  <w:style w:type="paragraph" w:styleId="1202" w:customStyle="1">
    <w:name w:val="Normal_19"/>
    <w:basedOn w:val="1203"/>
    <w:uiPriority w:val="0"/>
    <w:qFormat/>
    <w:pPr>
      <w:jc w:val="both"/>
      <w:widowControl w:val="off"/>
    </w:pPr>
    <w:rPr>
      <w:rFonts w:ascii="Calibri" w:hAnsi="Calibri" w:eastAsia="宋体" w:cs="Calibri"/>
      <w:szCs w:val="21"/>
    </w:rPr>
  </w:style>
  <w:style w:type="paragraph" w:styleId="1203" w:customStyle="1">
    <w:name w:val="正文_2_0"/>
    <w:basedOn w:val="1204"/>
    <w:next w:val="1204"/>
    <w:uiPriority w:val="0"/>
    <w:qFormat/>
    <w:rPr>
      <w:rFonts w:eastAsia="Times New Roman"/>
    </w:rPr>
  </w:style>
  <w:style w:type="paragraph" w:styleId="1204"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205" w:customStyle="1">
    <w:name w:val="Normal1"/>
    <w:next w:val="1206"/>
    <w:uiPriority w:val="0"/>
    <w:qFormat/>
    <w:pPr>
      <w:jc w:val="both"/>
      <w:widowControl w:val="off"/>
    </w:pPr>
    <w:rPr>
      <w:rFonts w:hint="default" w:ascii="Calibri" w:hAnsi="Calibri" w:eastAsia="宋体" w:cs="宋体"/>
      <w:sz w:val="21"/>
      <w:szCs w:val="24"/>
      <w:lang w:val="en-US" w:eastAsia="zh-CN" w:bidi="ar-SA"/>
    </w:rPr>
  </w:style>
  <w:style w:type="paragraph" w:styleId="1206" w:customStyle="1">
    <w:name w:val="样式 首行缩进:  2 字符"/>
    <w:basedOn w:val="1207"/>
    <w:uiPriority w:val="0"/>
    <w:qFormat/>
    <w:pPr>
      <w:ind w:firstLine="560"/>
    </w:pPr>
    <w:rPr>
      <w:rFonts w:ascii="等线" w:hAnsi="等线" w:eastAsia="等线" w:cs="宋体"/>
      <w:sz w:val="24"/>
    </w:rPr>
  </w:style>
  <w:style w:type="paragraph" w:styleId="1207" w:customStyle="1">
    <w:name w:val="Normal_0_3"/>
    <w:next w:val="1206"/>
    <w:uiPriority w:val="0"/>
    <w:qFormat/>
    <w:pPr>
      <w:jc w:val="both"/>
      <w:widowControl w:val="off"/>
    </w:pPr>
    <w:rPr>
      <w:rFonts w:hint="default" w:ascii="Calibri" w:hAnsi="Calibri" w:eastAsia="宋体" w:cs="宋体"/>
      <w:sz w:val="21"/>
      <w:szCs w:val="24"/>
      <w:lang w:val="en-US" w:eastAsia="zh-CN" w:bidi="ar-SA"/>
    </w:rPr>
  </w:style>
  <w:style w:type="character" w:styleId="1208" w:customStyle="1">
    <w:name w:val="font71"/>
    <w:basedOn w:val="877"/>
    <w:uiPriority w:val="0"/>
    <w:qFormat/>
    <w:rPr>
      <w:rFonts w:hint="eastAsia" w:ascii="宋体" w:hAnsi="宋体" w:eastAsia="宋体" w:cs="宋体"/>
      <w:color w:val="000000"/>
      <w:sz w:val="22"/>
      <w:szCs w:val="22"/>
      <w:u w:val="none"/>
    </w:rPr>
  </w:style>
  <w:style w:type="character" w:styleId="1209" w:customStyle="1">
    <w:name w:val="font81"/>
    <w:basedOn w:val="877"/>
    <w:uiPriority w:val="0"/>
    <w:qFormat/>
    <w:rPr>
      <w:rFonts w:hint="default" w:ascii="Times New Roman" w:hAnsi="Times New Roman" w:cs="Times New Roman"/>
      <w:color w:val="000000"/>
      <w:sz w:val="24"/>
      <w:szCs w:val="24"/>
      <w:u w:val="none"/>
    </w:rPr>
  </w:style>
  <w:style w:type="character" w:styleId="1210" w:customStyle="1">
    <w:name w:val="font91"/>
    <w:basedOn w:val="877"/>
    <w:uiPriority w:val="0"/>
    <w:qFormat/>
    <w:rPr>
      <w:rFonts w:hint="default" w:ascii="Times New Roman" w:hAnsi="Times New Roman" w:cs="Times New Roman"/>
      <w:color w:val="000000"/>
      <w:sz w:val="22"/>
      <w:szCs w:val="22"/>
      <w:u w:val="none"/>
    </w:rPr>
  </w:style>
  <w:style w:type="paragraph" w:styleId="1211" w:customStyle="1">
    <w:name w:val="Body Text_0"/>
    <w:basedOn w:val="879"/>
    <w:next w:val="1212"/>
    <w:uiPriority w:val="0"/>
    <w:qFormat/>
    <w:pPr>
      <w:spacing w:line="60" w:lineRule="auto"/>
    </w:pPr>
    <w:rPr>
      <w:rFonts w:ascii="仿宋_GB2312" w:eastAsia="仿宋_GB2312"/>
      <w:sz w:val="32"/>
    </w:rPr>
  </w:style>
  <w:style w:type="paragraph" w:styleId="1212" w:customStyle="1">
    <w:name w:val="Body Text First Indent_0"/>
    <w:basedOn w:val="1211"/>
    <w:uiPriority w:val="99"/>
    <w:unhideWhenUsed/>
    <w:qFormat/>
    <w:pPr>
      <w:ind w:firstLine="420"/>
      <w:spacing w:after="120" w:line="240" w:lineRule="auto"/>
    </w:pPr>
    <w:rPr>
      <w:rFonts w:ascii="Times New Roman" w:eastAsia="宋体"/>
      <w:sz w:val="21"/>
    </w:rPr>
  </w:style>
  <w:style w:type="paragraph" w:styleId="1213" w:customStyle="1">
    <w:name w:val="List Paragraph_0"/>
    <w:basedOn w:val="879"/>
    <w:uiPriority w:val="34"/>
    <w:qFormat/>
    <w:pPr>
      <w:ind w:firstLine="420"/>
    </w:pPr>
    <w:rPr>
      <w:rFonts w:eastAsia="Times New Roman"/>
    </w:rPr>
  </w:style>
  <w:style w:type="paragraph" w:styleId="1214"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正文首行缩进 21"/>
    <w:basedOn w:val="1093"/>
    <w:uiPriority w:val="0"/>
    <w:qFormat/>
    <w:pPr>
      <w:ind w:firstLine="420"/>
      <w:spacing w:line="360" w:lineRule="auto"/>
    </w:pPr>
    <w:rPr>
      <w:rFonts w:ascii="宋体" w:hAnsi="宋体" w:eastAsia="宋体"/>
      <w:sz w:val="21"/>
      <w:szCs w:val="20"/>
    </w:rPr>
  </w:style>
  <w:style w:type="character" w:styleId="1217" w:customStyle="1">
    <w:name w:val="font21"/>
    <w:basedOn w:val="877"/>
    <w:uiPriority w:val="0"/>
    <w:qFormat/>
    <w:rPr>
      <w:rFonts w:hint="default" w:ascii="Times New Roman" w:hAnsi="Times New Roman" w:cs="Times New Roman"/>
      <w:color w:val="000000"/>
      <w:sz w:val="22"/>
      <w:szCs w:val="22"/>
      <w:u w:val="none"/>
    </w:rPr>
  </w:style>
  <w:style w:type="character" w:styleId="1218" w:customStyle="1">
    <w:name w:val="font11"/>
    <w:basedOn w:val="877"/>
    <w:uiPriority w:val="0"/>
    <w:qFormat/>
    <w:rPr>
      <w:rFonts w:hint="eastAsia" w:ascii="宋体" w:hAnsi="宋体" w:eastAsia="宋体" w:cs="宋体"/>
      <w:color w:val="000000"/>
      <w:sz w:val="22"/>
      <w:szCs w:val="22"/>
      <w:u w:val="none"/>
    </w:rPr>
  </w:style>
  <w:style w:type="character" w:styleId="1219" w:customStyle="1">
    <w:name w:val="font41"/>
    <w:basedOn w:val="877"/>
    <w:uiPriority w:val="0"/>
    <w:qFormat/>
    <w:rPr>
      <w:rFonts w:hint="default" w:ascii="Times New Roman" w:hAnsi="Times New Roman" w:cs="Times New Roman"/>
      <w:color w:val="000000"/>
      <w:sz w:val="24"/>
      <w:szCs w:val="24"/>
      <w:u w:val="none"/>
    </w:rPr>
  </w:style>
  <w:style w:type="character" w:styleId="1220" w:customStyle="1">
    <w:name w:val="font01"/>
    <w:basedOn w:val="877"/>
    <w:uiPriority w:val="0"/>
    <w:qFormat/>
    <w:rPr>
      <w:rFonts w:hint="eastAsia" w:ascii="宋体" w:hAnsi="宋体" w:eastAsia="宋体" w:cs="宋体"/>
      <w:color w:val="000000"/>
      <w:sz w:val="24"/>
      <w:szCs w:val="24"/>
      <w:u w:val="none"/>
    </w:rPr>
  </w:style>
  <w:style w:type="character" w:styleId="1221" w:customStyle="1">
    <w:name w:val="NormalCharacter"/>
    <w:link w:val="867"/>
    <w:uiPriority w:val="0"/>
    <w:qFormat/>
  </w:style>
  <w:style w:type="paragraph" w:styleId="12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5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姜志敏</cp:lastModifiedBy>
  <cp:revision>12</cp:revision>
  <dcterms:created xsi:type="dcterms:W3CDTF">2023-03-16T02:16:00Z</dcterms:created>
  <dcterms:modified xsi:type="dcterms:W3CDTF">2026-03-03T08:09:41Z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3B905CCF40954C639C7DEFBED3147661_13</vt:lpwstr>
  </property>
  <property fmtid="{D5CDD505-2E9C-101B-9397-08002B2CF9AE}" pid="4" name="KSOTemplateDocerSaveRecord">
    <vt:lpwstr>eyJoZGlkIjoiZDdhYmNlMDljYWMyYmU5YzJjMjA4NzRlMGE3MmI1YmEiLCJ1c2VySWQiOiIzNDg5MDcyMzMifQ==</vt:lpwstr>
  </property>
</Properties>
</file>