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CFD543">
      <w:pPr>
        <w:rPr>
          <w:rFonts w:hint="eastAsia" w:ascii="宋体" w:hAnsi="宋体" w:cs="宋体"/>
          <w:caps/>
          <w:color w:val="000000"/>
          <w:szCs w:val="21"/>
        </w:rPr>
      </w:pPr>
      <w:r>
        <w:rPr>
          <w:rFonts w:hint="eastAsia" w:ascii="宋体" w:hAnsi="宋体" w:cs="宋体"/>
          <w:caps/>
          <w:color w:val="000000"/>
          <w:szCs w:val="21"/>
          <w:lang w:val="en-US" w:eastAsia="zh-CN"/>
        </w:rPr>
        <w:t xml:space="preserve"> </w:t>
      </w:r>
      <w:r>
        <w:rPr>
          <w:rFonts w:hint="eastAsia" w:ascii="宋体" w:hAnsi="宋体" w:cs="宋体"/>
          <w:caps/>
          <w:color w:val="000000"/>
          <w:szCs w:val="21"/>
        </w:rPr>
        <w:t xml:space="preserve"> </w:t>
      </w:r>
    </w:p>
    <w:p w14:paraId="4EEED141">
      <w:pPr>
        <w:rPr>
          <w:rFonts w:hint="eastAsia" w:ascii="宋体" w:hAnsi="宋体" w:cs="宋体"/>
          <w:caps/>
          <w:color w:val="000000"/>
          <w:szCs w:val="21"/>
          <w:lang w:val="zh-CN"/>
        </w:rPr>
      </w:pPr>
    </w:p>
    <w:p w14:paraId="3A44C31F">
      <w:pPr>
        <w:jc w:val="center"/>
        <w:outlineLvl w:val="0"/>
        <w:rPr>
          <w:rFonts w:hint="eastAsia" w:ascii="宋体" w:hAnsi="宋体" w:cs="宋体"/>
          <w:color w:val="000000"/>
          <w:sz w:val="112"/>
          <w:szCs w:val="112"/>
          <w:lang w:val="zh-CN"/>
        </w:rPr>
      </w:pPr>
      <w:r>
        <w:rPr>
          <w:rFonts w:hint="eastAsia" w:ascii="宋体" w:hAnsi="宋体" w:cs="宋体"/>
          <w:color w:val="000000"/>
          <w:sz w:val="112"/>
          <w:szCs w:val="112"/>
          <w:lang w:val="zh-CN"/>
        </w:rPr>
        <w:t>公开招标文件</w:t>
      </w:r>
    </w:p>
    <w:p w14:paraId="3CDE086B">
      <w:pPr>
        <w:rPr>
          <w:rFonts w:hint="eastAsia"/>
          <w:lang w:val="zh-CN"/>
        </w:rPr>
      </w:pPr>
    </w:p>
    <w:p w14:paraId="4918147A">
      <w:pPr>
        <w:rPr>
          <w:rFonts w:hint="eastAsia" w:ascii="宋体" w:hAnsi="宋体" w:cs="宋体"/>
          <w:color w:val="000000"/>
          <w:szCs w:val="21"/>
          <w:lang w:val="zh-CN"/>
        </w:rPr>
      </w:pPr>
    </w:p>
    <w:p w14:paraId="15B20642">
      <w:pPr>
        <w:rPr>
          <w:rFonts w:hint="eastAsia" w:ascii="宋体" w:hAnsi="宋体" w:cs="宋体"/>
          <w:color w:val="000000"/>
          <w:szCs w:val="21"/>
          <w:lang w:val="zh-CN"/>
        </w:rPr>
      </w:pPr>
    </w:p>
    <w:p w14:paraId="7B601F17">
      <w:pPr>
        <w:pStyle w:val="42"/>
        <w:ind w:firstLine="420"/>
        <w:rPr>
          <w:rFonts w:hint="eastAsia" w:ascii="宋体" w:hAnsi="宋体" w:eastAsia="宋体"/>
          <w:color w:val="000000"/>
          <w:sz w:val="21"/>
          <w:szCs w:val="21"/>
        </w:rPr>
      </w:pPr>
    </w:p>
    <w:p w14:paraId="009A3E37">
      <w:pPr>
        <w:pStyle w:val="42"/>
        <w:ind w:firstLine="420"/>
        <w:rPr>
          <w:rFonts w:hint="eastAsia" w:ascii="宋体" w:hAnsi="宋体" w:eastAsia="宋体"/>
          <w:color w:val="000000"/>
          <w:sz w:val="21"/>
          <w:szCs w:val="21"/>
        </w:rPr>
      </w:pPr>
    </w:p>
    <w:p w14:paraId="124226AF">
      <w:pPr>
        <w:pStyle w:val="42"/>
        <w:ind w:firstLine="420"/>
        <w:rPr>
          <w:rFonts w:hint="eastAsia" w:ascii="宋体" w:hAnsi="宋体" w:eastAsia="宋体"/>
          <w:color w:val="000000"/>
          <w:sz w:val="21"/>
          <w:szCs w:val="21"/>
        </w:rPr>
      </w:pPr>
    </w:p>
    <w:p w14:paraId="46F751C8">
      <w:pPr>
        <w:pStyle w:val="42"/>
        <w:ind w:firstLine="420"/>
        <w:rPr>
          <w:rFonts w:hint="eastAsia" w:ascii="宋体" w:hAnsi="宋体" w:eastAsia="宋体"/>
          <w:color w:val="000000"/>
          <w:sz w:val="21"/>
          <w:szCs w:val="21"/>
        </w:rPr>
      </w:pPr>
    </w:p>
    <w:tbl>
      <w:tblPr>
        <w:tblStyle w:val="35"/>
        <w:tblpPr w:leftFromText="180" w:rightFromText="180" w:vertAnchor="text" w:horzAnchor="margin" w:tblpXSpec="center" w:tblpY="321"/>
        <w:tblW w:w="9498" w:type="dxa"/>
        <w:jc w:val="center"/>
        <w:tblLayout w:type="fixed"/>
        <w:tblCellMar>
          <w:top w:w="0" w:type="dxa"/>
          <w:left w:w="0" w:type="dxa"/>
          <w:bottom w:w="0" w:type="dxa"/>
          <w:right w:w="0" w:type="dxa"/>
        </w:tblCellMar>
      </w:tblPr>
      <w:tblGrid>
        <w:gridCol w:w="9498"/>
      </w:tblGrid>
      <w:tr w14:paraId="08C1B649">
        <w:tblPrEx>
          <w:tblCellMar>
            <w:top w:w="0" w:type="dxa"/>
            <w:left w:w="0" w:type="dxa"/>
            <w:bottom w:w="0" w:type="dxa"/>
            <w:right w:w="0" w:type="dxa"/>
          </w:tblCellMar>
        </w:tblPrEx>
        <w:trPr>
          <w:trHeight w:val="2336" w:hRule="atLeast"/>
          <w:jc w:val="center"/>
        </w:trPr>
        <w:tc>
          <w:tcPr>
            <w:tcW w:w="9498" w:type="dxa"/>
            <w:tcBorders>
              <w:top w:val="nil"/>
              <w:left w:val="nil"/>
              <w:bottom w:val="nil"/>
              <w:right w:val="nil"/>
            </w:tcBorders>
            <w:noWrap w:val="0"/>
            <w:vAlign w:val="top"/>
          </w:tcPr>
          <w:p w14:paraId="7FFA7C3D">
            <w:pPr>
              <w:ind w:firstLine="945"/>
              <w:rPr>
                <w:rFonts w:hint="eastAsia" w:ascii="宋体" w:hAnsi="宋体" w:cs="宋体"/>
                <w:color w:val="000000"/>
                <w:szCs w:val="21"/>
                <w:lang w:val="zh-CN"/>
              </w:rPr>
            </w:pPr>
          </w:p>
          <w:p w14:paraId="16C2BA6F">
            <w:pPr>
              <w:spacing w:line="360" w:lineRule="auto"/>
              <w:rPr>
                <w:rFonts w:hint="eastAsia" w:ascii="宋体" w:hAnsi="宋体" w:cs="宋体"/>
                <w:color w:val="000000"/>
                <w:sz w:val="40"/>
                <w:szCs w:val="40"/>
                <w:lang w:val="zh-CN" w:eastAsia="zh-CN"/>
              </w:rPr>
            </w:pPr>
            <w:r>
              <w:rPr>
                <w:rFonts w:hint="eastAsia" w:ascii="宋体" w:hAnsi="宋体" w:cs="宋体"/>
                <w:color w:val="000000"/>
                <w:sz w:val="40"/>
                <w:szCs w:val="40"/>
                <w:lang w:val="zh-CN"/>
              </w:rPr>
              <w:t>项</w:t>
            </w:r>
            <w:r>
              <w:rPr>
                <w:rFonts w:hint="eastAsia" w:ascii="宋体" w:hAnsi="宋体" w:cs="宋体"/>
                <w:color w:val="000000"/>
                <w:sz w:val="40"/>
                <w:szCs w:val="40"/>
                <w:highlight w:val="none"/>
                <w:lang w:val="zh-CN"/>
              </w:rPr>
              <w:t>目</w:t>
            </w:r>
            <w:r>
              <w:rPr>
                <w:rFonts w:hint="eastAsia" w:ascii="宋体" w:hAnsi="宋体" w:cs="宋体"/>
                <w:color w:val="000000"/>
                <w:sz w:val="40"/>
                <w:szCs w:val="40"/>
                <w:lang w:val="zh-CN"/>
              </w:rPr>
              <w:t>编号：JSZC-320115-NHYT-G2026-0001</w:t>
            </w:r>
          </w:p>
          <w:p w14:paraId="51558899">
            <w:pPr>
              <w:spacing w:line="360" w:lineRule="auto"/>
              <w:ind w:left="2000" w:hanging="2000"/>
              <w:rPr>
                <w:rFonts w:hint="eastAsia" w:ascii="宋体" w:hAnsi="宋体" w:cs="宋体"/>
                <w:sz w:val="40"/>
                <w:szCs w:val="40"/>
                <w:highlight w:val="none"/>
                <w:lang w:val="zh-CN"/>
              </w:rPr>
            </w:pPr>
            <w:r>
              <w:rPr>
                <w:rFonts w:hint="eastAsia" w:ascii="宋体" w:hAnsi="宋体" w:cs="宋体"/>
                <w:color w:val="000000"/>
                <w:sz w:val="40"/>
                <w:szCs w:val="40"/>
                <w:highlight w:val="none"/>
                <w:lang w:val="zh-CN"/>
              </w:rPr>
              <w:t>项目名称：</w:t>
            </w:r>
            <w:r>
              <w:rPr>
                <w:rFonts w:hint="eastAsia" w:ascii="宋体" w:hAnsi="宋体" w:cs="宋体"/>
                <w:sz w:val="40"/>
                <w:szCs w:val="40"/>
                <w:highlight w:val="none"/>
                <w:lang w:val="zh-CN"/>
              </w:rPr>
              <w:t>2026年江宁区林荫大道示范管护带</w:t>
            </w:r>
          </w:p>
          <w:p w14:paraId="44C929CB">
            <w:pPr>
              <w:spacing w:line="360" w:lineRule="auto"/>
              <w:ind w:left="0" w:firstLine="2000"/>
              <w:rPr>
                <w:rFonts w:hint="eastAsia" w:ascii="宋体" w:hAnsi="宋体" w:cs="宋体"/>
                <w:color w:val="000000"/>
                <w:szCs w:val="21"/>
                <w:lang w:val="zh-CN"/>
              </w:rPr>
            </w:pPr>
            <w:r>
              <w:rPr>
                <w:rFonts w:hint="eastAsia" w:ascii="宋体" w:hAnsi="宋体" w:cs="宋体"/>
                <w:sz w:val="40"/>
                <w:szCs w:val="40"/>
                <w:highlight w:val="none"/>
                <w:lang w:val="zh-CN"/>
              </w:rPr>
              <w:t>养护服务</w:t>
            </w:r>
          </w:p>
        </w:tc>
      </w:tr>
    </w:tbl>
    <w:p w14:paraId="6FF8248A">
      <w:pPr>
        <w:rPr>
          <w:rFonts w:hint="eastAsia" w:ascii="宋体" w:hAnsi="宋体" w:cs="宋体"/>
          <w:color w:val="000000"/>
          <w:szCs w:val="21"/>
          <w:lang w:val="zh-CN"/>
        </w:rPr>
      </w:pPr>
    </w:p>
    <w:p w14:paraId="3DD873BE">
      <w:pPr>
        <w:rPr>
          <w:rFonts w:hint="eastAsia" w:ascii="宋体" w:hAnsi="宋体" w:cs="宋体"/>
          <w:color w:val="000000"/>
          <w:szCs w:val="21"/>
          <w:lang w:val="zh-CN"/>
        </w:rPr>
      </w:pPr>
    </w:p>
    <w:p w14:paraId="40FF90EC">
      <w:pPr>
        <w:rPr>
          <w:rFonts w:hint="eastAsia" w:ascii="宋体" w:hAnsi="宋体" w:cs="宋体"/>
          <w:b/>
          <w:color w:val="000000"/>
          <w:szCs w:val="21"/>
        </w:rPr>
      </w:pPr>
    </w:p>
    <w:p w14:paraId="0D0F6E99">
      <w:pPr>
        <w:rPr>
          <w:rFonts w:hint="eastAsia" w:ascii="宋体" w:hAnsi="宋体" w:cs="宋体"/>
          <w:b/>
          <w:color w:val="000000"/>
          <w:szCs w:val="21"/>
        </w:rPr>
      </w:pPr>
    </w:p>
    <w:p w14:paraId="2EC97780">
      <w:pPr>
        <w:pStyle w:val="42"/>
        <w:ind w:firstLine="422"/>
        <w:rPr>
          <w:rFonts w:hint="eastAsia" w:ascii="宋体" w:hAnsi="宋体" w:eastAsia="宋体"/>
          <w:b/>
          <w:color w:val="000000"/>
          <w:sz w:val="21"/>
          <w:szCs w:val="21"/>
        </w:rPr>
      </w:pPr>
    </w:p>
    <w:p w14:paraId="01A9EA98">
      <w:pPr>
        <w:pStyle w:val="42"/>
        <w:ind w:firstLine="422"/>
        <w:rPr>
          <w:rFonts w:hint="eastAsia" w:ascii="宋体" w:hAnsi="宋体" w:eastAsia="宋体"/>
          <w:b/>
          <w:color w:val="000000"/>
          <w:sz w:val="21"/>
          <w:szCs w:val="21"/>
        </w:rPr>
      </w:pPr>
    </w:p>
    <w:p w14:paraId="64907588">
      <w:pPr>
        <w:pStyle w:val="42"/>
        <w:ind w:firstLine="422"/>
        <w:rPr>
          <w:rFonts w:hint="eastAsia" w:ascii="宋体" w:hAnsi="宋体" w:eastAsia="宋体"/>
          <w:b/>
          <w:color w:val="000000"/>
          <w:sz w:val="21"/>
          <w:szCs w:val="21"/>
        </w:rPr>
      </w:pPr>
    </w:p>
    <w:p w14:paraId="350BF67E">
      <w:pPr>
        <w:pStyle w:val="42"/>
        <w:ind w:firstLine="422"/>
        <w:rPr>
          <w:rFonts w:hint="eastAsia" w:ascii="宋体" w:hAnsi="宋体" w:eastAsia="宋体"/>
          <w:b/>
          <w:color w:val="000000"/>
          <w:sz w:val="21"/>
          <w:szCs w:val="21"/>
        </w:rPr>
      </w:pPr>
    </w:p>
    <w:p w14:paraId="366EE91B">
      <w:pPr>
        <w:pStyle w:val="42"/>
        <w:ind w:firstLine="422"/>
        <w:rPr>
          <w:rFonts w:hint="eastAsia" w:ascii="宋体" w:hAnsi="宋体" w:eastAsia="宋体"/>
          <w:b/>
          <w:color w:val="000000"/>
          <w:sz w:val="21"/>
          <w:szCs w:val="21"/>
        </w:rPr>
      </w:pPr>
    </w:p>
    <w:p w14:paraId="352D907A">
      <w:pPr>
        <w:rPr>
          <w:rFonts w:hint="eastAsia" w:ascii="宋体" w:hAnsi="宋体" w:cs="宋体"/>
          <w:color w:val="000000"/>
          <w:szCs w:val="21"/>
          <w:lang w:val="zh-CN"/>
        </w:rPr>
      </w:pPr>
    </w:p>
    <w:p w14:paraId="604DEA7F">
      <w:pPr>
        <w:rPr>
          <w:rFonts w:hint="eastAsia" w:ascii="宋体" w:hAnsi="宋体" w:cs="宋体"/>
          <w:color w:val="000000"/>
          <w:lang w:val="zh-CN"/>
        </w:rPr>
      </w:pPr>
    </w:p>
    <w:p w14:paraId="0C0E043A">
      <w:pPr>
        <w:rPr>
          <w:rFonts w:hint="eastAsia" w:ascii="宋体" w:hAnsi="宋体" w:cs="宋体"/>
          <w:color w:val="000000"/>
          <w:lang w:val="zh-CN"/>
        </w:rPr>
      </w:pPr>
    </w:p>
    <w:p w14:paraId="3D31EF8C">
      <w:pPr>
        <w:rPr>
          <w:rFonts w:hint="eastAsia" w:ascii="宋体" w:hAnsi="宋体" w:cs="宋体"/>
          <w:color w:val="000000"/>
          <w:lang w:val="zh-CN"/>
        </w:rPr>
      </w:pPr>
    </w:p>
    <w:p w14:paraId="590DB79E">
      <w:pPr>
        <w:rPr>
          <w:rFonts w:hint="eastAsia" w:ascii="宋体" w:hAnsi="宋体" w:cs="宋体"/>
          <w:color w:val="000000"/>
          <w:lang w:val="zh-CN"/>
        </w:rPr>
      </w:pPr>
    </w:p>
    <w:p w14:paraId="667B2482">
      <w:pPr>
        <w:spacing w:line="360" w:lineRule="auto"/>
        <w:ind w:left="2001" w:hanging="2001"/>
        <w:jc w:val="center"/>
        <w:rPr>
          <w:rFonts w:hint="eastAsia" w:ascii="宋体" w:hAnsi="宋体" w:cs="宋体"/>
          <w:sz w:val="40"/>
          <w:szCs w:val="40"/>
          <w:lang w:val="zh-CN"/>
        </w:rPr>
      </w:pPr>
      <w:r>
        <w:rPr>
          <w:rFonts w:hint="eastAsia" w:ascii="宋体" w:hAnsi="宋体" w:cs="宋体"/>
          <w:sz w:val="40"/>
          <w:szCs w:val="40"/>
          <w:lang w:val="zh-CN"/>
        </w:rPr>
        <w:t>南京浩运通工程咨询有限公司</w:t>
      </w:r>
    </w:p>
    <w:p w14:paraId="64BC6791">
      <w:pPr>
        <w:spacing w:line="360" w:lineRule="auto"/>
        <w:ind w:left="2001" w:hanging="2001"/>
        <w:jc w:val="center"/>
        <w:rPr>
          <w:rFonts w:hint="eastAsia" w:ascii="宋体" w:hAnsi="宋体" w:cs="宋体"/>
          <w:sz w:val="40"/>
          <w:szCs w:val="40"/>
          <w:lang w:val="zh-CN"/>
        </w:rPr>
      </w:pPr>
      <w:r>
        <w:rPr>
          <w:rFonts w:hint="eastAsia" w:ascii="宋体" w:hAnsi="宋体" w:cs="宋体"/>
          <w:sz w:val="40"/>
          <w:szCs w:val="40"/>
          <w:lang w:val="zh-CN"/>
        </w:rPr>
        <w:t>二○二</w:t>
      </w:r>
      <w:r>
        <w:rPr>
          <w:rFonts w:hint="eastAsia" w:ascii="宋体" w:hAnsi="宋体" w:cs="宋体"/>
          <w:sz w:val="40"/>
          <w:szCs w:val="40"/>
          <w:lang w:val="en-US" w:eastAsia="zh-CN"/>
        </w:rPr>
        <w:t>六</w:t>
      </w:r>
      <w:r>
        <w:rPr>
          <w:rFonts w:hint="eastAsia" w:ascii="宋体" w:hAnsi="宋体" w:cs="宋体"/>
          <w:sz w:val="40"/>
          <w:szCs w:val="40"/>
          <w:lang w:val="zh-CN"/>
        </w:rPr>
        <w:t>年</w:t>
      </w:r>
      <w:r>
        <w:rPr>
          <w:rFonts w:hint="eastAsia" w:ascii="宋体" w:hAnsi="宋体" w:cs="宋体"/>
          <w:sz w:val="40"/>
          <w:szCs w:val="40"/>
          <w:lang w:val="en-US" w:eastAsia="zh-CN"/>
        </w:rPr>
        <w:t>三</w:t>
      </w:r>
      <w:r>
        <w:rPr>
          <w:rFonts w:hint="eastAsia" w:ascii="宋体" w:hAnsi="宋体" w:cs="宋体"/>
          <w:sz w:val="40"/>
          <w:szCs w:val="40"/>
          <w:lang w:val="zh-CN"/>
        </w:rPr>
        <w:t>月</w:t>
      </w:r>
    </w:p>
    <w:p w14:paraId="0CF6038B">
      <w:pPr>
        <w:ind w:left="2000" w:hanging="2000"/>
        <w:jc w:val="center"/>
        <w:rPr>
          <w:rFonts w:hint="eastAsia" w:ascii="宋体" w:hAnsi="宋体" w:cs="宋体"/>
          <w:sz w:val="40"/>
          <w:szCs w:val="40"/>
          <w:lang w:val="zh-CN"/>
        </w:rPr>
      </w:pPr>
    </w:p>
    <w:p w14:paraId="6C08EA8D">
      <w:pPr>
        <w:jc w:val="both"/>
        <w:rPr>
          <w:rFonts w:hint="eastAsia" w:ascii="宋体" w:hAnsi="宋体" w:cs="宋体"/>
          <w:b/>
          <w:bCs/>
          <w:color w:val="000000"/>
          <w:sz w:val="36"/>
          <w:szCs w:val="36"/>
          <w:lang w:val="zh-CN"/>
        </w:rPr>
      </w:pPr>
    </w:p>
    <w:p w14:paraId="1CFECDC8">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sectPr>
          <w:footerReference r:id="rId3" w:type="default"/>
          <w:pgSz w:w="11906" w:h="16838"/>
          <w:pgMar w:top="1440" w:right="1134" w:bottom="1440" w:left="1134" w:header="851" w:footer="992" w:gutter="0"/>
          <w:cols w:space="720" w:num="1"/>
          <w:docGrid w:linePitch="360" w:charSpace="0"/>
        </w:sectPr>
      </w:pPr>
    </w:p>
    <w:p w14:paraId="176170C2">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eastAsia="zh-CN" w:bidi="en-US"/>
        </w:rPr>
      </w:pPr>
      <w:r>
        <w:rPr>
          <w:rFonts w:hint="eastAsia" w:ascii="宋体" w:hAnsi="宋体" w:eastAsia="宋体" w:cs="Times New Roman"/>
          <w:b/>
          <w:sz w:val="36"/>
          <w:szCs w:val="30"/>
          <w:lang w:val="zh-CN" w:eastAsia="zh-CN" w:bidi="en-US"/>
        </w:rPr>
        <w:t>第一章  招标公告</w:t>
      </w:r>
    </w:p>
    <w:p w14:paraId="22920CFE">
      <w:pPr>
        <w:pStyle w:val="266"/>
        <w:keepNext w:val="0"/>
        <w:keepLines w:val="0"/>
        <w:pageBreakBefore w:val="0"/>
        <w:widowControl/>
        <w:spacing w:before="0" w:beforeAutospacing="0" w:after="0" w:afterAutospacing="0" w:line="360" w:lineRule="auto"/>
        <w:ind w:firstLine="440"/>
        <w:rPr>
          <w:rFonts w:hint="eastAsia"/>
          <w:sz w:val="22"/>
          <w:szCs w:val="22"/>
          <w:highlight w:val="none"/>
        </w:rPr>
      </w:pPr>
      <w:r>
        <w:rPr>
          <w:rFonts w:hint="eastAsia"/>
          <w:sz w:val="22"/>
          <w:szCs w:val="22"/>
          <w:highlight w:val="none"/>
          <w:lang w:eastAsia="zh-CN"/>
        </w:rPr>
        <w:t>2026年江宁区林荫大道示范管护带养护服务JSZC-320115-NHYT-G2026-0001</w:t>
      </w:r>
      <w:r>
        <w:rPr>
          <w:rFonts w:hint="eastAsia" w:ascii="宋体" w:hAnsi="宋体" w:eastAsia="宋体"/>
          <w:bCs/>
          <w:sz w:val="22"/>
          <w:szCs w:val="22"/>
          <w:highlight w:val="none"/>
        </w:rPr>
        <w:t>招标项目的潜在投标人应在江苏政府采购网获取招标文件</w:t>
      </w:r>
      <w:r>
        <w:rPr>
          <w:rFonts w:hint="eastAsia" w:ascii="宋体" w:hAnsi="宋体" w:eastAsia="宋体"/>
          <w:sz w:val="22"/>
          <w:szCs w:val="22"/>
          <w:highlight w:val="none"/>
        </w:rPr>
        <w:t>，</w:t>
      </w:r>
      <w:r>
        <w:rPr>
          <w:rFonts w:ascii="宋体" w:hAnsi="宋体" w:eastAsia="宋体"/>
          <w:sz w:val="22"/>
          <w:szCs w:val="22"/>
          <w:highlight w:val="none"/>
        </w:rPr>
        <w:t>并</w:t>
      </w:r>
      <w:r>
        <w:rPr>
          <w:rFonts w:hint="eastAsia" w:ascii="宋体" w:hAnsi="宋体" w:eastAsia="宋体"/>
          <w:sz w:val="22"/>
          <w:szCs w:val="22"/>
          <w:highlight w:val="none"/>
        </w:rPr>
        <w:t>于</w:t>
      </w:r>
      <w:r>
        <w:rPr>
          <w:rFonts w:hint="eastAsia"/>
          <w:sz w:val="22"/>
          <w:szCs w:val="22"/>
          <w:highlight w:val="none"/>
          <w:lang w:eastAsia="zh-CN"/>
        </w:rPr>
        <w:t>2025年4月17日</w:t>
      </w:r>
      <w:r>
        <w:rPr>
          <w:rFonts w:hint="eastAsia"/>
          <w:sz w:val="22"/>
          <w:szCs w:val="22"/>
          <w:highlight w:val="none"/>
          <w:lang w:val="en-US" w:eastAsia="zh-CN"/>
        </w:rPr>
        <w:t>09</w:t>
      </w:r>
      <w:r>
        <w:rPr>
          <w:rFonts w:hint="eastAsia" w:ascii="宋体" w:hAnsi="宋体" w:eastAsia="宋体"/>
          <w:sz w:val="22"/>
          <w:szCs w:val="22"/>
          <w:highlight w:val="none"/>
        </w:rPr>
        <w:t>:3</w:t>
      </w:r>
      <w:r>
        <w:rPr>
          <w:rFonts w:ascii="宋体" w:hAnsi="宋体" w:eastAsia="宋体"/>
          <w:sz w:val="22"/>
          <w:szCs w:val="22"/>
          <w:highlight w:val="none"/>
        </w:rPr>
        <w:t>0</w:t>
      </w:r>
      <w:r>
        <w:rPr>
          <w:rFonts w:hint="eastAsia" w:ascii="宋体" w:hAnsi="宋体" w:eastAsia="宋体"/>
          <w:sz w:val="22"/>
          <w:szCs w:val="22"/>
          <w:highlight w:val="none"/>
        </w:rPr>
        <w:t>（北京时间）前递交投标文件。</w:t>
      </w:r>
    </w:p>
    <w:p w14:paraId="520CAD51">
      <w:pPr>
        <w:widowControl/>
        <w:spacing w:after="0" w:line="360" w:lineRule="auto"/>
        <w:ind w:firstLine="422"/>
        <w:jc w:val="left"/>
        <w:outlineLvl w:val="1"/>
        <w:rPr>
          <w:rFonts w:hint="eastAsia" w:ascii="宋体" w:hAnsi="宋体" w:eastAsia="宋体" w:cs="Times New Roman"/>
          <w:b/>
          <w:sz w:val="22"/>
          <w:szCs w:val="22"/>
          <w:highlight w:val="none"/>
          <w:lang w:eastAsia="zh-CN" w:bidi="en-US"/>
        </w:rPr>
      </w:pPr>
      <w:r>
        <w:rPr>
          <w:rFonts w:hint="eastAsia" w:ascii="宋体" w:hAnsi="宋体" w:eastAsia="宋体" w:cs="Times New Roman"/>
          <w:b/>
          <w:sz w:val="22"/>
          <w:szCs w:val="22"/>
          <w:highlight w:val="none"/>
          <w:lang w:eastAsia="zh-CN" w:bidi="en-US"/>
        </w:rPr>
        <w:t>一、项目基本情况</w:t>
      </w:r>
    </w:p>
    <w:p w14:paraId="6B54429F">
      <w:pPr>
        <w:pStyle w:val="266"/>
        <w:keepNext w:val="0"/>
        <w:keepLines w:val="0"/>
        <w:pageBreakBefore w:val="0"/>
        <w:widowControl/>
        <w:spacing w:before="0" w:beforeAutospacing="0" w:after="0" w:afterAutospacing="0" w:line="360" w:lineRule="auto"/>
        <w:ind w:firstLine="440"/>
        <w:rPr>
          <w:rFonts w:hint="eastAsia" w:eastAsia="宋体"/>
          <w:sz w:val="22"/>
          <w:szCs w:val="22"/>
          <w:highlight w:val="none"/>
          <w:lang w:eastAsia="zh-CN"/>
        </w:rPr>
      </w:pPr>
      <w:r>
        <w:rPr>
          <w:rFonts w:hint="eastAsia"/>
          <w:sz w:val="22"/>
          <w:szCs w:val="22"/>
          <w:highlight w:val="none"/>
        </w:rPr>
        <w:t>项目编号：</w:t>
      </w:r>
      <w:r>
        <w:rPr>
          <w:rFonts w:hint="eastAsia"/>
          <w:sz w:val="22"/>
          <w:szCs w:val="22"/>
          <w:highlight w:val="none"/>
          <w:lang w:eastAsia="zh-CN"/>
        </w:rPr>
        <w:t>JSZC-320115-NHYT-G2026-0001</w:t>
      </w:r>
    </w:p>
    <w:p w14:paraId="120890B9">
      <w:pPr>
        <w:pStyle w:val="266"/>
        <w:keepNext w:val="0"/>
        <w:keepLines w:val="0"/>
        <w:pageBreakBefore w:val="0"/>
        <w:widowControl/>
        <w:spacing w:before="0" w:beforeAutospacing="0" w:after="0" w:afterAutospacing="0" w:line="360" w:lineRule="auto"/>
        <w:ind w:firstLine="440"/>
        <w:rPr>
          <w:rFonts w:hint="eastAsia"/>
          <w:sz w:val="22"/>
          <w:szCs w:val="22"/>
          <w:highlight w:val="none"/>
          <w:lang w:eastAsia="zh-CN"/>
        </w:rPr>
      </w:pPr>
      <w:r>
        <w:rPr>
          <w:rFonts w:hint="eastAsia"/>
          <w:sz w:val="22"/>
          <w:szCs w:val="22"/>
          <w:highlight w:val="none"/>
        </w:rPr>
        <w:t>项目名称：</w:t>
      </w:r>
      <w:r>
        <w:rPr>
          <w:rFonts w:hint="eastAsia"/>
          <w:sz w:val="22"/>
          <w:szCs w:val="22"/>
          <w:highlight w:val="none"/>
          <w:lang w:eastAsia="zh-CN"/>
        </w:rPr>
        <w:t>2026年江宁区林荫大道示范管护带养护服务</w:t>
      </w:r>
    </w:p>
    <w:p w14:paraId="13BAB55E">
      <w:pPr>
        <w:pStyle w:val="266"/>
        <w:keepNext w:val="0"/>
        <w:keepLines w:val="0"/>
        <w:pageBreakBefore w:val="0"/>
        <w:widowControl/>
        <w:spacing w:before="0" w:beforeAutospacing="0" w:after="0" w:afterAutospacing="0" w:line="360" w:lineRule="auto"/>
        <w:ind w:firstLine="440"/>
        <w:rPr>
          <w:rFonts w:hint="default"/>
          <w:sz w:val="22"/>
          <w:szCs w:val="22"/>
          <w:highlight w:val="none"/>
          <w:lang w:val="en-US" w:eastAsia="zh-CN"/>
        </w:rPr>
      </w:pPr>
      <w:r>
        <w:rPr>
          <w:rFonts w:hint="eastAsia"/>
          <w:sz w:val="22"/>
          <w:szCs w:val="22"/>
          <w:highlight w:val="none"/>
          <w:lang w:val="en-US" w:eastAsia="zh-CN"/>
        </w:rPr>
        <w:t>预算金额：396万元</w:t>
      </w:r>
    </w:p>
    <w:p w14:paraId="15EEACE3">
      <w:pPr>
        <w:pStyle w:val="266"/>
        <w:keepNext w:val="0"/>
        <w:keepLines w:val="0"/>
        <w:pageBreakBefore w:val="0"/>
        <w:widowControl/>
        <w:spacing w:before="0" w:beforeAutospacing="0" w:after="0" w:afterAutospacing="0" w:line="360" w:lineRule="auto"/>
        <w:ind w:firstLine="440"/>
        <w:rPr>
          <w:rFonts w:hint="eastAsia"/>
          <w:sz w:val="22"/>
          <w:szCs w:val="22"/>
          <w:highlight w:val="none"/>
        </w:rPr>
      </w:pPr>
      <w:r>
        <w:rPr>
          <w:rFonts w:hint="eastAsia"/>
          <w:sz w:val="22"/>
          <w:szCs w:val="22"/>
          <w:highlight w:val="none"/>
        </w:rPr>
        <w:t>最高限价：</w:t>
      </w:r>
      <w:r>
        <w:rPr>
          <w:rFonts w:hint="eastAsia"/>
          <w:sz w:val="22"/>
          <w:szCs w:val="22"/>
          <w:highlight w:val="none"/>
          <w:lang w:val="en-US" w:eastAsia="zh-CN"/>
        </w:rPr>
        <w:t>396万元</w:t>
      </w:r>
      <w:r>
        <w:rPr>
          <w:rFonts w:hint="eastAsia"/>
          <w:sz w:val="22"/>
          <w:szCs w:val="22"/>
          <w:highlight w:val="none"/>
        </w:rPr>
        <w:t>（投标报价不得超过采购项目最高限价金额，否则按无效投标处理）</w:t>
      </w:r>
    </w:p>
    <w:p w14:paraId="2A766B7F">
      <w:pPr>
        <w:pStyle w:val="266"/>
        <w:keepNext w:val="0"/>
        <w:keepLines w:val="0"/>
        <w:pageBreakBefore w:val="0"/>
        <w:widowControl/>
        <w:spacing w:before="0" w:beforeAutospacing="0" w:after="0" w:afterAutospacing="0" w:line="360" w:lineRule="auto"/>
        <w:ind w:firstLine="440"/>
        <w:rPr>
          <w:rFonts w:hint="eastAsia"/>
          <w:sz w:val="22"/>
          <w:szCs w:val="22"/>
          <w:highlight w:val="none"/>
          <w:lang w:val="en-US" w:eastAsia="zh-CN"/>
        </w:rPr>
      </w:pPr>
      <w:r>
        <w:rPr>
          <w:rFonts w:hint="eastAsia"/>
          <w:sz w:val="22"/>
          <w:szCs w:val="22"/>
          <w:highlight w:val="none"/>
        </w:rPr>
        <w:t>采购需求：</w:t>
      </w:r>
      <w:r>
        <w:rPr>
          <w:rFonts w:hint="eastAsia"/>
          <w:sz w:val="22"/>
          <w:szCs w:val="22"/>
          <w:highlight w:val="none"/>
          <w:lang w:val="en-US" w:eastAsia="zh-CN"/>
        </w:rPr>
        <w:t>本项目为</w:t>
      </w:r>
      <w:r>
        <w:rPr>
          <w:rFonts w:hint="eastAsia"/>
          <w:sz w:val="22"/>
          <w:szCs w:val="22"/>
          <w:highlight w:val="none"/>
          <w:lang w:eastAsia="zh-CN"/>
        </w:rPr>
        <w:t>2026年江宁区林荫大道示范管护带养护服务</w:t>
      </w:r>
      <w:r>
        <w:rPr>
          <w:rFonts w:hint="eastAsia"/>
          <w:sz w:val="22"/>
          <w:szCs w:val="22"/>
          <w:highlight w:val="none"/>
          <w:lang w:val="en-US" w:eastAsia="zh-CN"/>
        </w:rPr>
        <w:t>，具体服务工作详见招标文件。</w:t>
      </w:r>
    </w:p>
    <w:p w14:paraId="4C6D575C">
      <w:pPr>
        <w:pStyle w:val="266"/>
        <w:keepNext w:val="0"/>
        <w:keepLines w:val="0"/>
        <w:pageBreakBefore w:val="0"/>
        <w:widowControl/>
        <w:spacing w:before="0" w:beforeAutospacing="0" w:after="0" w:afterAutospacing="0" w:line="360" w:lineRule="auto"/>
        <w:ind w:firstLine="440"/>
        <w:rPr>
          <w:rFonts w:hint="eastAsia"/>
          <w:sz w:val="22"/>
          <w:szCs w:val="22"/>
          <w:highlight w:val="none"/>
          <w:lang w:val="en-US" w:eastAsia="zh-CN"/>
        </w:rPr>
      </w:pPr>
      <w:bookmarkStart w:id="0" w:name="OLE_LINK5"/>
      <w:r>
        <w:rPr>
          <w:rFonts w:hint="eastAsia"/>
          <w:sz w:val="22"/>
          <w:szCs w:val="22"/>
          <w:highlight w:val="none"/>
          <w:lang w:val="en-US" w:eastAsia="zh-CN"/>
        </w:rPr>
        <w:t>合同履行期限：自合同签订之日起一年</w:t>
      </w:r>
    </w:p>
    <w:p w14:paraId="08FDCA67">
      <w:pPr>
        <w:pStyle w:val="266"/>
        <w:spacing w:before="75" w:beforeAutospacing="0" w:after="75" w:afterAutospacing="0" w:line="360" w:lineRule="auto"/>
        <w:ind w:firstLine="420"/>
        <w:rPr>
          <w:rFonts w:hint="eastAsia"/>
          <w:sz w:val="22"/>
          <w:szCs w:val="22"/>
          <w:highlight w:val="none"/>
        </w:rPr>
      </w:pPr>
      <w:r>
        <w:rPr>
          <w:rFonts w:hint="eastAsia"/>
          <w:sz w:val="22"/>
          <w:szCs w:val="22"/>
          <w:highlight w:val="none"/>
        </w:rPr>
        <w:t>本项目（是/否）接受联合体投标：</w:t>
      </w:r>
      <w:r>
        <w:rPr>
          <w:rFonts w:hint="eastAsia"/>
          <w:sz w:val="22"/>
          <w:szCs w:val="22"/>
          <w:highlight w:val="none"/>
          <w:lang w:val="en-US" w:eastAsia="zh-CN"/>
        </w:rPr>
        <w:t>否</w:t>
      </w:r>
      <w:bookmarkEnd w:id="0"/>
    </w:p>
    <w:p w14:paraId="7E6578B9">
      <w:pPr>
        <w:widowControl/>
        <w:spacing w:after="0" w:line="360" w:lineRule="auto"/>
        <w:ind w:firstLine="422"/>
        <w:jc w:val="left"/>
        <w:outlineLvl w:val="1"/>
        <w:rPr>
          <w:rFonts w:hint="eastAsia" w:ascii="宋体" w:hAnsi="宋体" w:eastAsia="宋体" w:cs="Times New Roman"/>
          <w:b/>
          <w:sz w:val="22"/>
          <w:szCs w:val="22"/>
          <w:lang w:eastAsia="zh-CN" w:bidi="en-US"/>
        </w:rPr>
      </w:pPr>
      <w:r>
        <w:rPr>
          <w:rFonts w:hint="eastAsia" w:ascii="宋体" w:hAnsi="宋体" w:eastAsia="宋体" w:cs="Times New Roman"/>
          <w:b/>
          <w:sz w:val="22"/>
          <w:szCs w:val="22"/>
          <w:lang w:eastAsia="zh-CN" w:bidi="en-US"/>
        </w:rPr>
        <w:t>二、申请人的资格要求：</w:t>
      </w:r>
    </w:p>
    <w:p w14:paraId="00810B57">
      <w:pPr>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（一）</w:t>
      </w:r>
      <w:r>
        <w:rPr>
          <w:rFonts w:hint="eastAsia" w:ascii="宋体" w:hAnsi="宋体" w:eastAsia="宋体"/>
          <w:bCs/>
          <w:sz w:val="22"/>
          <w:szCs w:val="22"/>
          <w:highlight w:val="none"/>
        </w:rPr>
        <w:t>满足《中华人民共和国政府采购法》第二十二条规定；</w:t>
      </w:r>
    </w:p>
    <w:p w14:paraId="3CEC1F29">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（1）具有独立承担民事责任的能力（提供法人或者其他组织的营业执照）。</w:t>
      </w:r>
    </w:p>
    <w:p w14:paraId="4E3BD6D5">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（2）具有良好的商业信誉和健全的财务会计制度（提供</w:t>
      </w:r>
      <w:r>
        <w:rPr>
          <w:rFonts w:hint="eastAsia" w:ascii="宋体" w:hAnsi="宋体" w:cs="宋体"/>
          <w:sz w:val="22"/>
          <w:szCs w:val="22"/>
          <w:lang w:val="en-US" w:eastAsia="zh-CN" w:bidi="en-US"/>
        </w:rPr>
        <w:t>本次采购活动前的</w:t>
      </w:r>
      <w:r>
        <w:rPr>
          <w:rFonts w:hint="eastAsia" w:ascii="宋体" w:hAnsi="宋体" w:eastAsia="宋体" w:cs="宋体"/>
          <w:sz w:val="22"/>
          <w:szCs w:val="22"/>
          <w:lang w:eastAsia="zh-CN" w:bidi="en-US"/>
        </w:rPr>
        <w:t>财务状况报告</w:t>
      </w:r>
      <w:r>
        <w:rPr>
          <w:rFonts w:hint="eastAsia" w:ascii="宋体" w:hAnsi="宋体" w:cs="宋体"/>
          <w:sz w:val="22"/>
          <w:szCs w:val="22"/>
          <w:lang w:val="en-US" w:eastAsia="zh-CN" w:bidi="en-US"/>
        </w:rPr>
        <w:t>或</w:t>
      </w:r>
      <w:r>
        <w:rPr>
          <w:rFonts w:hint="eastAsia" w:ascii="宋体" w:hAnsi="宋体" w:eastAsia="宋体" w:cs="宋体"/>
          <w:i w:val="0"/>
          <w:iCs w:val="0"/>
          <w:caps w:val="0"/>
          <w:color w:val="auto"/>
          <w:spacing w:val="0"/>
          <w:sz w:val="22"/>
          <w:szCs w:val="22"/>
          <w:shd w:val="clear" w:color="auto" w:fill="auto"/>
          <w:lang w:bidi="en-US"/>
        </w:rPr>
        <w:t>提供参加本次采购活动前的会计报表</w:t>
      </w:r>
      <w:r>
        <w:rPr>
          <w:rFonts w:hint="eastAsia" w:ascii="宋体" w:hAnsi="宋体" w:eastAsia="宋体" w:cs="宋体"/>
          <w:sz w:val="22"/>
          <w:szCs w:val="22"/>
          <w:lang w:eastAsia="zh-CN" w:bidi="en-US"/>
        </w:rPr>
        <w:t>）。</w:t>
      </w:r>
    </w:p>
    <w:p w14:paraId="2040BC54">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（3）具有履行合同所必需的设备和专业技术能力（供应商根据履行采购项目合同需要，提供履行合同所必需的设备和专业技术能力的证明材料及声明）。</w:t>
      </w:r>
    </w:p>
    <w:p w14:paraId="7FF78A3B">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4）有依法缴纳税收和社会保障资金的良好记录（提供参加本次政府采购活动前半年内至少一个月缴纳增值税，或营业税，或企业所得税的凭据；并提供缴纳社会保险的凭据（专用收据或社会保险缴纳清单））。</w:t>
      </w:r>
    </w:p>
    <w:p w14:paraId="4FA6F8B1">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（5）参加政府采购活动前三年内，在经营活动中没有重大违法记录（提供书面声明或承诺书）。</w:t>
      </w:r>
    </w:p>
    <w:p w14:paraId="4F5EC853">
      <w:pPr>
        <w:widowControl/>
        <w:spacing w:after="0" w:line="360" w:lineRule="auto"/>
        <w:ind w:firstLine="440"/>
        <w:jc w:val="left"/>
        <w:rPr>
          <w:rFonts w:hint="eastAsia" w:ascii="宋体" w:hAnsi="宋体" w:eastAsia="宋体" w:cs="宋体"/>
          <w:sz w:val="22"/>
          <w:szCs w:val="22"/>
          <w:lang w:eastAsia="zh-CN" w:bidi="en-US"/>
        </w:rPr>
      </w:pPr>
      <w:r>
        <w:rPr>
          <w:rFonts w:hint="eastAsia" w:ascii="宋体" w:hAnsi="宋体" w:eastAsia="宋体" w:cs="宋体"/>
          <w:sz w:val="22"/>
          <w:szCs w:val="22"/>
          <w:lang w:eastAsia="zh-CN" w:bidi="en-US"/>
        </w:rPr>
        <w:t>（6）法律、行政法规规定的其他条件（无）。</w:t>
      </w:r>
    </w:p>
    <w:p w14:paraId="15F360FA">
      <w:pPr>
        <w:pStyle w:val="266"/>
        <w:keepNext w:val="0"/>
        <w:keepLines w:val="0"/>
        <w:pageBreakBefore w:val="0"/>
        <w:spacing w:before="0" w:beforeAutospacing="0" w:after="0" w:afterAutospacing="0" w:line="360" w:lineRule="auto"/>
        <w:ind w:firstLine="420"/>
        <w:rPr>
          <w:rFonts w:hint="eastAsia" w:ascii="宋体" w:hAnsi="宋体" w:eastAsia="宋体" w:cs="宋体"/>
          <w:b w:val="0"/>
          <w:bCs/>
          <w:sz w:val="22"/>
          <w:szCs w:val="22"/>
          <w:highlight w:val="none"/>
          <w:lang w:eastAsia="zh-CN"/>
        </w:rPr>
      </w:pPr>
      <w:r>
        <w:rPr>
          <w:rFonts w:hint="eastAsia" w:eastAsia="宋体"/>
          <w:sz w:val="22"/>
          <w:szCs w:val="22"/>
          <w:highlight w:val="none"/>
        </w:rPr>
        <w:t>（二）落实政府采购政策需满足的资格要求：</w:t>
      </w:r>
      <w:r>
        <w:rPr>
          <w:rFonts w:hint="eastAsia" w:ascii="宋体" w:hAnsi="宋体" w:eastAsia="宋体" w:cs="宋体"/>
          <w:b w:val="0"/>
          <w:bCs/>
          <w:sz w:val="22"/>
          <w:szCs w:val="22"/>
        </w:rPr>
        <w:t>（如属于专门面向中小企业采购的项目，供应商应为</w:t>
      </w:r>
      <w:r>
        <w:rPr>
          <w:rFonts w:hint="eastAsia" w:ascii="宋体" w:hAnsi="宋体" w:eastAsia="宋体" w:cs="宋体"/>
          <w:b w:val="0"/>
          <w:bCs/>
          <w:sz w:val="22"/>
          <w:szCs w:val="22"/>
          <w:lang w:eastAsia="zh-CN"/>
        </w:rPr>
        <w:t>中小微企业、监狱企业</w:t>
      </w:r>
      <w:r>
        <w:rPr>
          <w:rFonts w:hint="eastAsia" w:ascii="宋体" w:hAnsi="宋体" w:eastAsia="宋体" w:cs="宋体"/>
          <w:b w:val="0"/>
          <w:bCs/>
          <w:sz w:val="22"/>
          <w:szCs w:val="22"/>
          <w:highlight w:val="none"/>
          <w:lang w:eastAsia="zh-CN"/>
        </w:rPr>
        <w:t>、残疾人福利性单位）本项目按照采用以下</w:t>
      </w:r>
      <w:r>
        <w:rPr>
          <w:rFonts w:hint="eastAsia" w:ascii="宋体" w:hAnsi="宋体" w:eastAsia="宋体" w:cs="宋体"/>
          <w:b/>
          <w:bCs w:val="0"/>
          <w:sz w:val="22"/>
          <w:szCs w:val="22"/>
          <w:highlight w:val="none"/>
          <w:lang w:eastAsia="zh-CN"/>
        </w:rPr>
        <w:t>第</w:t>
      </w:r>
      <w:r>
        <w:rPr>
          <w:rFonts w:hint="eastAsia" w:cs="宋体"/>
          <w:b/>
          <w:bCs w:val="0"/>
          <w:sz w:val="22"/>
          <w:szCs w:val="22"/>
          <w:highlight w:val="none"/>
          <w:lang w:val="en-US" w:eastAsia="zh-CN"/>
        </w:rPr>
        <w:t>4</w:t>
      </w:r>
      <w:r>
        <w:rPr>
          <w:rFonts w:hint="eastAsia" w:ascii="宋体" w:hAnsi="宋体" w:eastAsia="宋体" w:cs="宋体"/>
          <w:b/>
          <w:bCs w:val="0"/>
          <w:sz w:val="22"/>
          <w:szCs w:val="22"/>
          <w:highlight w:val="none"/>
          <w:lang w:eastAsia="zh-CN"/>
        </w:rPr>
        <w:t>种方式</w:t>
      </w:r>
      <w:r>
        <w:rPr>
          <w:rFonts w:hint="eastAsia" w:ascii="宋体" w:hAnsi="宋体" w:eastAsia="宋体" w:cs="宋体"/>
          <w:b w:val="0"/>
          <w:bCs/>
          <w:sz w:val="22"/>
          <w:szCs w:val="22"/>
          <w:highlight w:val="none"/>
          <w:lang w:eastAsia="zh-CN"/>
        </w:rPr>
        <w:t>落实政府采购促进中小企业发展的要求：</w:t>
      </w:r>
    </w:p>
    <w:p w14:paraId="214F484F">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1.本项目整体专门面向中小企业采购服务；</w:t>
      </w:r>
    </w:p>
    <w:p w14:paraId="1B11E4D2">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2.本项目整体专门面向小微企业采购服务；</w:t>
      </w:r>
    </w:p>
    <w:p w14:paraId="4191AE3D">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3.本项目通过以下第种方式预留部分采购份额采购中小企业服务：</w:t>
      </w:r>
    </w:p>
    <w:p w14:paraId="19414E64">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（1）本项目要求供应商以联合体形式参加，企业合同金额应当达到的比例为%。</w:t>
      </w:r>
    </w:p>
    <w:p w14:paraId="3A45C191">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（2）本项目要求供应商进行合同分包，企业合同金额应当达到的比例为%。</w:t>
      </w:r>
    </w:p>
    <w:p w14:paraId="7A572733">
      <w:pPr>
        <w:pStyle w:val="33"/>
        <w:keepNext w:val="0"/>
        <w:keepLines w:val="0"/>
        <w:pageBreakBefore w:val="0"/>
        <w:spacing w:before="0" w:beforeAutospacing="0" w:after="0" w:afterAutospacing="0" w:line="360" w:lineRule="auto"/>
        <w:ind w:firstLine="440"/>
        <w:rPr>
          <w:rFonts w:hint="eastAsia" w:ascii="宋体" w:hAnsi="宋体" w:eastAsia="宋体" w:cs="宋体"/>
          <w:sz w:val="22"/>
          <w:szCs w:val="22"/>
          <w:lang w:eastAsia="zh-CN"/>
        </w:rPr>
      </w:pPr>
      <w:r>
        <w:rPr>
          <w:rFonts w:hint="eastAsia" w:ascii="宋体" w:hAnsi="宋体" w:eastAsia="宋体" w:cs="宋体"/>
          <w:sz w:val="22"/>
          <w:szCs w:val="22"/>
          <w:lang w:eastAsia="zh-CN"/>
        </w:rPr>
        <w:t>4.本项目为非预留份额的采购项目或采购包，执行价格扣除优惠政策，具体详见第三章评标标准。</w:t>
      </w:r>
    </w:p>
    <w:p w14:paraId="2DB7B34A">
      <w:pPr>
        <w:pStyle w:val="266"/>
        <w:keepNext w:val="0"/>
        <w:keepLines w:val="0"/>
        <w:pageBreakBefore w:val="0"/>
        <w:spacing w:before="0" w:beforeAutospacing="0" w:after="0" w:afterAutospacing="0" w:line="360" w:lineRule="auto"/>
        <w:ind w:firstLine="420"/>
        <w:rPr>
          <w:rFonts w:hint="eastAsia" w:ascii="宋体" w:hAnsi="宋体" w:eastAsia="宋体" w:cs="宋体"/>
          <w:sz w:val="22"/>
          <w:szCs w:val="22"/>
          <w:highlight w:val="none"/>
          <w:lang w:val="en-US" w:eastAsia="zh-CN"/>
        </w:rPr>
      </w:pPr>
      <w:r>
        <w:rPr>
          <w:rFonts w:hint="eastAsia" w:eastAsia="宋体"/>
          <w:sz w:val="22"/>
          <w:szCs w:val="22"/>
          <w:highlight w:val="none"/>
          <w:lang w:eastAsia="zh-CN"/>
        </w:rPr>
        <w:t>（</w:t>
      </w:r>
      <w:r>
        <w:rPr>
          <w:rFonts w:hint="eastAsia" w:eastAsia="宋体"/>
          <w:sz w:val="22"/>
          <w:szCs w:val="22"/>
          <w:highlight w:val="none"/>
          <w:lang w:val="en-US" w:eastAsia="zh-CN"/>
        </w:rPr>
        <w:t>三</w:t>
      </w:r>
      <w:r>
        <w:rPr>
          <w:rFonts w:hint="eastAsia" w:eastAsia="宋体"/>
          <w:sz w:val="22"/>
          <w:szCs w:val="22"/>
          <w:highlight w:val="none"/>
          <w:lang w:eastAsia="zh-CN"/>
        </w:rPr>
        <w:t>）</w:t>
      </w:r>
      <w:r>
        <w:rPr>
          <w:rFonts w:hint="eastAsia" w:eastAsia="宋体"/>
          <w:sz w:val="22"/>
          <w:szCs w:val="22"/>
          <w:highlight w:val="none"/>
        </w:rPr>
        <w:t>采购人根据采购项目的特殊要求规定的特定条件：</w:t>
      </w:r>
      <w:r>
        <w:rPr>
          <w:rFonts w:hint="eastAsia"/>
          <w:sz w:val="22"/>
          <w:szCs w:val="22"/>
          <w:highlight w:val="none"/>
          <w:lang w:val="en-US" w:eastAsia="zh-CN"/>
        </w:rPr>
        <w:t>无</w:t>
      </w:r>
    </w:p>
    <w:p w14:paraId="25699AF6">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eastAsia="zh-CN" w:bidi="en-US"/>
        </w:rPr>
      </w:pPr>
      <w:r>
        <w:rPr>
          <w:rFonts w:hint="eastAsia" w:ascii="宋体" w:hAnsi="宋体" w:eastAsia="宋体" w:cs="Times New Roman"/>
          <w:b/>
          <w:sz w:val="22"/>
          <w:szCs w:val="22"/>
          <w:lang w:val="en-US" w:eastAsia="zh-CN" w:bidi="en-US"/>
        </w:rPr>
        <w:t>三</w:t>
      </w:r>
      <w:r>
        <w:rPr>
          <w:rFonts w:hint="eastAsia" w:ascii="宋体" w:hAnsi="宋体" w:eastAsia="宋体" w:cs="Times New Roman"/>
          <w:b/>
          <w:sz w:val="22"/>
          <w:szCs w:val="22"/>
          <w:lang w:eastAsia="zh-CN" w:bidi="en-US"/>
        </w:rPr>
        <w:t>、获取招标文件</w:t>
      </w:r>
    </w:p>
    <w:p w14:paraId="1991E013">
      <w:pPr>
        <w:pStyle w:val="697"/>
        <w:keepNext w:val="0"/>
        <w:keepLines w:val="0"/>
        <w:pageBreakBefore w:val="0"/>
        <w:spacing w:line="360" w:lineRule="auto"/>
        <w:ind w:left="0" w:firstLine="440"/>
        <w:jc w:val="left"/>
        <w:rPr>
          <w:rFonts w:ascii="宋体" w:hAnsi="宋体" w:eastAsia="宋体"/>
          <w:sz w:val="22"/>
          <w:szCs w:val="22"/>
          <w:highlight w:val="none"/>
        </w:rPr>
      </w:pPr>
      <w:r>
        <w:rPr>
          <w:rFonts w:hint="eastAsia" w:ascii="宋体" w:hAnsi="宋体" w:eastAsia="宋体"/>
          <w:sz w:val="22"/>
          <w:szCs w:val="22"/>
          <w:highlight w:val="none"/>
        </w:rPr>
        <w:t>时间：自招标文件公告发布之日起5个工作日</w:t>
      </w:r>
    </w:p>
    <w:p w14:paraId="0393F161">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地点：江苏政府采购网</w:t>
      </w:r>
    </w:p>
    <w:p w14:paraId="20776848">
      <w:pPr>
        <w:keepNext w:val="0"/>
        <w:keepLines w:val="0"/>
        <w:pageBreakBefore w:val="0"/>
        <w:spacing w:line="360" w:lineRule="auto"/>
        <w:ind w:firstLine="440"/>
        <w:rPr>
          <w:rFonts w:hint="eastAsia" w:ascii="宋体" w:hAnsi="宋体" w:eastAsia="宋体"/>
          <w:sz w:val="22"/>
          <w:szCs w:val="22"/>
          <w:highlight w:val="none"/>
        </w:rPr>
      </w:pPr>
      <w:r>
        <w:rPr>
          <w:rFonts w:hint="eastAsia" w:ascii="宋体" w:hAnsi="宋体" w:eastAsia="宋体"/>
          <w:sz w:val="22"/>
          <w:szCs w:val="22"/>
          <w:highlight w:val="none"/>
        </w:rPr>
        <w:t>方式：</w:t>
      </w:r>
      <w:r>
        <w:rPr>
          <w:rFonts w:hint="eastAsia" w:ascii="宋体" w:hAnsi="宋体"/>
          <w:sz w:val="22"/>
          <w:szCs w:val="22"/>
          <w:highlight w:val="none"/>
          <w:lang w:val="en-US" w:eastAsia="zh-CN"/>
        </w:rPr>
        <w:t>投标人</w:t>
      </w:r>
      <w:r>
        <w:rPr>
          <w:rFonts w:hint="eastAsia" w:ascii="宋体" w:hAnsi="宋体" w:eastAsia="宋体"/>
          <w:sz w:val="22"/>
          <w:szCs w:val="22"/>
          <w:highlight w:val="none"/>
          <w:lang w:eastAsia="zh-CN"/>
        </w:rPr>
        <w:t>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417AC3BF">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售价：</w:t>
      </w:r>
      <w:r>
        <w:rPr>
          <w:rFonts w:hint="eastAsia" w:ascii="宋体" w:hAnsi="宋体" w:eastAsia="宋体"/>
          <w:sz w:val="22"/>
          <w:szCs w:val="22"/>
          <w:highlight w:val="none"/>
          <w:lang w:val="en-US" w:eastAsia="zh-CN"/>
        </w:rPr>
        <w:t>0</w:t>
      </w:r>
      <w:r>
        <w:rPr>
          <w:rFonts w:ascii="宋体" w:hAnsi="宋体" w:eastAsia="宋体"/>
          <w:sz w:val="22"/>
          <w:szCs w:val="22"/>
          <w:highlight w:val="none"/>
        </w:rPr>
        <w:t>元</w:t>
      </w:r>
    </w:p>
    <w:p w14:paraId="045ED3DD">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四、投标截止时间、投标地点</w:t>
      </w:r>
    </w:p>
    <w:p w14:paraId="51CFCF22">
      <w:pPr>
        <w:pStyle w:val="266"/>
        <w:keepNext w:val="0"/>
        <w:keepLines w:val="0"/>
        <w:pageBreakBefore w:val="0"/>
        <w:spacing w:before="0" w:beforeAutospacing="0" w:after="0" w:afterAutospacing="0" w:line="360" w:lineRule="auto"/>
        <w:ind w:firstLine="660"/>
        <w:rPr>
          <w:rFonts w:hint="eastAsia"/>
          <w:sz w:val="22"/>
          <w:szCs w:val="22"/>
          <w:highlight w:val="none"/>
          <w:shd w:val="clear" w:color="auto" w:fill="FFFFFF"/>
        </w:rPr>
      </w:pPr>
      <w:r>
        <w:rPr>
          <w:rFonts w:hint="eastAsia"/>
          <w:sz w:val="22"/>
          <w:szCs w:val="22"/>
          <w:highlight w:val="none"/>
          <w:shd w:val="clear" w:color="auto" w:fill="FFFFFF"/>
          <w:lang w:eastAsia="zh-CN"/>
        </w:rPr>
        <w:t>2025年4月17日</w:t>
      </w:r>
      <w:r>
        <w:rPr>
          <w:rFonts w:hint="eastAsia"/>
          <w:sz w:val="22"/>
          <w:szCs w:val="22"/>
          <w:highlight w:val="none"/>
          <w:shd w:val="clear" w:color="auto" w:fill="FFFFFF"/>
          <w:lang w:val="en-US" w:eastAsia="zh-CN"/>
        </w:rPr>
        <w:t>09</w:t>
      </w:r>
      <w:r>
        <w:rPr>
          <w:rFonts w:hint="eastAsia"/>
          <w:sz w:val="22"/>
          <w:szCs w:val="22"/>
          <w:highlight w:val="none"/>
          <w:shd w:val="clear" w:color="auto" w:fill="FFFFFF"/>
        </w:rPr>
        <w:t>:30（北京时间）</w:t>
      </w:r>
    </w:p>
    <w:p w14:paraId="0B237960">
      <w:pPr>
        <w:pStyle w:val="266"/>
        <w:keepNext w:val="0"/>
        <w:keepLines w:val="0"/>
        <w:pageBreakBefore w:val="0"/>
        <w:spacing w:before="0" w:beforeAutospacing="0" w:after="0" w:afterAutospacing="0" w:line="360" w:lineRule="auto"/>
        <w:ind w:firstLine="660"/>
        <w:rPr>
          <w:rFonts w:hint="eastAsia"/>
          <w:sz w:val="22"/>
          <w:szCs w:val="22"/>
          <w:highlight w:val="none"/>
          <w:shd w:val="clear" w:color="auto" w:fill="FFFFFF"/>
        </w:rPr>
      </w:pPr>
      <w:r>
        <w:rPr>
          <w:rFonts w:hint="eastAsia"/>
          <w:sz w:val="22"/>
          <w:szCs w:val="22"/>
          <w:highlight w:val="none"/>
          <w:shd w:val="clear" w:color="auto" w:fill="FFFFFF"/>
        </w:rPr>
        <w:t>地点：（1）提交投标文件地点：</w:t>
      </w:r>
      <w:r>
        <w:rPr>
          <w:rFonts w:hint="eastAsia" w:ascii="宋体" w:hAnsi="宋体" w:eastAsia="宋体" w:cs="宋体"/>
          <w:i w:val="0"/>
          <w:iCs w:val="0"/>
          <w:caps w:val="0"/>
          <w:color w:val="auto"/>
          <w:spacing w:val="0"/>
          <w:sz w:val="22"/>
          <w:szCs w:val="22"/>
          <w:highlight w:val="none"/>
          <w:shd w:val="clear" w:color="auto" w:fill="FFFFFF"/>
        </w:rPr>
        <w:t>江苏省政府采购交易系统（以下简称“苏采云系统”）网上开标大厅</w:t>
      </w:r>
      <w:r>
        <w:rPr>
          <w:rFonts w:hint="eastAsia"/>
          <w:sz w:val="22"/>
          <w:szCs w:val="22"/>
          <w:highlight w:val="none"/>
          <w:shd w:val="clear" w:color="auto" w:fill="FFFFFF"/>
        </w:rPr>
        <w:t>。</w:t>
      </w:r>
    </w:p>
    <w:p w14:paraId="178B36EA">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五、公告期限</w:t>
      </w:r>
    </w:p>
    <w:p w14:paraId="2B5D75E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自本公告发布之日起5个工作日。</w:t>
      </w:r>
    </w:p>
    <w:p w14:paraId="63FB9896">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六、其他补充事宜</w:t>
      </w:r>
    </w:p>
    <w:p w14:paraId="6E1B06A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1.不适用信用承诺的情形：</w:t>
      </w:r>
    </w:p>
    <w:p w14:paraId="02DE3637">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（1）供应商被列入严重失信主体名单；</w:t>
      </w:r>
    </w:p>
    <w:p w14:paraId="60887D05">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（2）被相关监管部门作出行政处罚且尚在处罚有效期内的；</w:t>
      </w:r>
    </w:p>
    <w:p w14:paraId="3591254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（3）其他法律、行政法规规定的不适用信用承诺的情形。</w:t>
      </w:r>
    </w:p>
    <w:p w14:paraId="1A816D30">
      <w:pPr>
        <w:keepNext w:val="0"/>
        <w:keepLines w:val="0"/>
        <w:pageBreakBefore w:val="0"/>
        <w:spacing w:line="360" w:lineRule="auto"/>
        <w:ind w:firstLine="440"/>
        <w:rPr>
          <w:rFonts w:ascii="宋体" w:hAnsi="宋体" w:eastAsia="宋体"/>
          <w:sz w:val="22"/>
          <w:szCs w:val="22"/>
          <w:highlight w:val="none"/>
        </w:rPr>
      </w:pPr>
      <w:r>
        <w:rPr>
          <w:rFonts w:hint="eastAsia" w:ascii="宋体" w:hAnsi="宋体" w:eastAsia="宋体"/>
          <w:sz w:val="22"/>
          <w:szCs w:val="22"/>
          <w:highlight w:val="none"/>
        </w:rPr>
        <w:t>2.</w:t>
      </w:r>
      <w:r>
        <w:rPr>
          <w:rFonts w:ascii="宋体" w:hAnsi="宋体" w:eastAsia="宋体"/>
          <w:sz w:val="22"/>
          <w:szCs w:val="22"/>
          <w:highlight w:val="none"/>
        </w:rPr>
        <w:t>拒绝下述供应商参加本次采购活动：</w:t>
      </w:r>
    </w:p>
    <w:p w14:paraId="405A3DD2">
      <w:pPr>
        <w:keepNext w:val="0"/>
        <w:keepLines w:val="0"/>
        <w:pageBreakBefore w:val="0"/>
        <w:spacing w:line="360" w:lineRule="auto"/>
        <w:ind w:firstLine="465"/>
        <w:rPr>
          <w:rFonts w:ascii="宋体" w:hAnsi="宋体" w:eastAsia="宋体"/>
          <w:sz w:val="22"/>
          <w:szCs w:val="22"/>
          <w:highlight w:val="none"/>
        </w:rPr>
      </w:pPr>
      <w:r>
        <w:rPr>
          <w:rFonts w:ascii="宋体" w:hAnsi="宋体" w:eastAsia="宋体"/>
          <w:sz w:val="22"/>
          <w:szCs w:val="22"/>
          <w:highlight w:val="none"/>
        </w:rPr>
        <w:t>（1）供应商单位负责人为同一人或者存在直接控股、管理关系的不同供应商，不得参加同一合同项下的政府采购活动。</w:t>
      </w:r>
    </w:p>
    <w:p w14:paraId="02CA0615">
      <w:pPr>
        <w:keepNext w:val="0"/>
        <w:keepLines w:val="0"/>
        <w:pageBreakBefore w:val="0"/>
        <w:spacing w:line="360" w:lineRule="auto"/>
        <w:ind w:firstLine="465"/>
        <w:rPr>
          <w:rFonts w:ascii="宋体" w:hAnsi="宋体" w:eastAsia="宋体"/>
          <w:sz w:val="22"/>
          <w:szCs w:val="22"/>
          <w:highlight w:val="none"/>
        </w:rPr>
      </w:pPr>
      <w:r>
        <w:rPr>
          <w:rFonts w:ascii="宋体" w:hAnsi="宋体" w:eastAsia="宋体"/>
          <w:sz w:val="22"/>
          <w:szCs w:val="22"/>
          <w:highlight w:val="none"/>
        </w:rPr>
        <w:t>（2）凡为采购项目提供整体设计、规范编制或者项目管理、监理、检测等服务的供应商，不得再参加本项目的采购活动。</w:t>
      </w:r>
    </w:p>
    <w:p w14:paraId="22695613">
      <w:pPr>
        <w:pStyle w:val="266"/>
        <w:keepNext w:val="0"/>
        <w:keepLines w:val="0"/>
        <w:pageBreakBefore w:val="0"/>
        <w:spacing w:before="0" w:beforeAutospacing="0" w:after="0" w:afterAutospacing="0" w:line="360" w:lineRule="auto"/>
        <w:ind w:firstLine="420"/>
        <w:rPr>
          <w:rFonts w:hint="eastAsia" w:eastAsia="宋体"/>
          <w:sz w:val="22"/>
          <w:szCs w:val="22"/>
          <w:highlight w:val="none"/>
        </w:rPr>
      </w:pPr>
      <w:r>
        <w:rPr>
          <w:rFonts w:ascii="宋体" w:hAnsi="宋体" w:eastAsia="宋体"/>
          <w:sz w:val="22"/>
          <w:szCs w:val="22"/>
          <w:highlight w:val="none"/>
        </w:rPr>
        <w:t>（3）供应商</w:t>
      </w:r>
      <w:r>
        <w:rPr>
          <w:rFonts w:hint="eastAsia" w:ascii="宋体" w:hAnsi="宋体" w:eastAsia="宋体"/>
          <w:sz w:val="22"/>
          <w:szCs w:val="22"/>
          <w:highlight w:val="none"/>
        </w:rPr>
        <w:t>参加政府采购活动前三年内</w:t>
      </w:r>
      <w:r>
        <w:rPr>
          <w:rFonts w:ascii="宋体" w:hAnsi="宋体" w:eastAsia="宋体"/>
          <w:sz w:val="22"/>
          <w:szCs w:val="22"/>
          <w:highlight w:val="none"/>
        </w:rPr>
        <w:t>被“信用中国”网站（www.creditchina.gov.cn）、“中国政府采购网”(www.ccgp.gov.cn)列入失信被执行人、重大税收违法失信主体、政府采购严重违法失信行为记录名单。</w:t>
      </w:r>
    </w:p>
    <w:p w14:paraId="73CF60F4">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3</w:t>
      </w:r>
      <w:r>
        <w:rPr>
          <w:rFonts w:hint="eastAsia"/>
          <w:sz w:val="22"/>
          <w:szCs w:val="22"/>
        </w:rPr>
        <w:t>.违反信用承诺的法律责任：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年至三年内禁止参加政府采购活动；有违法所得的，并没收违法所得，情节严重的，由市场监管部门吊销营业执照；构成犯罪的，依法追究刑事责任。</w:t>
      </w:r>
    </w:p>
    <w:p w14:paraId="25041741">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4</w:t>
      </w:r>
      <w:r>
        <w:rPr>
          <w:rFonts w:hint="eastAsia"/>
          <w:sz w:val="22"/>
          <w:szCs w:val="22"/>
        </w:rPr>
        <w:t>.供应商诚信档案管理：</w:t>
      </w:r>
    </w:p>
    <w:p w14:paraId="2633A58B">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根据《南京市政府采购供应商信用管理工作暂行办法》（宁财规〔2018〕10号）有关规定，凡在南京地区参加政府采购活动的供应商，应当事先登录“信用南京”（www.njcredit.gov.cn）或“南京公共采购信息网”（https://njgc.jfh.com/）主页“政府采购供应商诚信档案”栏目进行注册登记。由于特殊原因未及时注册的供应商可先行获取采购文件，但必须在提交投标（响应）文件截止日2天前办理登记注册手续。</w:t>
      </w:r>
    </w:p>
    <w:p w14:paraId="4D444E9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 xml:space="preserve">供应商申请网上注册的，应当按以下程序进行：  </w:t>
      </w:r>
    </w:p>
    <w:p w14:paraId="7C911292">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（1）登录“信用南京”或“南京公共采购信息网”网站，点击“政府采购供应商诚信档案”图标，在弹出的用户登录界面，点击“新用户注册”；</w:t>
      </w:r>
    </w:p>
    <w:p w14:paraId="39AD98A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p>
    <w:p w14:paraId="256EB2F3">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注册成功后，供应商参加本次政府采购活动时，在采购文件发布之日起至递交投标文件截止日前，应先登录“信用南京”在线打印其“南京市政府采购供应商信用记录表”，经法定代表人签名盖章后作为投标文件的组成部分“南京市政府采购供应商信用记录表”是其参加本次政府采购活动的必备材料。</w:t>
      </w:r>
    </w:p>
    <w:p w14:paraId="038A67A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南京市政府采购供应商诚信档案管理系统客服电话：025-52718366；供应商可就用户注册与打印“南京市政府采购供应商信用记录表”等事宜进行咨询。</w:t>
      </w:r>
    </w:p>
    <w:p w14:paraId="55CE3B7C">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5</w:t>
      </w:r>
      <w:r>
        <w:rPr>
          <w:rFonts w:hint="eastAsia"/>
          <w:sz w:val="22"/>
          <w:szCs w:val="22"/>
        </w:rPr>
        <w:t>.根据《关于在政府采购活动中推行信用承诺制的通知》（宁财购通[2021]5号）的规定，本项目公告“二、申请人的资格要求（一）满足《中华人民共和国政府采购法》第二十二条规定”中涉及的证明材料，供应商可以在投标文件中一次性提交，也可以在投标文件中提供满足相应条件的书面承诺书，不再需要提供上述涉及的证明材料。</w:t>
      </w:r>
    </w:p>
    <w:p w14:paraId="217675F7">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rPr>
        <w:t>供应商仅提供信用承诺书而未提供“二、申请人的资格要求（一）满足《中华人民共和国政府采购法》第二十二条规定” 中涉及的证明材料，须在中标后，另行提供上述由信用承诺书替代的证明材料（一式</w:t>
      </w:r>
      <w:r>
        <w:rPr>
          <w:rFonts w:hint="eastAsia"/>
          <w:sz w:val="22"/>
          <w:szCs w:val="22"/>
          <w:lang w:val="en-US" w:eastAsia="zh-CN"/>
        </w:rPr>
        <w:t>二</w:t>
      </w:r>
      <w:r>
        <w:rPr>
          <w:rFonts w:hint="eastAsia"/>
          <w:sz w:val="22"/>
          <w:szCs w:val="22"/>
        </w:rPr>
        <w:t>份），材料须加盖公章并按采购文件要求提交采购代理机构核验。经核验无误后，由采购代理机构发出中标通知书。</w:t>
      </w:r>
    </w:p>
    <w:p w14:paraId="2CE0B497">
      <w:pPr>
        <w:pStyle w:val="266"/>
        <w:keepNext w:val="0"/>
        <w:keepLines w:val="0"/>
        <w:pageBreakBefore w:val="0"/>
        <w:spacing w:before="0" w:beforeAutospacing="0" w:after="0" w:afterAutospacing="0" w:line="360" w:lineRule="auto"/>
        <w:ind w:firstLine="420"/>
        <w:rPr>
          <w:rFonts w:hint="eastAsia"/>
          <w:sz w:val="22"/>
          <w:szCs w:val="22"/>
          <w:lang w:eastAsia="zh-CN"/>
        </w:rPr>
      </w:pPr>
      <w:r>
        <w:rPr>
          <w:rFonts w:hint="eastAsia"/>
          <w:sz w:val="22"/>
          <w:szCs w:val="22"/>
          <w:lang w:val="en-US" w:eastAsia="zh-CN"/>
        </w:rPr>
        <w:t>6</w:t>
      </w:r>
      <w:r>
        <w:rPr>
          <w:rFonts w:hint="eastAsia"/>
          <w:sz w:val="22"/>
          <w:szCs w:val="22"/>
        </w:rPr>
        <w:t>.投标文件份数：</w:t>
      </w:r>
      <w:r>
        <w:rPr>
          <w:rFonts w:hint="eastAsia"/>
          <w:sz w:val="22"/>
          <w:szCs w:val="22"/>
          <w:lang w:val="en-US" w:eastAsia="zh-CN"/>
        </w:rPr>
        <w:t>中标后提供</w:t>
      </w:r>
      <w:r>
        <w:rPr>
          <w:rFonts w:hint="eastAsia"/>
          <w:sz w:val="22"/>
          <w:szCs w:val="22"/>
        </w:rPr>
        <w:t>纸质版一式</w:t>
      </w:r>
      <w:r>
        <w:rPr>
          <w:rFonts w:hint="eastAsia"/>
          <w:sz w:val="22"/>
          <w:szCs w:val="22"/>
          <w:lang w:val="en-US" w:eastAsia="zh-CN"/>
        </w:rPr>
        <w:t>叁</w:t>
      </w:r>
      <w:r>
        <w:rPr>
          <w:rFonts w:hint="eastAsia"/>
          <w:sz w:val="22"/>
          <w:szCs w:val="22"/>
        </w:rPr>
        <w:t>份（壹份正本、</w:t>
      </w:r>
      <w:r>
        <w:rPr>
          <w:rFonts w:hint="eastAsia"/>
          <w:sz w:val="22"/>
          <w:szCs w:val="22"/>
          <w:lang w:val="en-US" w:eastAsia="zh-CN"/>
        </w:rPr>
        <w:t>贰</w:t>
      </w:r>
      <w:r>
        <w:rPr>
          <w:rFonts w:hint="eastAsia"/>
          <w:sz w:val="22"/>
          <w:szCs w:val="22"/>
        </w:rPr>
        <w:t>份副本）</w:t>
      </w:r>
      <w:r>
        <w:rPr>
          <w:rFonts w:hint="eastAsia"/>
          <w:sz w:val="22"/>
          <w:szCs w:val="22"/>
          <w:lang w:eastAsia="zh-CN"/>
        </w:rPr>
        <w:t>。</w:t>
      </w:r>
    </w:p>
    <w:p w14:paraId="38FB10B9">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7</w:t>
      </w:r>
      <w:r>
        <w:rPr>
          <w:rFonts w:hint="eastAsia"/>
          <w:sz w:val="22"/>
          <w:szCs w:val="22"/>
        </w:rPr>
        <w:t>.是否接受进口产品：不接受。</w:t>
      </w:r>
    </w:p>
    <w:p w14:paraId="25CD068E">
      <w:pPr>
        <w:pStyle w:val="266"/>
        <w:keepNext w:val="0"/>
        <w:keepLines w:val="0"/>
        <w:pageBreakBefore w:val="0"/>
        <w:spacing w:before="0" w:beforeAutospacing="0" w:after="0" w:afterAutospacing="0" w:line="360" w:lineRule="auto"/>
        <w:ind w:firstLine="420"/>
        <w:rPr>
          <w:rFonts w:hint="eastAsia"/>
          <w:sz w:val="22"/>
          <w:szCs w:val="22"/>
        </w:rPr>
      </w:pPr>
      <w:r>
        <w:rPr>
          <w:rFonts w:hint="eastAsia"/>
          <w:sz w:val="22"/>
          <w:szCs w:val="22"/>
          <w:lang w:val="en-US" w:eastAsia="zh-CN"/>
        </w:rPr>
        <w:t>8</w:t>
      </w:r>
      <w:r>
        <w:rPr>
          <w:rFonts w:hint="eastAsia"/>
          <w:sz w:val="22"/>
          <w:szCs w:val="22"/>
        </w:rPr>
        <w:t>.集中考察或答疑：本次采购不组织集中勘察现场。供应商如对采购需求有疑问请与采购联系人沟通。在递交投标文件截止时间15日前，代理机构将采购文件澄清或者修改的内容（如有）发放供应商，供应商如对本项目有疑问也应在此时间内向代理机构递交提疑文件。</w:t>
      </w:r>
    </w:p>
    <w:p w14:paraId="0F79EBB9">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9.行业划分：交通运输业。</w:t>
      </w:r>
    </w:p>
    <w:p w14:paraId="3FB24403">
      <w:pPr>
        <w:pStyle w:val="266"/>
        <w:keepNext w:val="0"/>
        <w:keepLines w:val="0"/>
        <w:pageBreakBefore w:val="0"/>
        <w:spacing w:before="0" w:beforeAutospacing="0" w:after="0" w:afterAutospacing="0" w:line="360" w:lineRule="auto"/>
        <w:ind w:firstLine="420"/>
        <w:rPr>
          <w:rFonts w:hint="eastAsia"/>
          <w:sz w:val="22"/>
          <w:szCs w:val="22"/>
          <w:highlight w:val="none"/>
          <w:lang w:val="en-US" w:eastAsia="zh-CN"/>
        </w:rPr>
      </w:pPr>
      <w:r>
        <w:rPr>
          <w:rFonts w:hint="eastAsia"/>
          <w:sz w:val="22"/>
          <w:szCs w:val="22"/>
          <w:lang w:val="en-US" w:eastAsia="zh-CN"/>
        </w:rPr>
        <w:t>10.潜在供应商访问政府采购</w:t>
      </w:r>
      <w:r>
        <w:rPr>
          <w:rFonts w:hint="eastAsia"/>
          <w:sz w:val="22"/>
          <w:szCs w:val="22"/>
          <w:highlight w:val="none"/>
          <w:lang w:val="en-US" w:eastAsia="zh-CN"/>
        </w:rPr>
        <w:t>管理交易系统（苏采云）的网络地址和方法：</w:t>
      </w:r>
    </w:p>
    <w:p w14:paraId="799F10D5">
      <w:pPr>
        <w:pStyle w:val="266"/>
        <w:keepNext w:val="0"/>
        <w:keepLines w:val="0"/>
        <w:pageBreakBefore w:val="0"/>
        <w:spacing w:before="0" w:beforeAutospacing="0" w:after="0" w:afterAutospacing="0" w:line="360" w:lineRule="auto"/>
        <w:ind w:firstLine="420"/>
        <w:rPr>
          <w:rFonts w:hint="eastAsia"/>
          <w:sz w:val="22"/>
          <w:szCs w:val="22"/>
          <w:highlight w:val="none"/>
          <w:lang w:val="en-US" w:eastAsia="zh-CN"/>
        </w:rPr>
      </w:pPr>
      <w:r>
        <w:rPr>
          <w:rFonts w:hint="eastAsia"/>
          <w:sz w:val="22"/>
          <w:szCs w:val="22"/>
          <w:highlight w:val="none"/>
          <w:lang w:val="en-US" w:eastAsia="zh-CN"/>
        </w:rPr>
        <w:t>（1）投标人通过苏采云系统参与政府采购项目，需要办理江苏省政府采购数字证书及电子签章，具体详见苏采云系统登录页“新CA办理指南”。投标人按《苏采云系统供应商操作手册》（以下简称“操作手册”）进行注册，并制作上传电子投标文件。《操作手册》下载地址（http://www.ccgp-jiangsu.gov.cn/jiangsu/zlxz/ee/ee3a4bc5a3454aa2b0d9312230633ce9.html）。</w:t>
      </w:r>
    </w:p>
    <w:p w14:paraId="6102CC4B">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（2）苏采云系统使用谷歌浏览器参与不见面开标。</w:t>
      </w:r>
    </w:p>
    <w:p w14:paraId="7E2EBFC8">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（3）“苏采云”南京地区客服热线025-83633744、025-83633743。</w:t>
      </w:r>
    </w:p>
    <w:p w14:paraId="3B3DA00F">
      <w:pPr>
        <w:pStyle w:val="266"/>
        <w:keepNext w:val="0"/>
        <w:keepLines w:val="0"/>
        <w:pageBreakBefore w:val="0"/>
        <w:spacing w:before="0" w:beforeAutospacing="0" w:after="0" w:afterAutospacing="0" w:line="360" w:lineRule="auto"/>
        <w:ind w:firstLine="420"/>
        <w:rPr>
          <w:rFonts w:hint="eastAsia"/>
          <w:sz w:val="22"/>
          <w:szCs w:val="22"/>
          <w:lang w:val="en-US" w:eastAsia="zh-CN"/>
        </w:rPr>
      </w:pPr>
      <w:r>
        <w:rPr>
          <w:rFonts w:hint="eastAsia"/>
          <w:sz w:val="22"/>
          <w:szCs w:val="22"/>
          <w:lang w:val="en-US" w:eastAsia="zh-CN"/>
        </w:rPr>
        <w:t>11.有关本次招标的事项若存在变动或修改，请及时关注“江苏政府采购网”、“南京公共采购信息网”发布的更正公告。</w:t>
      </w:r>
    </w:p>
    <w:p w14:paraId="0769723A">
      <w:pPr>
        <w:keepNext w:val="0"/>
        <w:keepLines w:val="0"/>
        <w:pageBreakBefore w:val="0"/>
        <w:widowControl/>
        <w:spacing w:line="360" w:lineRule="auto"/>
        <w:ind w:firstLine="422"/>
        <w:jc w:val="left"/>
        <w:outlineLvl w:val="1"/>
        <w:rPr>
          <w:rFonts w:hint="eastAsia" w:ascii="宋体" w:hAnsi="宋体" w:eastAsia="宋体" w:cs="Times New Roman"/>
          <w:b/>
          <w:sz w:val="22"/>
          <w:szCs w:val="22"/>
          <w:lang w:val="en-US" w:eastAsia="zh-CN" w:bidi="en-US"/>
        </w:rPr>
      </w:pPr>
      <w:r>
        <w:rPr>
          <w:rFonts w:hint="eastAsia" w:ascii="宋体" w:hAnsi="宋体" w:cs="Times New Roman"/>
          <w:b/>
          <w:sz w:val="22"/>
          <w:szCs w:val="22"/>
          <w:lang w:val="en-US" w:eastAsia="zh-CN" w:bidi="en-US"/>
        </w:rPr>
        <w:t>七</w:t>
      </w:r>
      <w:r>
        <w:rPr>
          <w:rFonts w:hint="eastAsia" w:ascii="宋体" w:hAnsi="宋体" w:eastAsia="宋体" w:cs="Times New Roman"/>
          <w:b/>
          <w:sz w:val="22"/>
          <w:szCs w:val="22"/>
          <w:lang w:val="en-US" w:eastAsia="zh-CN" w:bidi="en-US"/>
        </w:rPr>
        <w:t>、对本次招标提出询问，请按以下方式联系</w:t>
      </w:r>
    </w:p>
    <w:p w14:paraId="73FB5D6E">
      <w:pPr>
        <w:keepNext w:val="0"/>
        <w:keepLines w:val="0"/>
        <w:pageBreakBefore w:val="0"/>
        <w:tabs>
          <w:tab w:val="left" w:pos="0"/>
          <w:tab w:val="left" w:pos="510"/>
          <w:tab w:val="left" w:pos="1134"/>
        </w:tabs>
        <w:spacing w:line="360" w:lineRule="auto"/>
        <w:ind w:firstLine="440"/>
        <w:rPr>
          <w:rFonts w:ascii="宋体" w:hAnsi="宋体" w:cs="Trebuchet MS"/>
          <w:sz w:val="22"/>
          <w:szCs w:val="22"/>
        </w:rPr>
      </w:pPr>
      <w:r>
        <w:rPr>
          <w:rFonts w:hint="eastAsia" w:ascii="宋体" w:hAnsi="宋体" w:cs="Trebuchet MS"/>
          <w:sz w:val="22"/>
          <w:szCs w:val="22"/>
        </w:rPr>
        <w:t>1.采购人信息</w:t>
      </w:r>
    </w:p>
    <w:p w14:paraId="43BB7472">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rPr>
        <w:t>名称：</w:t>
      </w:r>
      <w:bookmarkStart w:id="1" w:name="OLE_LINK2"/>
      <w:r>
        <w:rPr>
          <w:rFonts w:hint="eastAsia" w:ascii="宋体" w:hAnsi="宋体"/>
          <w:sz w:val="22"/>
          <w:szCs w:val="22"/>
        </w:rPr>
        <w:t>南京市江宁区交</w:t>
      </w:r>
      <w:r>
        <w:rPr>
          <w:rFonts w:hint="eastAsia" w:ascii="宋体" w:hAnsi="宋体" w:cs="Trebuchet MS"/>
          <w:sz w:val="22"/>
          <w:szCs w:val="22"/>
        </w:rPr>
        <w:t>通运输局</w:t>
      </w:r>
      <w:bookmarkEnd w:id="1"/>
    </w:p>
    <w:p w14:paraId="05D38120">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rPr>
        <w:t>地址：南京市江宁区科宁路779号</w:t>
      </w:r>
    </w:p>
    <w:p w14:paraId="7B32B2B8">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lang w:val="zh-CN"/>
        </w:rPr>
      </w:pPr>
      <w:r>
        <w:rPr>
          <w:rFonts w:hint="eastAsia" w:ascii="宋体" w:hAnsi="宋体" w:cs="Trebuchet MS"/>
          <w:sz w:val="22"/>
          <w:szCs w:val="22"/>
          <w:lang w:val="zh-CN"/>
        </w:rPr>
        <w:t>联系电话：</w:t>
      </w:r>
      <w:r>
        <w:rPr>
          <w:rFonts w:hint="eastAsia" w:ascii="宋体" w:hAnsi="宋体" w:cs="宋体"/>
          <w:bCs/>
          <w:sz w:val="22"/>
          <w:szCs w:val="22"/>
          <w:lang w:eastAsia="zh-CN"/>
        </w:rPr>
        <w:t>025-52106771</w:t>
      </w:r>
    </w:p>
    <w:p w14:paraId="0CBB7012">
      <w:pPr>
        <w:keepNext w:val="0"/>
        <w:keepLines w:val="0"/>
        <w:pageBreakBefore w:val="0"/>
        <w:tabs>
          <w:tab w:val="left" w:pos="0"/>
          <w:tab w:val="left" w:pos="510"/>
          <w:tab w:val="left" w:pos="1134"/>
        </w:tabs>
        <w:spacing w:line="360" w:lineRule="auto"/>
        <w:ind w:firstLine="440"/>
        <w:rPr>
          <w:rFonts w:ascii="宋体" w:hAnsi="宋体" w:cs="Trebuchet MS"/>
          <w:sz w:val="22"/>
          <w:szCs w:val="22"/>
        </w:rPr>
      </w:pPr>
      <w:r>
        <w:rPr>
          <w:rFonts w:ascii="宋体" w:hAnsi="宋体" w:cs="Trebuchet MS"/>
          <w:sz w:val="22"/>
          <w:szCs w:val="22"/>
        </w:rPr>
        <w:t>2</w:t>
      </w:r>
      <w:r>
        <w:rPr>
          <w:rFonts w:hint="eastAsia" w:ascii="宋体" w:hAnsi="宋体" w:cs="Trebuchet MS"/>
          <w:sz w:val="22"/>
          <w:szCs w:val="22"/>
        </w:rPr>
        <w:t>.采购代理机构信息</w:t>
      </w:r>
    </w:p>
    <w:p w14:paraId="0372EEBD">
      <w:pPr>
        <w:keepNext w:val="0"/>
        <w:keepLines w:val="0"/>
        <w:pageBreakBefore w:val="0"/>
        <w:tabs>
          <w:tab w:val="left" w:pos="0"/>
          <w:tab w:val="left" w:pos="510"/>
          <w:tab w:val="left" w:pos="1134"/>
        </w:tabs>
        <w:spacing w:line="360" w:lineRule="auto"/>
        <w:ind w:firstLine="440"/>
        <w:rPr>
          <w:rFonts w:hint="eastAsia" w:ascii="宋体" w:hAnsi="宋体" w:eastAsia="宋体" w:cs="Trebuchet MS"/>
          <w:sz w:val="22"/>
          <w:szCs w:val="22"/>
          <w:lang w:val="zh-CN" w:eastAsia="zh-CN"/>
        </w:rPr>
      </w:pPr>
      <w:r>
        <w:rPr>
          <w:rFonts w:hint="eastAsia" w:ascii="宋体" w:hAnsi="宋体" w:cs="Trebuchet MS"/>
          <w:sz w:val="22"/>
          <w:szCs w:val="22"/>
          <w:lang w:val="zh-CN"/>
        </w:rPr>
        <w:t>名称：</w:t>
      </w:r>
      <w:r>
        <w:rPr>
          <w:rFonts w:hint="eastAsia" w:ascii="宋体" w:hAnsi="宋体" w:cs="Trebuchet MS"/>
          <w:sz w:val="22"/>
          <w:szCs w:val="22"/>
          <w:lang w:eastAsia="zh-CN"/>
        </w:rPr>
        <w:t>南京浩运通工程咨询有限公司</w:t>
      </w:r>
    </w:p>
    <w:p w14:paraId="0DC59C90">
      <w:pPr>
        <w:keepNext w:val="0"/>
        <w:keepLines w:val="0"/>
        <w:pageBreakBefore w:val="0"/>
        <w:tabs>
          <w:tab w:val="left" w:pos="0"/>
          <w:tab w:val="left" w:pos="510"/>
          <w:tab w:val="left" w:pos="1134"/>
        </w:tabs>
        <w:spacing w:line="360" w:lineRule="auto"/>
        <w:ind w:firstLine="440"/>
        <w:rPr>
          <w:rFonts w:hint="eastAsia" w:ascii="宋体" w:hAnsi="宋体" w:cs="Trebuchet MS"/>
          <w:sz w:val="22"/>
          <w:szCs w:val="22"/>
        </w:rPr>
      </w:pPr>
      <w:r>
        <w:rPr>
          <w:rFonts w:hint="eastAsia" w:ascii="宋体" w:hAnsi="宋体" w:cs="Trebuchet MS"/>
          <w:sz w:val="22"/>
          <w:szCs w:val="22"/>
          <w:lang w:val="zh-CN"/>
        </w:rPr>
        <w:t>地址：</w:t>
      </w:r>
      <w:r>
        <w:rPr>
          <w:rFonts w:hint="eastAsia" w:ascii="宋体" w:hAnsi="宋体" w:eastAsia="宋体" w:cs="宋体"/>
          <w:sz w:val="22"/>
          <w:szCs w:val="28"/>
          <w:lang w:eastAsia="zh-CN"/>
        </w:rPr>
        <w:t>江苏省南京市科宁路777号汉德森科技园21号楼5楼会议室</w:t>
      </w:r>
    </w:p>
    <w:p w14:paraId="3351FC4D">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联系方式：</w:t>
      </w:r>
      <w:r>
        <w:rPr>
          <w:rFonts w:hint="eastAsia" w:ascii="宋体" w:hAnsi="宋体" w:cs="Trebuchet MS"/>
          <w:sz w:val="22"/>
          <w:szCs w:val="22"/>
          <w:lang w:val="en-US" w:eastAsia="zh-CN"/>
        </w:rPr>
        <w:t>殷工</w:t>
      </w:r>
      <w:r>
        <w:rPr>
          <w:rFonts w:hint="eastAsia" w:ascii="宋体" w:hAnsi="宋体" w:cs="Trebuchet MS"/>
          <w:sz w:val="22"/>
          <w:szCs w:val="22"/>
          <w:lang w:val="zh-CN"/>
        </w:rPr>
        <w:t xml:space="preserve"> </w:t>
      </w:r>
      <w:r>
        <w:rPr>
          <w:rFonts w:ascii="宋体" w:hAnsi="宋体" w:cs="Trebuchet MS"/>
          <w:sz w:val="22"/>
          <w:szCs w:val="22"/>
          <w:lang w:val="zh-CN"/>
        </w:rPr>
        <w:t xml:space="preserve"> </w:t>
      </w:r>
    </w:p>
    <w:p w14:paraId="6400FDB4">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电话：</w:t>
      </w:r>
      <w:r>
        <w:rPr>
          <w:rFonts w:hint="eastAsia" w:ascii="宋体" w:hAnsi="宋体" w:eastAsia="宋体" w:cs="宋体"/>
          <w:sz w:val="22"/>
          <w:szCs w:val="28"/>
          <w:lang w:eastAsia="zh-CN"/>
        </w:rPr>
        <w:t>025-52122300</w:t>
      </w:r>
    </w:p>
    <w:p w14:paraId="0BFA949C">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3.项目联系方式</w:t>
      </w:r>
    </w:p>
    <w:p w14:paraId="1133E322">
      <w:pPr>
        <w:keepNext w:val="0"/>
        <w:keepLines w:val="0"/>
        <w:pageBreakBefore w:val="0"/>
        <w:tabs>
          <w:tab w:val="left" w:pos="0"/>
          <w:tab w:val="left" w:pos="510"/>
          <w:tab w:val="left" w:pos="1134"/>
        </w:tabs>
        <w:spacing w:line="360" w:lineRule="auto"/>
        <w:ind w:firstLine="440"/>
        <w:rPr>
          <w:rFonts w:ascii="宋体" w:hAnsi="宋体" w:cs="Trebuchet MS"/>
          <w:sz w:val="22"/>
          <w:szCs w:val="22"/>
          <w:lang w:val="zh-CN"/>
        </w:rPr>
      </w:pPr>
      <w:r>
        <w:rPr>
          <w:rFonts w:hint="eastAsia" w:ascii="宋体" w:hAnsi="宋体" w:cs="Trebuchet MS"/>
          <w:sz w:val="22"/>
          <w:szCs w:val="22"/>
          <w:lang w:val="zh-CN"/>
        </w:rPr>
        <w:t>项目联系人：</w:t>
      </w:r>
      <w:r>
        <w:rPr>
          <w:rFonts w:hint="eastAsia" w:ascii="宋体" w:hAnsi="宋体" w:cs="Trebuchet MS"/>
          <w:sz w:val="22"/>
          <w:szCs w:val="22"/>
          <w:lang w:val="en-US" w:eastAsia="zh-CN"/>
        </w:rPr>
        <w:t>殷工</w:t>
      </w:r>
    </w:p>
    <w:p w14:paraId="49F2878F">
      <w:pPr>
        <w:keepNext w:val="0"/>
        <w:keepLines w:val="0"/>
        <w:pageBreakBefore w:val="0"/>
        <w:tabs>
          <w:tab w:val="left" w:pos="0"/>
          <w:tab w:val="left" w:pos="510"/>
          <w:tab w:val="left" w:pos="1134"/>
        </w:tabs>
        <w:spacing w:line="360" w:lineRule="auto"/>
        <w:ind w:firstLine="440"/>
        <w:rPr>
          <w:rFonts w:hint="eastAsia"/>
          <w:sz w:val="22"/>
          <w:szCs w:val="22"/>
        </w:rPr>
      </w:pPr>
      <w:r>
        <w:rPr>
          <w:rFonts w:hint="eastAsia" w:ascii="宋体" w:hAnsi="宋体" w:cs="Trebuchet MS"/>
          <w:sz w:val="22"/>
          <w:szCs w:val="22"/>
          <w:lang w:val="zh-CN"/>
        </w:rPr>
        <w:t>电话：</w:t>
      </w:r>
      <w:r>
        <w:rPr>
          <w:rFonts w:hint="eastAsia" w:ascii="宋体" w:hAnsi="宋体" w:eastAsia="宋体" w:cs="宋体"/>
          <w:sz w:val="22"/>
          <w:szCs w:val="28"/>
          <w:lang w:eastAsia="zh-CN"/>
        </w:rPr>
        <w:t>025-52122300</w:t>
      </w:r>
    </w:p>
    <w:p w14:paraId="7109CAA2">
      <w:pPr>
        <w:pStyle w:val="266"/>
        <w:keepNext w:val="0"/>
        <w:keepLines w:val="0"/>
        <w:pageBreakBefore w:val="0"/>
        <w:spacing w:before="0" w:beforeAutospacing="0" w:after="0" w:afterAutospacing="0" w:line="360" w:lineRule="auto"/>
        <w:ind w:firstLine="420"/>
        <w:rPr>
          <w:rFonts w:hint="eastAsia"/>
          <w:sz w:val="22"/>
          <w:szCs w:val="22"/>
        </w:rPr>
      </w:pPr>
    </w:p>
    <w:p w14:paraId="14A7B770">
      <w:pPr>
        <w:keepNext w:val="0"/>
        <w:keepLines w:val="0"/>
        <w:pageBreakBefore w:val="0"/>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br w:type="page" w:clear="all"/>
      </w:r>
    </w:p>
    <w:p w14:paraId="07599824">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zh-CN" w:eastAsia="zh-CN" w:bidi="en-US"/>
        </w:rPr>
        <w:t xml:space="preserve">第二章 </w:t>
      </w:r>
      <w:r>
        <w:rPr>
          <w:rFonts w:hint="eastAsia" w:ascii="宋体" w:hAnsi="宋体" w:cs="Times New Roman"/>
          <w:b/>
          <w:sz w:val="36"/>
          <w:szCs w:val="30"/>
          <w:lang w:val="en-US" w:eastAsia="zh-CN" w:bidi="en-US"/>
        </w:rPr>
        <w:t xml:space="preserve"> </w:t>
      </w:r>
      <w:r>
        <w:rPr>
          <w:rFonts w:hint="eastAsia" w:ascii="宋体" w:hAnsi="宋体" w:eastAsia="宋体" w:cs="Times New Roman"/>
          <w:b/>
          <w:sz w:val="36"/>
          <w:szCs w:val="30"/>
          <w:lang w:val="zh-CN" w:eastAsia="zh-CN" w:bidi="en-US"/>
        </w:rPr>
        <w:t>供应商须知</w:t>
      </w:r>
    </w:p>
    <w:p w14:paraId="620C66AD">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一、总则</w:t>
      </w:r>
    </w:p>
    <w:p w14:paraId="6DF45EFE">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（一）、适用法律</w:t>
      </w:r>
    </w:p>
    <w:p w14:paraId="7F423DE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1、《中华人民共和国政府采购法》、《中华人民共和国政府采购法实施条例》、《政府采购货物和服务招标投标管理办法》等有关法律、规章和规定等。</w:t>
      </w:r>
    </w:p>
    <w:p w14:paraId="5A01A46D">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（二）、定义</w:t>
      </w:r>
    </w:p>
    <w:p w14:paraId="30180487">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1</w:t>
      </w:r>
      <w:r>
        <w:rPr>
          <w:rFonts w:hint="eastAsia" w:ascii="宋体" w:hAnsi="宋体" w:cs="宋体"/>
          <w:sz w:val="22"/>
          <w:szCs w:val="22"/>
          <w:lang w:val="zh-CN"/>
        </w:rPr>
        <w:t>、“供应商”、“供应商”是指参加投标竞争，并符合招标文件规定资格条件的法人、其他组织或者自然人。</w:t>
      </w:r>
    </w:p>
    <w:p w14:paraId="3DE17BE2">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2、</w:t>
      </w:r>
      <w:r>
        <w:rPr>
          <w:rFonts w:hint="eastAsia" w:ascii="宋体" w:hAnsi="宋体" w:cs="宋体"/>
          <w:color w:val="000000"/>
          <w:sz w:val="22"/>
          <w:szCs w:val="22"/>
          <w:lang w:val="zh-CN"/>
        </w:rPr>
        <w:t>“服务”指本招标文件中所述项目及相关服务。</w:t>
      </w:r>
    </w:p>
    <w:p w14:paraId="4BF4F5CC">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3</w:t>
      </w:r>
      <w:r>
        <w:rPr>
          <w:rFonts w:hint="eastAsia" w:ascii="宋体" w:hAnsi="宋体" w:cs="宋体"/>
          <w:sz w:val="22"/>
          <w:szCs w:val="22"/>
          <w:lang w:val="zh-CN"/>
        </w:rPr>
        <w:t>、“用户或使用单位”是指使用货物、服务的单位。</w:t>
      </w:r>
    </w:p>
    <w:p w14:paraId="1066FD9A">
      <w:pPr>
        <w:pageBreakBefore w:val="0"/>
        <w:spacing w:line="360" w:lineRule="auto"/>
        <w:ind w:firstLine="420"/>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rPr>
        <w:t>（三）、政策功能</w:t>
      </w:r>
    </w:p>
    <w:p w14:paraId="6472AD15">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1、</w:t>
      </w:r>
      <w:r>
        <w:rPr>
          <w:rFonts w:hint="eastAsia" w:ascii="宋体" w:hAnsi="宋体" w:cs="宋体"/>
          <w:sz w:val="22"/>
          <w:szCs w:val="22"/>
          <w:lang w:val="zh-CN"/>
        </w:rPr>
        <w:t>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w:t>
      </w:r>
      <w:r>
        <w:rPr>
          <w:rFonts w:hint="eastAsia" w:ascii="宋体" w:hAnsi="宋体" w:cs="宋体"/>
          <w:sz w:val="22"/>
          <w:szCs w:val="22"/>
          <w:lang w:val="en-US" w:eastAsia="zh-CN"/>
        </w:rPr>
        <w:t>七</w:t>
      </w:r>
      <w:r>
        <w:rPr>
          <w:rFonts w:hint="eastAsia" w:ascii="宋体" w:hAnsi="宋体" w:cs="宋体"/>
          <w:sz w:val="22"/>
          <w:szCs w:val="22"/>
          <w:lang w:val="zh-CN"/>
        </w:rPr>
        <w:t>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7FC12CCA">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2、</w:t>
      </w:r>
      <w:r>
        <w:rPr>
          <w:rFonts w:hint="eastAsia" w:ascii="宋体" w:hAnsi="宋体" w:cs="宋体"/>
          <w:sz w:val="22"/>
          <w:szCs w:val="22"/>
          <w:lang w:val="zh-CN"/>
        </w:rPr>
        <w:t>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2A039E3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3、</w:t>
      </w:r>
      <w:r>
        <w:rPr>
          <w:rFonts w:hint="eastAsia" w:ascii="宋体" w:hAnsi="宋体" w:cs="宋体"/>
          <w:sz w:val="22"/>
          <w:szCs w:val="22"/>
          <w:lang w:val="zh-CN"/>
        </w:rPr>
        <w:t>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04A7261">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4、</w:t>
      </w:r>
      <w:r>
        <w:rPr>
          <w:rFonts w:hint="eastAsia" w:ascii="宋体" w:hAnsi="宋体" w:cs="宋体"/>
          <w:sz w:val="22"/>
          <w:szCs w:val="22"/>
          <w:lang w:val="zh-CN"/>
        </w:rPr>
        <w:t>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w:t>
      </w:r>
      <w:r>
        <w:rPr>
          <w:rFonts w:hint="eastAsia" w:ascii="宋体" w:hAnsi="宋体" w:cs="宋体"/>
          <w:sz w:val="22"/>
          <w:szCs w:val="22"/>
          <w:lang w:val="zh-CN" w:eastAsia="zh-CN"/>
        </w:rPr>
        <w:t>供应商</w:t>
      </w:r>
      <w:r>
        <w:rPr>
          <w:rFonts w:hint="eastAsia" w:ascii="宋体" w:hAnsi="宋体" w:cs="宋体"/>
          <w:sz w:val="22"/>
          <w:szCs w:val="22"/>
          <w:lang w:val="zh-CN"/>
        </w:rPr>
        <w:t>应当提供国家确定的认证机构出具的、处于有效期之内的节能产品、环境标志产品认证证书。</w:t>
      </w:r>
    </w:p>
    <w:p w14:paraId="1AE99329">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5、</w:t>
      </w:r>
      <w:r>
        <w:rPr>
          <w:rFonts w:hint="eastAsia" w:ascii="宋体" w:hAnsi="宋体" w:cs="宋体"/>
          <w:sz w:val="22"/>
          <w:szCs w:val="22"/>
          <w:lang w:val="zh-CN"/>
        </w:rPr>
        <w:t>强制采购信息安全产品。参加政府采购活动的信息安全产品</w:t>
      </w:r>
      <w:r>
        <w:rPr>
          <w:rFonts w:hint="eastAsia" w:ascii="宋体" w:hAnsi="宋体" w:cs="宋体"/>
          <w:sz w:val="22"/>
          <w:szCs w:val="22"/>
          <w:lang w:val="zh-CN" w:eastAsia="zh-CN"/>
        </w:rPr>
        <w:t>供应商</w:t>
      </w:r>
      <w:r>
        <w:rPr>
          <w:rFonts w:hint="eastAsia" w:ascii="宋体" w:hAnsi="宋体" w:cs="宋体"/>
          <w:sz w:val="22"/>
          <w:szCs w:val="22"/>
          <w:lang w:val="zh-CN"/>
        </w:rPr>
        <w:t>应当选择经国家认证的信息安全产品投标，并提供由国家信息安全认证中心按国家标准认证颁发的有效认证证书。</w:t>
      </w:r>
    </w:p>
    <w:p w14:paraId="4D2D0F3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6、</w:t>
      </w:r>
      <w:r>
        <w:rPr>
          <w:rFonts w:hint="eastAsia" w:ascii="宋体" w:hAnsi="宋体" w:cs="宋体"/>
          <w:sz w:val="22"/>
          <w:szCs w:val="22"/>
          <w:lang w:val="zh-CN"/>
        </w:rPr>
        <w:t>进口产品政策</w:t>
      </w:r>
    </w:p>
    <w:p w14:paraId="74BB1D0B">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（1）除招标公告载明接受进口产品参加外，不允许进口产品参加。进口产品认定依照《财政部关于政府采购进口产品管理有关问题的通知》（财办库〔2008〕248号）的规定。</w:t>
      </w:r>
    </w:p>
    <w:p w14:paraId="4AB3F49F">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（2）允许进口产品参加的，满足需求的国内产品可以参加。</w:t>
      </w:r>
    </w:p>
    <w:p w14:paraId="6084EF18">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zh-CN"/>
        </w:rPr>
        <w:t>（3）允许进口产品参加的，优先采购向我国企业转让技术、与我国企业签订消化吸收再创新方案的</w:t>
      </w:r>
      <w:r>
        <w:rPr>
          <w:rFonts w:hint="eastAsia" w:ascii="宋体" w:hAnsi="宋体" w:cs="宋体"/>
          <w:sz w:val="22"/>
          <w:szCs w:val="22"/>
          <w:lang w:val="zh-CN" w:eastAsia="zh-CN"/>
        </w:rPr>
        <w:t>供应商</w:t>
      </w:r>
      <w:r>
        <w:rPr>
          <w:rFonts w:hint="eastAsia" w:ascii="宋体" w:hAnsi="宋体" w:cs="宋体"/>
          <w:sz w:val="22"/>
          <w:szCs w:val="22"/>
          <w:lang w:val="zh-CN"/>
        </w:rPr>
        <w:t>的进口产品。</w:t>
      </w:r>
    </w:p>
    <w:p w14:paraId="629A15D6">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lang w:val="en-US" w:eastAsia="zh-CN"/>
        </w:rPr>
        <w:t>7、</w:t>
      </w:r>
      <w:r>
        <w:rPr>
          <w:rFonts w:hint="eastAsia" w:ascii="宋体" w:hAnsi="宋体" w:cs="宋体"/>
          <w:sz w:val="22"/>
          <w:szCs w:val="22"/>
          <w:lang w:val="zh-CN"/>
        </w:rPr>
        <w:t>未按要求提供相关材料的，不享受相关政策。</w:t>
      </w:r>
    </w:p>
    <w:p w14:paraId="5C5D8521">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二、招标文件</w:t>
      </w:r>
    </w:p>
    <w:p w14:paraId="67BB6D78">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（一）、招标文件组成</w:t>
      </w:r>
    </w:p>
    <w:p w14:paraId="5D3B43F3">
      <w:pPr>
        <w:pageBreakBefore w:val="0"/>
        <w:spacing w:line="360" w:lineRule="auto"/>
        <w:ind w:firstLine="420"/>
        <w:rPr>
          <w:rFonts w:hint="eastAsia" w:ascii="宋体" w:hAnsi="宋体" w:cs="宋体"/>
          <w:sz w:val="22"/>
          <w:szCs w:val="22"/>
          <w:highlight w:val="none"/>
        </w:rPr>
      </w:pPr>
      <w:r>
        <w:rPr>
          <w:rFonts w:hint="eastAsia" w:ascii="宋体" w:hAnsi="宋体" w:cs="宋体"/>
          <w:sz w:val="22"/>
          <w:szCs w:val="22"/>
          <w:highlight w:val="none"/>
        </w:rPr>
        <w:t>1、</w:t>
      </w:r>
      <w:r>
        <w:rPr>
          <w:rFonts w:hint="eastAsia" w:ascii="宋体" w:hAnsi="宋体" w:cs="宋体"/>
          <w:sz w:val="22"/>
          <w:szCs w:val="22"/>
          <w:highlight w:val="none"/>
          <w:lang w:val="zh-CN"/>
        </w:rPr>
        <w:t>招标文件组成：招标公告、供应商须知、供应商应当提交的资格和资信证明文件、投标报价要求、投标文件编制要求和招标项目的服务要求和数量、合同主要条款及合同签订方式、提供服务的时间、付款条件、评标方法、评标标准、无效投标和废标条款、附件等。</w:t>
      </w:r>
    </w:p>
    <w:p w14:paraId="37163A37">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2、</w:t>
      </w:r>
      <w:r>
        <w:rPr>
          <w:rFonts w:hint="eastAsia" w:ascii="宋体" w:hAnsi="宋体" w:cs="宋体"/>
          <w:sz w:val="22"/>
          <w:szCs w:val="22"/>
          <w:highlight w:val="none"/>
          <w:lang w:val="zh-CN"/>
        </w:rPr>
        <w:t>招标的最小单位是包。招标服务数量及技术要求中未分包的，供应商对要求提供的服务不得部分投标；招标服务数量及技术要求中已经分包的，应当以包为单位投标。</w:t>
      </w:r>
    </w:p>
    <w:p w14:paraId="1DF171AE">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招标文件如果要求供应商提交备选投标方案的，供应商可以提交备选方案；否则，备选方案将被拒绝。</w:t>
      </w:r>
    </w:p>
    <w:p w14:paraId="1D4A9E5F">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（二）、招标文件的澄清、修改</w:t>
      </w:r>
    </w:p>
    <w:p w14:paraId="6B68EC40">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1、代理机构对已发出的招标文件进行必要澄清或者修改的，将在招标文件要求提交投标文件截止时间</w:t>
      </w:r>
      <w:r>
        <w:rPr>
          <w:rFonts w:hint="eastAsia" w:ascii="宋体" w:hAnsi="宋体" w:cs="宋体"/>
          <w:b/>
          <w:bCs/>
          <w:iCs/>
          <w:sz w:val="22"/>
          <w:szCs w:val="22"/>
          <w:highlight w:val="none"/>
          <w:u w:val="single"/>
          <w:lang w:val="zh-CN"/>
        </w:rPr>
        <w:t>十五日</w:t>
      </w:r>
      <w:r>
        <w:rPr>
          <w:rFonts w:hint="eastAsia" w:ascii="宋体" w:hAnsi="宋体" w:cs="宋体"/>
          <w:sz w:val="22"/>
          <w:szCs w:val="22"/>
          <w:highlight w:val="none"/>
          <w:lang w:val="zh-CN"/>
        </w:rPr>
        <w:t>前，在原招标公告媒体发布更正公告，该澄清或者修改的内容为招标文件的组成部分。</w:t>
      </w:r>
    </w:p>
    <w:p w14:paraId="3B8B3B3F">
      <w:pPr>
        <w:pageBreakBefore w:val="0"/>
        <w:spacing w:line="360" w:lineRule="auto"/>
        <w:ind w:firstLine="420"/>
        <w:rPr>
          <w:rFonts w:hint="eastAsia" w:ascii="宋体" w:hAnsi="宋体" w:cs="宋体"/>
          <w:color w:val="000000"/>
          <w:sz w:val="22"/>
          <w:szCs w:val="22"/>
          <w:highlight w:val="none"/>
        </w:rPr>
      </w:pPr>
      <w:r>
        <w:rPr>
          <w:rFonts w:hint="eastAsia" w:ascii="宋体" w:hAnsi="宋体" w:cs="宋体"/>
          <w:color w:val="000000"/>
          <w:sz w:val="22"/>
          <w:szCs w:val="22"/>
          <w:highlight w:val="none"/>
        </w:rPr>
        <w:t>2、</w:t>
      </w:r>
      <w:r>
        <w:rPr>
          <w:rFonts w:hint="eastAsia" w:ascii="宋体" w:hAnsi="宋体" w:cs="宋体"/>
          <w:color w:val="000000"/>
          <w:sz w:val="22"/>
          <w:szCs w:val="22"/>
          <w:highlight w:val="none"/>
          <w:lang w:val="zh-CN"/>
        </w:rPr>
        <w:t>代理机构在招标文件要求提交投标文件截止时间前，有权决定延长投标截止时间和开标时间，并</w:t>
      </w:r>
      <w:r>
        <w:rPr>
          <w:rFonts w:hint="eastAsia" w:ascii="宋体" w:hAnsi="宋体" w:cs="宋体"/>
          <w:color w:val="000000"/>
          <w:sz w:val="22"/>
          <w:szCs w:val="22"/>
          <w:highlight w:val="none"/>
        </w:rPr>
        <w:t>在原采购信息发布媒体上发布变更公告。</w:t>
      </w:r>
    </w:p>
    <w:p w14:paraId="2240C31B">
      <w:pPr>
        <w:pageBreakBefore w:val="0"/>
        <w:spacing w:line="360" w:lineRule="auto"/>
        <w:ind w:left="210" w:firstLine="21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供应商应在投标截止时间前关注</w:t>
      </w:r>
      <w:r>
        <w:rPr>
          <w:rFonts w:hint="eastAsia" w:ascii="宋体" w:hAnsi="宋体" w:cs="宋体"/>
          <w:sz w:val="22"/>
          <w:szCs w:val="22"/>
          <w:highlight w:val="none"/>
        </w:rPr>
        <w:t>原采购信息发布媒体上</w:t>
      </w:r>
      <w:r>
        <w:rPr>
          <w:rFonts w:hint="eastAsia" w:ascii="宋体" w:hAnsi="宋体" w:cs="宋体"/>
          <w:sz w:val="22"/>
          <w:szCs w:val="22"/>
          <w:highlight w:val="none"/>
          <w:lang w:val="zh-CN"/>
        </w:rPr>
        <w:t>有关本招标项目有无变更公告。</w:t>
      </w:r>
    </w:p>
    <w:p w14:paraId="7F4522F3">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三、投标</w:t>
      </w:r>
    </w:p>
    <w:p w14:paraId="1F7A2EDB">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lang w:val="zh-CN"/>
        </w:rPr>
        <w:t>（一）、投标文件的语言、计量单位、货币和编制</w:t>
      </w:r>
    </w:p>
    <w:p w14:paraId="7829CBD4">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1、</w:t>
      </w:r>
      <w:r>
        <w:rPr>
          <w:rFonts w:hint="eastAsia" w:ascii="宋体" w:hAnsi="宋体" w:cs="宋体"/>
          <w:sz w:val="22"/>
          <w:szCs w:val="22"/>
          <w:highlight w:val="none"/>
          <w:lang w:val="zh-CN"/>
        </w:rPr>
        <w:t>供应商提交的投标文件、技术文件和资料，包括图纸中的说明。投标文件中若有英文或其他语言文字的资料，应提供相应的中文翻译资料。对不同文本投标文件的解释发生异议的，以中文文本为准。</w:t>
      </w:r>
    </w:p>
    <w:p w14:paraId="3A7A0241">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2、供应商所使用的计量单位应为国家法定计量单位。</w:t>
      </w:r>
    </w:p>
    <w:p w14:paraId="7D7FF838">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3、供应商应用人民币报价。</w:t>
      </w:r>
    </w:p>
    <w:p w14:paraId="0B8E63CD">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4、投标文件应字迹清楚、内容齐全、不得涂改。如有修改，修改处须有供应商公章和法定代表人或其授权的供应商代表签字。</w:t>
      </w:r>
    </w:p>
    <w:p w14:paraId="4DE80272">
      <w:pPr>
        <w:pageBreakBefore w:val="0"/>
        <w:spacing w:line="360" w:lineRule="auto"/>
        <w:ind w:firstLine="420"/>
        <w:rPr>
          <w:rFonts w:hint="eastAsia" w:ascii="宋体" w:hAnsi="宋体" w:cs="宋体"/>
          <w:color w:val="FF0000"/>
          <w:sz w:val="22"/>
          <w:szCs w:val="22"/>
          <w:highlight w:val="none"/>
          <w:lang w:val="zh-CN"/>
        </w:rPr>
      </w:pPr>
      <w:r>
        <w:rPr>
          <w:rFonts w:hint="eastAsia" w:ascii="宋体" w:hAnsi="宋体" w:cs="宋体"/>
          <w:sz w:val="22"/>
          <w:szCs w:val="22"/>
          <w:highlight w:val="none"/>
          <w:lang w:val="zh-CN"/>
        </w:rPr>
        <w:t>5、投标文件应按照招标文件规定的顺序，用A4规格幅面打印、装订成册并编制目录，由于编排混乱导致投标文件被误读或查找不到，责任由供应商承担。</w:t>
      </w:r>
    </w:p>
    <w:p w14:paraId="70D193B8">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6、投标文件应逐页编码，不得跳页（包括但不限于授权、证明材料、声明及产品介绍、彩页等）。</w:t>
      </w:r>
    </w:p>
    <w:p w14:paraId="373F6A0F">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7、供应商应在投标文件中写清相应的项目编号、项目名称、供应商全称、地址、电话、传真等。</w:t>
      </w:r>
    </w:p>
    <w:p w14:paraId="3B5692F1">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lang w:val="zh-CN"/>
        </w:rPr>
        <w:t>（二）、投标费用</w:t>
      </w:r>
    </w:p>
    <w:p w14:paraId="2D6E85EB">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1、供应商应自行承担所有与准备和参加投标有关的费用。</w:t>
      </w:r>
    </w:p>
    <w:p w14:paraId="76F88F02">
      <w:pPr>
        <w:keepNext w:val="0"/>
        <w:keepLines w:val="0"/>
        <w:pageBreakBefore w:val="0"/>
        <w:spacing w:line="520" w:lineRule="exact"/>
        <w:ind w:firstLine="440"/>
        <w:rPr>
          <w:rFonts w:hint="eastAsia" w:cs="宋体" w:asciiTheme="minorEastAsia" w:hAnsiTheme="minorEastAsia" w:eastAsiaTheme="minorEastAsia"/>
          <w:sz w:val="28"/>
          <w:szCs w:val="28"/>
          <w:highlight w:val="none"/>
          <w:lang w:eastAsia="zh-CN"/>
        </w:rPr>
      </w:pPr>
      <w:r>
        <w:rPr>
          <w:rFonts w:hint="eastAsia" w:ascii="宋体" w:hAnsi="宋体" w:eastAsia="宋体" w:cs="宋体"/>
          <w:sz w:val="22"/>
          <w:szCs w:val="22"/>
          <w:highlight w:val="none"/>
          <w:lang w:val="zh-CN"/>
        </w:rPr>
        <w:t>2、</w:t>
      </w:r>
      <w:r>
        <w:rPr>
          <w:rFonts w:hint="eastAsia" w:ascii="宋体" w:hAnsi="宋体" w:cs="宋体"/>
          <w:bCs/>
          <w:sz w:val="22"/>
          <w:szCs w:val="22"/>
          <w:highlight w:val="none"/>
        </w:rPr>
        <w:t>招标代理服务费：</w:t>
      </w:r>
      <w:r>
        <w:rPr>
          <w:rFonts w:hint="eastAsia" w:ascii="宋体" w:hAnsi="宋体" w:cs="宋体"/>
          <w:sz w:val="22"/>
          <w:szCs w:val="22"/>
          <w:highlight w:val="none"/>
          <w:lang w:val="zh-CN" w:eastAsia="zh-CN"/>
        </w:rPr>
        <w:t>经双方友好协商，预算金额在30万元以上的项目按《江苏省招标代理服务收费的指导意见》苏招协〔2022〕002号文收费标准的70%计取；</w:t>
      </w:r>
      <w:r>
        <w:rPr>
          <w:rFonts w:hint="eastAsia" w:ascii="宋体" w:hAnsi="宋体" w:cs="宋体"/>
          <w:sz w:val="22"/>
          <w:szCs w:val="22"/>
          <w:highlight w:val="none"/>
          <w:lang w:val="en-US" w:eastAsia="zh-CN"/>
        </w:rPr>
        <w:t>单项委托的代理服务费按折扣计算后低于3000元的</w:t>
      </w:r>
      <w:r>
        <w:rPr>
          <w:rFonts w:hint="eastAsia" w:ascii="宋体" w:hAnsi="宋体" w:cs="宋体"/>
          <w:sz w:val="22"/>
          <w:szCs w:val="22"/>
          <w:highlight w:val="none"/>
          <w:lang w:val="zh-CN" w:eastAsia="zh-CN"/>
        </w:rPr>
        <w:t>，按</w:t>
      </w:r>
      <w:r>
        <w:rPr>
          <w:rFonts w:hint="eastAsia" w:ascii="宋体" w:hAnsi="宋体" w:cs="宋体"/>
          <w:sz w:val="22"/>
          <w:szCs w:val="22"/>
          <w:highlight w:val="none"/>
          <w:lang w:val="en-US" w:eastAsia="zh-CN"/>
        </w:rPr>
        <w:t>3</w:t>
      </w:r>
      <w:r>
        <w:rPr>
          <w:rFonts w:hint="eastAsia" w:ascii="宋体" w:hAnsi="宋体" w:cs="宋体"/>
          <w:sz w:val="22"/>
          <w:szCs w:val="22"/>
          <w:highlight w:val="none"/>
          <w:lang w:val="zh-CN" w:eastAsia="zh-CN"/>
        </w:rPr>
        <w:t>000元</w:t>
      </w:r>
      <w:r>
        <w:rPr>
          <w:rFonts w:hint="eastAsia" w:ascii="宋体" w:hAnsi="宋体" w:cs="宋体"/>
          <w:sz w:val="22"/>
          <w:szCs w:val="22"/>
          <w:highlight w:val="none"/>
          <w:lang w:val="en-US" w:eastAsia="zh-CN"/>
        </w:rPr>
        <w:t>收</w:t>
      </w:r>
      <w:r>
        <w:rPr>
          <w:rFonts w:hint="eastAsia" w:ascii="宋体" w:hAnsi="宋体" w:cs="宋体"/>
          <w:sz w:val="22"/>
          <w:szCs w:val="22"/>
          <w:highlight w:val="none"/>
          <w:lang w:val="zh-CN" w:eastAsia="zh-CN"/>
        </w:rPr>
        <w:t>取；上述费用均由中标供应商一次性支付。</w:t>
      </w:r>
    </w:p>
    <w:p w14:paraId="6CAE81B5">
      <w:pPr>
        <w:pageBreakBefore w:val="0"/>
        <w:spacing w:line="360" w:lineRule="auto"/>
        <w:ind w:firstLine="420"/>
        <w:rPr>
          <w:rFonts w:hint="eastAsia" w:ascii="宋体" w:hAnsi="宋体" w:cs="宋体"/>
          <w:sz w:val="22"/>
          <w:szCs w:val="22"/>
          <w:highlight w:val="none"/>
          <w:lang w:val="zh-CN"/>
        </w:rPr>
      </w:pPr>
    </w:p>
    <w:p w14:paraId="0D0A3426">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rPr>
        <w:t>（三）</w:t>
      </w:r>
      <w:r>
        <w:rPr>
          <w:rFonts w:hint="eastAsia" w:ascii="宋体" w:hAnsi="宋体" w:cs="宋体"/>
          <w:b/>
          <w:bCs/>
          <w:sz w:val="22"/>
          <w:szCs w:val="22"/>
          <w:highlight w:val="none"/>
          <w:lang w:val="zh-CN"/>
        </w:rPr>
        <w:t>、投标文件组成</w:t>
      </w:r>
    </w:p>
    <w:p w14:paraId="5FA679D2">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lang w:val="zh-CN"/>
        </w:rPr>
        <w:t>1、</w:t>
      </w:r>
      <w:r>
        <w:rPr>
          <w:rFonts w:hint="eastAsia" w:ascii="宋体" w:hAnsi="宋体" w:cs="宋体"/>
          <w:sz w:val="22"/>
          <w:szCs w:val="22"/>
          <w:highlight w:val="none"/>
        </w:rPr>
        <w:t>供应商应当根据招标文件要求编制投标文件，投标文件应对招标文件提出的要求和条件作出实质性响应。</w:t>
      </w:r>
      <w:r>
        <w:rPr>
          <w:rFonts w:hint="eastAsia" w:ascii="宋体" w:hAnsi="宋体" w:cs="宋体"/>
          <w:sz w:val="22"/>
          <w:szCs w:val="22"/>
          <w:highlight w:val="none"/>
          <w:lang w:val="zh-CN"/>
        </w:rPr>
        <w:t xml:space="preserve"> </w:t>
      </w:r>
    </w:p>
    <w:p w14:paraId="12B34BD3">
      <w:pPr>
        <w:pageBreakBefore w:val="0"/>
        <w:spacing w:line="360" w:lineRule="auto"/>
        <w:ind w:firstLine="420"/>
        <w:rPr>
          <w:rFonts w:hint="eastAsia" w:ascii="宋体" w:hAnsi="宋体" w:cs="宋体"/>
          <w:b/>
          <w:sz w:val="22"/>
          <w:szCs w:val="22"/>
          <w:highlight w:val="none"/>
        </w:rPr>
      </w:pPr>
      <w:r>
        <w:rPr>
          <w:rFonts w:hint="eastAsia" w:ascii="宋体" w:hAnsi="宋体" w:cs="宋体"/>
          <w:sz w:val="22"/>
          <w:szCs w:val="22"/>
          <w:highlight w:val="none"/>
          <w:lang w:val="zh-CN"/>
        </w:rPr>
        <w:t>2、供应商根据招标文件载明的标的采购项目实际情况，拟在中标后将中标项目的非主体、非关键性工作交由他人完成的，应当在投标文件中载明。</w:t>
      </w:r>
    </w:p>
    <w:p w14:paraId="438D9E52">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3、</w:t>
      </w:r>
      <w:r>
        <w:rPr>
          <w:rFonts w:hint="eastAsia" w:ascii="宋体" w:hAnsi="宋体" w:cs="宋体"/>
          <w:sz w:val="22"/>
          <w:szCs w:val="22"/>
          <w:highlight w:val="none"/>
          <w:lang w:val="zh-CN"/>
        </w:rPr>
        <w:t>投标文件由商务部分、技术部分、价格部分，及其他部分组成。</w:t>
      </w:r>
    </w:p>
    <w:p w14:paraId="1144F3AA">
      <w:pPr>
        <w:pageBreakBefore w:val="0"/>
        <w:spacing w:line="360" w:lineRule="auto"/>
        <w:ind w:firstLine="422"/>
        <w:rPr>
          <w:rFonts w:hint="eastAsia" w:ascii="宋体" w:hAnsi="宋体" w:cs="宋体"/>
          <w:sz w:val="22"/>
          <w:szCs w:val="22"/>
          <w:highlight w:val="none"/>
          <w:lang w:val="zh-CN"/>
        </w:rPr>
      </w:pPr>
      <w:r>
        <w:rPr>
          <w:rFonts w:hint="eastAsia" w:ascii="宋体" w:hAnsi="宋体" w:cs="宋体"/>
          <w:b/>
          <w:bCs/>
          <w:sz w:val="22"/>
          <w:szCs w:val="22"/>
          <w:highlight w:val="none"/>
        </w:rPr>
        <w:t>4、</w:t>
      </w:r>
      <w:r>
        <w:rPr>
          <w:rFonts w:hint="eastAsia" w:ascii="宋体" w:hAnsi="宋体" w:cs="宋体"/>
          <w:b/>
          <w:bCs/>
          <w:sz w:val="22"/>
          <w:szCs w:val="22"/>
          <w:highlight w:val="none"/>
          <w:lang w:val="zh-CN"/>
        </w:rPr>
        <w:t>用“★”加注或特别说明的内容为实质性要求。</w:t>
      </w:r>
    </w:p>
    <w:p w14:paraId="799F5527">
      <w:pPr>
        <w:pageBreakBefore w:val="0"/>
        <w:spacing w:line="360" w:lineRule="auto"/>
        <w:ind w:firstLine="422"/>
        <w:rPr>
          <w:rFonts w:hint="eastAsia" w:ascii="宋体" w:hAnsi="宋体" w:cs="宋体"/>
          <w:b/>
          <w:sz w:val="22"/>
          <w:szCs w:val="22"/>
          <w:highlight w:val="none"/>
        </w:rPr>
      </w:pPr>
      <w:r>
        <w:rPr>
          <w:rFonts w:hint="eastAsia" w:ascii="宋体" w:hAnsi="宋体" w:cs="宋体"/>
          <w:b/>
          <w:sz w:val="22"/>
          <w:szCs w:val="22"/>
          <w:highlight w:val="none"/>
        </w:rPr>
        <w:t>5、投标文件的商务部分</w:t>
      </w:r>
    </w:p>
    <w:p w14:paraId="3A2694AA">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商务部分是证明供应商有资格参加投标和中标后有能力履行合同的文件，</w:t>
      </w:r>
      <w:r>
        <w:rPr>
          <w:rFonts w:hint="eastAsia" w:ascii="宋体" w:hAnsi="宋体" w:cs="宋体"/>
          <w:color w:val="000000"/>
          <w:sz w:val="22"/>
          <w:szCs w:val="22"/>
          <w:highlight w:val="none"/>
        </w:rPr>
        <w:t>这些文件应能满足招标的要求</w:t>
      </w:r>
      <w:r>
        <w:rPr>
          <w:rFonts w:hint="eastAsia" w:ascii="宋体" w:hAnsi="宋体" w:cs="宋体"/>
          <w:color w:val="000000"/>
          <w:sz w:val="22"/>
          <w:szCs w:val="22"/>
          <w:highlight w:val="none"/>
          <w:lang w:val="zh-CN"/>
        </w:rPr>
        <w:t>，包括但不限于下列文件，其中加</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项目不得有缺失或无效。</w:t>
      </w:r>
    </w:p>
    <w:p w14:paraId="598EC875">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5.1、</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 xml:space="preserve"> 投标函（投标申请及声明）；</w:t>
      </w:r>
    </w:p>
    <w:p w14:paraId="42022DEE">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5.2、</w:t>
      </w:r>
      <w:r>
        <w:rPr>
          <w:rFonts w:hint="eastAsia" w:ascii="宋体" w:hAnsi="宋体" w:cs="宋体"/>
          <w:b/>
          <w:color w:val="000000"/>
          <w:sz w:val="22"/>
          <w:szCs w:val="22"/>
          <w:highlight w:val="none"/>
        </w:rPr>
        <w:t>★</w:t>
      </w:r>
      <w:r>
        <w:rPr>
          <w:rFonts w:hint="eastAsia" w:ascii="宋体" w:hAnsi="宋体" w:cs="宋体"/>
          <w:color w:val="000000"/>
          <w:sz w:val="22"/>
          <w:szCs w:val="22"/>
          <w:highlight w:val="none"/>
          <w:lang w:val="zh-CN"/>
        </w:rPr>
        <w:t xml:space="preserve"> 法定代表人授权委托书及委托代理人的身份证复印件；</w:t>
      </w:r>
    </w:p>
    <w:p w14:paraId="72EEDC36">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5.3、</w:t>
      </w:r>
      <w:r>
        <w:rPr>
          <w:rFonts w:hint="eastAsia" w:ascii="宋体" w:hAnsi="宋体" w:cs="宋体"/>
          <w:b/>
          <w:color w:val="000000"/>
          <w:sz w:val="22"/>
          <w:szCs w:val="22"/>
          <w:highlight w:val="none"/>
        </w:rPr>
        <w:t>★</w:t>
      </w:r>
      <w:r>
        <w:rPr>
          <w:rFonts w:hint="eastAsia" w:ascii="宋体" w:hAnsi="宋体" w:cs="宋体"/>
          <w:color w:val="000000"/>
          <w:sz w:val="22"/>
          <w:szCs w:val="22"/>
          <w:highlight w:val="none"/>
        </w:rPr>
        <w:t>法人、其他组织的营业执照（副本）复印件；供应商是自然人的，提供自然人的身份证明（复印件）</w:t>
      </w:r>
      <w:r>
        <w:rPr>
          <w:rFonts w:hint="eastAsia" w:ascii="宋体" w:hAnsi="宋体" w:cs="宋体"/>
          <w:b/>
          <w:color w:val="000000"/>
          <w:sz w:val="22"/>
          <w:szCs w:val="22"/>
          <w:highlight w:val="none"/>
        </w:rPr>
        <w:t>；</w:t>
      </w:r>
    </w:p>
    <w:p w14:paraId="77502804">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5.4、</w:t>
      </w:r>
      <w:r>
        <w:rPr>
          <w:rFonts w:hint="eastAsia" w:ascii="宋体" w:hAnsi="宋体" w:cs="宋体"/>
          <w:b/>
          <w:color w:val="000000"/>
          <w:sz w:val="22"/>
          <w:szCs w:val="22"/>
          <w:highlight w:val="none"/>
        </w:rPr>
        <w:t>★第一章招标公告中</w:t>
      </w:r>
      <w:r>
        <w:rPr>
          <w:rFonts w:hint="eastAsia" w:ascii="宋体" w:hAnsi="宋体" w:cs="宋体"/>
          <w:b/>
          <w:color w:val="000000"/>
          <w:sz w:val="22"/>
          <w:szCs w:val="22"/>
          <w:highlight w:val="none"/>
          <w:lang w:val="zh-CN"/>
        </w:rPr>
        <w:t>《中华人民共和国政府采购法》规定的资格条件证明文件</w:t>
      </w:r>
      <w:r>
        <w:rPr>
          <w:rFonts w:hint="eastAsia" w:ascii="宋体" w:hAnsi="宋体" w:cs="宋体"/>
          <w:color w:val="000000"/>
          <w:sz w:val="22"/>
          <w:szCs w:val="22"/>
          <w:highlight w:val="none"/>
          <w:lang w:val="zh-CN"/>
        </w:rPr>
        <w:t>；</w:t>
      </w:r>
    </w:p>
    <w:p w14:paraId="01BA85FA">
      <w:pPr>
        <w:pageBreakBefore w:val="0"/>
        <w:spacing w:line="360" w:lineRule="auto"/>
        <w:ind w:firstLine="420"/>
        <w:rPr>
          <w:rFonts w:hint="eastAsia" w:ascii="宋体" w:hAnsi="宋体" w:eastAsia="宋体" w:cs="宋体"/>
          <w:b/>
          <w:color w:val="000000"/>
          <w:sz w:val="22"/>
          <w:szCs w:val="22"/>
          <w:highlight w:val="none"/>
          <w:lang w:val="zh-CN" w:eastAsia="zh-CN"/>
        </w:rPr>
      </w:pPr>
      <w:r>
        <w:rPr>
          <w:rFonts w:hint="eastAsia" w:ascii="宋体" w:hAnsi="宋体" w:cs="宋体"/>
          <w:color w:val="000000"/>
          <w:sz w:val="22"/>
          <w:szCs w:val="22"/>
          <w:highlight w:val="none"/>
        </w:rPr>
        <w:t>5.5、</w:t>
      </w:r>
      <w:r>
        <w:rPr>
          <w:rFonts w:hint="eastAsia" w:ascii="宋体" w:hAnsi="宋体" w:cs="宋体"/>
          <w:b/>
          <w:color w:val="000000"/>
          <w:sz w:val="22"/>
          <w:szCs w:val="22"/>
          <w:highlight w:val="none"/>
        </w:rPr>
        <w:t>★第一章招标公告中采购人根据采购项目的特殊要求规定的特定条件证明文件；</w:t>
      </w:r>
      <w:r>
        <w:rPr>
          <w:rFonts w:hint="eastAsia" w:ascii="宋体" w:hAnsi="宋体" w:cs="宋体"/>
          <w:b/>
          <w:color w:val="000000"/>
          <w:sz w:val="22"/>
          <w:szCs w:val="22"/>
          <w:highlight w:val="none"/>
          <w:lang w:eastAsia="zh-CN"/>
        </w:rPr>
        <w:t>（</w:t>
      </w:r>
      <w:r>
        <w:rPr>
          <w:rFonts w:hint="eastAsia" w:ascii="宋体" w:hAnsi="宋体" w:cs="宋体"/>
          <w:b/>
          <w:color w:val="000000"/>
          <w:sz w:val="22"/>
          <w:szCs w:val="22"/>
          <w:highlight w:val="none"/>
          <w:lang w:val="en-US" w:eastAsia="zh-CN"/>
        </w:rPr>
        <w:t>若有</w:t>
      </w:r>
      <w:r>
        <w:rPr>
          <w:rFonts w:hint="eastAsia" w:ascii="宋体" w:hAnsi="宋体" w:cs="宋体"/>
          <w:b/>
          <w:color w:val="000000"/>
          <w:sz w:val="22"/>
          <w:szCs w:val="22"/>
          <w:highlight w:val="none"/>
          <w:lang w:eastAsia="zh-CN"/>
        </w:rPr>
        <w:t>）</w:t>
      </w:r>
    </w:p>
    <w:p w14:paraId="45EBA3C9">
      <w:pPr>
        <w:pageBreakBefore w:val="0"/>
        <w:widowControl/>
        <w:spacing w:line="360" w:lineRule="auto"/>
        <w:ind w:firstLine="420"/>
        <w:rPr>
          <w:rFonts w:hint="eastAsia" w:ascii="宋体" w:hAnsi="宋体" w:cs="宋体"/>
          <w:sz w:val="22"/>
          <w:szCs w:val="22"/>
          <w:highlight w:val="none"/>
          <w:lang w:val="zh-CN"/>
        </w:rPr>
      </w:pPr>
      <w:r>
        <w:rPr>
          <w:rFonts w:hint="eastAsia" w:ascii="宋体" w:hAnsi="宋体" w:cs="宋体"/>
          <w:color w:val="000000"/>
          <w:sz w:val="22"/>
          <w:szCs w:val="22"/>
          <w:highlight w:val="none"/>
        </w:rPr>
        <w:t>5.6、</w:t>
      </w:r>
      <w:r>
        <w:rPr>
          <w:rFonts w:hint="eastAsia" w:ascii="宋体" w:hAnsi="宋体" w:cs="宋体"/>
          <w:color w:val="000000"/>
          <w:sz w:val="22"/>
          <w:szCs w:val="22"/>
          <w:highlight w:val="none"/>
          <w:lang w:val="zh-CN"/>
        </w:rPr>
        <w:t>《商务条款偏离表》</w:t>
      </w:r>
    </w:p>
    <w:p w14:paraId="146AA6D9">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5.7、供应商认为需要</w:t>
      </w:r>
      <w:r>
        <w:rPr>
          <w:rFonts w:hint="eastAsia" w:ascii="宋体" w:hAnsi="宋体" w:cs="宋体"/>
          <w:color w:val="000000"/>
          <w:sz w:val="22"/>
          <w:szCs w:val="22"/>
          <w:highlight w:val="none"/>
          <w:lang w:val="zh-CN"/>
        </w:rPr>
        <w:t>提供的其他资格证明文件和商务资料等。</w:t>
      </w:r>
    </w:p>
    <w:p w14:paraId="18D60E14">
      <w:pPr>
        <w:pageBreakBefore w:val="0"/>
        <w:spacing w:line="360" w:lineRule="auto"/>
        <w:ind w:firstLine="422"/>
        <w:rPr>
          <w:rFonts w:hint="eastAsia" w:ascii="宋体" w:hAnsi="宋体" w:cs="宋体"/>
          <w:b/>
          <w:bCs/>
          <w:sz w:val="22"/>
          <w:szCs w:val="22"/>
          <w:highlight w:val="none"/>
          <w:lang w:val="zh-CN"/>
        </w:rPr>
      </w:pPr>
      <w:r>
        <w:rPr>
          <w:rFonts w:hint="eastAsia" w:ascii="宋体" w:hAnsi="宋体" w:cs="宋体"/>
          <w:b/>
          <w:bCs/>
          <w:sz w:val="22"/>
          <w:szCs w:val="22"/>
          <w:highlight w:val="none"/>
        </w:rPr>
        <w:t>6</w:t>
      </w:r>
      <w:r>
        <w:rPr>
          <w:rFonts w:hint="eastAsia" w:ascii="宋体" w:hAnsi="宋体" w:cs="宋体"/>
          <w:b/>
          <w:bCs/>
          <w:sz w:val="22"/>
          <w:szCs w:val="22"/>
          <w:highlight w:val="none"/>
          <w:lang w:val="zh-CN"/>
        </w:rPr>
        <w:t>、投标文件的技术部分</w:t>
      </w:r>
    </w:p>
    <w:p w14:paraId="52230F95">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6.1、</w:t>
      </w:r>
      <w:r>
        <w:rPr>
          <w:rFonts w:hint="eastAsia" w:ascii="宋体" w:hAnsi="宋体" w:cs="宋体"/>
          <w:sz w:val="22"/>
          <w:szCs w:val="22"/>
          <w:highlight w:val="none"/>
          <w:lang w:val="zh-CN"/>
        </w:rPr>
        <w:t>技术部分是证明</w:t>
      </w:r>
      <w:r>
        <w:rPr>
          <w:rFonts w:hint="eastAsia" w:ascii="宋体" w:hAnsi="宋体" w:cs="宋体"/>
          <w:sz w:val="22"/>
          <w:szCs w:val="22"/>
          <w:highlight w:val="none"/>
        </w:rPr>
        <w:t>供应商提供的服务是合格的、并符合招标文件要求的证明文件，以及</w:t>
      </w:r>
      <w:r>
        <w:rPr>
          <w:rFonts w:hint="eastAsia" w:ascii="宋体" w:hAnsi="宋体" w:cs="宋体"/>
          <w:sz w:val="22"/>
          <w:szCs w:val="22"/>
          <w:highlight w:val="none"/>
          <w:lang w:val="zh-CN"/>
        </w:rPr>
        <w:t>对投标报价表中的内容的详细说明，这些文件可以是文字资料、图纸和数据等。</w:t>
      </w:r>
    </w:p>
    <w:p w14:paraId="774E341B">
      <w:pPr>
        <w:pageBreakBefore w:val="0"/>
        <w:spacing w:line="360" w:lineRule="auto"/>
        <w:ind w:firstLine="420"/>
        <w:rPr>
          <w:rFonts w:hint="eastAsia" w:ascii="宋体" w:hAnsi="宋体" w:cs="宋体"/>
          <w:sz w:val="22"/>
          <w:szCs w:val="22"/>
          <w:highlight w:val="none"/>
          <w:lang w:val="zh-CN"/>
        </w:rPr>
      </w:pPr>
      <w:r>
        <w:rPr>
          <w:rFonts w:hint="eastAsia" w:ascii="宋体" w:hAnsi="宋体" w:cs="宋体"/>
          <w:sz w:val="22"/>
          <w:szCs w:val="22"/>
          <w:highlight w:val="none"/>
        </w:rPr>
        <w:t>6.2、</w:t>
      </w:r>
      <w:r>
        <w:rPr>
          <w:rFonts w:hint="eastAsia" w:ascii="宋体" w:hAnsi="宋体" w:cs="宋体"/>
          <w:sz w:val="22"/>
          <w:szCs w:val="22"/>
          <w:highlight w:val="none"/>
          <w:lang w:val="zh-CN"/>
        </w:rPr>
        <w:t>若提供的服务如与招标文件要求有不符之处，应说明其差别之所在。</w:t>
      </w:r>
    </w:p>
    <w:p w14:paraId="3FA9E353">
      <w:pPr>
        <w:pageBreakBefore w:val="0"/>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w:t>
      </w:r>
      <w:r>
        <w:rPr>
          <w:rFonts w:hint="eastAsia" w:ascii="宋体" w:hAnsi="宋体" w:cs="宋体"/>
          <w:color w:val="000000"/>
          <w:sz w:val="22"/>
          <w:szCs w:val="22"/>
          <w:highlight w:val="none"/>
          <w:lang w:val="zh-CN"/>
        </w:rPr>
        <w:t>投标文件应按照招标文件要求提供服务说明，技术资料、文件和有关证明，包括但不限于：</w:t>
      </w:r>
    </w:p>
    <w:p w14:paraId="39836870">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6.3.1、</w:t>
      </w:r>
      <w:r>
        <w:rPr>
          <w:rFonts w:hint="eastAsia" w:ascii="宋体" w:hAnsi="宋体" w:cs="宋体"/>
          <w:color w:val="000000"/>
          <w:sz w:val="22"/>
          <w:szCs w:val="22"/>
          <w:highlight w:val="none"/>
          <w:lang w:val="zh-CN"/>
        </w:rPr>
        <w:t>技术方案；</w:t>
      </w:r>
    </w:p>
    <w:p w14:paraId="0CF62317">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6.3.2、</w:t>
      </w:r>
      <w:r>
        <w:rPr>
          <w:rFonts w:hint="eastAsia" w:ascii="宋体" w:hAnsi="宋体" w:cs="宋体"/>
          <w:color w:val="000000"/>
          <w:sz w:val="22"/>
          <w:szCs w:val="22"/>
          <w:highlight w:val="none"/>
          <w:lang w:val="zh-CN"/>
        </w:rPr>
        <w:t>《技术条款偏离表》</w:t>
      </w:r>
    </w:p>
    <w:p w14:paraId="5E27D89E">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6.3.3、</w:t>
      </w:r>
      <w:r>
        <w:rPr>
          <w:rFonts w:hint="eastAsia" w:ascii="宋体" w:hAnsi="宋体" w:cs="宋体"/>
          <w:color w:val="000000"/>
          <w:sz w:val="22"/>
          <w:szCs w:val="22"/>
          <w:highlight w:val="none"/>
          <w:lang w:val="zh-CN"/>
        </w:rPr>
        <w:t>服务承诺；</w:t>
      </w:r>
    </w:p>
    <w:p w14:paraId="35AB21FC">
      <w:pPr>
        <w:pageBreakBefore w:val="0"/>
        <w:widowControl/>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rPr>
        <w:t>6.3.4、供应商认为需要</w:t>
      </w:r>
      <w:r>
        <w:rPr>
          <w:rFonts w:hint="eastAsia" w:ascii="宋体" w:hAnsi="宋体" w:cs="宋体"/>
          <w:color w:val="000000"/>
          <w:sz w:val="22"/>
          <w:szCs w:val="22"/>
          <w:highlight w:val="none"/>
          <w:lang w:val="zh-CN"/>
        </w:rPr>
        <w:t>提供的其他技术资料。</w:t>
      </w:r>
    </w:p>
    <w:p w14:paraId="2B750815">
      <w:pPr>
        <w:pageBreakBefore w:val="0"/>
        <w:spacing w:line="360" w:lineRule="auto"/>
        <w:ind w:firstLine="422"/>
        <w:rPr>
          <w:rFonts w:hint="eastAsia" w:ascii="宋体" w:hAnsi="宋体" w:cs="宋体"/>
          <w:b/>
          <w:sz w:val="22"/>
          <w:szCs w:val="22"/>
          <w:highlight w:val="none"/>
          <w:lang w:val="zh-CN"/>
        </w:rPr>
      </w:pPr>
      <w:r>
        <w:rPr>
          <w:rFonts w:hint="eastAsia" w:ascii="宋体" w:hAnsi="宋体" w:cs="宋体"/>
          <w:b/>
          <w:sz w:val="22"/>
          <w:szCs w:val="22"/>
          <w:highlight w:val="none"/>
        </w:rPr>
        <w:t>7</w:t>
      </w:r>
      <w:r>
        <w:rPr>
          <w:rFonts w:hint="eastAsia" w:ascii="宋体" w:hAnsi="宋体" w:cs="宋体"/>
          <w:b/>
          <w:sz w:val="22"/>
          <w:szCs w:val="22"/>
          <w:highlight w:val="none"/>
          <w:lang w:val="zh-CN"/>
        </w:rPr>
        <w:t>、投标文件的价格部分</w:t>
      </w:r>
    </w:p>
    <w:p w14:paraId="7D8A5781">
      <w:pPr>
        <w:pageBreakBefore w:val="0"/>
        <w:widowControl/>
        <w:spacing w:line="360" w:lineRule="auto"/>
        <w:ind w:firstLine="420"/>
        <w:rPr>
          <w:rFonts w:hint="eastAsia" w:ascii="宋体" w:hAnsi="宋体" w:cs="宋体"/>
          <w:sz w:val="22"/>
          <w:szCs w:val="22"/>
          <w:lang w:val="zh-CN"/>
        </w:rPr>
      </w:pPr>
      <w:r>
        <w:rPr>
          <w:rFonts w:hint="eastAsia" w:ascii="宋体" w:hAnsi="宋体" w:cs="宋体"/>
          <w:sz w:val="22"/>
          <w:szCs w:val="22"/>
        </w:rPr>
        <w:t>7.1、</w:t>
      </w:r>
      <w:r>
        <w:rPr>
          <w:rFonts w:hint="eastAsia" w:ascii="宋体" w:hAnsi="宋体" w:cs="宋体"/>
          <w:sz w:val="22"/>
          <w:szCs w:val="22"/>
          <w:lang w:val="zh-CN"/>
        </w:rPr>
        <w:t>价格部分是对投标服务价格构成的说明，每一项服务仅接受一个价格。</w:t>
      </w:r>
    </w:p>
    <w:p w14:paraId="2E817925">
      <w:pPr>
        <w:pageBreakBefore w:val="0"/>
        <w:spacing w:line="360" w:lineRule="auto"/>
        <w:ind w:firstLine="420"/>
        <w:rPr>
          <w:rFonts w:hint="eastAsia" w:ascii="宋体" w:hAnsi="宋体" w:cs="宋体"/>
          <w:b/>
          <w:color w:val="000000"/>
          <w:sz w:val="22"/>
          <w:szCs w:val="22"/>
        </w:rPr>
      </w:pPr>
      <w:r>
        <w:rPr>
          <w:rFonts w:hint="eastAsia" w:ascii="宋体" w:hAnsi="宋体" w:cs="宋体"/>
          <w:sz w:val="22"/>
          <w:szCs w:val="22"/>
        </w:rPr>
        <w:t>7.2、</w:t>
      </w:r>
      <w:r>
        <w:rPr>
          <w:rFonts w:hint="eastAsia" w:ascii="宋体" w:hAnsi="宋体" w:cs="宋体"/>
          <w:color w:val="000000"/>
          <w:sz w:val="22"/>
          <w:szCs w:val="22"/>
          <w:lang w:val="zh-CN"/>
        </w:rPr>
        <w:t>报价应包含完成本服务项目发生的所有含税费用、支付给员工的工资和国家强制缴纳的各种社会保障资金</w:t>
      </w:r>
      <w:r>
        <w:rPr>
          <w:rFonts w:hint="eastAsia" w:ascii="宋体" w:hAnsi="宋体" w:cs="宋体"/>
          <w:bCs/>
          <w:color w:val="000000"/>
          <w:sz w:val="22"/>
          <w:szCs w:val="22"/>
        </w:rPr>
        <w:t>，以</w:t>
      </w:r>
      <w:r>
        <w:rPr>
          <w:rFonts w:hint="eastAsia" w:ascii="宋体" w:hAnsi="宋体" w:cs="宋体"/>
          <w:color w:val="000000"/>
          <w:sz w:val="22"/>
          <w:szCs w:val="22"/>
        </w:rPr>
        <w:t>及供应商认为需要的其他费用等</w:t>
      </w:r>
      <w:r>
        <w:rPr>
          <w:rFonts w:hint="eastAsia" w:ascii="宋体" w:hAnsi="宋体" w:cs="宋体"/>
          <w:b/>
          <w:color w:val="000000"/>
          <w:sz w:val="22"/>
          <w:szCs w:val="22"/>
        </w:rPr>
        <w:t>。</w:t>
      </w:r>
    </w:p>
    <w:p w14:paraId="4B75E362">
      <w:pPr>
        <w:pageBreakBefore w:val="0"/>
        <w:spacing w:line="360" w:lineRule="auto"/>
        <w:ind w:firstLine="420"/>
        <w:rPr>
          <w:rFonts w:hint="eastAsia" w:ascii="宋体" w:hAnsi="宋体" w:cs="宋体"/>
          <w:sz w:val="22"/>
          <w:szCs w:val="22"/>
        </w:rPr>
      </w:pPr>
      <w:r>
        <w:rPr>
          <w:rFonts w:hint="eastAsia" w:ascii="宋体" w:hAnsi="宋体" w:cs="宋体"/>
          <w:sz w:val="22"/>
          <w:szCs w:val="22"/>
        </w:rPr>
        <w:t>7.3、供应商的任何错漏、优惠、竞争性报价不得作为减轻责任、减少服务、增加收费、降低质量的理由。</w:t>
      </w:r>
    </w:p>
    <w:p w14:paraId="33E57FB7">
      <w:pPr>
        <w:pageBreakBefore w:val="0"/>
        <w:spacing w:line="360" w:lineRule="auto"/>
        <w:ind w:firstLine="420"/>
        <w:rPr>
          <w:rFonts w:hint="eastAsia" w:ascii="宋体" w:hAnsi="宋体" w:cs="宋体"/>
          <w:color w:val="000000"/>
          <w:sz w:val="22"/>
          <w:szCs w:val="22"/>
        </w:rPr>
      </w:pPr>
      <w:r>
        <w:rPr>
          <w:rFonts w:hint="eastAsia" w:ascii="宋体" w:hAnsi="宋体" w:cs="宋体"/>
          <w:sz w:val="22"/>
          <w:szCs w:val="22"/>
        </w:rPr>
        <w:t>7.4、</w:t>
      </w:r>
      <w:r>
        <w:rPr>
          <w:rFonts w:hint="eastAsia" w:ascii="宋体" w:hAnsi="宋体" w:cs="宋体"/>
          <w:color w:val="000000"/>
          <w:sz w:val="22"/>
          <w:szCs w:val="22"/>
        </w:rPr>
        <w:t>服务收费中包含管理服务人员的工资、社保福利费，办公费、法定税费、公共责任险和合理利润。</w:t>
      </w:r>
    </w:p>
    <w:p w14:paraId="179DC385">
      <w:pPr>
        <w:pageBreakBefore w:val="0"/>
        <w:spacing w:line="360" w:lineRule="auto"/>
        <w:ind w:firstLine="422"/>
        <w:rPr>
          <w:rFonts w:hint="eastAsia" w:ascii="宋体" w:hAnsi="宋体" w:cs="宋体"/>
          <w:b/>
          <w:sz w:val="22"/>
          <w:szCs w:val="22"/>
          <w:lang w:val="zh-CN"/>
        </w:rPr>
      </w:pPr>
      <w:r>
        <w:rPr>
          <w:rFonts w:hint="eastAsia" w:ascii="宋体" w:hAnsi="宋体" w:cs="宋体"/>
          <w:b/>
          <w:sz w:val="22"/>
          <w:szCs w:val="22"/>
        </w:rPr>
        <w:t>8</w:t>
      </w:r>
      <w:r>
        <w:rPr>
          <w:rFonts w:hint="eastAsia" w:ascii="宋体" w:hAnsi="宋体" w:cs="宋体"/>
          <w:b/>
          <w:sz w:val="22"/>
          <w:szCs w:val="22"/>
          <w:lang w:val="zh-CN"/>
        </w:rPr>
        <w:t>、投标文件的其他部分</w:t>
      </w:r>
    </w:p>
    <w:p w14:paraId="4D382C01">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8.1、</w:t>
      </w:r>
      <w:r>
        <w:rPr>
          <w:rFonts w:hint="eastAsia" w:ascii="宋体" w:hAnsi="宋体" w:cs="宋体"/>
          <w:sz w:val="22"/>
          <w:szCs w:val="22"/>
          <w:lang w:val="zh-CN"/>
        </w:rPr>
        <w:t>其他部分由供应商根据编制投标文件需要提供的其他相关文件。</w:t>
      </w:r>
    </w:p>
    <w:p w14:paraId="38432B24">
      <w:pPr>
        <w:pageBreakBefore w:val="0"/>
        <w:spacing w:line="360" w:lineRule="auto"/>
        <w:ind w:firstLine="422"/>
        <w:rPr>
          <w:rFonts w:hint="eastAsia" w:ascii="宋体" w:hAnsi="宋体" w:cs="宋体"/>
          <w:b/>
          <w:bCs/>
          <w:sz w:val="22"/>
          <w:szCs w:val="22"/>
          <w:lang w:val="zh-CN"/>
        </w:rPr>
      </w:pPr>
      <w:r>
        <w:rPr>
          <w:rFonts w:hint="eastAsia" w:ascii="宋体" w:hAnsi="宋体" w:cs="宋体"/>
          <w:b/>
          <w:bCs/>
          <w:sz w:val="22"/>
          <w:szCs w:val="22"/>
        </w:rPr>
        <w:t>9</w:t>
      </w:r>
      <w:r>
        <w:rPr>
          <w:rFonts w:hint="eastAsia" w:ascii="宋体" w:hAnsi="宋体" w:cs="宋体"/>
          <w:b/>
          <w:bCs/>
          <w:sz w:val="22"/>
          <w:szCs w:val="22"/>
          <w:lang w:val="zh-CN"/>
        </w:rPr>
        <w:t>、投标有效期</w:t>
      </w:r>
    </w:p>
    <w:p w14:paraId="10226422">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9.1、</w:t>
      </w:r>
      <w:r>
        <w:rPr>
          <w:rFonts w:hint="eastAsia" w:ascii="宋体" w:hAnsi="宋体" w:cs="宋体"/>
          <w:sz w:val="22"/>
          <w:szCs w:val="22"/>
          <w:lang w:val="zh-CN"/>
        </w:rPr>
        <w:t>自开标之日起</w:t>
      </w:r>
      <w:r>
        <w:rPr>
          <w:rFonts w:hint="eastAsia" w:ascii="宋体" w:hAnsi="宋体" w:cs="宋体"/>
          <w:b/>
          <w:sz w:val="22"/>
          <w:szCs w:val="22"/>
          <w:lang w:val="zh-CN"/>
        </w:rPr>
        <w:t>60天</w:t>
      </w:r>
      <w:r>
        <w:rPr>
          <w:rFonts w:hint="eastAsia" w:ascii="宋体" w:hAnsi="宋体" w:cs="宋体"/>
          <w:sz w:val="22"/>
          <w:szCs w:val="22"/>
          <w:lang w:val="zh-CN"/>
        </w:rPr>
        <w:t>内投标有效。</w:t>
      </w:r>
    </w:p>
    <w:p w14:paraId="071AB5A5">
      <w:pPr>
        <w:pageBreakBefore w:val="0"/>
        <w:spacing w:line="360" w:lineRule="auto"/>
        <w:ind w:firstLine="420"/>
        <w:rPr>
          <w:rFonts w:hint="eastAsia" w:ascii="宋体" w:hAnsi="宋体" w:cs="宋体"/>
          <w:sz w:val="22"/>
          <w:szCs w:val="22"/>
          <w:lang w:val="zh-CN"/>
        </w:rPr>
      </w:pPr>
      <w:r>
        <w:rPr>
          <w:rFonts w:hint="eastAsia" w:ascii="宋体" w:hAnsi="宋体" w:cs="宋体"/>
          <w:sz w:val="22"/>
          <w:szCs w:val="22"/>
        </w:rPr>
        <w:t>9.2、</w:t>
      </w:r>
      <w:r>
        <w:rPr>
          <w:rFonts w:hint="eastAsia" w:ascii="宋体" w:hAnsi="宋体" w:cs="宋体"/>
          <w:sz w:val="22"/>
          <w:szCs w:val="22"/>
          <w:lang w:val="zh-CN"/>
        </w:rPr>
        <w:t>在特殊情况下，在原投标有效期截止之前，这种要求与答复均以书面形式提交。</w:t>
      </w:r>
    </w:p>
    <w:p w14:paraId="18E7F29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10.</w:t>
      </w:r>
      <w:r>
        <w:rPr>
          <w:rFonts w:hint="eastAsia" w:ascii="宋体" w:hAnsi="宋体" w:eastAsia="宋体" w:cs="宋体"/>
          <w:sz w:val="22"/>
          <w:szCs w:val="22"/>
          <w:highlight w:val="none"/>
          <w:lang w:val="zh-TW" w:eastAsia="zh-TW"/>
        </w:rPr>
        <w:t>投标文件的份数、签署</w:t>
      </w:r>
    </w:p>
    <w:p w14:paraId="704C98B7">
      <w:pPr>
        <w:pageBreakBefore w:val="0"/>
        <w:pBdr>
          <w:top w:val="none" w:color="000000" w:sz="0" w:space="0"/>
          <w:left w:val="none" w:color="000000" w:sz="0" w:space="0"/>
          <w:bottom w:val="none" w:color="000000" w:sz="0" w:space="0"/>
          <w:right w:val="none" w:color="000000" w:sz="0" w:space="0"/>
        </w:pBdr>
        <w:shd w:val="clear" w:color="FFFFFF" w:fill="FFFFFF"/>
        <w:spacing w:before="0" w:after="0" w:line="360" w:lineRule="auto"/>
        <w:ind w:left="0" w:right="0" w:firstLine="420"/>
        <w:jc w:val="both"/>
        <w:rPr>
          <w:sz w:val="22"/>
          <w:szCs w:val="22"/>
          <w:highlight w:val="none"/>
        </w:rPr>
      </w:pPr>
      <w:r>
        <w:rPr>
          <w:rFonts w:ascii="宋体" w:hAnsi="宋体" w:eastAsia="宋体" w:cs="宋体"/>
          <w:color w:val="000000"/>
          <w:sz w:val="22"/>
          <w:szCs w:val="22"/>
          <w:highlight w:val="none"/>
        </w:rPr>
        <w:t>投标文件应按照招标文件要求加盖电子公章，否则视为无效投标。</w:t>
      </w:r>
    </w:p>
    <w:p w14:paraId="5656BFCA">
      <w:pPr>
        <w:pStyle w:val="189"/>
        <w:pageBreakBefore w:val="0"/>
        <w:spacing w:line="360" w:lineRule="auto"/>
        <w:ind w:firstLine="420"/>
        <w:rPr>
          <w:rFonts w:ascii="宋体" w:hAnsi="宋体" w:eastAsia="宋体" w:cs="宋体"/>
          <w:sz w:val="22"/>
          <w:szCs w:val="22"/>
          <w:highlight w:val="none"/>
          <w:lang w:val="en-US" w:eastAsia="zh-CN"/>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投标文件的递交</w:t>
      </w:r>
      <w:r>
        <w:rPr>
          <w:rFonts w:hint="eastAsia" w:ascii="宋体" w:hAnsi="宋体" w:eastAsia="宋体" w:cs="宋体"/>
          <w:sz w:val="22"/>
          <w:szCs w:val="22"/>
          <w:highlight w:val="none"/>
          <w:lang w:val="en-US" w:eastAsia="zh-CN"/>
        </w:rPr>
        <w:t>和解密</w:t>
      </w:r>
    </w:p>
    <w:p w14:paraId="093CD5E3">
      <w:pPr>
        <w:pStyle w:val="189"/>
        <w:pageBreakBefore w:val="0"/>
        <w:spacing w:line="360" w:lineRule="auto"/>
        <w:ind w:firstLine="210"/>
        <w:rPr>
          <w:rFonts w:hint="eastAsia"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）供应商应当按照《操作手册》规定，在招标公告规定的投标截止时间前制作并上传电子投标文件。</w:t>
      </w:r>
      <w:r>
        <w:rPr>
          <w:rFonts w:hint="eastAsia" w:ascii="宋体" w:hAnsi="宋体" w:eastAsia="宋体" w:cs="宋体"/>
          <w:sz w:val="22"/>
          <w:szCs w:val="22"/>
          <w:highlight w:val="none"/>
          <w:lang w:val="en-US" w:eastAsia="zh-CN"/>
        </w:rPr>
        <w:t>采购</w:t>
      </w:r>
      <w:r>
        <w:rPr>
          <w:rFonts w:hint="eastAsia" w:ascii="宋体" w:hAnsi="宋体" w:eastAsia="宋体" w:cs="宋体"/>
          <w:sz w:val="22"/>
          <w:szCs w:val="22"/>
          <w:highlight w:val="none"/>
          <w:lang w:val="zh-TW" w:eastAsia="zh-TW"/>
        </w:rPr>
        <w:t>代理机构拒绝接收提交投标文件截止时间后上传的任何电子投标文件。</w:t>
      </w:r>
    </w:p>
    <w:p w14:paraId="3C46F6D2">
      <w:pPr>
        <w:pStyle w:val="189"/>
        <w:pageBreakBefore w:val="0"/>
        <w:spacing w:line="360" w:lineRule="auto"/>
        <w:ind w:firstLine="210"/>
        <w:rPr>
          <w:rFonts w:hint="eastAsia"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）供应商</w:t>
      </w:r>
      <w:r>
        <w:rPr>
          <w:rFonts w:hint="eastAsia" w:ascii="宋体" w:hAnsi="宋体" w:eastAsia="宋体" w:cs="宋体"/>
          <w:sz w:val="22"/>
          <w:szCs w:val="22"/>
          <w:highlight w:val="none"/>
        </w:rPr>
        <w:t>应当按照《操作手册》规定，在“苏采云”系统规定的时间内对投标文件进行解密。</w:t>
      </w:r>
    </w:p>
    <w:p w14:paraId="248A7449">
      <w:pPr>
        <w:pStyle w:val="189"/>
        <w:pageBreakBefore w:val="0"/>
        <w:spacing w:line="360" w:lineRule="auto"/>
        <w:ind w:firstLine="21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3</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zh-TW" w:eastAsia="zh-TW"/>
        </w:rPr>
        <w:t>供应商</w:t>
      </w:r>
      <w:r>
        <w:rPr>
          <w:rFonts w:ascii="宋体" w:hAnsi="宋体" w:eastAsia="宋体" w:cs="宋体"/>
          <w:color w:val="000000"/>
          <w:sz w:val="22"/>
          <w:szCs w:val="22"/>
          <w:highlight w:val="none"/>
        </w:rPr>
        <w:t>应充分考虑网络环境、网络带宽等因素可能对投标产生的影响，如因</w:t>
      </w:r>
      <w:r>
        <w:rPr>
          <w:rFonts w:hint="eastAsia" w:ascii="宋体" w:hAnsi="宋体" w:eastAsia="宋体" w:cs="宋体"/>
          <w:sz w:val="22"/>
          <w:szCs w:val="22"/>
          <w:highlight w:val="none"/>
          <w:lang w:val="zh-TW" w:eastAsia="zh-TW"/>
        </w:rPr>
        <w:t>供应商</w:t>
      </w:r>
      <w:r>
        <w:rPr>
          <w:rFonts w:ascii="宋体" w:hAnsi="宋体" w:eastAsia="宋体" w:cs="宋体"/>
          <w:color w:val="000000"/>
          <w:sz w:val="22"/>
          <w:szCs w:val="22"/>
          <w:highlight w:val="none"/>
        </w:rPr>
        <w:t>自身原因造成的电子投标文件解密不成功的，做无效投标处理。</w:t>
      </w:r>
    </w:p>
    <w:p w14:paraId="7F3F474B">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有下列情形之一的投标文件将拒收：</w:t>
      </w:r>
    </w:p>
    <w:p w14:paraId="725D6C81">
      <w:pPr>
        <w:pStyle w:val="189"/>
        <w:pageBreakBefore w:val="0"/>
        <w:spacing w:line="360" w:lineRule="auto"/>
        <w:ind w:firstLine="21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（1）在招标文件要求提交投标文件的截止时间之后</w:t>
      </w:r>
      <w:r>
        <w:rPr>
          <w:rFonts w:hint="eastAsia" w:ascii="宋体" w:hAnsi="宋体" w:eastAsia="宋体" w:cs="宋体"/>
          <w:sz w:val="22"/>
          <w:szCs w:val="22"/>
          <w:highlight w:val="none"/>
          <w:lang w:val="en-US" w:eastAsia="zh-CN"/>
        </w:rPr>
        <w:t>上传</w:t>
      </w:r>
      <w:r>
        <w:rPr>
          <w:rFonts w:hint="eastAsia" w:ascii="宋体" w:hAnsi="宋体" w:eastAsia="宋体" w:cs="宋体"/>
          <w:sz w:val="22"/>
          <w:szCs w:val="22"/>
          <w:highlight w:val="none"/>
          <w:lang w:val="zh-TW" w:eastAsia="zh-TW"/>
        </w:rPr>
        <w:t>的。</w:t>
      </w:r>
    </w:p>
    <w:p w14:paraId="2A4F67DC">
      <w:pPr>
        <w:pStyle w:val="189"/>
        <w:pageBreakBefore w:val="0"/>
        <w:spacing w:line="360" w:lineRule="auto"/>
        <w:ind w:firstLine="210"/>
        <w:rPr>
          <w:rFonts w:hint="eastAsia" w:ascii="宋体" w:hAnsi="宋体" w:eastAsia="宋体" w:cs="宋体"/>
          <w:sz w:val="22"/>
          <w:szCs w:val="22"/>
          <w:highlight w:val="none"/>
          <w:lang w:val="zh-TW" w:eastAsia="zh-CN"/>
        </w:rPr>
      </w:pP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en-US" w:eastAsia="zh-CN"/>
        </w:rPr>
        <w:t>2</w:t>
      </w: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zh-TW" w:eastAsia="zh-TW"/>
        </w:rPr>
        <w:t>供应商名称与报名时不一致，且未提供有效名称变更证明文件的</w:t>
      </w:r>
      <w:r>
        <w:rPr>
          <w:rFonts w:hint="eastAsia" w:ascii="宋体" w:hAnsi="宋体" w:eastAsia="宋体" w:cs="宋体"/>
          <w:sz w:val="22"/>
          <w:szCs w:val="22"/>
          <w:highlight w:val="none"/>
          <w:lang w:val="zh-TW" w:eastAsia="zh-CN"/>
        </w:rPr>
        <w:t>。</w:t>
      </w:r>
    </w:p>
    <w:p w14:paraId="338CE3C8">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1</w:t>
      </w:r>
      <w:r>
        <w:rPr>
          <w:rFonts w:hint="eastAsia" w:ascii="宋体" w:hAnsi="宋体" w:eastAsia="宋体" w:cs="宋体"/>
          <w:sz w:val="22"/>
          <w:szCs w:val="22"/>
          <w:highlight w:val="none"/>
        </w:rPr>
        <w:t>3.</w:t>
      </w:r>
      <w:r>
        <w:rPr>
          <w:rFonts w:hint="eastAsia" w:ascii="宋体" w:hAnsi="宋体" w:eastAsia="宋体" w:cs="宋体"/>
          <w:sz w:val="22"/>
          <w:szCs w:val="22"/>
          <w:highlight w:val="none"/>
          <w:lang w:val="zh-TW" w:eastAsia="zh-TW"/>
        </w:rPr>
        <w:t>投标文件的修改和撤回</w:t>
      </w:r>
    </w:p>
    <w:p w14:paraId="55532994">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）供应商在投标截止时间前，可以对所递交的投标文件进行补充、修改或撤回，并书面通知。补充、修改的内容应当按照招标文件要求签署、盖章，并作为投标文件的组成部分。</w:t>
      </w:r>
    </w:p>
    <w:p w14:paraId="49DE4BB3">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）投标截止时间之后，投标文件不得撤回；如果撤回的，一年内不得参加南京公共采购信息网组织的政府采购活动。</w:t>
      </w:r>
    </w:p>
    <w:p w14:paraId="0A1E4282">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四、开标、评标与确定中标供应商</w:t>
      </w:r>
    </w:p>
    <w:p w14:paraId="464777D1">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（一）开标</w:t>
      </w:r>
    </w:p>
    <w:p w14:paraId="0F8B606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1.代理机构在招标公告中规定的时间和地点组织公开开标。</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按照《操作手册》规定参加开标活动，并在“苏采云”系统规定的时间内对投标文件进行解密。“苏采云”系统公布各</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名称和投标价格。</w:t>
      </w:r>
    </w:p>
    <w:p w14:paraId="3A279D2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在开标过程中涉及到的投标文件解密、开标结果确认等工作，应按照《操作手册》规定执行。</w:t>
      </w:r>
    </w:p>
    <w:p w14:paraId="1BBC75B0">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不足3家的，不得开标。</w:t>
      </w:r>
    </w:p>
    <w:p w14:paraId="454BAD5B">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4.供应商</w:t>
      </w:r>
      <w:r>
        <w:rPr>
          <w:rFonts w:hint="eastAsia" w:ascii="宋体" w:hAnsi="宋体" w:eastAsia="宋体" w:cs="宋体"/>
          <w:sz w:val="22"/>
          <w:szCs w:val="22"/>
          <w:highlight w:val="none"/>
        </w:rPr>
        <w:t>如果对开标过程和开标结果有疑义，应当根据《操作手册》规定提出，</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苏采云</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系统中《开标记录表》公布后5分钟内未提出的，视同认可开标结果。</w:t>
      </w:r>
    </w:p>
    <w:p w14:paraId="217F0606">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w:t>
      </w:r>
      <w:r>
        <w:rPr>
          <w:rFonts w:hint="eastAsia" w:ascii="宋体" w:hAnsi="宋体" w:eastAsia="宋体" w:cs="宋体"/>
          <w:sz w:val="22"/>
          <w:szCs w:val="22"/>
          <w:highlight w:val="none"/>
          <w:lang w:val="en-US" w:eastAsia="zh-CN"/>
        </w:rPr>
        <w:t>.</w:t>
      </w:r>
      <w:r>
        <w:rPr>
          <w:rFonts w:hint="eastAsia" w:ascii="宋体" w:hAnsi="宋体" w:eastAsia="宋体" w:cs="宋体"/>
          <w:sz w:val="22"/>
          <w:szCs w:val="22"/>
          <w:highlight w:val="none"/>
        </w:rPr>
        <w:t>公开招标数额标准以上的采购项目，投标截止后</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不足3家或者通过资格审查或符合性审查的投标人不足3家的，除采购任务取消情形外，按照以下方式处理：</w:t>
      </w:r>
    </w:p>
    <w:p w14:paraId="7A62779D">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（1）招标文件存在不合理条款或者招标程序不符合规定的，采购人、采购代理机构改正后依法重新招标；</w:t>
      </w:r>
    </w:p>
    <w:p w14:paraId="0EFA2779">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（2）招标文件没有不合理条款、招标程序符合规定，需要采用其他采购方式采购的，采购人依法报财政部门批准，经批准后，可变更为其他采购方式采购。</w:t>
      </w:r>
    </w:p>
    <w:p w14:paraId="76BC0253">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6</w:t>
      </w:r>
      <w:r>
        <w:rPr>
          <w:rFonts w:hint="eastAsia" w:ascii="宋体" w:hAnsi="宋体" w:eastAsia="宋体" w:cs="宋体"/>
          <w:sz w:val="22"/>
          <w:szCs w:val="22"/>
          <w:highlight w:val="none"/>
          <w:lang w:val="en-US" w:eastAsia="zh-CN"/>
        </w:rPr>
        <w:t>.供应商</w:t>
      </w:r>
      <w:r>
        <w:rPr>
          <w:rFonts w:hint="eastAsia" w:ascii="宋体" w:hAnsi="宋体" w:eastAsia="宋体" w:cs="宋体"/>
          <w:sz w:val="22"/>
          <w:szCs w:val="22"/>
          <w:highlight w:val="none"/>
        </w:rPr>
        <w:t>未参加开标的，视同认可开标结果。</w:t>
      </w:r>
    </w:p>
    <w:p w14:paraId="1284942D">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（二）评标</w:t>
      </w:r>
    </w:p>
    <w:p w14:paraId="5B88C1F6">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评标组织</w:t>
      </w:r>
    </w:p>
    <w:p w14:paraId="3973D23F">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）评标工作由招标代理负责组织，具体评标事务由依法组建的评标委员会负责，并独立履行下列职责：</w:t>
      </w:r>
    </w:p>
    <w:p w14:paraId="1B101C1C">
      <w:pPr>
        <w:pStyle w:val="189"/>
        <w:pageBreakBefore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w:t>
      </w:r>
      <w:r>
        <w:rPr>
          <w:rFonts w:hint="eastAsia" w:ascii="宋体" w:hAnsi="宋体" w:eastAsia="宋体" w:cs="宋体"/>
          <w:sz w:val="22"/>
          <w:szCs w:val="22"/>
          <w:highlight w:val="none"/>
          <w:lang w:val="zh-TW" w:eastAsia="zh-TW"/>
        </w:rPr>
        <w:t>审查、评价投标文件是否符合招标文件的商务、技术等实质性要求；</w:t>
      </w:r>
    </w:p>
    <w:p w14:paraId="76FCA96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要求供应商对投标文件有关事项作出澄清或者说明；</w:t>
      </w:r>
    </w:p>
    <w:p w14:paraId="2E4102F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对投标文件进行比较和评价；</w:t>
      </w:r>
    </w:p>
    <w:p w14:paraId="3BABDC75">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根据采购人委托协议直接确定中标人；</w:t>
      </w:r>
    </w:p>
    <w:p w14:paraId="6A9A2A96">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⑤向采购人、财政部门报告评标中发现的违法行为。</w:t>
      </w:r>
    </w:p>
    <w:p w14:paraId="7F73E9E1">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）评标委员会由采购人代表和有关技术、经济等方面的专家组成，独立开展评审工作。</w:t>
      </w:r>
    </w:p>
    <w:p w14:paraId="197B8F67">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评标程序</w:t>
      </w:r>
    </w:p>
    <w:p w14:paraId="678EE8F8">
      <w:pPr>
        <w:pStyle w:val="189"/>
        <w:pageBreakBefore w:val="0"/>
        <w:spacing w:line="360" w:lineRule="auto"/>
        <w:ind w:firstLine="21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）投标文件的资格审查。</w:t>
      </w:r>
    </w:p>
    <w:p w14:paraId="168BB97B">
      <w:pPr>
        <w:pStyle w:val="212"/>
        <w:pageBreakBefore w:val="0"/>
        <w:spacing w:line="360" w:lineRule="auto"/>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①采购人和采购代理机构代表将依法对供应商的资格进行审查。</w:t>
      </w:r>
    </w:p>
    <w:p w14:paraId="485EE0E1">
      <w:pPr>
        <w:pStyle w:val="212"/>
        <w:pageBreakBefore w:val="0"/>
        <w:spacing w:line="360" w:lineRule="auto"/>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资格性审查：依据法律法规和招标文件的规定，对投标文件中的资格证明文件等进行审查，以确定投标供应商是否具备投标资格。</w:t>
      </w:r>
    </w:p>
    <w:p w14:paraId="712A93A2">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在进行资格性审查的同时，将在“信用中国”网站（www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creditchina</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cn）、“中国政府采购网"(www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ccgp</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zh-TW" w:eastAsia="zh-TW"/>
        </w:rPr>
        <w:t>对供应商是否被列入失信被执行人、</w:t>
      </w:r>
      <w:r>
        <w:rPr>
          <w:rFonts w:hint="eastAsia" w:ascii="宋体" w:hAnsi="宋体" w:eastAsia="宋体" w:cs="宋体"/>
          <w:sz w:val="22"/>
          <w:szCs w:val="22"/>
          <w:highlight w:val="none"/>
          <w:lang w:val="zh-TW"/>
        </w:rPr>
        <w:t>重大税收违法失信主体</w:t>
      </w:r>
      <w:r>
        <w:rPr>
          <w:rFonts w:hint="eastAsia" w:ascii="宋体" w:hAnsi="宋体" w:eastAsia="宋体" w:cs="宋体"/>
          <w:sz w:val="22"/>
          <w:szCs w:val="22"/>
          <w:highlight w:val="none"/>
          <w:lang w:val="zh-TW" w:eastAsia="zh-TW"/>
        </w:rPr>
        <w:t>、政府采购严重违法失信行为记录名单的情况进行查询，以确定投标供应商是否具备投标资格。查询结果将以网页打印的形式留存并归档。</w:t>
      </w:r>
    </w:p>
    <w:p w14:paraId="61B5323A">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投标文件有下列情况之一的，在资格性审查时按照无效投标处理：</w:t>
      </w:r>
    </w:p>
    <w:p w14:paraId="42D6B594">
      <w:pPr>
        <w:pStyle w:val="189"/>
        <w:pageBreakBefore w:val="0"/>
        <w:widowControl/>
        <w:spacing w:line="360" w:lineRule="auto"/>
        <w:ind w:firstLine="420"/>
        <w:jc w:val="left"/>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、不具备招标文件中规定资格条件的</w:t>
      </w:r>
      <w:r>
        <w:rPr>
          <w:rFonts w:hint="eastAsia" w:ascii="宋体" w:hAnsi="宋体" w:eastAsia="宋体" w:cs="宋体"/>
          <w:sz w:val="22"/>
          <w:szCs w:val="22"/>
          <w:highlight w:val="none"/>
          <w:lang w:val="zh-TW" w:eastAsia="zh-CN"/>
        </w:rPr>
        <w:t>。</w:t>
      </w:r>
    </w:p>
    <w:p w14:paraId="50D17E2A">
      <w:pPr>
        <w:pStyle w:val="189"/>
        <w:pageBreakBefore w:val="0"/>
        <w:widowControl/>
        <w:spacing w:line="360" w:lineRule="auto"/>
        <w:ind w:firstLine="420"/>
        <w:jc w:val="left"/>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、供应商被“信用中国”网站（www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creditchina</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cn）、“中国政府采购网"(www</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ccgp</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gov</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zh-TW" w:eastAsia="zh-TW"/>
        </w:rPr>
        <w:t>cn)列入失信被执行人、</w:t>
      </w:r>
      <w:r>
        <w:rPr>
          <w:rFonts w:hint="eastAsia" w:ascii="宋体" w:hAnsi="宋体" w:eastAsia="宋体" w:cs="宋体"/>
          <w:sz w:val="22"/>
          <w:szCs w:val="22"/>
          <w:highlight w:val="none"/>
          <w:lang w:val="zh-TW"/>
        </w:rPr>
        <w:t>重大税收违法失信主体</w:t>
      </w:r>
      <w:r>
        <w:rPr>
          <w:rFonts w:hint="eastAsia" w:ascii="宋体" w:hAnsi="宋体" w:eastAsia="宋体" w:cs="宋体"/>
          <w:sz w:val="22"/>
          <w:szCs w:val="22"/>
          <w:highlight w:val="none"/>
          <w:lang w:val="zh-TW" w:eastAsia="zh-TW"/>
        </w:rPr>
        <w:t>、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p>
    <w:p w14:paraId="5550DDD7">
      <w:pPr>
        <w:pStyle w:val="190"/>
        <w:pageBreakBefore w:val="0"/>
        <w:spacing w:line="360" w:lineRule="auto"/>
        <w:ind w:firstLine="420"/>
        <w:rPr>
          <w:rFonts w:hint="eastAsia" w:ascii="宋体" w:hAnsi="宋体" w:eastAsia="宋体" w:cs="宋体"/>
          <w:color w:val="000000"/>
          <w:sz w:val="22"/>
          <w:szCs w:val="22"/>
          <w:highlight w:val="none"/>
          <w:lang w:val="zh-TW" w:eastAsia="zh-CN" w:bidi="ar-SA"/>
        </w:rPr>
      </w:pPr>
      <w:r>
        <w:rPr>
          <w:rFonts w:hint="eastAsia" w:ascii="宋体" w:hAnsi="宋体" w:eastAsia="宋体" w:cs="宋体"/>
          <w:color w:val="000000"/>
          <w:sz w:val="22"/>
          <w:szCs w:val="22"/>
          <w:highlight w:val="none"/>
          <w:lang w:val="en-US" w:eastAsia="zh-CN" w:bidi="ar-SA"/>
        </w:rPr>
        <w:t>c、供应商</w:t>
      </w:r>
      <w:r>
        <w:rPr>
          <w:rFonts w:hint="eastAsia" w:ascii="宋体" w:hAnsi="宋体" w:eastAsia="宋体" w:cs="宋体"/>
          <w:color w:val="000000"/>
          <w:sz w:val="22"/>
          <w:szCs w:val="22"/>
          <w:highlight w:val="none"/>
          <w:lang w:val="zh-TW" w:eastAsia="zh-TW" w:bidi="ar-SA"/>
        </w:rPr>
        <w:t>在“苏采云”系统规定的时间内未成功解密电子投标文件的</w:t>
      </w:r>
      <w:r>
        <w:rPr>
          <w:rFonts w:hint="eastAsia" w:ascii="宋体" w:hAnsi="宋体" w:eastAsia="宋体" w:cs="宋体"/>
          <w:color w:val="000000"/>
          <w:sz w:val="22"/>
          <w:szCs w:val="22"/>
          <w:highlight w:val="none"/>
          <w:lang w:val="zh-TW" w:eastAsia="zh-CN" w:bidi="ar-SA"/>
        </w:rPr>
        <w:t>。</w:t>
      </w:r>
    </w:p>
    <w:p w14:paraId="13F98802">
      <w:pPr>
        <w:pStyle w:val="190"/>
        <w:pageBreakBefore w:val="0"/>
        <w:spacing w:line="360" w:lineRule="auto"/>
        <w:ind w:firstLine="420"/>
        <w:rPr>
          <w:rFonts w:hint="eastAsia" w:eastAsia="宋体"/>
          <w:sz w:val="22"/>
          <w:szCs w:val="22"/>
          <w:highlight w:val="none"/>
          <w:lang w:eastAsia="zh-CN"/>
        </w:rPr>
      </w:pPr>
      <w:r>
        <w:rPr>
          <w:rFonts w:hint="eastAsia" w:ascii="宋体" w:hAnsi="宋体" w:eastAsia="宋体" w:cs="宋体"/>
          <w:color w:val="000000"/>
          <w:sz w:val="22"/>
          <w:szCs w:val="22"/>
          <w:highlight w:val="none"/>
          <w:lang w:val="en-US" w:eastAsia="zh-CN" w:bidi="ar-SA"/>
        </w:rPr>
        <w:t>d、供应商</w:t>
      </w:r>
      <w:r>
        <w:rPr>
          <w:rFonts w:hint="eastAsia" w:ascii="宋体" w:hAnsi="宋体" w:eastAsia="宋体" w:cs="宋体"/>
          <w:color w:val="000000"/>
          <w:sz w:val="22"/>
          <w:szCs w:val="22"/>
          <w:highlight w:val="none"/>
          <w:lang w:val="zh-TW" w:eastAsia="zh-TW" w:bidi="ar-SA"/>
        </w:rPr>
        <w:t>未按照招标文件要求上传电子投标文件的</w:t>
      </w:r>
      <w:r>
        <w:rPr>
          <w:rFonts w:hint="eastAsia" w:ascii="宋体" w:hAnsi="宋体" w:eastAsia="宋体" w:cs="宋体"/>
          <w:color w:val="000000"/>
          <w:sz w:val="22"/>
          <w:szCs w:val="22"/>
          <w:highlight w:val="none"/>
          <w:lang w:val="zh-TW" w:eastAsia="zh-CN" w:bidi="ar-SA"/>
        </w:rPr>
        <w:t>。</w:t>
      </w:r>
    </w:p>
    <w:p w14:paraId="3CCAA5DA">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lang w:val="zh-TW" w:eastAsia="zh-TW"/>
        </w:rPr>
        <w:t>（</w:t>
      </w:r>
      <w:r>
        <w:rPr>
          <w:rFonts w:hint="eastAsia" w:ascii="宋体" w:hAnsi="宋体" w:eastAsia="宋体" w:cs="宋体"/>
          <w:sz w:val="22"/>
          <w:szCs w:val="22"/>
          <w:highlight w:val="none"/>
        </w:rPr>
        <w:t>2</w:t>
      </w:r>
      <w:r>
        <w:rPr>
          <w:rFonts w:hint="eastAsia" w:ascii="宋体" w:hAnsi="宋体" w:eastAsia="宋体" w:cs="宋体"/>
          <w:sz w:val="22"/>
          <w:szCs w:val="22"/>
          <w:highlight w:val="none"/>
          <w:lang w:val="zh-TW" w:eastAsia="zh-TW"/>
        </w:rPr>
        <w:t>）投标文件的符合性审查。</w:t>
      </w:r>
    </w:p>
    <w:p w14:paraId="000590E7">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①评标委员会将依据法律法规和招标文件的规定，对投标文件的有效性、完整性和对招标文件的响应程度进行审查，以确定是否对招标文件的实质性要求作出响应。</w:t>
      </w:r>
    </w:p>
    <w:p w14:paraId="2AB345CF">
      <w:pPr>
        <w:pStyle w:val="189"/>
        <w:pageBreakBefore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如果投标文件实质上没有响应招标文件的要求，评标委员会将予以拒绝，供应商不得通过修改或撤销不合要求的偏离或保留而使其投标成为实质性响应的投标。</w:t>
      </w:r>
      <w:r>
        <w:rPr>
          <w:rFonts w:hint="eastAsia" w:ascii="宋体" w:hAnsi="宋体" w:eastAsia="宋体" w:cs="宋体"/>
          <w:sz w:val="22"/>
          <w:szCs w:val="22"/>
          <w:highlight w:val="none"/>
          <w:lang w:val="zh-TW" w:eastAsia="zh-CN"/>
        </w:rPr>
        <w:t>（实质性要求是指本招标文件中带“★”以及招标文件中用“必须”或“应（应当）”等其他文字说明的商务和技术要求。）</w:t>
      </w:r>
    </w:p>
    <w:p w14:paraId="20A311F3">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投标文件有下列情况之一的，在符合性审查时按照无效投标处理：</w:t>
      </w:r>
    </w:p>
    <w:p w14:paraId="6F698649">
      <w:pPr>
        <w:pStyle w:val="189"/>
        <w:pageBreakBefore w:val="0"/>
        <w:widowControl/>
        <w:spacing w:line="360" w:lineRule="auto"/>
        <w:ind w:firstLine="420"/>
        <w:jc w:val="left"/>
        <w:rPr>
          <w:rFonts w:ascii="宋体" w:hAnsi="宋体" w:eastAsia="宋体" w:cs="宋体"/>
          <w:sz w:val="22"/>
          <w:szCs w:val="22"/>
          <w:highlight w:val="none"/>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w:t>
      </w:r>
      <w:r>
        <w:rPr>
          <w:rFonts w:ascii="宋体" w:hAnsi="宋体" w:eastAsia="宋体" w:cs="宋体"/>
          <w:color w:val="000000"/>
          <w:sz w:val="22"/>
          <w:szCs w:val="22"/>
          <w:highlight w:val="none"/>
        </w:rPr>
        <w:t>未按照招标文件要求加盖电子公章的</w:t>
      </w:r>
      <w:r>
        <w:rPr>
          <w:rFonts w:hint="eastAsia" w:ascii="宋体" w:hAnsi="宋体" w:eastAsia="宋体" w:cs="宋体"/>
          <w:sz w:val="22"/>
          <w:szCs w:val="22"/>
          <w:highlight w:val="none"/>
          <w:lang w:val="zh-TW" w:eastAsia="zh-TW"/>
        </w:rPr>
        <w:t>；</w:t>
      </w:r>
    </w:p>
    <w:p w14:paraId="28E7C23C">
      <w:pPr>
        <w:pStyle w:val="189"/>
        <w:pageBreakBefore w:val="0"/>
        <w:widowControl/>
        <w:spacing w:line="360" w:lineRule="auto"/>
        <w:ind w:firstLine="420"/>
        <w:jc w:val="left"/>
        <w:rPr>
          <w:rFonts w:ascii="宋体" w:hAnsi="宋体" w:eastAsia="宋体" w:cs="宋体"/>
          <w:sz w:val="22"/>
          <w:szCs w:val="22"/>
          <w:highlight w:val="none"/>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、投标总</w:t>
      </w:r>
      <w:r>
        <w:rPr>
          <w:rFonts w:hint="eastAsia" w:eastAsia="宋体"/>
          <w:sz w:val="22"/>
          <w:szCs w:val="22"/>
          <w:highlight w:val="none"/>
          <w:lang w:val="zh-TW" w:eastAsia="zh-TW"/>
        </w:rPr>
        <w:t>价超出采购预算金额或者最高限价的</w:t>
      </w:r>
      <w:r>
        <w:rPr>
          <w:rFonts w:hint="eastAsia" w:eastAsia="宋体"/>
          <w:sz w:val="22"/>
          <w:szCs w:val="22"/>
          <w:highlight w:val="none"/>
          <w:lang w:val="zh-TW" w:eastAsia="zh-CN"/>
        </w:rPr>
        <w:t>，同一</w:t>
      </w:r>
      <w:r>
        <w:rPr>
          <w:rFonts w:hint="eastAsia" w:eastAsia="宋体"/>
          <w:sz w:val="22"/>
          <w:szCs w:val="22"/>
          <w:highlight w:val="none"/>
          <w:lang w:val="en-US" w:eastAsia="zh-CN"/>
        </w:rPr>
        <w:t>供应商</w:t>
      </w:r>
      <w:r>
        <w:rPr>
          <w:rFonts w:hint="eastAsia" w:eastAsia="宋体"/>
          <w:sz w:val="22"/>
          <w:szCs w:val="22"/>
          <w:highlight w:val="none"/>
          <w:lang w:val="zh-TW" w:eastAsia="zh-CN"/>
        </w:rPr>
        <w:t>提交两个（含两个）以上不同的投标报价的（招标文件规定允许递交备选方案的除外）</w:t>
      </w:r>
      <w:r>
        <w:rPr>
          <w:rFonts w:hint="eastAsia" w:eastAsia="宋体"/>
          <w:sz w:val="22"/>
          <w:szCs w:val="22"/>
          <w:highlight w:val="none"/>
          <w:lang w:val="zh-TW" w:eastAsia="zh-TW"/>
        </w:rPr>
        <w:t>；</w:t>
      </w:r>
    </w:p>
    <w:p w14:paraId="526FF53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c</w:t>
      </w:r>
      <w:r>
        <w:rPr>
          <w:rFonts w:hint="eastAsia" w:eastAsia="宋体"/>
          <w:sz w:val="22"/>
          <w:szCs w:val="22"/>
          <w:highlight w:val="none"/>
          <w:lang w:val="zh-TW" w:eastAsia="zh-TW"/>
        </w:rPr>
        <w:t>、不同供应商的投标文件由同一单位或者个人编制；</w:t>
      </w:r>
    </w:p>
    <w:p w14:paraId="65E4CF85">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d</w:t>
      </w:r>
      <w:r>
        <w:rPr>
          <w:rFonts w:hint="eastAsia" w:eastAsia="宋体"/>
          <w:sz w:val="22"/>
          <w:szCs w:val="22"/>
          <w:highlight w:val="none"/>
          <w:lang w:val="zh-TW" w:eastAsia="zh-TW"/>
        </w:rPr>
        <w:t>、不同供应商委托同一单位或者个人办理投标事宜；</w:t>
      </w:r>
    </w:p>
    <w:p w14:paraId="47312FBC">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e</w:t>
      </w:r>
      <w:r>
        <w:rPr>
          <w:rFonts w:hint="eastAsia" w:eastAsia="宋体"/>
          <w:sz w:val="22"/>
          <w:szCs w:val="22"/>
          <w:highlight w:val="none"/>
          <w:lang w:val="zh-TW" w:eastAsia="zh-TW"/>
        </w:rPr>
        <w:t>、不同供应商的投标文件载明的项目管理成员或者联系人员为同一人；</w:t>
      </w:r>
    </w:p>
    <w:p w14:paraId="14C0B6C6">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f</w:t>
      </w:r>
      <w:r>
        <w:rPr>
          <w:rFonts w:hint="eastAsia" w:eastAsia="宋体"/>
          <w:sz w:val="22"/>
          <w:szCs w:val="22"/>
          <w:highlight w:val="none"/>
          <w:lang w:val="zh-TW" w:eastAsia="zh-TW"/>
        </w:rPr>
        <w:t>、不同供应商的投标文件异常一致或者投标报价呈规律性差异；</w:t>
      </w:r>
    </w:p>
    <w:p w14:paraId="4B40B56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g</w:t>
      </w:r>
      <w:r>
        <w:rPr>
          <w:rFonts w:hint="eastAsia" w:eastAsia="宋体"/>
          <w:sz w:val="22"/>
          <w:szCs w:val="22"/>
          <w:highlight w:val="none"/>
          <w:lang w:val="zh-TW" w:eastAsia="zh-TW"/>
        </w:rPr>
        <w:t>、不同供应商的投标文件相互混装；</w:t>
      </w:r>
    </w:p>
    <w:p w14:paraId="175B0B3F">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h</w:t>
      </w:r>
      <w:r>
        <w:rPr>
          <w:rFonts w:hint="eastAsia" w:eastAsia="宋体"/>
          <w:sz w:val="22"/>
          <w:szCs w:val="22"/>
          <w:highlight w:val="none"/>
          <w:lang w:val="zh-TW" w:eastAsia="zh-TW"/>
        </w:rPr>
        <w:t>、评标委员会认为供应商的报价低于完成本服务项目发生的所有含税费用、支付给员工的工资（不得低于供应商所在地最低工资标准）和国家强制缴纳的各种社会保障资金、公积金，以及供应商认为需要的其他费用等。或供应商的报价明显低于其他通过符合性审查供应商的报价，有可能影响服务质量或者不能诚信履约的，未在评标现场合理的时间内提供书面说明或相关证明材料，不能证明其报价合理的；</w:t>
      </w:r>
    </w:p>
    <w:p w14:paraId="5AE1ADAC">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i</w:t>
      </w:r>
      <w:r>
        <w:rPr>
          <w:rFonts w:hint="eastAsia" w:eastAsia="宋体"/>
          <w:sz w:val="22"/>
          <w:szCs w:val="22"/>
          <w:highlight w:val="none"/>
          <w:lang w:val="zh-TW" w:eastAsia="zh-TW"/>
        </w:rPr>
        <w:t>、不同供应商的法定代表人或委托代理人有夫妻、直系血亲关系的；</w:t>
      </w:r>
    </w:p>
    <w:p w14:paraId="30BC16FF">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j</w:t>
      </w:r>
      <w:r>
        <w:rPr>
          <w:rFonts w:hint="eastAsia" w:eastAsia="宋体"/>
          <w:sz w:val="22"/>
          <w:szCs w:val="22"/>
          <w:highlight w:val="none"/>
          <w:lang w:val="zh-TW" w:eastAsia="zh-TW"/>
        </w:rPr>
        <w:t>、不同供应商的负责人为同一人或者存在控股、管理关系的；</w:t>
      </w:r>
    </w:p>
    <w:p w14:paraId="1B75B4EF">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k</w:t>
      </w:r>
      <w:r>
        <w:rPr>
          <w:rFonts w:hint="eastAsia" w:eastAsia="宋体"/>
          <w:sz w:val="22"/>
          <w:szCs w:val="22"/>
          <w:highlight w:val="none"/>
          <w:lang w:val="zh-TW" w:eastAsia="zh-TW"/>
        </w:rPr>
        <w:t>、</w:t>
      </w:r>
      <w:r>
        <w:rPr>
          <w:rFonts w:ascii="宋体" w:hAnsi="宋体" w:eastAsia="宋体" w:cs="宋体"/>
          <w:color w:val="000000"/>
          <w:sz w:val="22"/>
          <w:szCs w:val="22"/>
          <w:highlight w:val="none"/>
        </w:rPr>
        <w:t>不满足招标文件加</w:t>
      </w:r>
      <w:r>
        <w:rPr>
          <w:rFonts w:ascii="宋体" w:hAnsi="宋体" w:eastAsia="宋体" w:cs="宋体"/>
          <w:b/>
          <w:color w:val="000000"/>
          <w:sz w:val="22"/>
          <w:szCs w:val="22"/>
          <w:highlight w:val="none"/>
        </w:rPr>
        <w:t>★</w:t>
      </w:r>
      <w:r>
        <w:rPr>
          <w:rFonts w:ascii="宋体" w:hAnsi="宋体" w:eastAsia="宋体" w:cs="宋体"/>
          <w:color w:val="000000"/>
          <w:sz w:val="22"/>
          <w:szCs w:val="22"/>
          <w:highlight w:val="none"/>
        </w:rPr>
        <w:t>条款的</w:t>
      </w:r>
      <w:r>
        <w:rPr>
          <w:rFonts w:hint="eastAsia" w:eastAsia="宋体"/>
          <w:sz w:val="22"/>
          <w:szCs w:val="22"/>
          <w:highlight w:val="none"/>
          <w:lang w:val="zh-TW" w:eastAsia="zh-TW"/>
        </w:rPr>
        <w:t>；</w:t>
      </w:r>
    </w:p>
    <w:p w14:paraId="45DF653F">
      <w:pPr>
        <w:pStyle w:val="189"/>
        <w:pageBreakBefore w:val="0"/>
        <w:widowControl/>
        <w:spacing w:line="360" w:lineRule="auto"/>
        <w:ind w:firstLine="420"/>
        <w:jc w:val="left"/>
        <w:rPr>
          <w:rFonts w:ascii="宋体" w:hAnsi="宋体" w:eastAsia="宋体" w:cs="宋体"/>
          <w:sz w:val="22"/>
          <w:szCs w:val="22"/>
          <w:highlight w:val="none"/>
        </w:rPr>
      </w:pPr>
      <w:r>
        <w:rPr>
          <w:rFonts w:ascii="宋体" w:hAnsi="宋体"/>
          <w:sz w:val="22"/>
          <w:szCs w:val="22"/>
          <w:highlight w:val="none"/>
        </w:rPr>
        <w:t>l</w:t>
      </w:r>
      <w:r>
        <w:rPr>
          <w:rFonts w:hint="eastAsia" w:eastAsia="宋体"/>
          <w:sz w:val="22"/>
          <w:szCs w:val="22"/>
          <w:highlight w:val="none"/>
          <w:lang w:val="zh-TW" w:eastAsia="zh-TW"/>
        </w:rPr>
        <w:t>、不同供应商的委托代理人</w:t>
      </w:r>
      <w:r>
        <w:rPr>
          <w:rFonts w:ascii="宋体" w:hAnsi="宋体"/>
          <w:sz w:val="22"/>
          <w:szCs w:val="22"/>
          <w:highlight w:val="none"/>
        </w:rPr>
        <w:t>(</w:t>
      </w:r>
      <w:r>
        <w:rPr>
          <w:rFonts w:hint="eastAsia" w:eastAsia="宋体"/>
          <w:sz w:val="22"/>
          <w:szCs w:val="22"/>
          <w:highlight w:val="none"/>
          <w:lang w:val="zh-TW" w:eastAsia="zh-TW"/>
        </w:rPr>
        <w:t>或法定代表人、项目经理、项目总监、项目负责人等</w:t>
      </w:r>
      <w:r>
        <w:rPr>
          <w:rFonts w:ascii="宋体" w:hAnsi="宋体"/>
          <w:sz w:val="22"/>
          <w:szCs w:val="22"/>
          <w:highlight w:val="none"/>
        </w:rPr>
        <w:t>)</w:t>
      </w:r>
      <w:r>
        <w:rPr>
          <w:rFonts w:hint="eastAsia" w:eastAsia="宋体"/>
          <w:sz w:val="22"/>
          <w:szCs w:val="22"/>
          <w:highlight w:val="none"/>
          <w:lang w:val="zh-TW" w:eastAsia="zh-TW"/>
        </w:rPr>
        <w:t>在采购文件发布日上月至投标截止日当月在同一单位缴纳社会保险的；</w:t>
      </w:r>
    </w:p>
    <w:p w14:paraId="0CB6F2B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m</w:t>
      </w:r>
      <w:r>
        <w:rPr>
          <w:rFonts w:hint="eastAsia" w:eastAsia="宋体"/>
          <w:sz w:val="22"/>
          <w:szCs w:val="22"/>
          <w:highlight w:val="none"/>
          <w:lang w:val="zh-TW" w:eastAsia="zh-TW"/>
        </w:rPr>
        <w:t>、服务承诺和付款条件未响应招标要求的；</w:t>
      </w:r>
    </w:p>
    <w:p w14:paraId="0281B333">
      <w:pPr>
        <w:pStyle w:val="189"/>
        <w:pageBreakBefore w:val="0"/>
        <w:spacing w:line="360" w:lineRule="auto"/>
        <w:ind w:firstLine="420"/>
        <w:rPr>
          <w:rFonts w:eastAsia="宋体"/>
          <w:sz w:val="22"/>
          <w:szCs w:val="22"/>
          <w:highlight w:val="none"/>
          <w:lang w:val="zh-TW" w:eastAsia="zh-TW"/>
        </w:rPr>
      </w:pPr>
      <w:r>
        <w:rPr>
          <w:rFonts w:ascii="宋体" w:hAnsi="宋体"/>
          <w:sz w:val="22"/>
          <w:szCs w:val="22"/>
          <w:highlight w:val="none"/>
        </w:rPr>
        <w:t>n</w:t>
      </w:r>
      <w:r>
        <w:rPr>
          <w:rFonts w:hint="eastAsia" w:eastAsia="宋体"/>
          <w:sz w:val="22"/>
          <w:szCs w:val="22"/>
          <w:highlight w:val="none"/>
          <w:lang w:val="zh-TW" w:eastAsia="zh-TW"/>
        </w:rPr>
        <w:t>、投标文件含有采购人不能接受的附加条件的；</w:t>
      </w:r>
    </w:p>
    <w:p w14:paraId="063A7C93">
      <w:pPr>
        <w:pStyle w:val="189"/>
        <w:pageBreakBefore w:val="0"/>
        <w:spacing w:line="360" w:lineRule="auto"/>
        <w:ind w:firstLine="420"/>
        <w:rPr>
          <w:rFonts w:eastAsia="宋体"/>
          <w:sz w:val="22"/>
          <w:szCs w:val="22"/>
          <w:highlight w:val="none"/>
          <w:lang w:val="zh-TW" w:eastAsia="zh-TW"/>
        </w:rPr>
      </w:pPr>
      <w:r>
        <w:rPr>
          <w:rFonts w:ascii="宋体" w:hAnsi="宋体"/>
          <w:sz w:val="22"/>
          <w:szCs w:val="22"/>
          <w:highlight w:val="none"/>
        </w:rPr>
        <w:t>o</w:t>
      </w:r>
      <w:r>
        <w:rPr>
          <w:rFonts w:hint="eastAsia" w:eastAsia="宋体"/>
          <w:sz w:val="22"/>
          <w:szCs w:val="22"/>
          <w:highlight w:val="none"/>
          <w:lang w:val="zh-TW" w:eastAsia="zh-TW"/>
        </w:rPr>
        <w:t>、</w:t>
      </w:r>
      <w:r>
        <w:rPr>
          <w:rFonts w:hint="eastAsia" w:eastAsia="宋体"/>
          <w:b/>
          <w:bCs/>
          <w:sz w:val="22"/>
          <w:szCs w:val="22"/>
          <w:highlight w:val="none"/>
          <w:lang w:val="zh-TW" w:eastAsia="zh-TW"/>
        </w:rPr>
        <w:t>招标文件《第五章：合同条款及格式》条款不允许任何一项负偏离，否则投标无效。</w:t>
      </w:r>
    </w:p>
    <w:p w14:paraId="5C4412D9">
      <w:pPr>
        <w:pStyle w:val="189"/>
        <w:pageBreakBefore w:val="0"/>
        <w:spacing w:line="360" w:lineRule="auto"/>
        <w:ind w:firstLine="420"/>
        <w:rPr>
          <w:rFonts w:hint="eastAsia" w:eastAsia="宋体"/>
          <w:sz w:val="22"/>
          <w:szCs w:val="22"/>
          <w:highlight w:val="none"/>
          <w:lang w:val="zh-TW" w:eastAsia="zh-CN"/>
        </w:rPr>
      </w:pPr>
      <w:r>
        <w:rPr>
          <w:rFonts w:hint="eastAsia" w:ascii="宋体" w:hAnsi="宋体" w:eastAsia="宋体"/>
          <w:sz w:val="22"/>
          <w:szCs w:val="22"/>
          <w:highlight w:val="none"/>
        </w:rPr>
        <w:t>p</w:t>
      </w:r>
      <w:r>
        <w:rPr>
          <w:rFonts w:hint="eastAsia" w:eastAsia="宋体"/>
          <w:sz w:val="22"/>
          <w:szCs w:val="22"/>
          <w:highlight w:val="none"/>
          <w:lang w:val="zh-TW" w:eastAsia="zh-TW"/>
        </w:rPr>
        <w:t>、投标人在“苏采云”系统规定的时间内未成功解密电子投标文件的</w:t>
      </w:r>
      <w:r>
        <w:rPr>
          <w:rFonts w:hint="eastAsia" w:eastAsia="宋体"/>
          <w:sz w:val="22"/>
          <w:szCs w:val="22"/>
          <w:highlight w:val="none"/>
          <w:lang w:val="zh-TW" w:eastAsia="zh-CN"/>
        </w:rPr>
        <w:t>；</w:t>
      </w:r>
    </w:p>
    <w:p w14:paraId="1DED11B3">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sz w:val="22"/>
          <w:szCs w:val="22"/>
          <w:highlight w:val="none"/>
          <w:lang w:val="en-US" w:eastAsia="zh-CN"/>
        </w:rPr>
        <w:t>q、</w:t>
      </w:r>
      <w:r>
        <w:rPr>
          <w:rFonts w:hint="eastAsia" w:ascii="宋体" w:hAnsi="宋体" w:eastAsia="宋体"/>
          <w:sz w:val="22"/>
          <w:szCs w:val="22"/>
          <w:highlight w:val="none"/>
          <w:lang w:val="zh-TW" w:eastAsia="zh-TW"/>
        </w:rPr>
        <w:t>不</w:t>
      </w:r>
      <w:r>
        <w:rPr>
          <w:rFonts w:hint="eastAsia" w:eastAsia="宋体"/>
          <w:sz w:val="22"/>
          <w:szCs w:val="22"/>
          <w:highlight w:val="none"/>
          <w:lang w:val="zh-TW" w:eastAsia="zh-TW"/>
        </w:rPr>
        <w:t>符合法律、法规和招标文件规定的其他无效情形。</w:t>
      </w:r>
    </w:p>
    <w:p w14:paraId="788ED7C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④</w:t>
      </w:r>
      <w:r>
        <w:rPr>
          <w:rFonts w:hint="eastAsia" w:eastAsia="宋体"/>
          <w:sz w:val="22"/>
          <w:szCs w:val="22"/>
          <w:highlight w:val="none"/>
          <w:lang w:val="zh-TW" w:eastAsia="zh-TW"/>
        </w:rPr>
        <w:t>在评标期间，出现符合专业条件的供应商或者对招标文件作出实质性响应的供应商不足三家情形的，比照</w:t>
      </w:r>
      <w:r>
        <w:rPr>
          <w:rFonts w:hint="eastAsia" w:ascii="宋体" w:hAnsi="宋体" w:eastAsia="宋体"/>
          <w:sz w:val="22"/>
          <w:szCs w:val="22"/>
          <w:highlight w:val="none"/>
          <w:lang w:val="en-US" w:eastAsia="zh-CN"/>
        </w:rPr>
        <w:t>招标文件</w:t>
      </w:r>
      <w:r>
        <w:rPr>
          <w:rFonts w:hint="eastAsia" w:eastAsia="宋体"/>
          <w:sz w:val="22"/>
          <w:szCs w:val="22"/>
          <w:highlight w:val="none"/>
          <w:lang w:val="zh-TW" w:eastAsia="zh-TW"/>
        </w:rPr>
        <w:t>执行。</w:t>
      </w:r>
    </w:p>
    <w:p w14:paraId="6943484F">
      <w:pPr>
        <w:pStyle w:val="189"/>
        <w:pageBreakBefore w:val="0"/>
        <w:spacing w:line="360" w:lineRule="auto"/>
        <w:ind w:firstLine="420"/>
        <w:rPr>
          <w:rFonts w:ascii="宋体" w:hAnsi="宋体" w:eastAsia="宋体" w:cs="宋体"/>
          <w:sz w:val="22"/>
          <w:szCs w:val="22"/>
          <w:highlight w:val="none"/>
          <w:lang w:val="zh-TW" w:eastAsia="zh-TW"/>
        </w:rPr>
      </w:pPr>
      <w:r>
        <w:rPr>
          <w:rFonts w:ascii="宋体" w:hAnsi="宋体"/>
          <w:sz w:val="22"/>
          <w:szCs w:val="22"/>
          <w:highlight w:val="none"/>
          <w:lang w:val="zh-TW" w:eastAsia="zh-TW"/>
        </w:rPr>
        <w:t>⑤</w:t>
      </w:r>
      <w:r>
        <w:rPr>
          <w:rFonts w:hint="eastAsia" w:eastAsia="宋体"/>
          <w:sz w:val="22"/>
          <w:szCs w:val="22"/>
          <w:highlight w:val="none"/>
          <w:lang w:val="zh-TW" w:eastAsia="zh-TW"/>
        </w:rPr>
        <w:t>有下列情形之一的予以</w:t>
      </w:r>
      <w:r>
        <w:rPr>
          <w:rFonts w:hint="eastAsia" w:eastAsia="SimSong Bold"/>
          <w:sz w:val="22"/>
          <w:szCs w:val="22"/>
          <w:highlight w:val="none"/>
          <w:lang w:val="zh-TW" w:eastAsia="zh-TW"/>
        </w:rPr>
        <w:t>废标</w:t>
      </w:r>
      <w:r>
        <w:rPr>
          <w:rFonts w:hint="eastAsia" w:eastAsia="宋体"/>
          <w:sz w:val="22"/>
          <w:szCs w:val="22"/>
          <w:highlight w:val="none"/>
          <w:lang w:val="zh-TW" w:eastAsia="zh-TW"/>
        </w:rPr>
        <w:t>，同时将废标理由通知所有供应商：</w:t>
      </w:r>
    </w:p>
    <w:p w14:paraId="5E0E90E9">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a</w:t>
      </w:r>
      <w:r>
        <w:rPr>
          <w:rFonts w:hint="eastAsia" w:eastAsia="宋体"/>
          <w:sz w:val="22"/>
          <w:szCs w:val="22"/>
          <w:highlight w:val="none"/>
          <w:lang w:val="zh-TW" w:eastAsia="zh-TW"/>
        </w:rPr>
        <w:t>、符合专业条件的供应商或者对招标文件作实质性响应的供应商不足三家的；</w:t>
      </w:r>
    </w:p>
    <w:p w14:paraId="2FAF41AB">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b</w:t>
      </w:r>
      <w:r>
        <w:rPr>
          <w:rFonts w:hint="eastAsia" w:ascii="宋体" w:hAnsi="宋体" w:eastAsia="宋体" w:cs="宋体"/>
          <w:sz w:val="22"/>
          <w:szCs w:val="22"/>
          <w:highlight w:val="none"/>
          <w:lang w:val="zh-TW" w:eastAsia="zh-TW"/>
        </w:rPr>
        <w:t>、出现影响采购公正的违法、违规行为的；</w:t>
      </w:r>
    </w:p>
    <w:p w14:paraId="1066B98E">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c</w:t>
      </w:r>
      <w:r>
        <w:rPr>
          <w:rFonts w:hint="eastAsia" w:ascii="宋体" w:hAnsi="宋体" w:eastAsia="宋体" w:cs="宋体"/>
          <w:sz w:val="22"/>
          <w:szCs w:val="22"/>
          <w:highlight w:val="none"/>
          <w:lang w:val="zh-TW" w:eastAsia="zh-TW"/>
        </w:rPr>
        <w:t>、供应商的报价均超过了采购预算或最高限价的，采购人不能支付的；</w:t>
      </w:r>
    </w:p>
    <w:p w14:paraId="7E7673B8">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d</w:t>
      </w:r>
      <w:r>
        <w:rPr>
          <w:rFonts w:hint="eastAsia" w:ascii="宋体" w:hAnsi="宋体" w:eastAsia="宋体" w:cs="宋体"/>
          <w:sz w:val="22"/>
          <w:szCs w:val="22"/>
          <w:highlight w:val="none"/>
          <w:lang w:val="zh-TW" w:eastAsia="zh-TW"/>
        </w:rPr>
        <w:t>、因重大变故，采购任务取消的；</w:t>
      </w:r>
    </w:p>
    <w:p w14:paraId="3B50C3CE">
      <w:pPr>
        <w:pStyle w:val="189"/>
        <w:pageBreakBefore w:val="0"/>
        <w:widowControl/>
        <w:spacing w:line="360" w:lineRule="auto"/>
        <w:ind w:firstLine="420"/>
        <w:rPr>
          <w:rFonts w:hint="eastAsia" w:ascii="宋体" w:hAnsi="宋体" w:eastAsia="宋体" w:cs="宋体"/>
          <w:sz w:val="22"/>
          <w:szCs w:val="22"/>
          <w:highlight w:val="none"/>
          <w:lang w:val="zh-TW" w:eastAsia="zh-CN"/>
        </w:rPr>
      </w:pPr>
      <w:r>
        <w:rPr>
          <w:rFonts w:hint="eastAsia" w:ascii="宋体" w:hAnsi="宋体" w:eastAsia="宋体" w:cs="宋体"/>
          <w:sz w:val="22"/>
          <w:szCs w:val="22"/>
          <w:highlight w:val="none"/>
        </w:rPr>
        <w:t>e</w:t>
      </w:r>
      <w:r>
        <w:rPr>
          <w:rFonts w:hint="eastAsia" w:ascii="宋体" w:hAnsi="宋体" w:eastAsia="宋体" w:cs="宋体"/>
          <w:sz w:val="22"/>
          <w:szCs w:val="22"/>
          <w:highlight w:val="none"/>
          <w:lang w:val="zh-TW" w:eastAsia="zh-TW"/>
        </w:rPr>
        <w:t>、投标文件存在歧义、重大缺陷，或者招标文件内容违反国家有关强制性规定的</w:t>
      </w:r>
      <w:r>
        <w:rPr>
          <w:rFonts w:hint="eastAsia" w:ascii="宋体" w:hAnsi="宋体" w:eastAsia="宋体" w:cs="宋体"/>
          <w:sz w:val="22"/>
          <w:szCs w:val="22"/>
          <w:highlight w:val="none"/>
          <w:lang w:val="zh-TW" w:eastAsia="zh-CN"/>
        </w:rPr>
        <w:t>；</w:t>
      </w:r>
    </w:p>
    <w:p w14:paraId="07337E31">
      <w:pPr>
        <w:pStyle w:val="189"/>
        <w:pageBreakBefore w:val="0"/>
        <w:widowControl/>
        <w:spacing w:line="360" w:lineRule="auto"/>
        <w:ind w:firstLine="420"/>
        <w:rPr>
          <w:rFonts w:hint="eastAsia" w:ascii="宋体" w:hAnsi="宋体" w:eastAsia="宋体" w:cs="宋体"/>
          <w:color w:val="000000"/>
          <w:sz w:val="22"/>
          <w:szCs w:val="22"/>
          <w:highlight w:val="none"/>
          <w:lang w:eastAsia="zh-CN"/>
        </w:rPr>
      </w:pPr>
      <w:r>
        <w:rPr>
          <w:rFonts w:hint="eastAsia" w:ascii="宋体" w:hAnsi="宋体" w:eastAsia="宋体" w:cs="宋体"/>
          <w:sz w:val="22"/>
          <w:szCs w:val="22"/>
          <w:highlight w:val="none"/>
          <w:lang w:val="en-US" w:eastAsia="zh-CN"/>
        </w:rPr>
        <w:t>f、</w:t>
      </w:r>
      <w:r>
        <w:rPr>
          <w:rFonts w:ascii="宋体" w:hAnsi="宋体" w:eastAsia="宋体" w:cs="宋体"/>
          <w:color w:val="000000"/>
          <w:sz w:val="22"/>
          <w:szCs w:val="22"/>
          <w:highlight w:val="none"/>
        </w:rPr>
        <w:t>因苏采云系统故障造成开标不成功的</w:t>
      </w:r>
      <w:r>
        <w:rPr>
          <w:rFonts w:hint="eastAsia" w:ascii="宋体" w:hAnsi="宋体" w:eastAsia="宋体" w:cs="宋体"/>
          <w:color w:val="000000"/>
          <w:sz w:val="22"/>
          <w:szCs w:val="22"/>
          <w:highlight w:val="none"/>
          <w:lang w:eastAsia="zh-CN"/>
        </w:rPr>
        <w:t>；</w:t>
      </w:r>
    </w:p>
    <w:p w14:paraId="283388CD">
      <w:pPr>
        <w:pStyle w:val="190"/>
        <w:pageBreakBefore w:val="0"/>
        <w:spacing w:line="360" w:lineRule="auto"/>
        <w:ind w:firstLine="420"/>
        <w:rPr>
          <w:rFonts w:hint="eastAsia" w:ascii="宋体" w:hAnsi="宋体" w:eastAsia="宋体" w:cs="宋体"/>
          <w:color w:val="000000"/>
          <w:sz w:val="22"/>
          <w:szCs w:val="22"/>
          <w:highlight w:val="none"/>
          <w:lang w:val="en-US" w:eastAsia="zh-CN" w:bidi="ar-SA"/>
        </w:rPr>
      </w:pPr>
      <w:r>
        <w:rPr>
          <w:rFonts w:ascii="宋体" w:hAnsi="宋体" w:eastAsia="宋体" w:cs="宋体"/>
          <w:color w:val="000000"/>
          <w:sz w:val="22"/>
          <w:szCs w:val="22"/>
          <w:highlight w:val="none"/>
          <w:lang w:val="en-US" w:eastAsia="zh-CN" w:bidi="ar-SA"/>
        </w:rPr>
        <w:t>g</w:t>
      </w:r>
      <w:r>
        <w:rPr>
          <w:rFonts w:hint="eastAsia" w:ascii="宋体" w:hAnsi="宋体" w:eastAsia="宋体" w:cs="宋体"/>
          <w:color w:val="000000"/>
          <w:sz w:val="22"/>
          <w:szCs w:val="22"/>
          <w:highlight w:val="none"/>
          <w:lang w:val="zh-TW" w:eastAsia="zh-TW" w:bidi="ar-SA"/>
        </w:rPr>
        <w:t>、</w:t>
      </w:r>
      <w:r>
        <w:rPr>
          <w:rFonts w:hint="eastAsia" w:ascii="宋体" w:hAnsi="宋体" w:eastAsia="宋体" w:cs="宋体"/>
          <w:color w:val="000000"/>
          <w:sz w:val="22"/>
          <w:szCs w:val="22"/>
          <w:highlight w:val="none"/>
          <w:lang w:val="en-US" w:eastAsia="zh-CN" w:bidi="ar-SA"/>
        </w:rPr>
        <w:t>投标人以明显低于其他通过符合性审查投标人的报价，有可能影响产品质量或者不能诚信履约的，且不能证明其报价合理性的。</w:t>
      </w:r>
    </w:p>
    <w:p w14:paraId="1388EA62">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zh-TW" w:eastAsia="zh-TW"/>
        </w:rPr>
        <w:t>投标文件的进一步评审。</w:t>
      </w:r>
    </w:p>
    <w:p w14:paraId="58621E2A">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①评标委员会将对确定为实质性响应的投标文件进行进一步评审，看其是否有计算上或累加上的算术错误，修正错误的原则如下：</w:t>
      </w:r>
    </w:p>
    <w:p w14:paraId="50513DEF">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a</w:t>
      </w:r>
      <w:r>
        <w:rPr>
          <w:rFonts w:hint="eastAsia" w:ascii="宋体" w:hAnsi="宋体" w:eastAsia="宋体" w:cs="宋体"/>
          <w:sz w:val="22"/>
          <w:szCs w:val="22"/>
          <w:highlight w:val="none"/>
          <w:lang w:val="zh-TW" w:eastAsia="zh-TW"/>
        </w:rPr>
        <w:t>、如果用数字表示的金额和用文字表示的金额不一致时，应以文字表示的金额为准进行修正；</w:t>
      </w:r>
    </w:p>
    <w:p w14:paraId="04916C58">
      <w:pPr>
        <w:pStyle w:val="189"/>
        <w:pageBreakBefore w:val="0"/>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b、当单价与数量的乘积和总价不一致时，以单价为准进行修正。只有在评委会认为单价有明显的小数点错误时，才能以标出的总价为准，并修改单价。</w:t>
      </w:r>
    </w:p>
    <w:p w14:paraId="56710029">
      <w:pPr>
        <w:pStyle w:val="189"/>
        <w:pageBreakBefore w:val="0"/>
        <w:spacing w:line="360" w:lineRule="auto"/>
        <w:ind w:firstLine="420"/>
        <w:rPr>
          <w:rFonts w:hint="eastAsia" w:ascii="宋体" w:hAnsi="宋体" w:eastAsia="宋体" w:cs="宋体"/>
          <w:sz w:val="22"/>
          <w:szCs w:val="22"/>
          <w:highlight w:val="none"/>
          <w:lang w:val="en-US" w:eastAsia="zh-CN"/>
        </w:rPr>
      </w:pPr>
      <w:r>
        <w:rPr>
          <w:rFonts w:hint="eastAsia" w:ascii="宋体" w:hAnsi="宋体" w:eastAsia="宋体" w:cs="宋体"/>
          <w:sz w:val="22"/>
          <w:szCs w:val="22"/>
          <w:highlight w:val="none"/>
          <w:lang w:val="en-US" w:eastAsia="zh-CN"/>
        </w:rPr>
        <w:t>c、</w:t>
      </w:r>
      <w:r>
        <w:rPr>
          <w:rFonts w:hint="eastAsia" w:ascii="宋体" w:hAnsi="宋体" w:eastAsia="宋体" w:cs="宋体"/>
          <w:sz w:val="22"/>
          <w:szCs w:val="22"/>
          <w:highlight w:val="none"/>
          <w:lang w:val="zh-TW" w:eastAsia="zh-TW"/>
        </w:rPr>
        <w:t>对不同文字文本投标文件的解释发生异议的，以中文文本为准。</w:t>
      </w:r>
    </w:p>
    <w:p w14:paraId="51EAF20A">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评标委员会将按上述修正错误的方法调整投标文件中的投标价，调整后的价格应对供应商具有约束力。如果供应商不接受修正后的价格，则其投标将被拒绝。</w:t>
      </w:r>
    </w:p>
    <w:p w14:paraId="2F9003AB">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评委会将允许修正投标文件中不构成重大偏离的、微小的、非正规的、不一致的或不规则的地方，但这些修改不能影响任何供应商相应的名次排列。</w:t>
      </w:r>
    </w:p>
    <w:p w14:paraId="54C200B3">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④</w:t>
      </w:r>
      <w:r>
        <w:rPr>
          <w:rFonts w:hint="eastAsia" w:ascii="宋体" w:hAnsi="宋体" w:eastAsia="宋体" w:cs="宋体"/>
          <w:sz w:val="22"/>
          <w:szCs w:val="22"/>
          <w:highlight w:val="none"/>
          <w:lang w:val="zh-TW" w:eastAsia="zh-TW"/>
        </w:rPr>
        <w:t>澄清有关问题。对投标文件中含义不明确、同类问题表述不一致或者明显文字错误的内容，评标委员会可以要求供应商作出必要的澄清、说明或者补正。供应商的澄清、说明、补正应当采用书面形式，由其授权代表签字，但不得超出投标文件的范围或者改变投标文件的实质性内容。</w:t>
      </w:r>
    </w:p>
    <w:p w14:paraId="0BEE2267">
      <w:pPr>
        <w:pStyle w:val="189"/>
        <w:pageBreakBefore w:val="0"/>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rPr>
        <w:t>⑤</w:t>
      </w:r>
      <w:r>
        <w:rPr>
          <w:rFonts w:hint="eastAsia" w:ascii="宋体" w:hAnsi="宋体" w:eastAsia="宋体" w:cs="宋体"/>
          <w:sz w:val="22"/>
          <w:szCs w:val="22"/>
          <w:highlight w:val="none"/>
          <w:lang w:val="zh-TW" w:eastAsia="zh-TW"/>
        </w:rPr>
        <w:t>比较与评价。按照招标文件中规定的评标方法和标准，对资格性检查和符合性检查合格的投标文件进行商务和技术评估，综合比较与评价。</w:t>
      </w:r>
    </w:p>
    <w:p w14:paraId="0E8D808F">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⑥异常低价审查</w:t>
      </w:r>
    </w:p>
    <w:p w14:paraId="656851F8">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根据苏财购〔2025〕62号《关于推动解决政府采购异常低价问题相关工作的通知》，供应商的投标报价出现以下情形的，评审委员会将启动异常低价投标（响应）审查。</w:t>
      </w:r>
    </w:p>
    <w:p w14:paraId="6DA7F373">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en-US" w:eastAsia="zh-CN"/>
        </w:rPr>
        <w:t>a、</w:t>
      </w:r>
      <w:r>
        <w:rPr>
          <w:rFonts w:hint="eastAsia" w:ascii="宋体" w:hAnsi="宋体" w:eastAsia="宋体" w:cs="宋体"/>
          <w:sz w:val="22"/>
          <w:szCs w:val="22"/>
          <w:highlight w:val="none"/>
          <w:lang w:val="zh-TW" w:eastAsia="zh-TW"/>
        </w:rPr>
        <w:t>投标(响应)报价低于采购项目预算 50%的，即投标(响应)报价&lt;采购项目预算x50%;</w:t>
      </w:r>
    </w:p>
    <w:p w14:paraId="557A9570">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b、投标(响应)报价低于采购项目最高限价45%的，即投标(响应)报价&lt;采购项目最高限价x45%;</w:t>
      </w:r>
    </w:p>
    <w:p w14:paraId="38472399">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en-US" w:eastAsia="zh-CN"/>
        </w:rPr>
        <w:t>c</w:t>
      </w:r>
      <w:r>
        <w:rPr>
          <w:rFonts w:hint="eastAsia" w:ascii="宋体" w:hAnsi="宋体" w:eastAsia="宋体" w:cs="宋体"/>
          <w:sz w:val="22"/>
          <w:szCs w:val="22"/>
          <w:highlight w:val="none"/>
          <w:lang w:val="zh-TW" w:eastAsia="zh-TW"/>
        </w:rPr>
        <w:t>、评审委员会认定的供应商报价过低、有可能影响产品质量或者不能诚信履约的其他情形。</w:t>
      </w:r>
    </w:p>
    <w:p w14:paraId="7D89F9B7">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启动异常低价投标（响应）审查后，评审委员会将要求相关供应商在评标现场合理的时间内，提供项目具体成本测算等与报价合理性相关的书面说明及相关证明材料，对投标（响应）价格作出解释，</w:t>
      </w:r>
    </w:p>
    <w:p w14:paraId="662B8AD4">
      <w:pPr>
        <w:pStyle w:val="189"/>
        <w:widowControl/>
        <w:spacing w:line="360" w:lineRule="auto"/>
        <w:ind w:firstLine="420"/>
        <w:rPr>
          <w:rFonts w:hint="eastAsia"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将其作为无效投标（响应）处理。并将相关审查情况记录在评标报告中。</w:t>
      </w:r>
    </w:p>
    <w:p w14:paraId="0CCCF4EA">
      <w:pPr>
        <w:pStyle w:val="189"/>
        <w:pageBreakBefore w:val="0"/>
        <w:widowControl/>
        <w:spacing w:line="360" w:lineRule="auto"/>
        <w:ind w:firstLine="420"/>
        <w:rPr>
          <w:rFonts w:ascii="SimSong Bold" w:hAnsi="SimSong Bold" w:eastAsia="SimSong Bold" w:cs="SimSong Bold"/>
          <w:sz w:val="22"/>
          <w:szCs w:val="22"/>
          <w:highlight w:val="none"/>
        </w:rPr>
      </w:pPr>
      <w:r>
        <w:rPr>
          <w:rFonts w:hint="eastAsia" w:ascii="宋体" w:hAnsi="宋体" w:eastAsia="宋体" w:cs="宋体"/>
          <w:sz w:val="22"/>
          <w:szCs w:val="22"/>
          <w:highlight w:val="none"/>
        </w:rPr>
        <w:t>(4)</w:t>
      </w:r>
      <w:r>
        <w:rPr>
          <w:rFonts w:hint="eastAsia" w:ascii="宋体" w:hAnsi="宋体" w:eastAsia="宋体" w:cs="宋体"/>
          <w:sz w:val="22"/>
          <w:szCs w:val="22"/>
          <w:highlight w:val="none"/>
          <w:lang w:val="zh-TW" w:eastAsia="zh-TW"/>
        </w:rPr>
        <w:t>评标方法和</w:t>
      </w:r>
      <w:r>
        <w:rPr>
          <w:rFonts w:hint="eastAsia" w:eastAsia="SimSong Bold"/>
          <w:sz w:val="22"/>
          <w:szCs w:val="22"/>
          <w:highlight w:val="none"/>
          <w:lang w:val="zh-TW" w:eastAsia="zh-TW"/>
        </w:rPr>
        <w:t>标准</w:t>
      </w:r>
    </w:p>
    <w:p w14:paraId="6E053A45">
      <w:pPr>
        <w:pStyle w:val="189"/>
        <w:pageBreakBefore w:val="0"/>
        <w:widowControl/>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①</w:t>
      </w:r>
      <w:r>
        <w:rPr>
          <w:rFonts w:hint="eastAsia" w:ascii="宋体" w:hAnsi="宋体" w:eastAsia="宋体" w:cs="宋体"/>
          <w:sz w:val="22"/>
          <w:szCs w:val="22"/>
          <w:highlight w:val="none"/>
          <w:lang w:val="zh-TW" w:eastAsia="zh-TW"/>
        </w:rPr>
        <w:t>采用综合评分法。即在投标文件满足招标文件全部实质性要求前提下，且按照评审因素的量化指标评审得分最高的供应商为中标人的评标方法。</w:t>
      </w:r>
    </w:p>
    <w:p w14:paraId="5AC608A8">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②</w:t>
      </w:r>
      <w:r>
        <w:rPr>
          <w:rFonts w:hint="eastAsia" w:ascii="宋体" w:hAnsi="宋体" w:eastAsia="宋体" w:cs="宋体"/>
          <w:sz w:val="22"/>
          <w:szCs w:val="22"/>
          <w:highlight w:val="none"/>
          <w:lang w:val="zh-TW" w:eastAsia="zh-TW"/>
        </w:rPr>
        <w:t>综合评分的主要因素是</w:t>
      </w:r>
      <w:r>
        <w:rPr>
          <w:rFonts w:hint="eastAsia" w:ascii="宋体" w:hAnsi="宋体" w:eastAsia="宋体" w:cs="宋体"/>
          <w:sz w:val="22"/>
          <w:szCs w:val="22"/>
          <w:highlight w:val="none"/>
          <w:lang w:val="zh-TW" w:eastAsia="zh-CN"/>
        </w:rPr>
        <w:t>：</w:t>
      </w:r>
      <w:r>
        <w:rPr>
          <w:rFonts w:hint="eastAsia" w:ascii="宋体" w:hAnsi="宋体" w:eastAsia="宋体" w:cs="宋体"/>
          <w:sz w:val="22"/>
          <w:szCs w:val="22"/>
          <w:highlight w:val="none"/>
          <w:lang w:val="en-US" w:eastAsia="zh-CN"/>
        </w:rPr>
        <w:t>详见评分标准</w:t>
      </w:r>
      <w:r>
        <w:rPr>
          <w:rFonts w:hint="eastAsia" w:ascii="宋体" w:hAnsi="宋体" w:eastAsia="宋体" w:cs="宋体"/>
          <w:sz w:val="22"/>
          <w:szCs w:val="22"/>
          <w:highlight w:val="none"/>
          <w:lang w:val="zh-TW" w:eastAsia="zh-TW"/>
        </w:rPr>
        <w:t>。</w:t>
      </w:r>
    </w:p>
    <w:p w14:paraId="1D034CD8">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③</w:t>
      </w:r>
      <w:r>
        <w:rPr>
          <w:rFonts w:hint="eastAsia" w:ascii="宋体" w:hAnsi="宋体" w:eastAsia="宋体" w:cs="宋体"/>
          <w:sz w:val="22"/>
          <w:szCs w:val="22"/>
          <w:highlight w:val="none"/>
          <w:lang w:val="zh-TW" w:eastAsia="zh-TW"/>
        </w:rPr>
        <w:t>评分标准详见文件第三章。</w:t>
      </w:r>
    </w:p>
    <w:p w14:paraId="4E226774">
      <w:pPr>
        <w:pStyle w:val="189"/>
        <w:pageBreakBefore w:val="0"/>
        <w:spacing w:line="360" w:lineRule="auto"/>
        <w:ind w:firstLine="420"/>
        <w:rPr>
          <w:rFonts w:ascii="宋体" w:hAnsi="宋体" w:eastAsia="宋体" w:cs="宋体"/>
          <w:sz w:val="22"/>
          <w:szCs w:val="22"/>
          <w:highlight w:val="none"/>
          <w:lang w:val="zh-TW" w:eastAsia="zh-TW"/>
        </w:rPr>
      </w:pPr>
      <w:r>
        <w:rPr>
          <w:rFonts w:hint="eastAsia" w:ascii="宋体" w:hAnsi="宋体" w:eastAsia="宋体" w:cs="宋体"/>
          <w:sz w:val="22"/>
          <w:szCs w:val="22"/>
          <w:highlight w:val="none"/>
          <w:lang w:val="zh-TW" w:eastAsia="zh-TW"/>
        </w:rPr>
        <w:t>（三）确定中标供应商</w:t>
      </w:r>
    </w:p>
    <w:p w14:paraId="435C67B5">
      <w:pPr>
        <w:pStyle w:val="189"/>
        <w:pageBreakBefore w:val="0"/>
        <w:spacing w:line="360" w:lineRule="auto"/>
        <w:ind w:firstLine="420"/>
        <w:rPr>
          <w:rFonts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sz w:val="22"/>
          <w:szCs w:val="22"/>
          <w:highlight w:val="none"/>
          <w:lang w:val="zh-TW" w:eastAsia="zh-TW"/>
        </w:rPr>
        <w:t>在综合比较与评价后按照得分由高到低顺序对供应商进行排列。得分相同的，按投标报价由低到高顺</w:t>
      </w:r>
      <w:r>
        <w:rPr>
          <w:rFonts w:hint="eastAsia" w:eastAsia="宋体"/>
          <w:sz w:val="22"/>
          <w:szCs w:val="22"/>
          <w:highlight w:val="none"/>
          <w:lang w:val="zh-TW" w:eastAsia="zh-TW"/>
        </w:rPr>
        <w:t>序排列。评标委员会将综合排名第一的供应商确定为中标供应商。</w:t>
      </w:r>
    </w:p>
    <w:p w14:paraId="502CF80B">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中标供应商确定之日起</w:t>
      </w:r>
      <w:r>
        <w:rPr>
          <w:rFonts w:ascii="宋体" w:hAnsi="宋体"/>
          <w:sz w:val="22"/>
          <w:szCs w:val="22"/>
          <w:highlight w:val="none"/>
          <w:lang w:val="zh-TW" w:eastAsia="zh-TW"/>
        </w:rPr>
        <w:t>7</w:t>
      </w:r>
      <w:r>
        <w:rPr>
          <w:rFonts w:hint="eastAsia" w:eastAsia="宋体"/>
          <w:sz w:val="22"/>
          <w:szCs w:val="22"/>
          <w:highlight w:val="none"/>
          <w:lang w:val="zh-TW" w:eastAsia="zh-TW"/>
        </w:rPr>
        <w:t>个工作日内，将在财政部门指定的政府采购信息发布媒体上公告，中标供应商及时到代理机构领取《中标通知书》。</w:t>
      </w:r>
    </w:p>
    <w:p w14:paraId="0C460907">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中标通知书对采购人和中标供应商具有同等法律效力。</w:t>
      </w:r>
    </w:p>
    <w:p w14:paraId="2A27668E">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中标通知书发出后，中标供应商无正当理由不与采购人签订合同的；情节严重的，由财政部门将其列入不良行为记录名单，在一至三年内禁止参加南京市政府采购活动，并予以通报。</w:t>
      </w:r>
    </w:p>
    <w:p w14:paraId="6E7793C4">
      <w:pPr>
        <w:pStyle w:val="189"/>
        <w:pageBreakBefore w:val="0"/>
        <w:tabs>
          <w:tab w:val="left" w:pos="1260"/>
        </w:tabs>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招标代理和评标委员会对未中标的供应商不作未中标原因的解释。</w:t>
      </w:r>
    </w:p>
    <w:p w14:paraId="64E12893">
      <w:pPr>
        <w:pStyle w:val="189"/>
        <w:pageBreakBefore w:val="0"/>
        <w:spacing w:line="360" w:lineRule="auto"/>
        <w:ind w:firstLine="420"/>
        <w:rPr>
          <w:rFonts w:hint="eastAsia" w:eastAsia="宋体"/>
          <w:sz w:val="22"/>
          <w:szCs w:val="22"/>
          <w:highlight w:val="none"/>
          <w:lang w:val="zh-TW" w:eastAsia="zh-TW"/>
        </w:rPr>
      </w:pPr>
      <w:r>
        <w:rPr>
          <w:rFonts w:ascii="宋体" w:hAnsi="宋体"/>
          <w:sz w:val="22"/>
          <w:szCs w:val="22"/>
          <w:highlight w:val="none"/>
        </w:rPr>
        <w:t>6.</w:t>
      </w:r>
      <w:r>
        <w:rPr>
          <w:rFonts w:hint="eastAsia" w:eastAsia="宋体"/>
          <w:sz w:val="22"/>
          <w:szCs w:val="22"/>
          <w:highlight w:val="none"/>
          <w:lang w:val="zh-TW" w:eastAsia="zh-TW"/>
        </w:rPr>
        <w:t>所有投标文件都将作为档案保存，不论中标与否，招标代理均不退回。</w:t>
      </w:r>
    </w:p>
    <w:p w14:paraId="207132DD">
      <w:pPr>
        <w:pStyle w:val="189"/>
        <w:pageBreakBefore w:val="0"/>
        <w:spacing w:line="360" w:lineRule="auto"/>
        <w:ind w:firstLine="420"/>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7.</w:t>
      </w:r>
      <w:r>
        <w:rPr>
          <w:rFonts w:hint="eastAsia" w:ascii="宋体" w:hAnsi="宋体" w:eastAsia="宋体" w:cs="宋体"/>
          <w:b/>
          <w:bCs/>
          <w:sz w:val="22"/>
          <w:szCs w:val="22"/>
          <w:highlight w:val="none"/>
          <w:lang w:val="zh-TW" w:eastAsia="zh-TW"/>
        </w:rPr>
        <w:t>中标人确定后，在省级以上财政部门指定的媒体上公告中标结果，中标公告期为1个工作日，公告的同时向中标人发出中标通知书。</w:t>
      </w:r>
    </w:p>
    <w:p w14:paraId="41EF0A8B">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（四）编写评标报告</w:t>
      </w:r>
    </w:p>
    <w:p w14:paraId="5D75C269">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评标委员会根据全体评标成员签字的原始评标记录和评标结果编写评标报告。</w:t>
      </w:r>
    </w:p>
    <w:p w14:paraId="68101BA1">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（五）评标过程的保密性</w:t>
      </w:r>
    </w:p>
    <w:p w14:paraId="0ABA6FDA">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招标代理将采取必要措施，保证评标在严格保密的情况下进行。</w:t>
      </w:r>
    </w:p>
    <w:p w14:paraId="3C65C3B9">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任何单位和个人不得非法干预、影响评标办法的确定，以及评标过程和结果。</w:t>
      </w:r>
    </w:p>
    <w:p w14:paraId="0200AB31">
      <w:pPr>
        <w:pStyle w:val="189"/>
        <w:pageBreakBefore w:val="0"/>
        <w:spacing w:line="360" w:lineRule="auto"/>
        <w:ind w:firstLine="420"/>
        <w:rPr>
          <w:rFonts w:ascii="SimSong Bold" w:hAnsi="SimSong Bold" w:eastAsia="SimSong Bold" w:cs="SimSong Bold"/>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凡是与审查、澄清、评价和比较投标的有关资料等，均不向供应商及与评标无关的其他人员透露。</w:t>
      </w:r>
    </w:p>
    <w:p w14:paraId="6854D6BF">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五、签订合同</w:t>
      </w:r>
    </w:p>
    <w:p w14:paraId="034F08F8">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（一）签订合同</w:t>
      </w:r>
    </w:p>
    <w:p w14:paraId="441CAB8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采购人应当自中标通知书发出之日起</w:t>
      </w:r>
      <w:r>
        <w:rPr>
          <w:rFonts w:hint="eastAsia" w:ascii="SimSong Bold" w:hAnsi="SimSong Bold" w:eastAsia="宋体"/>
          <w:sz w:val="22"/>
          <w:szCs w:val="22"/>
          <w:highlight w:val="none"/>
          <w:lang w:val="en-US" w:eastAsia="zh-CN"/>
        </w:rPr>
        <w:t>30</w:t>
      </w:r>
      <w:r>
        <w:rPr>
          <w:rFonts w:hint="eastAsia" w:eastAsia="宋体"/>
          <w:sz w:val="22"/>
          <w:szCs w:val="22"/>
          <w:highlight w:val="none"/>
          <w:lang w:val="zh-TW" w:eastAsia="zh-TW"/>
        </w:rPr>
        <w:t>日内，按照招标文件和中标人投标文件的规定与中标人签订书面合同。所签订的合同不得对招标文件确定事项和中标人投标文件作实质性修改。</w:t>
      </w:r>
    </w:p>
    <w:p w14:paraId="342614D4">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采购人不得向中标人提出任何不合理的要求作为签订合同的条件，不得与中标人私下订立背离合同实质性内容的协议。</w:t>
      </w:r>
    </w:p>
    <w:p w14:paraId="742E54CA">
      <w:pPr>
        <w:pStyle w:val="189"/>
        <w:pageBreakBefore w:val="0"/>
        <w:spacing w:line="360" w:lineRule="auto"/>
        <w:ind w:firstLine="420"/>
        <w:rPr>
          <w:rFonts w:hint="eastAsia" w:eastAsia="宋体"/>
          <w:sz w:val="22"/>
          <w:szCs w:val="22"/>
          <w:highlight w:val="none"/>
          <w:lang w:val="zh-TW" w:eastAsia="zh-TW"/>
        </w:rPr>
      </w:pPr>
      <w:r>
        <w:rPr>
          <w:rFonts w:ascii="宋体" w:hAnsi="宋体"/>
          <w:sz w:val="22"/>
          <w:szCs w:val="22"/>
          <w:highlight w:val="none"/>
        </w:rPr>
        <w:t>3.</w:t>
      </w:r>
      <w:r>
        <w:rPr>
          <w:rFonts w:hint="eastAsia" w:eastAsia="宋体"/>
          <w:sz w:val="22"/>
          <w:szCs w:val="22"/>
          <w:highlight w:val="none"/>
          <w:lang w:val="zh-TW" w:eastAsia="zh-TW"/>
        </w:rPr>
        <w:t>中标人拒绝与采购人签订合同，或因不可抗力或者自身原因不能履行政府采购合同的，采购人可以按照评审报告中的得分高低顺序，确定下一顺序供应商为中标人，也可以重新开展政府采购活动。</w:t>
      </w:r>
    </w:p>
    <w:p w14:paraId="5F0FCF12">
      <w:pPr>
        <w:pStyle w:val="189"/>
        <w:pageBreakBefore w:val="0"/>
        <w:spacing w:line="360" w:lineRule="auto"/>
        <w:ind w:firstLine="420"/>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4.政府采购合同履行中，采购人需追加与合同标的相同的服务的，在不改变合同其他条款的前提下，可以与供应商协商签订补充合同，但所有补充合同的采购金额不得超过原合同采购金额的百分之十。</w:t>
      </w:r>
    </w:p>
    <w:p w14:paraId="38E695F7">
      <w:pPr>
        <w:pageBreakBefore w:val="0"/>
        <w:widowControl/>
        <w:spacing w:after="0" w:line="360" w:lineRule="auto"/>
        <w:ind w:firstLine="422"/>
        <w:jc w:val="left"/>
        <w:outlineLvl w:val="1"/>
        <w:rPr>
          <w:rFonts w:hint="eastAsia" w:ascii="宋体" w:hAnsi="宋体" w:eastAsia="宋体" w:cs="Times New Roman"/>
          <w:b/>
          <w:sz w:val="22"/>
          <w:szCs w:val="22"/>
          <w:lang w:val="zh-TW" w:eastAsia="zh-TW" w:bidi="en-US"/>
        </w:rPr>
      </w:pPr>
      <w:r>
        <w:rPr>
          <w:rFonts w:hint="eastAsia" w:ascii="宋体" w:hAnsi="宋体" w:eastAsia="宋体" w:cs="Times New Roman"/>
          <w:b/>
          <w:sz w:val="22"/>
          <w:szCs w:val="22"/>
          <w:lang w:val="zh-TW" w:eastAsia="zh-TW" w:bidi="en-US"/>
        </w:rPr>
        <w:t>六、询问、质疑、投诉和诚实信用</w:t>
      </w:r>
    </w:p>
    <w:p w14:paraId="3B85CA8C">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（一）询问</w:t>
      </w:r>
    </w:p>
    <w:p w14:paraId="48E6449C">
      <w:pPr>
        <w:pStyle w:val="189"/>
        <w:pageBreakBefore w:val="0"/>
        <w:spacing w:line="360" w:lineRule="auto"/>
        <w:ind w:firstLine="420"/>
        <w:rPr>
          <w:rFonts w:ascii="SimSong Bold" w:hAnsi="SimSong Bold" w:eastAsia="SimSong Bold" w:cs="SimSong Bold"/>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供应商对招标活动事项有疑问的，可以向招标代理或采购人提出询问，招标代理或采购人将在两个工作日内作出答复，但答复的内容不涉及商业秘密</w:t>
      </w:r>
      <w:r>
        <w:rPr>
          <w:rFonts w:hint="eastAsia" w:eastAsia="SimSong Bold"/>
          <w:sz w:val="22"/>
          <w:szCs w:val="22"/>
          <w:highlight w:val="none"/>
          <w:lang w:val="zh-TW" w:eastAsia="zh-TW"/>
        </w:rPr>
        <w:t>。</w:t>
      </w:r>
    </w:p>
    <w:p w14:paraId="73768D13">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（二）质疑</w:t>
      </w:r>
    </w:p>
    <w:p w14:paraId="428B73E3">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供应商认为采购文件、采购过程和中标结果使自己的合法权益受到损害的，可以在知道或者应当知道其权益受到损害之日起七个工作日内，将质疑文件原件以书面形式送达招标代理。</w:t>
      </w:r>
    </w:p>
    <w:p w14:paraId="4ED6628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质疑供应商是指直接参加本次投标活动的供应商，未参加投标活动的供应商或在投标活动中自身权益未受到损害的供应商所提出的质疑不予受理。</w:t>
      </w:r>
    </w:p>
    <w:p w14:paraId="7565342C">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质疑必须以参加投标供应商法定代表人或授权代表（投标文件中所确定的）原件送达的方式提交，否则，招标代理有权不予受理。</w:t>
      </w:r>
    </w:p>
    <w:p w14:paraId="63E652FA">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上述应知其权益受到损害之日是指：</w:t>
      </w:r>
    </w:p>
    <w:p w14:paraId="1F22625B">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1</w:t>
      </w:r>
      <w:r>
        <w:rPr>
          <w:rFonts w:hint="eastAsia" w:eastAsia="宋体"/>
          <w:sz w:val="22"/>
          <w:szCs w:val="22"/>
          <w:highlight w:val="none"/>
          <w:lang w:val="zh-TW" w:eastAsia="zh-TW"/>
        </w:rPr>
        <w:t>）对招标文件提出质疑的，为投标文件公告期限届满之日起计算；</w:t>
      </w:r>
    </w:p>
    <w:p w14:paraId="4FEAFBF6">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2</w:t>
      </w:r>
      <w:r>
        <w:rPr>
          <w:rFonts w:hint="eastAsia" w:eastAsia="宋体"/>
          <w:sz w:val="22"/>
          <w:szCs w:val="22"/>
          <w:highlight w:val="none"/>
          <w:lang w:val="zh-TW" w:eastAsia="zh-TW"/>
        </w:rPr>
        <w:t>）对采购过程提出质疑的，自采购程序环节结束之日起计算；</w:t>
      </w:r>
    </w:p>
    <w:p w14:paraId="06440B5E">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3</w:t>
      </w:r>
      <w:r>
        <w:rPr>
          <w:rFonts w:hint="eastAsia" w:eastAsia="宋体"/>
          <w:sz w:val="22"/>
          <w:szCs w:val="22"/>
          <w:highlight w:val="none"/>
          <w:lang w:val="zh-TW" w:eastAsia="zh-TW"/>
        </w:rPr>
        <w:t>）对中标结果提出质疑的，自中标结果公告期限届满之日起计算。</w:t>
      </w:r>
    </w:p>
    <w:p w14:paraId="0A4C8001">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质疑文件应包括以下主要内容，并按照</w:t>
      </w:r>
      <w:r>
        <w:rPr>
          <w:rFonts w:ascii="宋体" w:hAnsi="宋体"/>
          <w:sz w:val="22"/>
          <w:szCs w:val="22"/>
          <w:highlight w:val="none"/>
          <w:lang w:val="zh-TW" w:eastAsia="zh-TW"/>
        </w:rPr>
        <w:t>“</w:t>
      </w:r>
      <w:r>
        <w:rPr>
          <w:rFonts w:hint="eastAsia" w:eastAsia="宋体"/>
          <w:sz w:val="22"/>
          <w:szCs w:val="22"/>
          <w:highlight w:val="none"/>
          <w:lang w:val="zh-TW" w:eastAsia="zh-TW"/>
        </w:rPr>
        <w:t>谁主张、谁举证</w:t>
      </w:r>
      <w:r>
        <w:rPr>
          <w:rFonts w:ascii="宋体" w:hAnsi="宋体"/>
          <w:sz w:val="22"/>
          <w:szCs w:val="22"/>
          <w:highlight w:val="none"/>
          <w:lang w:val="zh-TW" w:eastAsia="zh-TW"/>
        </w:rPr>
        <w:t>”</w:t>
      </w:r>
      <w:r>
        <w:rPr>
          <w:rFonts w:hint="eastAsia" w:eastAsia="宋体"/>
          <w:sz w:val="22"/>
          <w:szCs w:val="22"/>
          <w:highlight w:val="none"/>
          <w:lang w:val="zh-TW" w:eastAsia="zh-TW"/>
        </w:rPr>
        <w:t>的原则，附上相关证明材料。否则，招标代理或采购人不予受理：</w:t>
      </w:r>
    </w:p>
    <w:p w14:paraId="2EFAA6F0">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1</w:t>
      </w:r>
      <w:r>
        <w:rPr>
          <w:rFonts w:hint="eastAsia" w:eastAsia="宋体"/>
          <w:sz w:val="22"/>
          <w:szCs w:val="22"/>
          <w:highlight w:val="none"/>
          <w:lang w:val="zh-TW" w:eastAsia="zh-TW"/>
        </w:rPr>
        <w:t>）质疑项目名称、项目编号、包号、招标公告发布时间、开标时间；</w:t>
      </w:r>
    </w:p>
    <w:p w14:paraId="2C308A58">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2</w:t>
      </w:r>
      <w:r>
        <w:rPr>
          <w:rFonts w:hint="eastAsia" w:eastAsia="宋体"/>
          <w:sz w:val="22"/>
          <w:szCs w:val="22"/>
          <w:highlight w:val="none"/>
          <w:lang w:val="zh-TW" w:eastAsia="zh-TW"/>
        </w:rPr>
        <w:t>）提起质疑的日期、具体的质疑事项及事实根据（具体条款）；</w:t>
      </w:r>
    </w:p>
    <w:p w14:paraId="7F074402">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3</w:t>
      </w:r>
      <w:r>
        <w:rPr>
          <w:rFonts w:hint="eastAsia" w:eastAsia="宋体"/>
          <w:sz w:val="22"/>
          <w:szCs w:val="22"/>
          <w:highlight w:val="none"/>
          <w:lang w:val="zh-TW" w:eastAsia="zh-TW"/>
        </w:rPr>
        <w:t>）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p>
    <w:p w14:paraId="3D62E800">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4</w:t>
      </w:r>
      <w:r>
        <w:rPr>
          <w:rFonts w:hint="eastAsia" w:eastAsia="宋体"/>
          <w:sz w:val="22"/>
          <w:szCs w:val="22"/>
          <w:highlight w:val="none"/>
          <w:lang w:val="zh-TW" w:eastAsia="zh-TW"/>
        </w:rPr>
        <w:t>）质疑供应商名称、地址、邮编、联系人、联系电话（包括座机、手机、传真号码等）；</w:t>
      </w:r>
    </w:p>
    <w:p w14:paraId="2E99E7FD">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5</w:t>
      </w:r>
      <w:r>
        <w:rPr>
          <w:rFonts w:hint="eastAsia" w:eastAsia="宋体"/>
          <w:sz w:val="22"/>
          <w:szCs w:val="22"/>
          <w:highlight w:val="none"/>
          <w:lang w:val="zh-TW" w:eastAsia="zh-TW"/>
        </w:rPr>
        <w:t>）质疑文件应当署名，质疑人为自然人的，应当由本人签字并附有效身份证明；质疑人为法人或其他组织的，应当由法定代表人签字并加盖单位公章。</w:t>
      </w:r>
    </w:p>
    <w:p w14:paraId="790D1C16">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6</w:t>
      </w:r>
      <w:r>
        <w:rPr>
          <w:rFonts w:hint="eastAsia" w:eastAsia="宋体"/>
          <w:sz w:val="22"/>
          <w:szCs w:val="22"/>
          <w:highlight w:val="none"/>
          <w:lang w:val="zh-TW" w:eastAsia="zh-TW"/>
        </w:rPr>
        <w:t>）供应商委托代理质疑的，应当向被质疑人提交授权委托书，并载明委托代理的具体权限和事项。</w:t>
      </w:r>
    </w:p>
    <w:p w14:paraId="5001C957">
      <w:pPr>
        <w:pStyle w:val="189"/>
        <w:pageBreakBefore w:val="0"/>
        <w:spacing w:line="360" w:lineRule="auto"/>
        <w:ind w:firstLine="210"/>
        <w:rPr>
          <w:rFonts w:ascii="宋体" w:hAnsi="宋体" w:eastAsia="宋体" w:cs="宋体"/>
          <w:sz w:val="22"/>
          <w:szCs w:val="22"/>
          <w:highlight w:val="none"/>
        </w:rPr>
      </w:pPr>
      <w:r>
        <w:rPr>
          <w:rFonts w:hint="eastAsia" w:eastAsia="宋体"/>
          <w:sz w:val="22"/>
          <w:szCs w:val="22"/>
          <w:highlight w:val="none"/>
          <w:lang w:val="zh-TW" w:eastAsia="zh-TW"/>
        </w:rPr>
        <w:t>（</w:t>
      </w:r>
      <w:r>
        <w:rPr>
          <w:rFonts w:ascii="宋体" w:hAnsi="宋体"/>
          <w:sz w:val="22"/>
          <w:szCs w:val="22"/>
          <w:highlight w:val="none"/>
        </w:rPr>
        <w:t>7</w:t>
      </w:r>
      <w:r>
        <w:rPr>
          <w:rFonts w:hint="eastAsia" w:eastAsia="宋体"/>
          <w:sz w:val="22"/>
          <w:szCs w:val="22"/>
          <w:highlight w:val="none"/>
          <w:lang w:val="zh-TW" w:eastAsia="zh-TW"/>
        </w:rPr>
        <w:t>）招标代理在收到供应商的书面质疑后将及时组织调查核实，在七个工作日内作出答复，并以书面或在网站公告形式通知质疑供应商和其他有关供应商，答复的内容不涉及商业秘密。招标代理遵循</w:t>
      </w:r>
      <w:r>
        <w:rPr>
          <w:rFonts w:ascii="宋体" w:hAnsi="宋体"/>
          <w:sz w:val="22"/>
          <w:szCs w:val="22"/>
          <w:highlight w:val="none"/>
          <w:lang w:val="zh-TW" w:eastAsia="zh-TW"/>
        </w:rPr>
        <w:t>“</w:t>
      </w:r>
      <w:r>
        <w:rPr>
          <w:rFonts w:hint="eastAsia" w:eastAsia="宋体"/>
          <w:sz w:val="22"/>
          <w:szCs w:val="22"/>
          <w:highlight w:val="none"/>
          <w:lang w:val="zh-TW" w:eastAsia="zh-TW"/>
        </w:rPr>
        <w:t>谁过错谁负担</w:t>
      </w:r>
      <w:r>
        <w:rPr>
          <w:rFonts w:ascii="宋体" w:hAnsi="宋体"/>
          <w:sz w:val="22"/>
          <w:szCs w:val="22"/>
          <w:highlight w:val="none"/>
          <w:lang w:val="zh-TW" w:eastAsia="zh-TW"/>
        </w:rPr>
        <w:t>”</w:t>
      </w:r>
      <w:r>
        <w:rPr>
          <w:rFonts w:hint="eastAsia" w:eastAsia="宋体"/>
          <w:sz w:val="22"/>
          <w:szCs w:val="22"/>
          <w:highlight w:val="none"/>
          <w:lang w:val="zh-TW" w:eastAsia="zh-TW"/>
        </w:rPr>
        <w:t>的原则，有过错的一方承担调查论证费用。</w:t>
      </w:r>
    </w:p>
    <w:p w14:paraId="15DD9346">
      <w:pPr>
        <w:pStyle w:val="189"/>
        <w:pageBreakBefore w:val="0"/>
        <w:spacing w:line="360" w:lineRule="auto"/>
        <w:ind w:firstLine="420"/>
        <w:rPr>
          <w:rFonts w:ascii="宋体" w:hAnsi="宋体" w:eastAsia="宋体" w:cs="宋体"/>
          <w:sz w:val="22"/>
          <w:szCs w:val="22"/>
          <w:highlight w:val="none"/>
          <w:lang w:val="zh-TW" w:eastAsia="zh-TW"/>
        </w:rPr>
      </w:pPr>
      <w:r>
        <w:rPr>
          <w:rFonts w:hint="eastAsia" w:eastAsia="SimSong Bold"/>
          <w:sz w:val="22"/>
          <w:szCs w:val="22"/>
          <w:highlight w:val="none"/>
          <w:lang w:val="zh-TW" w:eastAsia="zh-TW"/>
        </w:rPr>
        <w:t>（三）投诉</w:t>
      </w:r>
    </w:p>
    <w:p w14:paraId="48D070AC">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质疑供应商对招标代理的答复不满意，或招标代理未在规定的时间内作出答复的，可以在答复期满后</w:t>
      </w:r>
      <w:r>
        <w:rPr>
          <w:rFonts w:hint="eastAsia" w:eastAsia="SimSong Bold"/>
          <w:sz w:val="22"/>
          <w:szCs w:val="22"/>
          <w:highlight w:val="none"/>
          <w:lang w:val="zh-TW" w:eastAsia="zh-TW"/>
        </w:rPr>
        <w:t>十五个工作日内</w:t>
      </w:r>
      <w:r>
        <w:rPr>
          <w:rFonts w:hint="eastAsia" w:eastAsia="宋体"/>
          <w:sz w:val="22"/>
          <w:szCs w:val="22"/>
          <w:highlight w:val="none"/>
          <w:lang w:val="zh-TW" w:eastAsia="zh-TW"/>
        </w:rPr>
        <w:t>向采购项目同级财政部门投诉。</w:t>
      </w:r>
    </w:p>
    <w:p w14:paraId="2289586C">
      <w:pPr>
        <w:pStyle w:val="189"/>
        <w:pageBreakBefore w:val="0"/>
        <w:spacing w:line="360" w:lineRule="auto"/>
        <w:ind w:firstLine="420"/>
        <w:rPr>
          <w:rFonts w:ascii="SimSong Bold" w:hAnsi="SimSong Bold" w:eastAsia="SimSong Bold" w:cs="SimSong Bold"/>
          <w:sz w:val="22"/>
          <w:szCs w:val="22"/>
          <w:highlight w:val="none"/>
          <w:lang w:val="zh-TW" w:eastAsia="zh-TW"/>
        </w:rPr>
      </w:pPr>
      <w:r>
        <w:rPr>
          <w:rFonts w:hint="eastAsia" w:eastAsia="SimSong Bold"/>
          <w:sz w:val="22"/>
          <w:szCs w:val="22"/>
          <w:highlight w:val="none"/>
          <w:lang w:val="zh-TW" w:eastAsia="zh-TW"/>
        </w:rPr>
        <w:t>（四）诚实信用</w:t>
      </w:r>
    </w:p>
    <w:p w14:paraId="2EFEE588">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1.</w:t>
      </w:r>
      <w:r>
        <w:rPr>
          <w:rFonts w:hint="eastAsia" w:eastAsia="宋体"/>
          <w:sz w:val="22"/>
          <w:szCs w:val="22"/>
          <w:highlight w:val="none"/>
          <w:lang w:val="zh-TW" w:eastAsia="zh-TW"/>
        </w:rPr>
        <w:t>供应商之间不得相互串通投标报价，不得妨碍其他供应商的公平竞争，不得损害采购人和其他供应商的合法权益。</w:t>
      </w:r>
    </w:p>
    <w:p w14:paraId="48913C15">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2.</w:t>
      </w:r>
      <w:r>
        <w:rPr>
          <w:rFonts w:hint="eastAsia" w:eastAsia="宋体"/>
          <w:sz w:val="22"/>
          <w:szCs w:val="22"/>
          <w:highlight w:val="none"/>
          <w:lang w:val="zh-TW" w:eastAsia="zh-TW"/>
        </w:rPr>
        <w:t>供应商不得以向招标代理工作人员、评标委员会成员行贿或者采取其他不正当手段谋取中标。经查实供应商有此行为的，政府采购管理部门将供应商列入不良行为记录名单，按照《政府采购法》有关规定处理。</w:t>
      </w:r>
    </w:p>
    <w:p w14:paraId="7552537C">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3.</w:t>
      </w:r>
      <w:r>
        <w:rPr>
          <w:rFonts w:hint="eastAsia" w:eastAsia="宋体"/>
          <w:sz w:val="22"/>
          <w:szCs w:val="22"/>
          <w:highlight w:val="none"/>
          <w:lang w:val="zh-TW" w:eastAsia="zh-TW"/>
        </w:rPr>
        <w:t>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p>
    <w:p w14:paraId="2CB339BB">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4.</w:t>
      </w:r>
      <w:r>
        <w:rPr>
          <w:rFonts w:hint="eastAsia" w:eastAsia="宋体"/>
          <w:sz w:val="22"/>
          <w:szCs w:val="22"/>
          <w:highlight w:val="none"/>
          <w:lang w:val="zh-TW" w:eastAsia="zh-TW"/>
        </w:rPr>
        <w:t>供应商不得虚假承诺，否则，按照提供虚假材料谋取中标成交处理。</w:t>
      </w:r>
    </w:p>
    <w:p w14:paraId="3616C81E">
      <w:pPr>
        <w:pStyle w:val="189"/>
        <w:pageBreakBefore w:val="0"/>
        <w:spacing w:line="360" w:lineRule="auto"/>
        <w:ind w:firstLine="420"/>
        <w:rPr>
          <w:rFonts w:ascii="宋体" w:hAnsi="宋体" w:eastAsia="宋体" w:cs="宋体"/>
          <w:sz w:val="22"/>
          <w:szCs w:val="22"/>
          <w:highlight w:val="none"/>
        </w:rPr>
      </w:pPr>
      <w:r>
        <w:rPr>
          <w:rFonts w:ascii="宋体" w:hAnsi="宋体"/>
          <w:sz w:val="22"/>
          <w:szCs w:val="22"/>
          <w:highlight w:val="none"/>
        </w:rPr>
        <w:t>5.</w:t>
      </w:r>
      <w:r>
        <w:rPr>
          <w:rFonts w:hint="eastAsia" w:eastAsia="宋体"/>
          <w:sz w:val="22"/>
          <w:szCs w:val="22"/>
          <w:highlight w:val="none"/>
          <w:lang w:val="zh-TW" w:eastAsia="zh-TW"/>
        </w:rPr>
        <w:t>供应商应自觉遵守开标、评标纪律，扰乱开标评标现场秩序的，属于失信行为，根据《江苏省政府采购供应商监督管理暂行办法》，失信行为将被记入供应商诚信档案。</w:t>
      </w:r>
    </w:p>
    <w:p w14:paraId="08CC06C6">
      <w:pPr>
        <w:pageBreakBefore w:val="0"/>
        <w:spacing w:line="360" w:lineRule="auto"/>
        <w:ind w:left="1807" w:hanging="1807"/>
        <w:jc w:val="center"/>
        <w:rPr>
          <w:rFonts w:hint="eastAsia" w:ascii="宋体" w:hAnsi="宋体" w:cs="宋体"/>
          <w:b/>
          <w:bCs/>
          <w:color w:val="000000"/>
          <w:sz w:val="22"/>
          <w:szCs w:val="22"/>
          <w:lang w:val="zh-CN"/>
        </w:rPr>
      </w:pPr>
    </w:p>
    <w:p w14:paraId="40FDBDE2">
      <w:pPr>
        <w:pStyle w:val="42"/>
        <w:pageBreakBefore w:val="0"/>
        <w:spacing w:line="360" w:lineRule="auto"/>
        <w:rPr>
          <w:rFonts w:hint="eastAsia" w:ascii="宋体" w:hAnsi="宋体" w:cs="宋体"/>
          <w:b/>
          <w:bCs/>
          <w:color w:val="000000"/>
          <w:sz w:val="22"/>
          <w:szCs w:val="22"/>
          <w:lang w:val="zh-CN"/>
        </w:rPr>
      </w:pPr>
    </w:p>
    <w:p w14:paraId="706EB89B">
      <w:pPr>
        <w:pageBreakBefore w:val="0"/>
        <w:spacing w:line="360" w:lineRule="auto"/>
        <w:rPr>
          <w:rFonts w:hint="eastAsia" w:ascii="宋体" w:hAnsi="宋体" w:cs="宋体"/>
          <w:b/>
          <w:bCs/>
          <w:color w:val="000000"/>
          <w:sz w:val="22"/>
          <w:szCs w:val="22"/>
          <w:lang w:val="zh-CN"/>
        </w:rPr>
      </w:pPr>
      <w:r>
        <w:rPr>
          <w:rFonts w:hint="eastAsia" w:ascii="宋体" w:hAnsi="宋体" w:cs="宋体"/>
          <w:b/>
          <w:bCs/>
          <w:color w:val="000000"/>
          <w:sz w:val="22"/>
          <w:szCs w:val="22"/>
          <w:lang w:val="zh-CN"/>
        </w:rPr>
        <w:br w:type="page" w:clear="all"/>
      </w:r>
    </w:p>
    <w:p w14:paraId="4E0858F6">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highlight w:val="yellow"/>
          <w:lang w:val="zh-CN" w:eastAsia="zh-CN" w:bidi="en-US"/>
        </w:rPr>
      </w:pPr>
      <w:r>
        <w:rPr>
          <w:rFonts w:hint="eastAsia" w:ascii="宋体" w:hAnsi="宋体" w:eastAsia="宋体" w:cs="Times New Roman"/>
          <w:b/>
          <w:sz w:val="36"/>
          <w:szCs w:val="30"/>
          <w:highlight w:val="none"/>
          <w:lang w:val="zh-CN" w:eastAsia="zh-CN" w:bidi="en-US"/>
        </w:rPr>
        <w:t xml:space="preserve">第三章 </w:t>
      </w:r>
      <w:r>
        <w:rPr>
          <w:rFonts w:hint="eastAsia" w:ascii="宋体" w:hAnsi="宋体" w:cs="Times New Roman"/>
          <w:b/>
          <w:sz w:val="36"/>
          <w:szCs w:val="30"/>
          <w:highlight w:val="none"/>
          <w:lang w:val="en-US" w:eastAsia="zh-CN" w:bidi="en-US"/>
        </w:rPr>
        <w:t xml:space="preserve"> </w:t>
      </w:r>
      <w:r>
        <w:rPr>
          <w:rFonts w:hint="eastAsia" w:ascii="宋体" w:hAnsi="宋体" w:eastAsia="宋体" w:cs="Times New Roman"/>
          <w:b/>
          <w:sz w:val="36"/>
          <w:szCs w:val="30"/>
          <w:highlight w:val="none"/>
          <w:lang w:val="zh-CN" w:eastAsia="zh-CN" w:bidi="en-US"/>
        </w:rPr>
        <w:t>评标标准</w:t>
      </w:r>
    </w:p>
    <w:p w14:paraId="08883DE6">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一、评标方法与定标原则</w:t>
      </w:r>
    </w:p>
    <w:p w14:paraId="07EA9FAA">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1、评标委员会将对确定为实质性响应招标文件要求的投标文件进行评价和比较，评标采用综合评分法。</w:t>
      </w:r>
    </w:p>
    <w:p w14:paraId="7C717F17">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2、评标委员会根据供应商综合评审得分，从高到低排序，依次推荐不超过三名中标候选人。</w:t>
      </w:r>
    </w:p>
    <w:p w14:paraId="2EE51FFF">
      <w:pPr>
        <w:widowControl/>
        <w:spacing w:line="360" w:lineRule="auto"/>
        <w:ind w:firstLine="420"/>
        <w:jc w:val="left"/>
        <w:rPr>
          <w:rFonts w:hint="eastAsia" w:ascii="宋体" w:hAnsi="宋体" w:cs="宋体"/>
          <w:color w:val="000000"/>
          <w:sz w:val="22"/>
          <w:szCs w:val="22"/>
        </w:rPr>
      </w:pPr>
      <w:r>
        <w:rPr>
          <w:rFonts w:hint="eastAsia" w:ascii="宋体" w:hAnsi="宋体" w:cs="宋体"/>
          <w:color w:val="000000"/>
          <w:sz w:val="22"/>
          <w:szCs w:val="22"/>
        </w:rPr>
        <w:t>3、若出现总分相同不能依序推荐中标候选人时，则以供应商技术方案评分高者为先。</w:t>
      </w:r>
    </w:p>
    <w:p w14:paraId="4139CDF6">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4、采购人按照评标委员会的推荐确定第一中标候选人为中标人，若确定中标的中标候选人放弃中标或者因不可抗力提出不能履行合同的，采购人可以依序确定其他中标候选人为中标人，签订合同或者组织重新招标。</w:t>
      </w:r>
    </w:p>
    <w:p w14:paraId="2F3C31C8">
      <w:pPr>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二、评标标准</w:t>
      </w:r>
    </w:p>
    <w:p w14:paraId="158552AD">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本项目采用综合评分法确定中标候选人，评标委员会将按下列评分办法和标准进行评分。（按四舍五入取至小数点后二位）</w:t>
      </w:r>
    </w:p>
    <w:tbl>
      <w:tblPr>
        <w:tblStyle w:val="35"/>
        <w:tblW w:w="95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1113"/>
        <w:gridCol w:w="6893"/>
        <w:gridCol w:w="776"/>
      </w:tblGrid>
      <w:tr w14:paraId="2EFC0A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E9ECA95">
            <w:pPr>
              <w:widowControl/>
              <w:spacing w:line="360" w:lineRule="auto"/>
              <w:jc w:val="center"/>
              <w:rPr>
                <w:rFonts w:hint="eastAsia" w:ascii="宋体" w:hAnsi="宋体" w:cs="宋体"/>
                <w:b/>
                <w:szCs w:val="21"/>
              </w:rPr>
            </w:pPr>
            <w:r>
              <w:rPr>
                <w:rFonts w:hint="eastAsia" w:ascii="宋体" w:hAnsi="宋体" w:cs="宋体"/>
                <w:b/>
                <w:szCs w:val="21"/>
              </w:rPr>
              <w:t>序号</w:t>
            </w:r>
          </w:p>
        </w:tc>
        <w:tc>
          <w:tcPr>
            <w:tcW w:w="1113" w:type="dxa"/>
            <w:noWrap w:val="0"/>
            <w:vAlign w:val="center"/>
          </w:tcPr>
          <w:p w14:paraId="076EE5E1">
            <w:pPr>
              <w:widowControl/>
              <w:spacing w:line="360" w:lineRule="auto"/>
              <w:jc w:val="center"/>
              <w:rPr>
                <w:rFonts w:hint="eastAsia" w:ascii="宋体" w:hAnsi="宋体" w:cs="宋体"/>
                <w:b/>
                <w:szCs w:val="21"/>
              </w:rPr>
            </w:pPr>
            <w:r>
              <w:rPr>
                <w:rFonts w:hint="eastAsia" w:ascii="宋体" w:hAnsi="宋体" w:cs="宋体"/>
                <w:b/>
                <w:szCs w:val="21"/>
              </w:rPr>
              <w:t>评审</w:t>
            </w:r>
          </w:p>
          <w:p w14:paraId="319A287C">
            <w:pPr>
              <w:widowControl/>
              <w:spacing w:line="360" w:lineRule="auto"/>
              <w:jc w:val="center"/>
              <w:rPr>
                <w:rFonts w:hint="eastAsia" w:ascii="宋体" w:hAnsi="宋体" w:cs="宋体"/>
                <w:b/>
                <w:szCs w:val="21"/>
              </w:rPr>
            </w:pPr>
            <w:r>
              <w:rPr>
                <w:rFonts w:hint="eastAsia" w:ascii="宋体" w:hAnsi="宋体" w:cs="宋体"/>
                <w:b/>
                <w:szCs w:val="21"/>
              </w:rPr>
              <w:t>因素</w:t>
            </w:r>
          </w:p>
        </w:tc>
        <w:tc>
          <w:tcPr>
            <w:tcW w:w="6893" w:type="dxa"/>
            <w:noWrap w:val="0"/>
            <w:vAlign w:val="center"/>
          </w:tcPr>
          <w:p w14:paraId="086184F7">
            <w:pPr>
              <w:widowControl/>
              <w:spacing w:line="360" w:lineRule="auto"/>
              <w:jc w:val="center"/>
              <w:rPr>
                <w:rFonts w:hint="eastAsia" w:ascii="宋体" w:hAnsi="宋体" w:cs="宋体"/>
                <w:b/>
                <w:szCs w:val="21"/>
              </w:rPr>
            </w:pPr>
            <w:r>
              <w:rPr>
                <w:rFonts w:hint="eastAsia" w:ascii="宋体" w:hAnsi="宋体" w:cs="宋体"/>
                <w:b/>
                <w:szCs w:val="21"/>
                <w:highlight w:val="none"/>
              </w:rPr>
              <w:t>评审标准</w:t>
            </w:r>
          </w:p>
        </w:tc>
        <w:tc>
          <w:tcPr>
            <w:tcW w:w="776" w:type="dxa"/>
            <w:noWrap w:val="0"/>
            <w:vAlign w:val="center"/>
          </w:tcPr>
          <w:p w14:paraId="1C639F4E">
            <w:pPr>
              <w:widowControl/>
              <w:spacing w:line="360" w:lineRule="auto"/>
              <w:jc w:val="center"/>
              <w:rPr>
                <w:rFonts w:hint="eastAsia" w:ascii="宋体" w:hAnsi="宋体" w:cs="宋体"/>
                <w:b/>
                <w:szCs w:val="21"/>
              </w:rPr>
            </w:pPr>
            <w:r>
              <w:rPr>
                <w:rFonts w:hint="eastAsia" w:ascii="宋体" w:hAnsi="宋体" w:cs="宋体"/>
                <w:b/>
                <w:szCs w:val="21"/>
              </w:rPr>
              <w:t>分值</w:t>
            </w:r>
          </w:p>
        </w:tc>
      </w:tr>
      <w:tr w14:paraId="0AE87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5791BD2B">
            <w:pPr>
              <w:widowControl/>
              <w:spacing w:line="360" w:lineRule="auto"/>
              <w:jc w:val="center"/>
              <w:rPr>
                <w:rFonts w:hint="eastAsia" w:ascii="宋体" w:hAnsi="宋体" w:cs="宋体"/>
                <w:b/>
                <w:szCs w:val="21"/>
              </w:rPr>
            </w:pPr>
            <w:r>
              <w:rPr>
                <w:rFonts w:hint="eastAsia" w:ascii="宋体" w:hAnsi="宋体" w:cs="宋体"/>
                <w:b/>
                <w:szCs w:val="21"/>
              </w:rPr>
              <w:t>1</w:t>
            </w:r>
          </w:p>
        </w:tc>
        <w:tc>
          <w:tcPr>
            <w:tcW w:w="1113" w:type="dxa"/>
            <w:noWrap w:val="0"/>
            <w:vAlign w:val="center"/>
          </w:tcPr>
          <w:p w14:paraId="43A8109E">
            <w:pPr>
              <w:widowControl/>
              <w:spacing w:line="360" w:lineRule="auto"/>
              <w:jc w:val="center"/>
              <w:rPr>
                <w:rFonts w:hint="eastAsia" w:ascii="宋体" w:hAnsi="宋体" w:cs="宋体"/>
                <w:b/>
                <w:color w:val="auto"/>
                <w:szCs w:val="21"/>
              </w:rPr>
            </w:pPr>
            <w:r>
              <w:rPr>
                <w:rFonts w:hint="eastAsia" w:ascii="宋体" w:hAnsi="宋体" w:cs="宋体"/>
                <w:b/>
                <w:color w:val="auto"/>
                <w:szCs w:val="21"/>
              </w:rPr>
              <w:t>价格</w:t>
            </w:r>
          </w:p>
          <w:p w14:paraId="48BD3252">
            <w:pPr>
              <w:widowControl/>
              <w:spacing w:line="360" w:lineRule="auto"/>
              <w:jc w:val="center"/>
              <w:rPr>
                <w:rFonts w:hint="eastAsia" w:ascii="宋体" w:hAnsi="宋体" w:cs="宋体"/>
                <w:b/>
                <w:color w:val="auto"/>
                <w:szCs w:val="21"/>
              </w:rPr>
            </w:pPr>
            <w:r>
              <w:rPr>
                <w:rFonts w:hint="eastAsia" w:ascii="宋体" w:hAnsi="宋体" w:cs="宋体"/>
                <w:b/>
                <w:color w:val="auto"/>
                <w:szCs w:val="21"/>
              </w:rPr>
              <w:t>（</w:t>
            </w:r>
            <w:r>
              <w:rPr>
                <w:rFonts w:hint="eastAsia" w:ascii="宋体" w:hAnsi="宋体" w:cs="宋体"/>
                <w:b/>
                <w:color w:val="auto"/>
                <w:szCs w:val="21"/>
                <w:lang w:val="en-US" w:eastAsia="zh-CN"/>
              </w:rPr>
              <w:t>15</w:t>
            </w:r>
            <w:r>
              <w:rPr>
                <w:rFonts w:hint="eastAsia" w:ascii="宋体" w:hAnsi="宋体" w:cs="宋体"/>
                <w:b/>
                <w:color w:val="auto"/>
                <w:szCs w:val="21"/>
              </w:rPr>
              <w:t>分）</w:t>
            </w:r>
          </w:p>
        </w:tc>
        <w:tc>
          <w:tcPr>
            <w:tcW w:w="6893" w:type="dxa"/>
            <w:noWrap w:val="0"/>
            <w:vAlign w:val="center"/>
          </w:tcPr>
          <w:p w14:paraId="54F74CDC">
            <w:pPr>
              <w:spacing w:line="360" w:lineRule="auto"/>
              <w:rPr>
                <w:rFonts w:hint="eastAsia" w:ascii="宋体" w:hAnsi="宋体" w:cs="宋体"/>
                <w:color w:val="auto"/>
                <w:szCs w:val="21"/>
              </w:rPr>
            </w:pPr>
            <w:r>
              <w:rPr>
                <w:rFonts w:hint="eastAsia" w:ascii="宋体" w:hAnsi="宋体" w:cs="宋体"/>
                <w:color w:val="auto"/>
                <w:szCs w:val="21"/>
              </w:rPr>
              <w:t>采用低价优先法计算，即满足招标文件要求且投标价格最低的投标报价为评标基准价，其价格分为满分。</w:t>
            </w:r>
          </w:p>
          <w:p w14:paraId="2C8B1B7A">
            <w:pPr>
              <w:spacing w:line="360" w:lineRule="auto"/>
              <w:rPr>
                <w:rFonts w:hint="eastAsia" w:ascii="宋体" w:hAnsi="宋体" w:cs="宋体"/>
                <w:color w:val="auto"/>
                <w:szCs w:val="21"/>
              </w:rPr>
            </w:pPr>
            <w:r>
              <w:rPr>
                <w:rFonts w:hint="eastAsia" w:ascii="宋体" w:hAnsi="宋体" w:cs="宋体"/>
                <w:color w:val="auto"/>
                <w:szCs w:val="21"/>
              </w:rPr>
              <w:t>其他供应商的价格分统一按照下列公式计算（小数点保留两位）：</w:t>
            </w:r>
          </w:p>
          <w:p w14:paraId="12ECC8D1">
            <w:pPr>
              <w:spacing w:line="360" w:lineRule="auto"/>
              <w:rPr>
                <w:rFonts w:hint="eastAsia" w:ascii="宋体" w:hAnsi="宋体" w:cs="宋体"/>
                <w:color w:val="auto"/>
                <w:szCs w:val="21"/>
              </w:rPr>
            </w:pPr>
            <w:r>
              <w:rPr>
                <w:rFonts w:hint="eastAsia" w:ascii="宋体" w:hAnsi="宋体" w:cs="宋体"/>
                <w:color w:val="auto"/>
                <w:szCs w:val="21"/>
              </w:rPr>
              <w:t>投标报价得分=(评标基准价／投标报价)×</w:t>
            </w:r>
            <w:r>
              <w:rPr>
                <w:rFonts w:hint="eastAsia" w:ascii="宋体" w:hAnsi="宋体" w:cs="宋体"/>
                <w:color w:val="auto"/>
                <w:szCs w:val="21"/>
                <w:lang w:val="en-US" w:eastAsia="zh-CN"/>
              </w:rPr>
              <w:t>15</w:t>
            </w:r>
            <w:r>
              <w:rPr>
                <w:rFonts w:hint="eastAsia" w:ascii="宋体" w:hAnsi="宋体" w:cs="宋体"/>
                <w:color w:val="auto"/>
                <w:szCs w:val="21"/>
              </w:rPr>
              <w:t>分*100%。</w:t>
            </w:r>
          </w:p>
        </w:tc>
        <w:tc>
          <w:tcPr>
            <w:tcW w:w="776" w:type="dxa"/>
            <w:noWrap w:val="0"/>
            <w:vAlign w:val="center"/>
          </w:tcPr>
          <w:p w14:paraId="6F9EDECE">
            <w:pPr>
              <w:widowControl/>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15</w:t>
            </w:r>
          </w:p>
        </w:tc>
      </w:tr>
      <w:tr w14:paraId="50C31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07292C36">
            <w:pPr>
              <w:widowControl/>
              <w:spacing w:line="360" w:lineRule="auto"/>
              <w:jc w:val="center"/>
              <w:rPr>
                <w:rFonts w:hint="eastAsia" w:ascii="宋体" w:hAnsi="宋体" w:eastAsia="宋体" w:cs="宋体"/>
                <w:b/>
                <w:szCs w:val="21"/>
                <w:lang w:eastAsia="zh-CN"/>
              </w:rPr>
            </w:pPr>
            <w:r>
              <w:rPr>
                <w:rFonts w:hint="eastAsia" w:ascii="宋体" w:hAnsi="宋体" w:cs="宋体"/>
                <w:b/>
                <w:szCs w:val="21"/>
                <w:lang w:val="en-US" w:eastAsia="zh-CN"/>
              </w:rPr>
              <w:t>2</w:t>
            </w:r>
          </w:p>
        </w:tc>
        <w:tc>
          <w:tcPr>
            <w:tcW w:w="1113" w:type="dxa"/>
            <w:noWrap w:val="0"/>
            <w:vAlign w:val="center"/>
          </w:tcPr>
          <w:p w14:paraId="69ED63F6">
            <w:pPr>
              <w:spacing w:line="300" w:lineRule="auto"/>
              <w:jc w:val="center"/>
              <w:rPr>
                <w:rFonts w:hint="eastAsia" w:ascii="宋体" w:hAnsi="宋体" w:cs="宋体"/>
                <w:szCs w:val="21"/>
                <w:highlight w:val="none"/>
              </w:rPr>
            </w:pPr>
            <w:r>
              <w:rPr>
                <w:rFonts w:hint="eastAsia" w:ascii="宋体" w:hAnsi="宋体" w:eastAsia="宋体" w:cs="宋体"/>
                <w:b/>
                <w:bCs/>
                <w:sz w:val="21"/>
                <w:szCs w:val="21"/>
                <w:lang w:val="en-US" w:eastAsia="zh-CN"/>
              </w:rPr>
              <w:t>主要设备仪器</w:t>
            </w:r>
            <w:r>
              <w:rPr>
                <w:rFonts w:hint="eastAsia" w:ascii="宋体" w:hAnsi="宋体" w:cs="宋体"/>
                <w:b/>
                <w:szCs w:val="21"/>
              </w:rPr>
              <w:t>（</w:t>
            </w:r>
            <w:r>
              <w:rPr>
                <w:rFonts w:hint="eastAsia" w:ascii="宋体" w:hAnsi="宋体" w:cs="宋体"/>
                <w:b/>
                <w:szCs w:val="21"/>
                <w:highlight w:val="none"/>
                <w:lang w:val="en-US" w:eastAsia="zh-CN"/>
              </w:rPr>
              <w:t>5</w:t>
            </w:r>
            <w:r>
              <w:rPr>
                <w:rFonts w:hint="eastAsia" w:ascii="宋体" w:hAnsi="宋体" w:cs="宋体"/>
                <w:b/>
                <w:szCs w:val="21"/>
                <w:highlight w:val="none"/>
              </w:rPr>
              <w:t>分）</w:t>
            </w:r>
          </w:p>
          <w:p w14:paraId="44FF2452">
            <w:pPr>
              <w:spacing w:line="360" w:lineRule="auto"/>
              <w:jc w:val="center"/>
              <w:rPr>
                <w:rFonts w:hint="eastAsia" w:ascii="宋体" w:hAnsi="宋体" w:cs="宋体"/>
                <w:szCs w:val="21"/>
              </w:rPr>
            </w:pPr>
          </w:p>
        </w:tc>
        <w:tc>
          <w:tcPr>
            <w:tcW w:w="6893" w:type="dxa"/>
            <w:noWrap w:val="0"/>
            <w:vAlign w:val="center"/>
          </w:tcPr>
          <w:p w14:paraId="7ABA11C6">
            <w:pPr>
              <w:spacing w:line="360" w:lineRule="auto"/>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根据项目特点，对投标人填报的拟投入本工程的机械、设备的种类、数量等方面进行评审：</w:t>
            </w:r>
          </w:p>
          <w:p w14:paraId="18A707C5">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机械、设备的种类齐全，数量充足，</w:t>
            </w:r>
            <w:r>
              <w:rPr>
                <w:rFonts w:hint="eastAsia" w:ascii="宋体" w:hAnsi="宋体" w:eastAsia="宋体" w:cs="宋体"/>
                <w:b w:val="0"/>
                <w:bCs w:val="0"/>
                <w:sz w:val="21"/>
                <w:szCs w:val="21"/>
                <w:lang w:val="zh-CN" w:eastAsia="zh-CN" w:bidi="ar-SA"/>
              </w:rPr>
              <w:t>完整全面、可行、有针对性</w:t>
            </w:r>
            <w:r>
              <w:rPr>
                <w:rFonts w:hint="eastAsia" w:ascii="宋体" w:hAnsi="宋体" w:eastAsia="宋体" w:cs="宋体"/>
                <w:b w:val="0"/>
                <w:bCs w:val="0"/>
                <w:sz w:val="21"/>
                <w:szCs w:val="21"/>
                <w:lang w:val="en-US" w:eastAsia="zh-CN"/>
              </w:rPr>
              <w:t>优于项目要求的，得5分。</w:t>
            </w:r>
          </w:p>
          <w:p w14:paraId="76DAF4B3">
            <w:pPr>
              <w:spacing w:line="360" w:lineRule="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机械、设备的种类、数量多，</w:t>
            </w:r>
            <w:r>
              <w:rPr>
                <w:rFonts w:hint="eastAsia" w:ascii="宋体" w:hAnsi="宋体" w:eastAsia="宋体" w:cs="宋体"/>
                <w:b w:val="0"/>
                <w:bCs w:val="0"/>
                <w:sz w:val="21"/>
                <w:szCs w:val="21"/>
                <w:lang w:val="zh-CN" w:eastAsia="zh-CN" w:bidi="ar-SA"/>
              </w:rPr>
              <w:t>较完整、较可行、较有针对性</w:t>
            </w:r>
            <w:r>
              <w:rPr>
                <w:rFonts w:hint="eastAsia" w:ascii="宋体" w:hAnsi="宋体" w:eastAsia="宋体" w:cs="宋体"/>
                <w:b w:val="0"/>
                <w:bCs w:val="0"/>
                <w:sz w:val="21"/>
                <w:szCs w:val="21"/>
                <w:lang w:val="en-US" w:eastAsia="zh-CN"/>
              </w:rPr>
              <w:t>满足本项目要求的，得4分；</w:t>
            </w:r>
          </w:p>
          <w:p w14:paraId="30A0351C">
            <w:pPr>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lang w:val="en-US" w:eastAsia="zh-CN"/>
              </w:rPr>
              <w:t>机械、设备的种类、数量基本满足本项目要求的，得3分；</w:t>
            </w:r>
          </w:p>
          <w:p w14:paraId="2433346D">
            <w:pPr>
              <w:pBdr>
                <w:top w:val="none" w:color="000000" w:sz="0" w:space="0"/>
                <w:left w:val="none" w:color="000000" w:sz="0" w:space="0"/>
                <w:bottom w:val="none" w:color="000000" w:sz="0" w:space="0"/>
                <w:right w:val="none" w:color="000000" w:sz="0" w:space="0"/>
              </w:pBdr>
              <w:spacing w:before="0" w:after="0"/>
              <w:ind w:left="0" w:right="0" w:firstLine="0"/>
              <w:jc w:val="both"/>
            </w:pPr>
            <w:r>
              <w:rPr>
                <w:rFonts w:ascii="宋体" w:hAnsi="宋体" w:eastAsia="宋体" w:cs="宋体"/>
                <w:color w:val="000000"/>
                <w:sz w:val="21"/>
              </w:rPr>
              <w:t>未提供或有重大偏差不得分。</w:t>
            </w:r>
          </w:p>
        </w:tc>
        <w:tc>
          <w:tcPr>
            <w:tcW w:w="776" w:type="dxa"/>
            <w:noWrap w:val="0"/>
            <w:vAlign w:val="center"/>
          </w:tcPr>
          <w:p w14:paraId="0FB61EC7">
            <w:pPr>
              <w:widowControl/>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5</w:t>
            </w:r>
          </w:p>
        </w:tc>
      </w:tr>
      <w:tr w14:paraId="54E89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3959DB2C">
            <w:pPr>
              <w:widowControl/>
              <w:spacing w:line="360" w:lineRule="auto"/>
              <w:jc w:val="center"/>
              <w:rPr>
                <w:rFonts w:hint="eastAsia" w:ascii="宋体" w:hAnsi="宋体" w:eastAsia="宋体" w:cs="宋体"/>
                <w:b/>
                <w:szCs w:val="21"/>
                <w:lang w:eastAsia="zh-CN"/>
              </w:rPr>
            </w:pPr>
            <w:r>
              <w:rPr>
                <w:rFonts w:hint="eastAsia" w:ascii="宋体" w:hAnsi="宋体" w:cs="宋体"/>
                <w:b/>
                <w:szCs w:val="21"/>
                <w:lang w:val="en-US" w:eastAsia="zh-CN"/>
              </w:rPr>
              <w:t>3</w:t>
            </w:r>
          </w:p>
        </w:tc>
        <w:tc>
          <w:tcPr>
            <w:tcW w:w="1113" w:type="dxa"/>
            <w:noWrap w:val="0"/>
            <w:vAlign w:val="center"/>
          </w:tcPr>
          <w:p w14:paraId="1830ACE7">
            <w:pPr>
              <w:spacing w:line="360" w:lineRule="auto"/>
              <w:jc w:val="center"/>
              <w:rPr>
                <w:rFonts w:hint="eastAsia" w:ascii="宋体" w:hAnsi="宋体" w:cs="宋体"/>
                <w:b/>
                <w:szCs w:val="21"/>
              </w:rPr>
            </w:pPr>
            <w:r>
              <w:rPr>
                <w:rFonts w:hint="eastAsia" w:ascii="宋体" w:hAnsi="宋体" w:cs="宋体"/>
                <w:b/>
                <w:szCs w:val="21"/>
              </w:rPr>
              <w:t>工作实施方案</w:t>
            </w:r>
          </w:p>
          <w:p w14:paraId="4961B95E">
            <w:pPr>
              <w:spacing w:line="360" w:lineRule="auto"/>
              <w:jc w:val="center"/>
              <w:rPr>
                <w:rFonts w:hint="eastAsia" w:ascii="宋体" w:hAnsi="宋体" w:cs="宋体"/>
                <w:b/>
                <w:szCs w:val="21"/>
              </w:rPr>
            </w:pPr>
            <w:r>
              <w:rPr>
                <w:rFonts w:hint="eastAsia" w:ascii="宋体" w:hAnsi="宋体" w:cs="宋体"/>
                <w:b/>
                <w:szCs w:val="21"/>
              </w:rPr>
              <w:t>（</w:t>
            </w:r>
            <w:r>
              <w:rPr>
                <w:rFonts w:hint="eastAsia" w:ascii="宋体" w:hAnsi="宋体" w:cs="宋体"/>
                <w:b/>
                <w:szCs w:val="21"/>
                <w:lang w:val="en-US" w:eastAsia="zh-CN"/>
              </w:rPr>
              <w:t>55</w:t>
            </w:r>
            <w:r>
              <w:rPr>
                <w:rFonts w:hint="eastAsia" w:ascii="宋体" w:hAnsi="宋体" w:cs="宋体"/>
                <w:b/>
                <w:szCs w:val="21"/>
              </w:rPr>
              <w:t>分）</w:t>
            </w:r>
          </w:p>
        </w:tc>
        <w:tc>
          <w:tcPr>
            <w:tcW w:w="6893" w:type="dxa"/>
            <w:noWrap w:val="0"/>
            <w:vAlign w:val="center"/>
          </w:tcPr>
          <w:p w14:paraId="17AE09D5">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（1）评委根据投标人提交的总体工作布置及规划、各分项养护及维修工序计划安排等方面进行评分：</w:t>
            </w:r>
          </w:p>
          <w:p w14:paraId="28C5D53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①总体工作布置及规划、各分项养护及维修工序计划安排合理细致、优于项目需求的得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5B7290F6">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②总体工作布置及规划、各分项养护及维修工序计划安排基本符合项目需求的得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2AC0E7A8">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③总体工作布置及规划、各分项养护及维修工序计划安排条理不清晰，有缺项的得4分；</w:t>
            </w:r>
          </w:p>
          <w:p w14:paraId="7671B5C7">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5BF51584">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（2）评委根据投标人制定的日常养护、维修及应急处置实施方案</w:t>
            </w:r>
            <w:r>
              <w:rPr>
                <w:rFonts w:hint="eastAsia" w:ascii="宋体" w:hAnsi="宋体" w:eastAsia="宋体"/>
                <w:b/>
                <w:bCs/>
                <w:sz w:val="21"/>
                <w:szCs w:val="21"/>
                <w:lang w:val="en-US" w:eastAsia="zh-CN"/>
              </w:rPr>
              <w:t>的</w:t>
            </w:r>
            <w:r>
              <w:rPr>
                <w:rFonts w:hint="eastAsia" w:ascii="宋体" w:hAnsi="宋体" w:eastAsia="宋体"/>
                <w:b/>
                <w:bCs/>
                <w:sz w:val="21"/>
                <w:szCs w:val="21"/>
              </w:rPr>
              <w:t>可行性、先进性、合理性、针对性等方面进行评分：</w:t>
            </w:r>
          </w:p>
          <w:p w14:paraId="04B4DECA">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①投标人制定的日常养护、维修及应急处置实施方案科学全面，能够针对本项目需求出具深度细化的养护服务内容，养护服务流程科学可行有针对性，具有合理的巡检及问题处理机制的得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63538BAF">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②投标人制定的日常养护、维修及应急处置实施方案基本能够阐述方案的操作流程、措施等内容的得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6956B024">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③投标人制定的日常养护、维修及应急处置实施方案内容简单的得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188D3B9C">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④方案表述不清或内容有缺项的或未提供或与项目严重不符的不得分。</w:t>
            </w:r>
          </w:p>
          <w:p w14:paraId="23A8DBF7">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（3）评委根据投标人提供的应急保障措施、安全保障措施、质量保障措施等方面进行评分：</w:t>
            </w:r>
          </w:p>
          <w:p w14:paraId="53A465AF">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①投标人制定的应急保障措施、安全保障措施、质量保障措施科学完整，能够详细阐述每一项操作流程、措施等内容的得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13F8D323">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②投标人制定的应急保障措施、安全保障措施、质量保障措施基本能够阐述操作流程、措施等内容的得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06693740">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③投标人制定的应急保障措施、安全保障措施、质量保障措施内容简单的得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2FBFA958">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④投标人制定的应急保障措施、安全保障措施、质量保障措施表述不清或内容有缺项的或未提供或与项目严重不符的不得分。</w:t>
            </w:r>
          </w:p>
          <w:p w14:paraId="2E0E7202">
            <w:pPr>
              <w:pStyle w:val="42"/>
              <w:spacing w:line="360" w:lineRule="auto"/>
              <w:ind w:firstLine="0"/>
              <w:rPr>
                <w:rFonts w:hint="eastAsia" w:ascii="宋体" w:hAnsi="宋体" w:eastAsia="宋体"/>
                <w:b w:val="0"/>
                <w:bCs w:val="0"/>
                <w:sz w:val="21"/>
                <w:szCs w:val="21"/>
              </w:rPr>
            </w:pPr>
            <w:r>
              <w:rPr>
                <w:rFonts w:hint="eastAsia" w:ascii="宋体" w:hAnsi="宋体" w:eastAsia="宋体"/>
                <w:b/>
                <w:bCs/>
                <w:sz w:val="21"/>
                <w:szCs w:val="21"/>
              </w:rPr>
              <w:t>（4）评委根据投标人提供的本项目的方案，对其重点、难点问题的认识及对策进行阐述分析等方面进行评分：</w:t>
            </w:r>
          </w:p>
          <w:p w14:paraId="3FD9B202">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①对采购项目的特点、关键技术问题、重难点的认识深刻全面，相应对策措施合理可行，得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0A92E117">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②对采购项目的特点、关键技术问题、重难点的认识全面，相应对策措施较为合理可行，得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6CE1D3A4">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③方案简单有瑕疵得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224EAC36">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3458223D">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（5）评委根据投标人对养护维修响应时间及保证措施的承诺等方面进行评分：</w:t>
            </w:r>
          </w:p>
          <w:p w14:paraId="001068D6">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①养护维修响应时间及保证措施的承诺完整全面、可行、有针对性得</w:t>
            </w:r>
            <w:r>
              <w:rPr>
                <w:rFonts w:hint="eastAsia" w:ascii="宋体" w:hAnsi="宋体" w:eastAsia="宋体"/>
                <w:b w:val="0"/>
                <w:bCs w:val="0"/>
                <w:sz w:val="21"/>
                <w:szCs w:val="21"/>
                <w:lang w:val="en-US" w:eastAsia="zh-CN"/>
              </w:rPr>
              <w:t>10</w:t>
            </w:r>
            <w:r>
              <w:rPr>
                <w:rFonts w:hint="eastAsia" w:ascii="宋体" w:hAnsi="宋体" w:eastAsia="宋体"/>
                <w:b w:val="0"/>
                <w:bCs w:val="0"/>
                <w:sz w:val="21"/>
                <w:szCs w:val="21"/>
              </w:rPr>
              <w:t>分；</w:t>
            </w:r>
          </w:p>
          <w:p w14:paraId="6DDD3684">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②养护维修响应时间及保证措施的承诺较完整、较可行、较有针对性得</w:t>
            </w:r>
            <w:r>
              <w:rPr>
                <w:rFonts w:hint="eastAsia" w:ascii="宋体" w:hAnsi="宋体" w:eastAsia="宋体"/>
                <w:b w:val="0"/>
                <w:bCs w:val="0"/>
                <w:sz w:val="21"/>
                <w:szCs w:val="21"/>
                <w:lang w:val="en-US" w:eastAsia="zh-CN"/>
              </w:rPr>
              <w:t>7</w:t>
            </w:r>
            <w:r>
              <w:rPr>
                <w:rFonts w:hint="eastAsia" w:ascii="宋体" w:hAnsi="宋体" w:eastAsia="宋体"/>
                <w:b w:val="0"/>
                <w:bCs w:val="0"/>
                <w:sz w:val="21"/>
                <w:szCs w:val="21"/>
              </w:rPr>
              <w:t>分；</w:t>
            </w:r>
          </w:p>
          <w:p w14:paraId="5421412B">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③养护维修响应时间及保证措施的承诺较简单得</w:t>
            </w:r>
            <w:r>
              <w:rPr>
                <w:rFonts w:hint="eastAsia" w:ascii="宋体" w:hAnsi="宋体" w:eastAsia="宋体"/>
                <w:b w:val="0"/>
                <w:bCs w:val="0"/>
                <w:sz w:val="21"/>
                <w:szCs w:val="21"/>
                <w:lang w:val="en-US" w:eastAsia="zh-CN"/>
              </w:rPr>
              <w:t>4</w:t>
            </w:r>
            <w:r>
              <w:rPr>
                <w:rFonts w:hint="eastAsia" w:ascii="宋体" w:hAnsi="宋体" w:eastAsia="宋体"/>
                <w:b w:val="0"/>
                <w:bCs w:val="0"/>
                <w:sz w:val="21"/>
                <w:szCs w:val="21"/>
              </w:rPr>
              <w:t>分；</w:t>
            </w:r>
          </w:p>
          <w:p w14:paraId="28E98586">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④未提供或有重大偏差不得分。</w:t>
            </w:r>
          </w:p>
          <w:p w14:paraId="15CB983F">
            <w:pPr>
              <w:pStyle w:val="42"/>
              <w:spacing w:line="360" w:lineRule="auto"/>
              <w:ind w:firstLine="0"/>
              <w:rPr>
                <w:rFonts w:hint="eastAsia" w:ascii="宋体" w:hAnsi="宋体" w:eastAsia="宋体"/>
                <w:b/>
                <w:bCs/>
                <w:sz w:val="21"/>
                <w:szCs w:val="21"/>
              </w:rPr>
            </w:pPr>
            <w:r>
              <w:rPr>
                <w:rFonts w:hint="eastAsia" w:ascii="宋体" w:hAnsi="宋体" w:eastAsia="宋体"/>
                <w:b/>
                <w:bCs/>
                <w:sz w:val="21"/>
                <w:szCs w:val="21"/>
              </w:rPr>
              <w:t>（6）评委根据投标人提供的后续服务安排及保证措施等方面进行评分：</w:t>
            </w:r>
          </w:p>
          <w:p w14:paraId="10281A63">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①后续服务安排及措施得当、具有针对性且满足项目要求得5分；</w:t>
            </w:r>
          </w:p>
          <w:p w14:paraId="375D4038">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②后续服务安排及措施较得当，较满足项目要求得3分；</w:t>
            </w:r>
          </w:p>
          <w:p w14:paraId="6660E617">
            <w:pPr>
              <w:pStyle w:val="42"/>
              <w:spacing w:line="360" w:lineRule="auto"/>
              <w:ind w:firstLine="0"/>
              <w:rPr>
                <w:rFonts w:hint="eastAsia" w:ascii="宋体" w:hAnsi="宋体" w:eastAsia="宋体"/>
                <w:b w:val="0"/>
                <w:bCs w:val="0"/>
                <w:sz w:val="21"/>
                <w:szCs w:val="21"/>
              </w:rPr>
            </w:pPr>
            <w:r>
              <w:rPr>
                <w:rFonts w:hint="eastAsia" w:ascii="宋体" w:hAnsi="宋体" w:eastAsia="宋体"/>
                <w:b w:val="0"/>
                <w:bCs w:val="0"/>
                <w:sz w:val="21"/>
                <w:szCs w:val="21"/>
              </w:rPr>
              <w:t>③后续服务安排及措施有瑕疵得1分；</w:t>
            </w:r>
          </w:p>
          <w:p w14:paraId="48F1FBCF">
            <w:pPr>
              <w:pStyle w:val="42"/>
              <w:spacing w:line="360" w:lineRule="auto"/>
              <w:ind w:firstLine="0"/>
              <w:rPr>
                <w:rFonts w:hint="default" w:ascii="宋体" w:hAnsi="宋体" w:eastAsia="宋体"/>
                <w:color w:val="auto"/>
                <w:sz w:val="21"/>
                <w:szCs w:val="21"/>
                <w:lang w:val="en-US" w:eastAsia="zh-CN"/>
              </w:rPr>
            </w:pPr>
            <w:r>
              <w:rPr>
                <w:rFonts w:hint="eastAsia" w:ascii="宋体" w:hAnsi="宋体" w:eastAsia="宋体"/>
                <w:b w:val="0"/>
                <w:bCs w:val="0"/>
                <w:sz w:val="21"/>
                <w:szCs w:val="21"/>
              </w:rPr>
              <w:t>④有重大偏差、未提供不得分。</w:t>
            </w:r>
          </w:p>
        </w:tc>
        <w:tc>
          <w:tcPr>
            <w:tcW w:w="776" w:type="dxa"/>
            <w:noWrap w:val="0"/>
            <w:vAlign w:val="center"/>
          </w:tcPr>
          <w:p w14:paraId="5EAE3989">
            <w:pPr>
              <w:spacing w:line="360" w:lineRule="auto"/>
              <w:jc w:val="center"/>
              <w:rPr>
                <w:rFonts w:hint="default" w:ascii="宋体" w:hAnsi="宋体" w:eastAsia="宋体" w:cs="宋体"/>
                <w:b/>
                <w:bCs/>
                <w:szCs w:val="21"/>
                <w:lang w:val="en-US" w:eastAsia="zh-CN"/>
              </w:rPr>
            </w:pPr>
            <w:r>
              <w:rPr>
                <w:rFonts w:hint="eastAsia" w:ascii="宋体" w:hAnsi="宋体" w:cs="宋体"/>
                <w:b/>
                <w:bCs/>
                <w:szCs w:val="21"/>
                <w:lang w:val="en-US" w:eastAsia="zh-CN"/>
              </w:rPr>
              <w:t>55</w:t>
            </w:r>
          </w:p>
        </w:tc>
      </w:tr>
      <w:tr w14:paraId="3C136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349F4F45">
            <w:pPr>
              <w:spacing w:line="360" w:lineRule="auto"/>
              <w:jc w:val="center"/>
              <w:rPr>
                <w:rFonts w:hint="eastAsia" w:ascii="宋体" w:hAnsi="宋体" w:cs="宋体"/>
                <w:b/>
                <w:szCs w:val="21"/>
                <w:lang w:val="en-US" w:eastAsia="zh-CN"/>
              </w:rPr>
            </w:pPr>
            <w:r>
              <w:rPr>
                <w:rFonts w:hint="eastAsia" w:ascii="宋体" w:hAnsi="宋体" w:cs="宋体"/>
                <w:b/>
                <w:szCs w:val="21"/>
                <w:lang w:val="en-US" w:eastAsia="zh-CN"/>
              </w:rPr>
              <w:t>4</w:t>
            </w:r>
          </w:p>
        </w:tc>
        <w:tc>
          <w:tcPr>
            <w:tcW w:w="1113" w:type="dxa"/>
            <w:noWrap w:val="0"/>
            <w:vAlign w:val="center"/>
          </w:tcPr>
          <w:p w14:paraId="420B690F">
            <w:pPr>
              <w:spacing w:line="360" w:lineRule="auto"/>
              <w:ind w:firstLine="211"/>
              <w:rPr>
                <w:rFonts w:hint="eastAsia" w:ascii="宋体" w:hAnsi="宋体" w:cs="宋体"/>
                <w:b/>
                <w:bCs/>
                <w:szCs w:val="21"/>
                <w:lang w:val="en-US" w:eastAsia="zh-CN"/>
              </w:rPr>
            </w:pPr>
            <w:r>
              <w:rPr>
                <w:rFonts w:hint="eastAsia" w:ascii="宋体" w:hAnsi="宋体" w:cs="宋体"/>
                <w:b/>
                <w:bCs/>
                <w:szCs w:val="21"/>
                <w:lang w:val="en-US" w:eastAsia="zh-CN"/>
              </w:rPr>
              <w:t>企业</w:t>
            </w:r>
          </w:p>
          <w:p w14:paraId="2BEA1277">
            <w:pPr>
              <w:spacing w:line="360" w:lineRule="auto"/>
              <w:ind w:firstLine="211"/>
              <w:rPr>
                <w:rFonts w:hint="eastAsia" w:ascii="宋体" w:hAnsi="宋体" w:cs="宋体"/>
                <w:b/>
                <w:bCs/>
                <w:szCs w:val="21"/>
              </w:rPr>
            </w:pPr>
            <w:r>
              <w:rPr>
                <w:rFonts w:hint="eastAsia" w:ascii="宋体" w:hAnsi="宋体" w:cs="宋体"/>
                <w:b/>
                <w:bCs/>
                <w:szCs w:val="21"/>
              </w:rPr>
              <w:t>业绩</w:t>
            </w:r>
          </w:p>
          <w:p w14:paraId="0C57051B">
            <w:pPr>
              <w:spacing w:line="360" w:lineRule="auto"/>
              <w:rPr>
                <w:rFonts w:hint="eastAsia" w:ascii="宋体" w:hAnsi="宋体" w:cs="宋体"/>
                <w:b/>
                <w:szCs w:val="21"/>
              </w:rPr>
            </w:pPr>
            <w:r>
              <w:rPr>
                <w:rFonts w:hint="eastAsia" w:ascii="宋体" w:hAnsi="宋体" w:cs="宋体"/>
                <w:b/>
                <w:bCs/>
                <w:szCs w:val="21"/>
              </w:rPr>
              <w:t>（</w:t>
            </w:r>
            <w:r>
              <w:rPr>
                <w:rFonts w:hint="eastAsia" w:ascii="宋体" w:hAnsi="宋体" w:cs="宋体"/>
                <w:b/>
                <w:bCs/>
                <w:szCs w:val="21"/>
                <w:lang w:val="en-US" w:eastAsia="zh-CN"/>
              </w:rPr>
              <w:t>15</w:t>
            </w:r>
            <w:r>
              <w:rPr>
                <w:rFonts w:hint="eastAsia" w:ascii="宋体" w:hAnsi="宋体" w:cs="宋体"/>
                <w:b/>
                <w:bCs/>
                <w:szCs w:val="21"/>
              </w:rPr>
              <w:t>分）</w:t>
            </w:r>
          </w:p>
        </w:tc>
        <w:tc>
          <w:tcPr>
            <w:tcW w:w="6893" w:type="dxa"/>
            <w:noWrap w:val="0"/>
            <w:vAlign w:val="center"/>
          </w:tcPr>
          <w:p w14:paraId="2D470D2E">
            <w:pPr>
              <w:numPr>
                <w:ilvl w:val="0"/>
                <w:numId w:val="0"/>
              </w:numPr>
              <w:spacing w:line="360" w:lineRule="auto"/>
              <w:ind w:left="0" w:firstLine="0"/>
              <w:rPr>
                <w:rFonts w:hint="eastAsia" w:ascii="宋体" w:hAnsi="宋体" w:eastAsia="宋体"/>
                <w:color w:val="auto"/>
                <w:sz w:val="21"/>
                <w:szCs w:val="21"/>
              </w:rPr>
            </w:pPr>
            <w:r>
              <w:rPr>
                <w:rFonts w:hint="eastAsia" w:ascii="宋体" w:hAnsi="宋体" w:cs="宋体"/>
                <w:color w:val="auto"/>
                <w:szCs w:val="21"/>
              </w:rPr>
              <w:t>供应商</w:t>
            </w:r>
            <w:r>
              <w:rPr>
                <w:rFonts w:hint="eastAsia" w:ascii="宋体" w:hAnsi="宋体" w:cs="宋体"/>
                <w:color w:val="auto"/>
                <w:szCs w:val="21"/>
                <w:highlight w:val="none"/>
              </w:rPr>
              <w:t>自2</w:t>
            </w:r>
            <w:r>
              <w:rPr>
                <w:rFonts w:ascii="宋体" w:hAnsi="宋体" w:cs="宋体"/>
                <w:color w:val="auto"/>
                <w:szCs w:val="21"/>
                <w:highlight w:val="none"/>
              </w:rPr>
              <w:t>0</w:t>
            </w:r>
            <w:r>
              <w:rPr>
                <w:rFonts w:hint="eastAsia" w:ascii="宋体" w:hAnsi="宋体" w:cs="宋体"/>
                <w:color w:val="auto"/>
                <w:szCs w:val="21"/>
                <w:highlight w:val="none"/>
                <w:lang w:val="en-US" w:eastAsia="zh-CN"/>
              </w:rPr>
              <w:t>21</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月1日（含）</w:t>
            </w:r>
            <w:r>
              <w:rPr>
                <w:rFonts w:hint="eastAsia" w:ascii="宋体" w:hAnsi="宋体" w:cs="宋体"/>
                <w:color w:val="auto"/>
                <w:szCs w:val="21"/>
              </w:rPr>
              <w:t>以来（时间以合同签订时间为准）承担过本项目类似</w:t>
            </w:r>
            <w:r>
              <w:rPr>
                <w:rFonts w:hint="eastAsia"/>
                <w:lang w:val="en-US" w:eastAsia="zh-CN"/>
              </w:rPr>
              <w:t>综合养护或者日常养护</w:t>
            </w:r>
            <w:r>
              <w:rPr>
                <w:rFonts w:hint="eastAsia" w:ascii="宋体" w:hAnsi="宋体" w:cs="宋体"/>
                <w:color w:val="auto"/>
                <w:szCs w:val="21"/>
              </w:rPr>
              <w:t>业绩，每提供一个得</w:t>
            </w:r>
            <w:r>
              <w:rPr>
                <w:rFonts w:hint="eastAsia" w:ascii="宋体" w:hAnsi="宋体" w:cs="宋体"/>
                <w:color w:val="auto"/>
                <w:szCs w:val="21"/>
                <w:lang w:val="en-US" w:eastAsia="zh-CN"/>
              </w:rPr>
              <w:t>5</w:t>
            </w:r>
            <w:r>
              <w:rPr>
                <w:rFonts w:hint="eastAsia" w:ascii="宋体" w:hAnsi="宋体" w:cs="宋体"/>
                <w:color w:val="auto"/>
                <w:szCs w:val="21"/>
              </w:rPr>
              <w:t>分，满分</w:t>
            </w:r>
            <w:r>
              <w:rPr>
                <w:rFonts w:hint="eastAsia" w:ascii="宋体" w:hAnsi="宋体" w:cs="宋体"/>
                <w:color w:val="auto"/>
                <w:szCs w:val="21"/>
                <w:lang w:val="en-US" w:eastAsia="zh-CN"/>
              </w:rPr>
              <w:t>15</w:t>
            </w:r>
            <w:r>
              <w:rPr>
                <w:rFonts w:hint="eastAsia" w:ascii="宋体" w:hAnsi="宋体" w:cs="宋体"/>
                <w:color w:val="auto"/>
                <w:szCs w:val="21"/>
              </w:rPr>
              <w:t>分。（提供合同和中标通知书（或成交通知书）</w:t>
            </w:r>
            <w:r>
              <w:rPr>
                <w:rFonts w:hint="eastAsia" w:ascii="宋体" w:hAnsi="宋体" w:cs="宋体"/>
                <w:color w:val="auto"/>
                <w:szCs w:val="21"/>
                <w:lang w:eastAsia="zh-CN"/>
              </w:rPr>
              <w:t>扫描件</w:t>
            </w:r>
            <w:r>
              <w:rPr>
                <w:rFonts w:hint="eastAsia" w:ascii="宋体" w:hAnsi="宋体" w:cs="宋体"/>
                <w:color w:val="auto"/>
                <w:szCs w:val="21"/>
              </w:rPr>
              <w:t>并加盖</w:t>
            </w:r>
            <w:r>
              <w:rPr>
                <w:rFonts w:hint="eastAsia" w:ascii="宋体" w:hAnsi="宋体" w:cs="宋体"/>
                <w:color w:val="auto"/>
                <w:szCs w:val="21"/>
                <w:highlight w:val="none"/>
                <w:lang w:eastAsia="zh-CN"/>
              </w:rPr>
              <w:t>公</w:t>
            </w:r>
            <w:r>
              <w:rPr>
                <w:rFonts w:hint="eastAsia" w:ascii="宋体" w:hAnsi="宋体" w:cs="宋体"/>
                <w:color w:val="auto"/>
                <w:szCs w:val="21"/>
                <w:lang w:eastAsia="zh-CN"/>
              </w:rPr>
              <w:t>章。</w:t>
            </w:r>
            <w:r>
              <w:rPr>
                <w:rFonts w:hint="eastAsia" w:ascii="宋体" w:hAnsi="宋体" w:cs="宋体"/>
                <w:color w:val="auto"/>
                <w:szCs w:val="21"/>
                <w:lang w:val="en-US" w:eastAsia="zh-CN"/>
              </w:rPr>
              <w:t>提供的证明材料须能清楚的反应相关数据和内容，否则视为未提供不得分，同一业绩不重复计分</w:t>
            </w:r>
            <w:r>
              <w:rPr>
                <w:rFonts w:hint="eastAsia" w:ascii="宋体" w:hAnsi="宋体" w:cs="宋体"/>
                <w:color w:val="auto"/>
                <w:szCs w:val="21"/>
              </w:rPr>
              <w:t>）</w:t>
            </w:r>
          </w:p>
        </w:tc>
        <w:tc>
          <w:tcPr>
            <w:tcW w:w="776" w:type="dxa"/>
            <w:noWrap w:val="0"/>
            <w:vAlign w:val="center"/>
          </w:tcPr>
          <w:p w14:paraId="20EF9735">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15</w:t>
            </w:r>
          </w:p>
        </w:tc>
      </w:tr>
      <w:tr w14:paraId="5E60E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7E0F391D">
            <w:pPr>
              <w:spacing w:line="360" w:lineRule="auto"/>
              <w:jc w:val="center"/>
              <w:rPr>
                <w:rFonts w:hint="default" w:ascii="宋体" w:hAnsi="宋体" w:cs="宋体"/>
                <w:b/>
                <w:szCs w:val="21"/>
                <w:lang w:val="en-US" w:eastAsia="zh-CN"/>
              </w:rPr>
            </w:pPr>
            <w:r>
              <w:rPr>
                <w:rFonts w:hint="eastAsia" w:ascii="宋体" w:hAnsi="宋体" w:cs="宋体"/>
                <w:b/>
                <w:szCs w:val="21"/>
                <w:lang w:val="en-US" w:eastAsia="zh-CN"/>
              </w:rPr>
              <w:t>5</w:t>
            </w:r>
          </w:p>
        </w:tc>
        <w:tc>
          <w:tcPr>
            <w:tcW w:w="1113" w:type="dxa"/>
            <w:noWrap w:val="0"/>
            <w:vAlign w:val="center"/>
          </w:tcPr>
          <w:p w14:paraId="6036B086">
            <w:pPr>
              <w:spacing w:line="360" w:lineRule="auto"/>
              <w:jc w:val="center"/>
              <w:rPr>
                <w:rFonts w:hint="eastAsia" w:ascii="宋体" w:hAnsi="宋体" w:cs="宋体"/>
                <w:b/>
                <w:bCs/>
                <w:szCs w:val="21"/>
              </w:rPr>
            </w:pPr>
            <w:r>
              <w:rPr>
                <w:rFonts w:hint="eastAsia" w:ascii="宋体" w:hAnsi="宋体" w:cs="宋体"/>
                <w:b/>
                <w:bCs/>
                <w:szCs w:val="21"/>
              </w:rPr>
              <w:t>项目</w:t>
            </w:r>
          </w:p>
          <w:p w14:paraId="2DD5785C">
            <w:pPr>
              <w:spacing w:line="360" w:lineRule="auto"/>
              <w:jc w:val="center"/>
              <w:rPr>
                <w:rFonts w:hint="eastAsia" w:ascii="宋体" w:hAnsi="宋体" w:cs="宋体"/>
                <w:b/>
                <w:bCs/>
                <w:szCs w:val="21"/>
              </w:rPr>
            </w:pPr>
            <w:r>
              <w:rPr>
                <w:rFonts w:hint="eastAsia" w:ascii="宋体" w:hAnsi="宋体" w:cs="宋体"/>
                <w:b/>
                <w:bCs/>
                <w:szCs w:val="21"/>
              </w:rPr>
              <w:t>负责人</w:t>
            </w:r>
          </w:p>
          <w:p w14:paraId="5E44C8D1">
            <w:pPr>
              <w:spacing w:line="360" w:lineRule="auto"/>
              <w:rPr>
                <w:rFonts w:hint="eastAsia" w:ascii="宋体" w:hAnsi="宋体" w:cs="宋体"/>
                <w:b/>
                <w:bCs/>
                <w:szCs w:val="21"/>
              </w:rPr>
            </w:pPr>
            <w:r>
              <w:rPr>
                <w:rFonts w:hint="eastAsia" w:ascii="宋体" w:hAnsi="宋体" w:cs="宋体"/>
                <w:b/>
                <w:szCs w:val="21"/>
              </w:rPr>
              <w:t>（</w:t>
            </w:r>
            <w:r>
              <w:rPr>
                <w:rFonts w:hint="eastAsia" w:ascii="宋体" w:hAnsi="宋体" w:cs="宋体"/>
                <w:b/>
                <w:szCs w:val="21"/>
                <w:lang w:val="en-US" w:eastAsia="zh-CN"/>
              </w:rPr>
              <w:t>5</w:t>
            </w:r>
            <w:r>
              <w:rPr>
                <w:rFonts w:hint="eastAsia" w:ascii="宋体" w:hAnsi="宋体" w:cs="宋体"/>
                <w:b/>
                <w:szCs w:val="21"/>
              </w:rPr>
              <w:t>分）</w:t>
            </w:r>
          </w:p>
        </w:tc>
        <w:tc>
          <w:tcPr>
            <w:tcW w:w="6893" w:type="dxa"/>
            <w:noWrap w:val="0"/>
            <w:vAlign w:val="top"/>
          </w:tcPr>
          <w:p w14:paraId="14DD9338">
            <w:pPr>
              <w:pStyle w:val="42"/>
              <w:spacing w:line="360" w:lineRule="auto"/>
              <w:ind w:firstLine="0"/>
              <w:rPr>
                <w:rFonts w:hint="eastAsia" w:ascii="宋体" w:hAnsi="宋体" w:cs="宋体"/>
                <w:color w:val="auto"/>
                <w:szCs w:val="21"/>
              </w:rPr>
            </w:pPr>
            <w:r>
              <w:rPr>
                <w:rFonts w:hint="eastAsia" w:ascii="宋体" w:hAnsi="宋体" w:cs="宋体"/>
                <w:color w:val="auto"/>
                <w:szCs w:val="21"/>
              </w:rPr>
              <w:t>（1）项目负责人</w:t>
            </w:r>
          </w:p>
          <w:p w14:paraId="23651AB1">
            <w:pPr>
              <w:pStyle w:val="42"/>
              <w:spacing w:line="360" w:lineRule="auto"/>
              <w:ind w:firstLine="0"/>
              <w:rPr>
                <w:rFonts w:hint="eastAsia" w:ascii="宋体" w:hAnsi="宋体" w:cs="宋体"/>
                <w:color w:val="auto"/>
                <w:szCs w:val="21"/>
              </w:rPr>
            </w:pPr>
            <w:r>
              <w:rPr>
                <w:rFonts w:hint="eastAsia" w:ascii="宋体" w:hAnsi="宋体" w:cs="宋体"/>
                <w:color w:val="auto"/>
                <w:szCs w:val="21"/>
              </w:rPr>
              <w:t>拟投入本项目的项目负责人同时具有①中级</w:t>
            </w:r>
            <w:r>
              <w:rPr>
                <w:rFonts w:hint="eastAsia" w:ascii="宋体" w:hAnsi="宋体" w:eastAsia="宋体" w:cs="宋体"/>
                <w:color w:val="auto"/>
                <w:szCs w:val="21"/>
                <w:lang w:val="en-US" w:eastAsia="zh-CN"/>
              </w:rPr>
              <w:t>及</w:t>
            </w:r>
            <w:r>
              <w:rPr>
                <w:rFonts w:hint="eastAsia" w:ascii="宋体" w:hAnsi="宋体" w:cs="宋体"/>
                <w:color w:val="auto"/>
                <w:szCs w:val="21"/>
              </w:rPr>
              <w:t>以上技术职称；②二级</w:t>
            </w:r>
            <w:r>
              <w:rPr>
                <w:rFonts w:hint="eastAsia" w:ascii="宋体" w:hAnsi="宋体" w:eastAsia="宋体" w:cs="宋体"/>
                <w:color w:val="auto"/>
                <w:szCs w:val="21"/>
                <w:lang w:val="en-US" w:eastAsia="zh-CN"/>
              </w:rPr>
              <w:t>及</w:t>
            </w:r>
            <w:r>
              <w:rPr>
                <w:rFonts w:hint="eastAsia" w:ascii="宋体" w:hAnsi="宋体" w:cs="宋体"/>
                <w:color w:val="auto"/>
                <w:szCs w:val="21"/>
              </w:rPr>
              <w:t>以上注册建造师得</w:t>
            </w:r>
            <w:r>
              <w:rPr>
                <w:rFonts w:hint="eastAsia" w:ascii="宋体" w:hAnsi="宋体" w:cs="宋体"/>
                <w:color w:val="auto"/>
                <w:szCs w:val="21"/>
                <w:lang w:val="en-US" w:eastAsia="zh-CN"/>
              </w:rPr>
              <w:t>5</w:t>
            </w:r>
            <w:r>
              <w:rPr>
                <w:rFonts w:hint="eastAsia" w:ascii="宋体" w:hAnsi="宋体" w:cs="宋体"/>
                <w:color w:val="auto"/>
                <w:szCs w:val="21"/>
              </w:rPr>
              <w:t>分，缺一项不得分，本项最多得</w:t>
            </w:r>
            <w:r>
              <w:rPr>
                <w:rFonts w:hint="eastAsia" w:ascii="宋体" w:hAnsi="宋体" w:cs="宋体"/>
                <w:color w:val="auto"/>
                <w:szCs w:val="21"/>
                <w:lang w:val="en-US" w:eastAsia="zh-CN"/>
              </w:rPr>
              <w:t>5</w:t>
            </w:r>
            <w:r>
              <w:rPr>
                <w:rFonts w:hint="eastAsia" w:ascii="宋体" w:hAnsi="宋体" w:cs="宋体"/>
                <w:color w:val="auto"/>
                <w:szCs w:val="21"/>
              </w:rPr>
              <w:t>分。（提供相关证书的原件扫描件并加盖</w:t>
            </w:r>
            <w:r>
              <w:rPr>
                <w:rFonts w:hint="eastAsia" w:ascii="宋体" w:hAnsi="宋体" w:cs="宋体"/>
                <w:color w:val="auto"/>
                <w:szCs w:val="21"/>
                <w:highlight w:val="none"/>
                <w:lang w:eastAsia="zh-CN"/>
              </w:rPr>
              <w:t>公</w:t>
            </w:r>
            <w:r>
              <w:rPr>
                <w:rFonts w:hint="eastAsia" w:ascii="宋体" w:hAnsi="宋体" w:cs="宋体"/>
                <w:color w:val="auto"/>
                <w:szCs w:val="21"/>
                <w:lang w:eastAsia="zh-CN"/>
              </w:rPr>
              <w:t>章</w:t>
            </w:r>
            <w:r>
              <w:rPr>
                <w:rFonts w:hint="eastAsia" w:ascii="宋体" w:hAnsi="宋体" w:cs="宋体"/>
                <w:color w:val="auto"/>
                <w:szCs w:val="21"/>
              </w:rPr>
              <w:t>）</w:t>
            </w:r>
          </w:p>
        </w:tc>
        <w:tc>
          <w:tcPr>
            <w:tcW w:w="776" w:type="dxa"/>
            <w:noWrap w:val="0"/>
            <w:vAlign w:val="center"/>
          </w:tcPr>
          <w:p w14:paraId="5B5EB385">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5</w:t>
            </w:r>
          </w:p>
        </w:tc>
      </w:tr>
      <w:tr w14:paraId="30853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92" w:type="dxa"/>
            <w:noWrap w:val="0"/>
            <w:vAlign w:val="center"/>
          </w:tcPr>
          <w:p w14:paraId="286766F8">
            <w:pPr>
              <w:spacing w:line="360" w:lineRule="auto"/>
              <w:jc w:val="center"/>
              <w:rPr>
                <w:rFonts w:hint="default" w:ascii="宋体" w:hAnsi="宋体" w:cs="宋体"/>
                <w:b/>
                <w:szCs w:val="21"/>
                <w:lang w:val="en-US" w:eastAsia="zh-CN"/>
              </w:rPr>
            </w:pPr>
            <w:r>
              <w:rPr>
                <w:rFonts w:hint="eastAsia" w:ascii="宋体" w:hAnsi="宋体" w:cs="宋体"/>
                <w:b/>
                <w:szCs w:val="21"/>
                <w:lang w:val="en-US" w:eastAsia="zh-CN"/>
              </w:rPr>
              <w:t>6</w:t>
            </w:r>
          </w:p>
        </w:tc>
        <w:tc>
          <w:tcPr>
            <w:tcW w:w="1113" w:type="dxa"/>
            <w:noWrap w:val="0"/>
            <w:vAlign w:val="center"/>
          </w:tcPr>
          <w:p w14:paraId="68C0242B">
            <w:pPr>
              <w:spacing w:line="360" w:lineRule="auto"/>
              <w:jc w:val="center"/>
              <w:rPr>
                <w:rFonts w:hint="eastAsia" w:ascii="宋体" w:hAnsi="宋体" w:cs="宋体"/>
                <w:b/>
                <w:bCs/>
                <w:szCs w:val="21"/>
                <w:lang w:val="en-US" w:eastAsia="zh-CN"/>
              </w:rPr>
            </w:pPr>
            <w:r>
              <w:rPr>
                <w:rFonts w:hint="eastAsia" w:ascii="宋体" w:hAnsi="宋体" w:cs="宋体"/>
                <w:b/>
                <w:bCs/>
                <w:szCs w:val="21"/>
                <w:lang w:val="en-US" w:eastAsia="zh-CN"/>
              </w:rPr>
              <w:t>项目组</w:t>
            </w:r>
          </w:p>
          <w:p w14:paraId="4E5CFC8C">
            <w:pPr>
              <w:spacing w:line="360" w:lineRule="auto"/>
              <w:jc w:val="center"/>
              <w:rPr>
                <w:rFonts w:hint="eastAsia" w:ascii="宋体" w:hAnsi="宋体" w:cs="宋体"/>
                <w:b/>
                <w:bCs/>
                <w:szCs w:val="21"/>
                <w:lang w:val="en-US" w:eastAsia="zh-CN"/>
              </w:rPr>
            </w:pPr>
            <w:r>
              <w:rPr>
                <w:rFonts w:hint="eastAsia" w:ascii="宋体" w:hAnsi="宋体" w:cs="宋体"/>
                <w:b/>
                <w:bCs/>
                <w:szCs w:val="21"/>
                <w:lang w:val="en-US" w:eastAsia="zh-CN"/>
              </w:rPr>
              <w:t>成员</w:t>
            </w:r>
          </w:p>
          <w:p w14:paraId="0841F276">
            <w:pPr>
              <w:pStyle w:val="42"/>
              <w:ind w:left="0" w:firstLine="0"/>
              <w:rPr>
                <w:rFonts w:hint="default"/>
                <w:lang w:val="en-US" w:eastAsia="zh-CN"/>
              </w:rPr>
            </w:pPr>
            <w:r>
              <w:rPr>
                <w:rFonts w:hint="eastAsia"/>
                <w:b/>
                <w:bCs/>
                <w:lang w:val="en-US" w:eastAsia="zh-CN"/>
              </w:rPr>
              <w:t>（5分）</w:t>
            </w:r>
          </w:p>
        </w:tc>
        <w:tc>
          <w:tcPr>
            <w:tcW w:w="6893" w:type="dxa"/>
            <w:noWrap w:val="0"/>
            <w:vAlign w:val="top"/>
          </w:tcPr>
          <w:p w14:paraId="6124150A">
            <w:pPr>
              <w:pStyle w:val="42"/>
              <w:spacing w:line="360" w:lineRule="auto"/>
              <w:ind w:firstLine="0"/>
              <w:rPr>
                <w:rFonts w:hint="eastAsia" w:ascii="宋体" w:hAnsi="宋体" w:cs="宋体"/>
                <w:color w:val="auto"/>
                <w:szCs w:val="21"/>
                <w:lang w:val="en-US" w:eastAsia="zh-CN"/>
              </w:rPr>
            </w:pPr>
            <w:r>
              <w:rPr>
                <w:rFonts w:hint="eastAsia" w:ascii="宋体" w:hAnsi="宋体" w:cs="宋体"/>
                <w:color w:val="auto"/>
                <w:szCs w:val="21"/>
                <w:lang w:val="zh-CN" w:eastAsia="zh-CN"/>
              </w:rPr>
              <w:t>拟投入本项目的</w:t>
            </w:r>
            <w:r>
              <w:rPr>
                <w:rFonts w:hint="eastAsia" w:ascii="宋体" w:hAnsi="宋体" w:cs="宋体"/>
                <w:color w:val="auto"/>
                <w:szCs w:val="21"/>
                <w:lang w:val="en-US" w:eastAsia="zh-CN"/>
              </w:rPr>
              <w:t>项目组成员</w:t>
            </w:r>
            <w:r>
              <w:rPr>
                <w:rFonts w:hint="eastAsia" w:ascii="宋体" w:hAnsi="宋体" w:cs="宋体"/>
                <w:color w:val="auto"/>
                <w:szCs w:val="21"/>
                <w:lang w:val="zh-CN" w:eastAsia="zh-CN"/>
              </w:rPr>
              <w:t>具有中级</w:t>
            </w:r>
            <w:r>
              <w:rPr>
                <w:rFonts w:hint="eastAsia" w:ascii="宋体" w:hAnsi="宋体" w:cs="宋体"/>
                <w:color w:val="auto"/>
                <w:szCs w:val="21"/>
                <w:lang w:val="en-US" w:eastAsia="zh-CN"/>
              </w:rPr>
              <w:t>及以上</w:t>
            </w:r>
            <w:r>
              <w:rPr>
                <w:rFonts w:hint="eastAsia" w:ascii="宋体" w:hAnsi="宋体" w:cs="宋体"/>
                <w:color w:val="auto"/>
                <w:szCs w:val="21"/>
                <w:lang w:val="zh-CN" w:eastAsia="zh-CN"/>
              </w:rPr>
              <w:t>技术职称的，得</w:t>
            </w:r>
            <w:r>
              <w:rPr>
                <w:rFonts w:hint="eastAsia" w:ascii="宋体" w:hAnsi="宋体" w:cs="宋体"/>
                <w:color w:val="auto"/>
                <w:szCs w:val="21"/>
                <w:lang w:val="en-US" w:eastAsia="zh-CN"/>
              </w:rPr>
              <w:t>1</w:t>
            </w:r>
            <w:r>
              <w:rPr>
                <w:rFonts w:hint="eastAsia" w:ascii="宋体" w:hAnsi="宋体" w:cs="宋体"/>
                <w:color w:val="auto"/>
                <w:szCs w:val="21"/>
                <w:lang w:val="zh-CN" w:eastAsia="zh-CN"/>
              </w:rPr>
              <w:t>分；</w:t>
            </w:r>
            <w:r>
              <w:rPr>
                <w:rFonts w:hint="eastAsia" w:ascii="宋体" w:hAnsi="宋体" w:cs="宋体"/>
                <w:color w:val="auto"/>
                <w:szCs w:val="21"/>
                <w:lang w:val="en-US" w:eastAsia="zh-CN"/>
              </w:rPr>
              <w:t>本项最高得4分。</w:t>
            </w:r>
          </w:p>
          <w:p w14:paraId="28DF6CDC">
            <w:pPr>
              <w:pStyle w:val="42"/>
              <w:spacing w:line="360" w:lineRule="auto"/>
              <w:ind w:firstLine="0"/>
              <w:rPr>
                <w:rFonts w:hint="eastAsia" w:ascii="宋体" w:hAnsi="宋体" w:cs="宋体"/>
                <w:color w:val="auto"/>
                <w:szCs w:val="21"/>
                <w:lang w:val="zh-CN" w:eastAsia="zh-CN"/>
              </w:rPr>
            </w:pPr>
            <w:r>
              <w:rPr>
                <w:rFonts w:hint="eastAsia" w:ascii="宋体" w:hAnsi="宋体" w:cs="宋体"/>
                <w:color w:val="auto"/>
                <w:szCs w:val="21"/>
                <w:lang w:val="zh-CN" w:eastAsia="zh-CN"/>
              </w:rPr>
              <w:t>专职安全员：具有省级及以上交通运输主管部门核发的《公路水运工程施工企业主要负责人和安全生产管理人员安全生产考核合格证书》（C证）或省级及以上建设行政主管部门核发的《建筑施工企业专职安全生产管理人员安全生产考核合格证书》（C证）</w:t>
            </w:r>
            <w:r>
              <w:rPr>
                <w:rFonts w:hint="eastAsia" w:ascii="宋体" w:hAnsi="宋体" w:cs="宋体"/>
                <w:color w:val="auto"/>
                <w:szCs w:val="21"/>
                <w:lang w:val="en-US" w:eastAsia="zh-CN"/>
              </w:rPr>
              <w:t>得1分，本项最高得1分。</w:t>
            </w:r>
          </w:p>
          <w:p w14:paraId="75EDB2D5">
            <w:pPr>
              <w:pStyle w:val="42"/>
              <w:spacing w:line="360" w:lineRule="auto"/>
              <w:ind w:firstLine="0"/>
              <w:rPr>
                <w:rFonts w:hint="eastAsia" w:ascii="宋体" w:hAnsi="宋体" w:cs="宋体"/>
                <w:color w:val="auto"/>
                <w:szCs w:val="21"/>
                <w:lang w:val="zh-CN" w:eastAsia="zh-CN"/>
              </w:rPr>
            </w:pPr>
            <w:r>
              <w:rPr>
                <w:rFonts w:hint="eastAsia" w:ascii="宋体" w:hAnsi="宋体" w:cs="宋体"/>
                <w:color w:val="auto"/>
                <w:szCs w:val="21"/>
                <w:lang w:val="zh-CN" w:eastAsia="zh-CN"/>
              </w:rPr>
              <w:t>（</w:t>
            </w:r>
            <w:r>
              <w:rPr>
                <w:rFonts w:hint="eastAsia" w:ascii="宋体" w:hAnsi="宋体" w:cs="宋体"/>
                <w:color w:val="auto"/>
                <w:szCs w:val="21"/>
                <w:lang w:val="en-US" w:eastAsia="zh-CN"/>
              </w:rPr>
              <w:t>以上</w:t>
            </w:r>
            <w:r>
              <w:rPr>
                <w:rFonts w:hint="eastAsia" w:ascii="宋体" w:hAnsi="宋体" w:cs="宋体"/>
                <w:color w:val="auto"/>
                <w:szCs w:val="21"/>
                <w:lang w:val="zh-CN" w:eastAsia="zh-CN"/>
              </w:rPr>
              <w:t>提供职称证书的原件扫描件；</w:t>
            </w:r>
            <w:r>
              <w:rPr>
                <w:rFonts w:hint="eastAsia" w:ascii="宋体" w:hAnsi="宋体" w:cs="宋体"/>
                <w:color w:val="auto"/>
                <w:szCs w:val="21"/>
                <w:lang w:val="en-US" w:eastAsia="zh-CN"/>
              </w:rPr>
              <w:t>安全人员</w:t>
            </w:r>
            <w:r>
              <w:rPr>
                <w:rFonts w:hint="eastAsia" w:ascii="宋体" w:hAnsi="宋体" w:cs="宋体"/>
                <w:color w:val="auto"/>
                <w:szCs w:val="21"/>
                <w:lang w:val="zh-CN" w:eastAsia="zh-CN"/>
              </w:rPr>
              <w:t>提供</w:t>
            </w:r>
            <w:r>
              <w:rPr>
                <w:rFonts w:hint="eastAsia" w:ascii="宋体" w:hAnsi="宋体" w:cs="宋体"/>
                <w:color w:val="auto"/>
                <w:szCs w:val="21"/>
                <w:lang w:val="en-US" w:eastAsia="zh-CN"/>
              </w:rPr>
              <w:t>相应证书</w:t>
            </w:r>
            <w:r>
              <w:rPr>
                <w:rFonts w:hint="eastAsia" w:ascii="宋体" w:hAnsi="宋体" w:cs="宋体"/>
                <w:color w:val="auto"/>
                <w:szCs w:val="21"/>
              </w:rPr>
              <w:t>并加盖</w:t>
            </w:r>
            <w:r>
              <w:rPr>
                <w:rFonts w:hint="eastAsia" w:ascii="宋体" w:hAnsi="宋体" w:cs="宋体"/>
                <w:color w:val="auto"/>
                <w:szCs w:val="21"/>
                <w:lang w:eastAsia="zh-CN"/>
              </w:rPr>
              <w:t>公章</w:t>
            </w:r>
            <w:r>
              <w:rPr>
                <w:rFonts w:hint="eastAsia" w:ascii="宋体" w:hAnsi="宋体" w:cs="宋体"/>
                <w:color w:val="auto"/>
                <w:szCs w:val="21"/>
                <w:lang w:val="zh-CN" w:eastAsia="zh-CN"/>
              </w:rPr>
              <w:t>，以本单位注册证书为准）</w:t>
            </w:r>
          </w:p>
        </w:tc>
        <w:tc>
          <w:tcPr>
            <w:tcW w:w="776" w:type="dxa"/>
            <w:noWrap w:val="0"/>
            <w:vAlign w:val="center"/>
          </w:tcPr>
          <w:p w14:paraId="6E9FD4DF">
            <w:pPr>
              <w:widowControl/>
              <w:spacing w:line="360" w:lineRule="auto"/>
              <w:jc w:val="center"/>
              <w:rPr>
                <w:rFonts w:hint="default" w:ascii="宋体" w:hAnsi="宋体" w:cs="宋体"/>
                <w:b/>
                <w:bCs/>
                <w:szCs w:val="21"/>
                <w:shd w:val="clear" w:color="auto" w:fill="FFFFFF"/>
                <w:lang w:val="en-US" w:eastAsia="zh-CN"/>
              </w:rPr>
            </w:pPr>
            <w:r>
              <w:rPr>
                <w:rFonts w:hint="eastAsia" w:ascii="宋体" w:hAnsi="宋体" w:cs="宋体"/>
                <w:b/>
                <w:bCs/>
                <w:szCs w:val="21"/>
                <w:shd w:val="clear" w:color="auto" w:fill="FFFFFF"/>
                <w:lang w:val="en-US" w:eastAsia="zh-CN"/>
              </w:rPr>
              <w:t>5</w:t>
            </w:r>
          </w:p>
        </w:tc>
      </w:tr>
      <w:tr w14:paraId="639CD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798" w:type="dxa"/>
            <w:gridSpan w:val="3"/>
            <w:noWrap w:val="0"/>
            <w:vAlign w:val="center"/>
          </w:tcPr>
          <w:p w14:paraId="156ADFFB">
            <w:pPr>
              <w:widowControl/>
              <w:spacing w:line="360" w:lineRule="auto"/>
              <w:jc w:val="center"/>
              <w:rPr>
                <w:rFonts w:hint="eastAsia" w:ascii="宋体" w:hAnsi="宋体" w:cs="宋体"/>
                <w:szCs w:val="21"/>
              </w:rPr>
            </w:pPr>
            <w:r>
              <w:rPr>
                <w:rFonts w:hint="eastAsia" w:ascii="宋体" w:hAnsi="宋体" w:cs="宋体"/>
                <w:b/>
                <w:bCs/>
                <w:szCs w:val="21"/>
              </w:rPr>
              <w:t>合计</w:t>
            </w:r>
          </w:p>
        </w:tc>
        <w:tc>
          <w:tcPr>
            <w:tcW w:w="776" w:type="dxa"/>
            <w:noWrap w:val="0"/>
            <w:vAlign w:val="center"/>
          </w:tcPr>
          <w:p w14:paraId="52DE24C7">
            <w:pPr>
              <w:widowControl/>
              <w:spacing w:line="360" w:lineRule="auto"/>
              <w:jc w:val="center"/>
              <w:rPr>
                <w:rFonts w:hint="eastAsia" w:ascii="宋体" w:hAnsi="宋体" w:cs="宋体"/>
                <w:b/>
                <w:bCs/>
                <w:szCs w:val="21"/>
              </w:rPr>
            </w:pPr>
            <w:r>
              <w:rPr>
                <w:rFonts w:hint="eastAsia" w:ascii="宋体" w:hAnsi="宋体" w:cs="宋体"/>
                <w:b/>
                <w:bCs/>
                <w:szCs w:val="21"/>
              </w:rPr>
              <w:t>100</w:t>
            </w:r>
          </w:p>
        </w:tc>
      </w:tr>
    </w:tbl>
    <w:p w14:paraId="52EEE43C">
      <w:pPr>
        <w:spacing w:line="360" w:lineRule="auto"/>
        <w:ind w:firstLine="422"/>
        <w:rPr>
          <w:rFonts w:hint="eastAsia"/>
          <w:sz w:val="22"/>
          <w:szCs w:val="22"/>
        </w:rPr>
      </w:pPr>
      <w:r>
        <w:rPr>
          <w:rFonts w:hint="eastAsia" w:ascii="宋体" w:hAnsi="宋体" w:cs="宋体"/>
          <w:b/>
          <w:color w:val="000000"/>
          <w:sz w:val="22"/>
          <w:szCs w:val="22"/>
          <w:lang w:bidi="ar"/>
        </w:rPr>
        <w:t>说明：</w:t>
      </w:r>
    </w:p>
    <w:p w14:paraId="60F5D814">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1、评审评分标准涉及的所有证书、认证、证明和业绩等材料均以有效的证明文件的复印件（加盖公章）为依据，需按要求提供相应的证明材料在响应文件中。提供的证明材料必须真实可靠，如发现弄虚作假者，将向政府采购管理部门汇报，将供应商列入不良行为记录名单，并依法予以处罚。</w:t>
      </w:r>
    </w:p>
    <w:p w14:paraId="55087037">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2、政策功能：价格部分优惠政策如下：</w:t>
      </w:r>
    </w:p>
    <w:p w14:paraId="6940EEEC">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（1）中小企业划型标准按照《关于印发中小企业划型标准规定的通知（工信部联企业〔2011〕300号）》文件的相关规定认定。</w:t>
      </w:r>
    </w:p>
    <w:p w14:paraId="5935B6C0">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2）根据《政府采购促进中小企业发展暂行办法》的相关规定，本项目对小型和微型企业产品的价格给予10%的扣除，大中型企业与小微企业组成联合体或者大中型企业向小微企业分包的，对联合协议或者分包意向协议约定小微企业合同份额占到合同总金额30%以上的，对联合体或者大中型企业的报价给予5%的扣除，以扣除后的价格作为评审价格。</w:t>
      </w:r>
    </w:p>
    <w:p w14:paraId="57571A20">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2F863A75">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（4）根据《财库〔2017〕141号》符合条件的残疾人福利性单位视同小型、微型企业，享受中小企业发展的政府采购政策。残疾人福利性单位属于小型、微型企业的，不重复享受政策。</w:t>
      </w:r>
    </w:p>
    <w:p w14:paraId="0A7216F4">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（5）小型、微型企业提供中型或大型企业制造的货物的，视同为中型或大型企业。</w:t>
      </w:r>
    </w:p>
    <w:p w14:paraId="6E1E693F">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6）参加政府采购活动的中小企业应当按“关于印发《政府采购促进中小企业发展暂行办法》的通知《财库〔2011〕181号》”和《财库〔2017〕141号》规定提供《中小企业声明函》《残疾人福利性单位声明函》和《属于监狱企业的证明文件》。未提供上述资料的报价，其价格不予扣除。</w:t>
      </w:r>
    </w:p>
    <w:p w14:paraId="78825CCA">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7）节能环保产品（如有）：1）在满足采购需求、质量和服务相等的情况下，对属于国家认定的节能和环保产品在评审时分别给予其对应的投标产品报价5%、5%的价格扣除。2）节能和环保产品必须纳入“中国政府采购网http://www.ccgp.gov.cn”等官方网站“节能、环保产品查询系统”，且以提供的相应页面截图或相关认证证明材料为准。</w:t>
      </w:r>
    </w:p>
    <w:p w14:paraId="4E056DAE">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（8）根据《苏财购〔2021〕34号》，符合条件的小微企业参与工程项目给予5%的价格扣除，以扣除后的价格作为评审价格。</w:t>
      </w:r>
    </w:p>
    <w:p w14:paraId="7CC23E36">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3、评标结果保留两位小数。</w:t>
      </w:r>
    </w:p>
    <w:p w14:paraId="723EB24D">
      <w:pPr>
        <w:spacing w:line="360" w:lineRule="auto"/>
        <w:ind w:right="-10" w:firstLine="482"/>
        <w:rPr>
          <w:rFonts w:hint="eastAsia" w:ascii="宋体" w:hAnsi="宋体" w:cs="宋体"/>
          <w:sz w:val="22"/>
          <w:szCs w:val="22"/>
          <w:highlight w:val="none"/>
        </w:rPr>
      </w:pPr>
      <w:r>
        <w:rPr>
          <w:rFonts w:hint="eastAsia" w:ascii="宋体" w:hAnsi="宋体" w:cs="宋体"/>
          <w:sz w:val="22"/>
          <w:szCs w:val="22"/>
          <w:highlight w:val="none"/>
        </w:rPr>
        <w:t>4、评审小组不保证有效报价最低的供应商中标。</w:t>
      </w:r>
    </w:p>
    <w:p w14:paraId="3C5DFEC4">
      <w:pPr>
        <w:rPr>
          <w:rFonts w:hint="eastAsia"/>
          <w:lang w:val="zh-CN" w:eastAsia="zh-CN"/>
        </w:rPr>
      </w:pPr>
      <w:r>
        <w:rPr>
          <w:rFonts w:hint="eastAsia"/>
          <w:lang w:val="zh-CN" w:eastAsia="zh-CN"/>
        </w:rPr>
        <w:br w:type="page" w:clear="all"/>
      </w:r>
    </w:p>
    <w:p w14:paraId="2F0D7EE6">
      <w:pPr>
        <w:pStyle w:val="41"/>
        <w:widowControl/>
        <w:spacing w:before="156" w:after="156" w:line="460" w:lineRule="exact"/>
        <w:ind w:left="1455" w:hanging="1455"/>
        <w:contextualSpacing/>
        <w:jc w:val="center"/>
        <w:outlineLvl w:val="0"/>
        <w:rPr>
          <w:rFonts w:hint="eastAsia" w:ascii="宋体" w:hAnsi="宋体" w:cs="宋体"/>
          <w:b/>
          <w:bCs/>
          <w:color w:val="000000"/>
          <w:sz w:val="36"/>
          <w:szCs w:val="36"/>
          <w:highlight w:val="none"/>
          <w:lang w:val="zh-CN"/>
        </w:rPr>
      </w:pPr>
      <w:r>
        <w:rPr>
          <w:rFonts w:hint="eastAsia" w:ascii="宋体" w:hAnsi="宋体" w:eastAsia="宋体" w:cs="Times New Roman"/>
          <w:b/>
          <w:sz w:val="36"/>
          <w:szCs w:val="30"/>
          <w:highlight w:val="none"/>
          <w:lang w:val="zh-CN" w:eastAsia="zh-CN" w:bidi="en-US"/>
        </w:rPr>
        <w:t>第</w:t>
      </w:r>
      <w:r>
        <w:rPr>
          <w:rFonts w:hint="eastAsia" w:ascii="宋体" w:hAnsi="宋体" w:cs="Times New Roman"/>
          <w:b/>
          <w:sz w:val="36"/>
          <w:szCs w:val="30"/>
          <w:highlight w:val="none"/>
          <w:lang w:val="en-US" w:eastAsia="zh-CN" w:bidi="en-US"/>
        </w:rPr>
        <w:t>四</w:t>
      </w:r>
      <w:r>
        <w:rPr>
          <w:rFonts w:hint="eastAsia" w:ascii="宋体" w:hAnsi="宋体" w:eastAsia="宋体" w:cs="Times New Roman"/>
          <w:b/>
          <w:sz w:val="36"/>
          <w:szCs w:val="30"/>
          <w:highlight w:val="none"/>
          <w:lang w:val="zh-CN" w:eastAsia="zh-CN" w:bidi="en-US"/>
        </w:rPr>
        <w:t>章</w:t>
      </w:r>
      <w:r>
        <w:rPr>
          <w:rFonts w:hint="eastAsia" w:ascii="宋体" w:hAnsi="宋体" w:cs="Times New Roman"/>
          <w:b/>
          <w:sz w:val="36"/>
          <w:szCs w:val="30"/>
          <w:highlight w:val="none"/>
          <w:lang w:val="en-US" w:eastAsia="zh-CN" w:bidi="en-US"/>
        </w:rPr>
        <w:t xml:space="preserve">  </w:t>
      </w:r>
      <w:r>
        <w:rPr>
          <w:rFonts w:hint="eastAsia" w:ascii="宋体" w:hAnsi="宋体" w:cs="宋体"/>
          <w:b/>
          <w:bCs/>
          <w:color w:val="000000"/>
          <w:sz w:val="36"/>
          <w:szCs w:val="36"/>
          <w:highlight w:val="none"/>
          <w:lang w:val="zh-CN"/>
        </w:rPr>
        <w:t>项目服务</w:t>
      </w:r>
      <w:r>
        <w:rPr>
          <w:rFonts w:hint="eastAsia" w:ascii="宋体" w:hAnsi="宋体" w:cs="宋体"/>
          <w:b/>
          <w:bCs/>
          <w:color w:val="000000"/>
          <w:sz w:val="36"/>
          <w:szCs w:val="36"/>
          <w:highlight w:val="none"/>
        </w:rPr>
        <w:t>相关标准和</w:t>
      </w:r>
      <w:r>
        <w:rPr>
          <w:rFonts w:hint="eastAsia" w:ascii="宋体" w:hAnsi="宋体" w:cs="宋体"/>
          <w:b/>
          <w:bCs/>
          <w:color w:val="000000"/>
          <w:sz w:val="36"/>
          <w:szCs w:val="36"/>
          <w:highlight w:val="none"/>
          <w:lang w:val="zh-CN"/>
        </w:rPr>
        <w:t>要求</w:t>
      </w:r>
    </w:p>
    <w:p w14:paraId="11ECC820">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一、采购需求：</w:t>
      </w:r>
    </w:p>
    <w:p w14:paraId="09E2F465">
      <w:pPr>
        <w:keepNext w:val="0"/>
        <w:keepLines w:val="0"/>
        <w:pageBreakBefore w:val="0"/>
        <w:spacing w:line="360" w:lineRule="auto"/>
        <w:ind w:firstLine="721"/>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t>1.招标范围为：</w:t>
      </w:r>
      <w:r>
        <w:rPr>
          <w:rFonts w:hint="eastAsia" w:ascii="宋体" w:hAnsi="宋体" w:eastAsia="宋体"/>
          <w:sz w:val="22"/>
          <w:szCs w:val="22"/>
          <w:highlight w:val="none"/>
          <w:lang w:val="zh-CN" w:eastAsia="zh-CN"/>
        </w:rPr>
        <w:t>2026年江宁区林荫大道示范管护带养护服务</w:t>
      </w:r>
      <w:r>
        <w:rPr>
          <w:rFonts w:hint="eastAsia" w:ascii="宋体" w:hAnsi="宋体" w:eastAsia="宋体"/>
          <w:sz w:val="22"/>
          <w:szCs w:val="22"/>
          <w:highlight w:val="none"/>
          <w:lang w:val="en-US" w:eastAsia="zh-CN"/>
        </w:rPr>
        <w:t>，江宁区林荫大道集中管护项目分布在江宁、秣陵、横溪、谷里、湖熟五个街道，共计15条乡村道路，路面宽度为6~7m，合计里程88.93km。要求供应商（养护单位）高质量补植树种，标准不低于原树种比例；每年需打造出部分林荫大道精品示范路；供应商（养护单位）需落实绿化管</w:t>
      </w:r>
      <w:r>
        <w:rPr>
          <w:rFonts w:hint="eastAsia" w:ascii="宋体" w:hAnsi="宋体"/>
          <w:sz w:val="22"/>
          <w:szCs w:val="22"/>
          <w:highlight w:val="none"/>
          <w:lang w:val="en-US" w:eastAsia="zh-CN"/>
        </w:rPr>
        <w:t>养</w:t>
      </w:r>
      <w:r>
        <w:rPr>
          <w:rFonts w:hint="eastAsia" w:ascii="宋体" w:hAnsi="宋体" w:eastAsia="宋体"/>
          <w:sz w:val="22"/>
          <w:szCs w:val="22"/>
          <w:highlight w:val="none"/>
          <w:lang w:val="en-US" w:eastAsia="zh-CN"/>
        </w:rPr>
        <w:t>智慧化应用。 并接受月度检查季度考核。具体详见《</w:t>
      </w:r>
      <w:r>
        <w:rPr>
          <w:rFonts w:hint="eastAsia" w:ascii="宋体" w:hAnsi="宋体" w:eastAsia="宋体"/>
          <w:sz w:val="22"/>
          <w:szCs w:val="22"/>
          <w:highlight w:val="none"/>
          <w:lang w:val="zh-CN" w:eastAsia="zh-CN"/>
        </w:rPr>
        <w:t>202</w:t>
      </w:r>
      <w:r>
        <w:rPr>
          <w:rFonts w:hint="eastAsia" w:ascii="宋体" w:hAnsi="宋体" w:eastAsia="宋体"/>
          <w:sz w:val="22"/>
          <w:szCs w:val="22"/>
          <w:highlight w:val="none"/>
          <w:lang w:val="en-US" w:eastAsia="zh-CN"/>
        </w:rPr>
        <w:t>6</w:t>
      </w:r>
      <w:r>
        <w:rPr>
          <w:rFonts w:hint="eastAsia" w:ascii="宋体" w:hAnsi="宋体" w:eastAsia="宋体"/>
          <w:sz w:val="22"/>
          <w:szCs w:val="22"/>
          <w:highlight w:val="none"/>
          <w:lang w:val="zh-CN" w:eastAsia="zh-CN"/>
        </w:rPr>
        <w:t>年江宁区林荫大道示范管护带养护服务</w:t>
      </w:r>
      <w:r>
        <w:rPr>
          <w:rFonts w:hint="eastAsia" w:ascii="宋体" w:hAnsi="宋体" w:eastAsia="宋体"/>
          <w:sz w:val="22"/>
          <w:szCs w:val="22"/>
          <w:highlight w:val="none"/>
          <w:lang w:val="en-US" w:eastAsia="zh-CN"/>
        </w:rPr>
        <w:t>质量外业检查千分制评分标准》、</w:t>
      </w:r>
    </w:p>
    <w:p w14:paraId="1DE2E64D">
      <w:pPr>
        <w:keepNext w:val="0"/>
        <w:keepLines w:val="0"/>
        <w:pageBreakBefore w:val="0"/>
        <w:spacing w:line="360" w:lineRule="auto"/>
        <w:rPr>
          <w:rFonts w:hint="eastAsia" w:ascii="宋体" w:hAnsi="宋体" w:eastAsia="宋体"/>
          <w:sz w:val="22"/>
          <w:szCs w:val="22"/>
          <w:highlight w:val="none"/>
          <w:lang w:val="en-US" w:eastAsia="zh-CN"/>
        </w:rPr>
      </w:pPr>
      <w:r>
        <w:rPr>
          <w:rFonts w:hint="eastAsia" w:ascii="宋体" w:hAnsi="宋体" w:eastAsia="宋体"/>
          <w:sz w:val="22"/>
          <w:szCs w:val="22"/>
          <w:highlight w:val="none"/>
          <w:lang w:val="en-US" w:eastAsia="zh-CN"/>
        </w:rPr>
        <w:t>《</w:t>
      </w:r>
      <w:r>
        <w:rPr>
          <w:rFonts w:hint="eastAsia" w:ascii="宋体" w:hAnsi="宋体" w:eastAsia="宋体"/>
          <w:sz w:val="22"/>
          <w:szCs w:val="22"/>
          <w:highlight w:val="none"/>
          <w:lang w:val="zh-CN" w:eastAsia="zh-CN"/>
        </w:rPr>
        <w:t>2026年江宁区林荫大道示范管护带养护服务</w:t>
      </w:r>
      <w:r>
        <w:rPr>
          <w:rFonts w:hint="eastAsia" w:ascii="宋体" w:hAnsi="宋体" w:eastAsia="宋体"/>
          <w:sz w:val="22"/>
          <w:szCs w:val="22"/>
          <w:highlight w:val="none"/>
          <w:lang w:val="en-US" w:eastAsia="zh-CN"/>
        </w:rPr>
        <w:t>质量内业检查评分标准》。</w:t>
      </w:r>
    </w:p>
    <w:p w14:paraId="002C6010">
      <w:pPr>
        <w:keepNext w:val="0"/>
        <w:keepLines w:val="0"/>
        <w:pageBreakBefore w:val="0"/>
        <w:spacing w:line="360" w:lineRule="auto"/>
        <w:ind w:firstLine="480"/>
        <w:rPr>
          <w:rFonts w:hint="eastAsia" w:ascii="宋体" w:hAnsi="宋体"/>
          <w:sz w:val="22"/>
          <w:szCs w:val="22"/>
          <w:highlight w:val="none"/>
          <w:lang w:val="en-US" w:eastAsia="zh-CN"/>
        </w:rPr>
      </w:pPr>
      <w:r>
        <w:rPr>
          <w:rFonts w:hint="eastAsia" w:ascii="宋体" w:hAnsi="宋体" w:eastAsia="宋体"/>
          <w:sz w:val="22"/>
          <w:szCs w:val="22"/>
          <w:highlight w:val="none"/>
          <w:lang w:val="en-US" w:eastAsia="zh-CN"/>
        </w:rPr>
        <w:t>2.招标内容为：主要内容包括林荫大道日常巡查、道路日常养护、桥梁</w:t>
      </w:r>
      <w:r>
        <w:rPr>
          <w:rFonts w:hint="eastAsia" w:ascii="宋体" w:hAnsi="宋体"/>
          <w:sz w:val="22"/>
          <w:szCs w:val="22"/>
          <w:highlight w:val="none"/>
          <w:lang w:val="en-US" w:eastAsia="zh-CN"/>
        </w:rPr>
        <w:t>日常养护、路面保洁（人员配合机械保洁类）、林荫大道苗木绿化一级养护，修剪、绿化补植、桥涵构造物维修维护及经常性检查、标志标线等安全设施的清洗，维修，维护、边沟清理、边坡清理、排水系统疏通等以及采购人指令的其它工作内容（以工程量清单为准）。具体详见养护清单。</w:t>
      </w:r>
    </w:p>
    <w:p w14:paraId="45AC1E9E">
      <w:pPr>
        <w:keepNext w:val="0"/>
        <w:keepLines w:val="0"/>
        <w:pageBreakBefore w:val="0"/>
        <w:spacing w:line="360" w:lineRule="auto"/>
        <w:ind w:firstLine="480"/>
        <w:rPr>
          <w:rFonts w:hint="eastAsia" w:ascii="宋体" w:hAnsi="宋体"/>
          <w:sz w:val="22"/>
          <w:szCs w:val="22"/>
          <w:highlight w:val="none"/>
          <w:lang w:val="en-US" w:eastAsia="zh-CN"/>
        </w:rPr>
      </w:pPr>
      <w:r>
        <w:rPr>
          <w:rFonts w:hint="eastAsia" w:ascii="宋体" w:hAnsi="宋体"/>
          <w:sz w:val="22"/>
          <w:szCs w:val="22"/>
          <w:highlight w:val="none"/>
          <w:lang w:val="en-US" w:eastAsia="zh-CN"/>
        </w:rPr>
        <w:t>3.合同履行期限：自合同签订之日起一年</w:t>
      </w:r>
    </w:p>
    <w:p w14:paraId="40A6DD26">
      <w:pPr>
        <w:keepNext w:val="0"/>
        <w:keepLines w:val="0"/>
        <w:pageBreakBefore w:val="0"/>
        <w:spacing w:line="360" w:lineRule="auto"/>
        <w:ind w:firstLine="480"/>
        <w:rPr>
          <w:rFonts w:hint="eastAsia" w:ascii="宋体" w:hAnsi="宋体"/>
          <w:sz w:val="22"/>
          <w:szCs w:val="22"/>
          <w:highlight w:val="none"/>
        </w:rPr>
      </w:pPr>
      <w:r>
        <w:rPr>
          <w:rFonts w:hint="eastAsia" w:ascii="宋体" w:hAnsi="宋体"/>
          <w:sz w:val="22"/>
          <w:szCs w:val="22"/>
          <w:highlight w:val="none"/>
          <w:lang w:val="en-US" w:eastAsia="zh-CN"/>
        </w:rPr>
        <w:t>4.</w:t>
      </w:r>
      <w:r>
        <w:rPr>
          <w:rFonts w:hint="eastAsia" w:ascii="宋体" w:hAnsi="宋体"/>
          <w:sz w:val="22"/>
          <w:szCs w:val="22"/>
          <w:highlight w:val="none"/>
        </w:rPr>
        <w:t>本项目（是/否）接受联合体投标：</w:t>
      </w:r>
      <w:r>
        <w:rPr>
          <w:rFonts w:hint="eastAsia" w:ascii="宋体" w:hAnsi="宋体"/>
          <w:sz w:val="22"/>
          <w:szCs w:val="22"/>
          <w:highlight w:val="none"/>
          <w:lang w:val="en-US" w:eastAsia="zh-CN"/>
        </w:rPr>
        <w:t>否</w:t>
      </w:r>
    </w:p>
    <w:p w14:paraId="4454C28C">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二、养护清单</w:t>
      </w:r>
    </w:p>
    <w:p w14:paraId="13E8772C">
      <w:pPr>
        <w:keepNext w:val="0"/>
        <w:keepLines w:val="0"/>
        <w:pageBreakBefore w:val="0"/>
        <w:spacing w:line="360" w:lineRule="auto"/>
        <w:ind w:firstLine="480"/>
        <w:rPr>
          <w:rFonts w:hint="default" w:ascii="宋体" w:hAnsi="宋体" w:eastAsia="宋体" w:cs="Times New Roman"/>
          <w:b/>
          <w:sz w:val="22"/>
          <w:szCs w:val="22"/>
          <w:lang w:val="en-US" w:eastAsia="zh-CN" w:bidi="en-US"/>
        </w:rPr>
      </w:pPr>
      <w:r>
        <w:rPr>
          <w:rFonts w:hint="eastAsia" w:ascii="宋体" w:hAnsi="宋体" w:eastAsia="宋体" w:cs="Times New Roman"/>
          <w:sz w:val="22"/>
          <w:szCs w:val="22"/>
          <w:highlight w:val="none"/>
        </w:rPr>
        <w:t>投标人应按照采购人提供的养护</w:t>
      </w:r>
      <w:r>
        <w:rPr>
          <w:rFonts w:hint="eastAsia" w:ascii="宋体" w:hAnsi="宋体" w:eastAsia="宋体" w:cs="Times New Roman"/>
          <w:sz w:val="22"/>
          <w:szCs w:val="22"/>
          <w:highlight w:val="none"/>
          <w:lang w:eastAsia="zh-CN"/>
        </w:rPr>
        <w:t>工作量</w:t>
      </w:r>
      <w:r>
        <w:rPr>
          <w:rFonts w:hint="eastAsia" w:ascii="宋体" w:hAnsi="宋体" w:eastAsia="宋体" w:cs="Times New Roman"/>
          <w:sz w:val="22"/>
          <w:szCs w:val="22"/>
          <w:highlight w:val="none"/>
        </w:rPr>
        <w:t>清单填写</w:t>
      </w:r>
      <w:r>
        <w:rPr>
          <w:rFonts w:hint="eastAsia" w:ascii="宋体" w:hAnsi="宋体" w:eastAsia="宋体" w:cs="Times New Roman"/>
          <w:sz w:val="22"/>
          <w:szCs w:val="22"/>
          <w:highlight w:val="none"/>
          <w:lang w:eastAsia="zh-CN"/>
        </w:rPr>
        <w:t>。</w:t>
      </w:r>
      <w:r>
        <w:rPr>
          <w:rFonts w:hint="eastAsia" w:ascii="宋体" w:hAnsi="宋体" w:cs="Times New Roman"/>
          <w:sz w:val="22"/>
          <w:szCs w:val="22"/>
          <w:highlight w:val="none"/>
          <w:lang w:val="en-US" w:eastAsia="zh-CN"/>
        </w:rPr>
        <w:t>详见</w:t>
      </w:r>
      <w:r>
        <w:rPr>
          <w:rFonts w:hint="eastAsia" w:ascii="宋体" w:hAnsi="宋体" w:eastAsia="宋体" w:cs="Times New Roman"/>
          <w:sz w:val="22"/>
          <w:szCs w:val="22"/>
          <w:highlight w:val="none"/>
          <w:lang w:val="zh-CN" w:eastAsia="zh-CN"/>
        </w:rPr>
        <w:t>目录四、分项报价表</w:t>
      </w:r>
      <w:r>
        <w:rPr>
          <w:rFonts w:hint="eastAsia" w:ascii="宋体" w:hAnsi="宋体" w:cs="Times New Roman"/>
          <w:sz w:val="22"/>
          <w:szCs w:val="22"/>
          <w:highlight w:val="none"/>
          <w:lang w:val="zh-CN" w:eastAsia="zh-CN"/>
        </w:rPr>
        <w:t>。</w:t>
      </w:r>
    </w:p>
    <w:p w14:paraId="69B13570">
      <w:pPr>
        <w:keepNext w:val="0"/>
        <w:keepLines w:val="0"/>
        <w:pageBreakBefore w:val="0"/>
        <w:widowControl/>
        <w:spacing w:after="0" w:line="360" w:lineRule="auto"/>
        <w:ind w:firstLine="422"/>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三、技术规范</w:t>
      </w:r>
    </w:p>
    <w:p w14:paraId="0E349667">
      <w:pPr>
        <w:keepNext w:val="0"/>
        <w:keepLines w:val="0"/>
        <w:pageBreakBefore w:val="0"/>
        <w:spacing w:line="360" w:lineRule="auto"/>
        <w:ind w:left="791" w:hanging="161"/>
        <w:rPr>
          <w:rFonts w:hint="eastAsia" w:ascii="宋体" w:hAnsi="宋体" w:eastAsia="宋体" w:cs="宋体"/>
          <w:b/>
          <w:bCs/>
          <w:sz w:val="22"/>
          <w:szCs w:val="22"/>
          <w:highlight w:val="none"/>
          <w:lang w:val="zh-CN"/>
        </w:rPr>
      </w:pPr>
      <w:r>
        <w:rPr>
          <w:rFonts w:hint="eastAsia" w:ascii="宋体" w:hAnsi="宋体" w:eastAsia="宋体" w:cs="宋体"/>
          <w:b/>
          <w:bCs/>
          <w:sz w:val="22"/>
          <w:szCs w:val="22"/>
          <w:highlight w:val="none"/>
          <w:lang w:val="zh-CN" w:eastAsia="zh-CN"/>
        </w:rPr>
        <w:t>（</w:t>
      </w:r>
      <w:r>
        <w:rPr>
          <w:rFonts w:hint="eastAsia" w:ascii="宋体" w:hAnsi="宋体" w:eastAsia="宋体" w:cs="宋体"/>
          <w:b/>
          <w:bCs/>
          <w:sz w:val="22"/>
          <w:szCs w:val="22"/>
          <w:highlight w:val="none"/>
          <w:lang w:val="en-US" w:eastAsia="zh-CN"/>
        </w:rPr>
        <w:t>一</w:t>
      </w:r>
      <w:r>
        <w:rPr>
          <w:rFonts w:hint="eastAsia" w:ascii="宋体" w:hAnsi="宋体" w:eastAsia="宋体" w:cs="宋体"/>
          <w:b/>
          <w:bCs/>
          <w:sz w:val="22"/>
          <w:szCs w:val="22"/>
          <w:highlight w:val="none"/>
          <w:lang w:val="zh-CN" w:eastAsia="zh-CN"/>
        </w:rPr>
        <w:t>）</w:t>
      </w:r>
      <w:r>
        <w:rPr>
          <w:rFonts w:hint="eastAsia" w:ascii="宋体" w:hAnsi="宋体" w:cs="宋体"/>
          <w:b/>
          <w:bCs/>
          <w:sz w:val="22"/>
          <w:szCs w:val="22"/>
          <w:highlight w:val="none"/>
          <w:lang w:val="zh-CN" w:eastAsia="zh-CN"/>
        </w:rPr>
        <w:t>、</w:t>
      </w:r>
      <w:r>
        <w:rPr>
          <w:rFonts w:hint="eastAsia" w:ascii="宋体" w:hAnsi="宋体" w:eastAsia="宋体" w:cs="宋体"/>
          <w:b/>
          <w:bCs/>
          <w:sz w:val="22"/>
          <w:szCs w:val="22"/>
          <w:highlight w:val="none"/>
          <w:lang w:val="en-US" w:eastAsia="zh-CN"/>
        </w:rPr>
        <w:t>《江宁区乡村林荫大道管护方案》、</w:t>
      </w:r>
      <w:r>
        <w:rPr>
          <w:rFonts w:hint="eastAsia" w:ascii="宋体" w:hAnsi="宋体" w:eastAsia="宋体" w:cs="宋体"/>
          <w:b/>
          <w:bCs/>
          <w:sz w:val="22"/>
          <w:szCs w:val="22"/>
          <w:highlight w:val="none"/>
          <w:lang w:val="zh-CN"/>
        </w:rPr>
        <w:t xml:space="preserve">《道路养护技术规范》（详见下列主要条文）： </w:t>
      </w:r>
    </w:p>
    <w:p w14:paraId="6A3B1480">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总 则 </w:t>
      </w:r>
    </w:p>
    <w:p w14:paraId="5C55EE63">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1 适用范围 </w:t>
      </w:r>
    </w:p>
    <w:p w14:paraId="35D6D08A">
      <w:pPr>
        <w:keepNext w:val="0"/>
        <w:keepLines w:val="0"/>
        <w:pageBreakBefore w:val="0"/>
        <w:spacing w:line="360" w:lineRule="auto"/>
        <w:ind w:left="791" w:hanging="161"/>
        <w:rPr>
          <w:rFonts w:hint="eastAsia" w:ascii="宋体" w:hAnsi="宋体" w:eastAsia="宋体" w:cs="宋体"/>
          <w:b/>
          <w:bCs/>
          <w:sz w:val="22"/>
          <w:szCs w:val="22"/>
          <w:highlight w:val="none"/>
          <w:lang w:val="en-US" w:eastAsia="zh-CN"/>
        </w:rPr>
      </w:pPr>
      <w:r>
        <w:rPr>
          <w:rFonts w:hint="eastAsia" w:ascii="宋体" w:hAnsi="宋体" w:eastAsia="宋体" w:cs="宋体"/>
          <w:b/>
          <w:bCs/>
          <w:sz w:val="22"/>
          <w:szCs w:val="22"/>
          <w:highlight w:val="none"/>
          <w:lang w:val="en-US" w:eastAsia="zh-CN"/>
        </w:rPr>
        <w:t xml:space="preserve">适用于江宁区林荫大道绿化养护、路基、路面的施工和管理。 </w:t>
      </w:r>
    </w:p>
    <w:p w14:paraId="1E6F5652">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2 目的、任务 </w:t>
      </w:r>
    </w:p>
    <w:p w14:paraId="3D3F5E8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为确保江宁区</w:t>
      </w:r>
      <w:r>
        <w:rPr>
          <w:rFonts w:hint="eastAsia" w:ascii="宋体" w:hAnsi="宋体" w:cs="宋体"/>
          <w:color w:val="000000"/>
          <w:sz w:val="22"/>
          <w:szCs w:val="22"/>
          <w:lang w:val="en-US" w:eastAsia="zh-CN" w:bidi="ar"/>
        </w:rPr>
        <w:t>林荫大道绿化、</w:t>
      </w:r>
      <w:r>
        <w:rPr>
          <w:rFonts w:hint="eastAsia" w:ascii="宋体" w:hAnsi="宋体" w:cs="宋体"/>
          <w:color w:val="000000"/>
          <w:sz w:val="22"/>
          <w:szCs w:val="22"/>
          <w:lang w:bidi="ar"/>
        </w:rPr>
        <w:t>公路交通安全、畅通功能的正常发挥，必须对</w:t>
      </w:r>
      <w:r>
        <w:rPr>
          <w:rFonts w:hint="eastAsia" w:ascii="宋体" w:hAnsi="宋体" w:cs="宋体"/>
          <w:color w:val="000000"/>
          <w:sz w:val="22"/>
          <w:szCs w:val="22"/>
          <w:lang w:val="en-US" w:eastAsia="zh-CN" w:bidi="ar"/>
        </w:rPr>
        <w:t>林荫大道</w:t>
      </w:r>
      <w:r>
        <w:rPr>
          <w:rFonts w:hint="eastAsia" w:ascii="宋体" w:hAnsi="宋体" w:cs="宋体"/>
          <w:color w:val="000000"/>
          <w:sz w:val="22"/>
          <w:szCs w:val="22"/>
          <w:lang w:bidi="ar"/>
        </w:rPr>
        <w:t xml:space="preserve">及其附属设施进行经常性、及时性、周期性和预防性的养护与维修，并对公路上因突发事件所引起的路障迅速排除，交通阻塞及时疏通。 </w:t>
      </w:r>
    </w:p>
    <w:p w14:paraId="75ECA400">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1. 3 工作特点 </w:t>
      </w:r>
    </w:p>
    <w:p w14:paraId="1E0C4B9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(1)对</w:t>
      </w:r>
      <w:r>
        <w:rPr>
          <w:rFonts w:hint="eastAsia" w:ascii="宋体" w:hAnsi="宋体" w:cs="宋体"/>
          <w:color w:val="000000"/>
          <w:sz w:val="22"/>
          <w:szCs w:val="22"/>
          <w:lang w:val="en-US" w:eastAsia="zh-CN" w:bidi="ar"/>
        </w:rPr>
        <w:t>林荫大道</w:t>
      </w:r>
      <w:r>
        <w:rPr>
          <w:rFonts w:hint="eastAsia" w:ascii="宋体" w:hAnsi="宋体" w:cs="宋体"/>
          <w:color w:val="000000"/>
          <w:sz w:val="22"/>
          <w:szCs w:val="22"/>
          <w:lang w:bidi="ar"/>
        </w:rPr>
        <w:t>道路本身和附属设施的使用情况要随时掌握，使之处于受控状态。必须要进行经常性的沿线实地巡视，必要时要进行定期的检测，掌握确切的路况第一手资料。即公路的养护应做到“预防为主”。</w:t>
      </w:r>
    </w:p>
    <w:p w14:paraId="0877108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(2)日常的维修工作应该有计划地分段、分线进行，尽量做到不中断交通，不跨幅占用逆向车道行驶。</w:t>
      </w:r>
    </w:p>
    <w:p w14:paraId="0227FD8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(3)为确保公路的畅通，尽量减少因养护而有碍或封闭交通的时间，公路的养护工作应以机械作业为主。 </w:t>
      </w:r>
    </w:p>
    <w:p w14:paraId="16DCC43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(4)确保安全，作业人员的着装颜色和作业机械的涂饰必须十分明显、醒目，并有夜间反光功能。作业区前后的交通控制区必须要有足够的长度，并设置各类提醒、限速的警示标志。 </w:t>
      </w:r>
    </w:p>
    <w:p w14:paraId="27B38044">
      <w:pPr>
        <w:keepNext w:val="0"/>
        <w:keepLines w:val="0"/>
        <w:pageBreakBefore w:val="0"/>
        <w:widowControl/>
        <w:spacing w:line="360" w:lineRule="auto"/>
        <w:ind w:firstLine="442"/>
        <w:jc w:val="left"/>
        <w:rPr>
          <w:rFonts w:ascii="宋体" w:hAnsi="宋体" w:cs="宋体"/>
          <w:b/>
          <w:bCs/>
          <w:color w:val="000000"/>
          <w:sz w:val="22"/>
          <w:szCs w:val="22"/>
          <w:lang w:bidi="ar"/>
        </w:rPr>
      </w:pPr>
      <w:r>
        <w:rPr>
          <w:rFonts w:ascii="宋体" w:hAnsi="宋体" w:cs="宋体"/>
          <w:b/>
          <w:bCs/>
          <w:color w:val="000000"/>
          <w:sz w:val="22"/>
          <w:szCs w:val="22"/>
          <w:lang w:bidi="ar"/>
        </w:rPr>
        <w:t xml:space="preserve">1. 4 作业分类 </w:t>
      </w:r>
    </w:p>
    <w:p w14:paraId="617B7419">
      <w:pPr>
        <w:keepNext w:val="0"/>
        <w:keepLines w:val="0"/>
        <w:pageBreakBefore w:val="0"/>
        <w:widowControl/>
        <w:spacing w:line="360" w:lineRule="auto"/>
        <w:jc w:val="left"/>
        <w:rPr>
          <w:sz w:val="22"/>
          <w:szCs w:val="22"/>
          <w:highlight w:val="none"/>
        </w:rPr>
      </w:pPr>
      <w:r>
        <w:rPr>
          <w:rFonts w:hint="eastAsia" w:ascii="宋体" w:hAnsi="宋体" w:cs="宋体"/>
          <w:b/>
          <w:bCs/>
          <w:color w:val="000000"/>
          <w:sz w:val="22"/>
          <w:szCs w:val="22"/>
          <w:highlight w:val="none"/>
          <w:lang w:eastAsia="zh-CN" w:bidi="ar"/>
        </w:rPr>
        <w:t>（</w:t>
      </w:r>
      <w:r>
        <w:rPr>
          <w:rFonts w:hint="eastAsia" w:ascii="宋体" w:hAnsi="宋体" w:cs="宋体"/>
          <w:b/>
          <w:bCs/>
          <w:color w:val="000000"/>
          <w:sz w:val="22"/>
          <w:szCs w:val="22"/>
          <w:highlight w:val="none"/>
          <w:lang w:val="en-US" w:eastAsia="zh-CN" w:bidi="ar"/>
        </w:rPr>
        <w:t>一</w:t>
      </w:r>
      <w:r>
        <w:rPr>
          <w:rFonts w:hint="eastAsia" w:ascii="宋体" w:hAnsi="宋体" w:cs="宋体"/>
          <w:b/>
          <w:bCs/>
          <w:color w:val="000000"/>
          <w:sz w:val="22"/>
          <w:szCs w:val="22"/>
          <w:highlight w:val="none"/>
          <w:lang w:eastAsia="zh-CN" w:bidi="ar"/>
        </w:rPr>
        <w:t>）、</w:t>
      </w:r>
      <w:r>
        <w:rPr>
          <w:rFonts w:ascii="宋体" w:hAnsi="宋体" w:cs="宋体"/>
          <w:b/>
          <w:bCs/>
          <w:color w:val="000000"/>
          <w:sz w:val="22"/>
          <w:szCs w:val="22"/>
          <w:highlight w:val="none"/>
          <w:lang w:bidi="ar"/>
        </w:rPr>
        <w:t xml:space="preserve">《公路绿化养护技术规范》（详见下列主要条文）： </w:t>
      </w:r>
    </w:p>
    <w:p w14:paraId="1F68E20D">
      <w:pPr>
        <w:keepNext w:val="0"/>
        <w:keepLines w:val="0"/>
        <w:pageBreakBefore w:val="0"/>
        <w:widowControl/>
        <w:spacing w:line="360" w:lineRule="auto"/>
        <w:ind w:firstLine="442"/>
        <w:jc w:val="left"/>
        <w:rPr>
          <w:rFonts w:hint="eastAsia" w:ascii="宋体" w:hAnsi="宋体" w:cs="宋体"/>
          <w:b/>
          <w:bCs/>
          <w:color w:val="000000"/>
          <w:sz w:val="22"/>
          <w:szCs w:val="22"/>
          <w:highlight w:val="none"/>
          <w:lang w:val="en-US" w:eastAsia="zh-CN" w:bidi="ar"/>
        </w:rPr>
      </w:pPr>
      <w:r>
        <w:rPr>
          <w:rFonts w:hint="eastAsia" w:ascii="宋体" w:hAnsi="宋体" w:cs="宋体"/>
          <w:b/>
          <w:bCs/>
          <w:color w:val="000000"/>
          <w:sz w:val="22"/>
          <w:szCs w:val="22"/>
          <w:highlight w:val="none"/>
          <w:lang w:val="en-US" w:eastAsia="zh-CN" w:bidi="ar"/>
        </w:rPr>
        <w:t>依据《南京市乡村林荫道行道树栽植与养护管理技术规定》（宁园林〔2017〕223 号）相关要求，示范管护带按照《苗木绿化养护一级标准》（如下）进行管护。</w:t>
      </w:r>
    </w:p>
    <w:p w14:paraId="61C90E8F">
      <w:pPr>
        <w:keepNext w:val="0"/>
        <w:keepLines w:val="0"/>
        <w:pageBreakBefore w:val="0"/>
        <w:widowControl/>
        <w:spacing w:line="360" w:lineRule="auto"/>
        <w:ind w:firstLine="442"/>
        <w:jc w:val="center"/>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t>苗木绿化养护一级标准</w:t>
      </w:r>
    </w:p>
    <w:p w14:paraId="3262D50E">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1.绿化充分，植物配置合理，达到黄土不露天。</w:t>
      </w:r>
    </w:p>
    <w:p w14:paraId="6DBBA1B9">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2.园林植物达到：</w:t>
      </w:r>
    </w:p>
    <w:p w14:paraId="6F85BB3E">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（1）生长势：好。生长超过该树种该规格的平均生长量（平均生长量待以后调查确定）。</w:t>
      </w:r>
    </w:p>
    <w:p w14:paraId="7080595B">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（2）叶子健壮：①叶色正常，叶大而肥厚、在正常的条件下不黄叶，不焦叶、不卷叶、不落叶，叶上无虫尿虫网灰尘；②被啃咬的叶片最严重的每株在5%以下（包括5%，以下同）。</w:t>
      </w:r>
    </w:p>
    <w:p w14:paraId="38C5C817">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枝、干健壮：①无明显枯枝、死杈、枝条粗壮，过冬前新梢木质化；②无蛀干害虫的活卵活虫；③介壳虫最严重处主枝干上100平方厘米1头活虫以下（包括1头，以下同），较细的枝条每尺长的一段上在5头活虫以下（包括5头，以下同）；株数都在2%以下（包括2%，以下同）；④树冠完整：分支点合适，主侧枝分布均称和数量适宜、内膛不乱、通风透光。</w:t>
      </w:r>
    </w:p>
    <w:p w14:paraId="7373BC06">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（4）措施好：按一级技术措施要求认真进行养护。</w:t>
      </w:r>
    </w:p>
    <w:p w14:paraId="5A4B3F88">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（5）行道树基本无缺株。</w:t>
      </w:r>
    </w:p>
    <w:p w14:paraId="76E410EB">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（6）路肩绿地覆盖率应基本达到100%；生长茂盛颜色正常，不枯黄；每年修剪15次以上；草高不超过15cm，无病虫害。</w:t>
      </w:r>
    </w:p>
    <w:p w14:paraId="048153E9">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3.行道树和绿地内无死树，树木修剪合理，树形美观，能及时很好地解决树木与电线、建筑物、交通等之间的矛盾。</w:t>
      </w:r>
    </w:p>
    <w:p w14:paraId="7C6AE81F">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4.绿化生产垃圾（如树枝、树叶、草沫等）重点地区路段能做到随产随清，其它地区和路段做到日产日清；绿地整洁，无砖石瓦块、筐和塑料袋等废弃物，并做到经常保洁。</w:t>
      </w:r>
    </w:p>
    <w:p w14:paraId="084EAA1F">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5.栏杆、园路、桌椅、井盖和牌饰等园林设施完整，做到及时维护和油饰。</w:t>
      </w:r>
    </w:p>
    <w:p w14:paraId="6C1B8819">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6.无明显的人为损坏，绿地草坪内无堆物堆料、搭棚或侵占等；行道树干上无钉栓刻画的现象，树下距树干2米范围内无堆物堆料、搭棚设摊、圈栏等影响树木养护管理和生长的现象，2米以内如有应有保护措施。</w:t>
      </w:r>
    </w:p>
    <w:p w14:paraId="111DF00C">
      <w:pPr>
        <w:keepNext w:val="0"/>
        <w:keepLines w:val="0"/>
        <w:pageBreakBefore w:val="0"/>
        <w:widowControl/>
        <w:spacing w:line="360" w:lineRule="auto"/>
        <w:ind w:firstLine="442"/>
        <w:jc w:val="left"/>
        <w:rPr>
          <w:rFonts w:ascii="宋体" w:hAnsi="宋体" w:cs="宋体"/>
          <w:b/>
          <w:bCs/>
          <w:color w:val="000000"/>
          <w:sz w:val="22"/>
          <w:szCs w:val="22"/>
          <w:highlight w:val="none"/>
          <w:lang w:bidi="ar"/>
        </w:rPr>
      </w:pPr>
      <w:r>
        <w:rPr>
          <w:rFonts w:ascii="宋体" w:hAnsi="宋体" w:cs="宋体"/>
          <w:b/>
          <w:bCs/>
          <w:color w:val="000000"/>
          <w:sz w:val="22"/>
          <w:szCs w:val="22"/>
          <w:highlight w:val="none"/>
          <w:lang w:bidi="ar"/>
        </w:rPr>
        <w:t xml:space="preserve">1.绿化养护作业要求及标准 </w:t>
      </w:r>
    </w:p>
    <w:p w14:paraId="712227E0">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 施肥 </w:t>
      </w:r>
    </w:p>
    <w:p w14:paraId="47AB56CA">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1.1.1 肥料品种：优质磷酸二铵或有机肥。 </w:t>
      </w:r>
    </w:p>
    <w:p w14:paraId="37DED06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1.1.2 施肥时间和方法：乔木、灌木、绿篱于冬春季松土施肥，一次性穴施；生长期、花期施追肥两次。竹林、地被、草坪于生长期施肥两次，地被植物于花期进行一次追肥。 </w:t>
      </w:r>
    </w:p>
    <w:p w14:paraId="458F615A">
      <w:pPr>
        <w:keepNext w:val="0"/>
        <w:keepLines w:val="0"/>
        <w:pageBreakBefore w:val="0"/>
        <w:widowControl/>
        <w:spacing w:line="360" w:lineRule="auto"/>
        <w:jc w:val="left"/>
        <w:rPr>
          <w:rFonts w:ascii="宋体" w:hAnsi="宋体" w:cs="宋体"/>
          <w:b/>
          <w:bCs/>
          <w:color w:val="000000"/>
          <w:sz w:val="22"/>
          <w:szCs w:val="22"/>
          <w:highlight w:val="none"/>
          <w:lang w:bidi="ar"/>
        </w:rPr>
      </w:pPr>
      <w:r>
        <w:rPr>
          <w:rFonts w:hint="eastAsia" w:ascii="宋体" w:hAnsi="宋体" w:cs="宋体"/>
          <w:b/>
          <w:bCs/>
          <w:color w:val="000000"/>
          <w:sz w:val="22"/>
          <w:szCs w:val="22"/>
          <w:highlight w:val="none"/>
          <w:lang w:bidi="ar"/>
        </w:rPr>
        <w:t xml:space="preserve">1.2 修剪 </w:t>
      </w:r>
    </w:p>
    <w:p w14:paraId="3AF2E3F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修剪标准 </w:t>
      </w:r>
    </w:p>
    <w:p w14:paraId="59C1F831">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①乔木：修去枯死枝、病虫危害枝、叠压枝、细弱枝及竞争枝，达到树膛疏密适度，通风透光，树体均匀，树冠圆满； </w:t>
      </w:r>
    </w:p>
    <w:p w14:paraId="6DD62350">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②灌木：修去过密枝、病虫危害枝，使花木生长均匀，球类圆满光洁，树相整齐； </w:t>
      </w:r>
    </w:p>
    <w:p w14:paraId="611B8FDC">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③绿篱：修剪高度一致，表面、侧面都要平整光洁，棱线要清晰通直； </w:t>
      </w:r>
    </w:p>
    <w:p w14:paraId="6A7857EC">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 病虫害防治 </w:t>
      </w:r>
    </w:p>
    <w:p w14:paraId="533F509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病虫害防治应贯彻“预防为主、综合防治”的方针，采用高效、低毒、无污染的药剂。 </w:t>
      </w:r>
    </w:p>
    <w:p w14:paraId="3D6EC0F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1.3.1 防治次数： </w:t>
      </w:r>
    </w:p>
    <w:p w14:paraId="194EA86A">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木本植物每年防治次数不低于 7 次，即从 4 月至 10 月每月一次，草本植物年防治不低于 5 次，竹类根据植株情况进行防治。 </w:t>
      </w:r>
    </w:p>
    <w:p w14:paraId="54604710">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1.3.2 每天专人检查，对植株的病情、虫情建卡记录，在发生病虫害时进行针对性防治。 病虫害防治质量标准： </w:t>
      </w:r>
    </w:p>
    <w:p w14:paraId="580A40A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①病虫危害率小于 5%； </w:t>
      </w:r>
    </w:p>
    <w:p w14:paraId="06D891C1">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②生长季节不得出现大面积的萎蔫、枯萎或黄叶； </w:t>
      </w:r>
    </w:p>
    <w:p w14:paraId="714C4760">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③木本植物不得有蛀干性害虫越冬； </w:t>
      </w:r>
    </w:p>
    <w:p w14:paraId="6E19732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 中耕、除草保洁 </w:t>
      </w:r>
    </w:p>
    <w:p w14:paraId="4593017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1.4.1 春、夏苗木生长旺盛季节，要进行经常性的松土，保持土壤疏松，为花卉根系的生长和养分吸收创造良好条件； </w:t>
      </w:r>
    </w:p>
    <w:p w14:paraId="6FC817D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1.4.2 及时拔除杂草（包含加拿大一支黄花清除），杂草高度不得超过草坪和草本地被的高度； </w:t>
      </w:r>
    </w:p>
    <w:p w14:paraId="1CEFD22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1.4.3 所有拔除的杂草、修剪下的残枝碎叶及其它垃圾一律及时清除出场。 </w:t>
      </w:r>
    </w:p>
    <w:p w14:paraId="79DEDC8E">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1.5 排灌 </w:t>
      </w:r>
    </w:p>
    <w:p w14:paraId="415C409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根据植物生长需求，及时适量地进行浇水或排水，保证绿化植物不受旱灾或涝灾。 </w:t>
      </w:r>
    </w:p>
    <w:p w14:paraId="14ECC2E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1.6“一支黄花”的清除方法及防治技术 </w:t>
      </w:r>
    </w:p>
    <w:p w14:paraId="7438E77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由于该草属于多年生植物，根状茎发达，经冬复萌而防治困难，单用人工或除草剂防治，效果均不够理想。因此对这种恶性杂草宜采用人工拔除结合化学除草进行防治。单独的植株可以采取发现一株拔除一株的方法，关键在于清除根状茎。成片的植株可以用草甘磷、克无踪等除草剂杀灭，残余植株再人工拔除。 </w:t>
      </w:r>
    </w:p>
    <w:p w14:paraId="77089172">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2.各类绿化区域要求 </w:t>
      </w:r>
    </w:p>
    <w:p w14:paraId="7D9CDE92">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 中央分隔带 </w:t>
      </w:r>
    </w:p>
    <w:p w14:paraId="2B69B94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2.1.1 中央分隔带保洁每旬一次。 </w:t>
      </w:r>
    </w:p>
    <w:p w14:paraId="2821D76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2.1.2 中央分隔带除草每月一次，草坪高度≤10CM。 </w:t>
      </w:r>
    </w:p>
    <w:p w14:paraId="69423CC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2.1.3 中央分隔带球状植物、柱状植物应经常修剪，每年不少于 6 次，应分别保持球对称、柱对称。 </w:t>
      </w:r>
    </w:p>
    <w:p w14:paraId="70DDA496">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2.1.4 中央分隔带总体效果应呈现“三面两线”和“三无”要求，即：三面：顶部等高且在一个平面上；两侧面不超越护栏板内侧且应控制在护栏板内侧平面附近。两线：两条路缘石清晰可见。“三无”即：无杂草、无杂物、无枯死树。 </w:t>
      </w:r>
    </w:p>
    <w:p w14:paraId="157E3ED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 路基边坡、边沟及路肩 </w:t>
      </w:r>
    </w:p>
    <w:p w14:paraId="20DC874B">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2.2.1 杂草整齐，不超过路基水平面，每年除草不少于 4 次。 </w:t>
      </w:r>
    </w:p>
    <w:p w14:paraId="6F35D200">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2.2.2 边沟不得被杂物、杂草掩盖。 </w:t>
      </w:r>
    </w:p>
    <w:p w14:paraId="1DC1233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2.2.3 乔、灌木长势旺盛，无枯死。 </w:t>
      </w:r>
    </w:p>
    <w:p w14:paraId="3721ED4A">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2.2.4 路肩垃圾清理、高草清除（行车时边坡草不露头）、隔离栅杂藤清理 </w:t>
      </w:r>
    </w:p>
    <w:p w14:paraId="224172DF">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3.总养护质量要求 </w:t>
      </w:r>
    </w:p>
    <w:p w14:paraId="72A2A317">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3.1 乔木：生长期整株长势茂盛，树冠完整丰满，主侧枝分布均匀；无枯枝、伤残枝，无交叉枝、过密枝、并生枝、萌蘖枝，无影响公路行车安全的植株；观花乔木在盛开期开花密度在 50%以上；植株无明显病虫危害迹象，树干无腐洞；树体无缠绕、钉挂物，树穴无杂草、杂物；无死株、缺株、严重倾斜株；落叶乔木于 12 月下旬开始用石硫合剂刷白一次，高度 1.2 米。根据相关要求，做好古树名木的保护及养护工作。 </w:t>
      </w:r>
    </w:p>
    <w:p w14:paraId="2A8DE5B8">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3.2 灌木：植株生长旺盛，枝叶健壮，分布均匀，造型美观；无枯枝残叶、交叉枝、徒长枝、并生枝、萌蘖枝；无明显病虫害危害迹象；观花灌木盛花期开花密度在 85%以上，造型灌木形状保持完好；植株下无杂草、杂物，枝干上无缠绕、钉挂物。 </w:t>
      </w:r>
    </w:p>
    <w:p w14:paraId="02F4F02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3.3 绿篱：枝条茂盛，生长旺盛；修剪成型，面平边齐，线条流畅；无死株、缺株、断档现象；无枯枝、断枝、残叶，无脱脚现象；无明显病虫害危害迹象；无寄生藤，基部无杂草、杂物；枝条、篱面无缠挂、晾晒物；中分带镶边无遮挡轮廓表现象。 </w:t>
      </w:r>
    </w:p>
    <w:p w14:paraId="1BC77D57">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4.环保要求 </w:t>
      </w:r>
    </w:p>
    <w:p w14:paraId="701962FD">
      <w:pPr>
        <w:keepNext w:val="0"/>
        <w:keepLines w:val="0"/>
        <w:pageBreakBefore w:val="0"/>
        <w:widowControl/>
        <w:spacing w:line="360" w:lineRule="auto"/>
        <w:ind w:firstLine="440"/>
        <w:jc w:val="lef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4.1 绿化养护及道路清扫的垃圾均应运至符合环保要求的垃圾场，地点自行解决，不得随意焚烧和堆放在边沟、桥梁、通道下面。</w:t>
      </w:r>
    </w:p>
    <w:p w14:paraId="40007E65">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4.2 不允许使用违禁农药。 </w:t>
      </w:r>
    </w:p>
    <w:p w14:paraId="0B607996">
      <w:pPr>
        <w:keepNext w:val="0"/>
        <w:keepLines w:val="0"/>
        <w:pageBreakBefore w:val="0"/>
        <w:widowControl/>
        <w:spacing w:line="360" w:lineRule="auto"/>
        <w:ind w:firstLine="442"/>
        <w:jc w:val="left"/>
        <w:rPr>
          <w:rFonts w:hint="default" w:ascii="宋体" w:hAnsi="宋体" w:cs="宋体"/>
          <w:b/>
          <w:bCs/>
          <w:color w:val="000000"/>
          <w:sz w:val="22"/>
          <w:szCs w:val="22"/>
          <w:lang w:val="en-US" w:eastAsia="zh-CN" w:bidi="ar"/>
        </w:rPr>
      </w:pPr>
      <w:r>
        <w:rPr>
          <w:rFonts w:hint="eastAsia" w:ascii="宋体" w:hAnsi="宋体" w:cs="宋体"/>
          <w:b/>
          <w:bCs/>
          <w:color w:val="000000"/>
          <w:sz w:val="22"/>
          <w:szCs w:val="22"/>
          <w:lang w:val="en-US" w:eastAsia="zh-CN" w:bidi="ar"/>
        </w:rPr>
        <w:t>(二）日常巡视与检查</w:t>
      </w:r>
    </w:p>
    <w:p w14:paraId="6EEA94D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 日常巡视与检查：</w:t>
      </w:r>
    </w:p>
    <w:p w14:paraId="12D9714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检查路面上是否有明显的坑槽、裂缝、冻胀、麻面、翻浆等病害，检查其危害程度及趋势，查清原因，采取适当措施。 </w:t>
      </w:r>
    </w:p>
    <w:p w14:paraId="39CFF77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路面上是否有可能损坏路面或妨碍交通的堆积物和障碍物等。 </w:t>
      </w:r>
    </w:p>
    <w:p w14:paraId="7687758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小修保养 </w:t>
      </w:r>
    </w:p>
    <w:p w14:paraId="3E0357A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在公路正常使用条件下，对道路和附属设施所安排的经常性保养及轻微损坏的修补工作，可分为日常保养和小修两项工作内容。 </w:t>
      </w:r>
    </w:p>
    <w:p w14:paraId="5C2F1E6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日常保养包括：清扫路面泥土、杂物，修剪路肩杂草，清除接缝内杂物，排除路面积水、积雪、积砂、铺防滑料等，拦水带（路缘石）的刷白、修理，清理边沟、维护边坡、培土等，清理路基塌方； </w:t>
      </w:r>
    </w:p>
    <w:p w14:paraId="5BF9238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小修的内容：修补路面的泛油、拥包、轻微裂缝、横向裂缝、坑槽、沉陷、波浪、局部网裂、松散、麻面、啃边、接缝碎裂、唧泥和板底脱空等病害；填补局部缺损；花草补植和管理等。 </w:t>
      </w:r>
    </w:p>
    <w:p w14:paraId="24B503A8">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 偶发作业：由突发性的交通事故所引发的路障排除和交通疏导；因天气原因所导致的除雪、除冰等作业。本次招标范围值包括日常巡视检查、小修保养工作及偶发作业。</w:t>
      </w:r>
    </w:p>
    <w:p w14:paraId="0EDD1CF7">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2. 常见道路病害和缺陷的定义 </w:t>
      </w:r>
    </w:p>
    <w:p w14:paraId="600E602E">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lang w:bidi="ar"/>
        </w:rPr>
        <w:t xml:space="preserve">2.1 沥青路面 </w:t>
      </w:r>
    </w:p>
    <w:p w14:paraId="6C844DB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1. 坑槽：路面破坏成坑洼深度大于 2cm，面积在 0.04</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以上。如小面积坑槽较多有相距很近（20cm 以内），应合在一起丈量。 </w:t>
      </w:r>
    </w:p>
    <w:p w14:paraId="47C6301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2. 松散：路面结合料失去粘结力、集料松动，面积 0.1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 </w:t>
      </w:r>
    </w:p>
    <w:p w14:paraId="3EA43B6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3. 拥包：路面局部隆起，高度 1.5cm 以上。 </w:t>
      </w:r>
    </w:p>
    <w:p w14:paraId="043BE362">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4. 翻浆：路面、路基湿软出现弹簧、破裂、冒泥浆现象。 </w:t>
      </w:r>
    </w:p>
    <w:p w14:paraId="416B2724">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5. 沉陷：路面、路基有竖向变形，路面下凹，深度 3cm 以上。 </w:t>
      </w:r>
    </w:p>
    <w:p w14:paraId="2174F4DF">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6. 脱皮：路面面层层状脱落，面积 0.1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 </w:t>
      </w:r>
    </w:p>
    <w:p w14:paraId="35882DD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7. 啃边：路面边缘破碎脱落，宽度 10cm 以上，数量按单侧长度累加乘以平均宽度。 </w:t>
      </w:r>
    </w:p>
    <w:p w14:paraId="7F3D55E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8. 泛油：高温季节沥青蓓基础，表面形成薄油层，行车出现轮迹。 </w:t>
      </w:r>
    </w:p>
    <w:p w14:paraId="3F484E1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9. 车辙：路面上沿行车轮迹产生的纵向凹槽，深度 1.5cm 以上，数量按实有长度乘以变</w:t>
      </w:r>
    </w:p>
    <w:p w14:paraId="572181D1">
      <w:pPr>
        <w:keepNext w:val="0"/>
        <w:keepLines w:val="0"/>
        <w:pageBreakBefore w:val="0"/>
        <w:widowControl/>
        <w:spacing w:line="360" w:lineRule="auto"/>
        <w:jc w:val="left"/>
        <w:rPr>
          <w:sz w:val="22"/>
          <w:szCs w:val="22"/>
          <w:highlight w:val="none"/>
        </w:rPr>
      </w:pPr>
      <w:r>
        <w:rPr>
          <w:rFonts w:hint="eastAsia" w:ascii="宋体" w:hAnsi="宋体" w:cs="宋体"/>
          <w:color w:val="000000"/>
          <w:sz w:val="22"/>
          <w:szCs w:val="22"/>
          <w:highlight w:val="none"/>
          <w:lang w:bidi="ar"/>
        </w:rPr>
        <w:t xml:space="preserve">形部分的平均宽度 </w:t>
      </w:r>
    </w:p>
    <w:p w14:paraId="4592916D">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highlight w:val="none"/>
          <w:lang w:bidi="ar"/>
        </w:rPr>
        <w:t xml:space="preserve">10. 龟裂：缝宽 3mm 以上，且多数缝距 10cm 以下，面积在 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以上的块状不规则裂缝。 </w:t>
      </w:r>
    </w:p>
    <w:p w14:paraId="1C9F211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 xml:space="preserve">11. 网裂：缝宽 1mm 以上或缝距 40cm 以下，面积在 1 </w:t>
      </w:r>
      <w:r>
        <w:rPr>
          <w:rFonts w:hint="eastAsia" w:ascii="宋体" w:hAnsi="宋体" w:cs="宋体"/>
          <w:color w:val="000000"/>
          <w:sz w:val="22"/>
          <w:szCs w:val="22"/>
          <w:highlight w:val="none"/>
          <w:lang w:val="en-US" w:eastAsia="zh-CN" w:bidi="ar"/>
        </w:rPr>
        <w:t>㎡</w:t>
      </w:r>
      <w:r>
        <w:rPr>
          <w:rFonts w:hint="eastAsia" w:ascii="宋体" w:hAnsi="宋体" w:cs="宋体"/>
          <w:color w:val="000000"/>
          <w:sz w:val="22"/>
          <w:szCs w:val="22"/>
          <w:highlight w:val="none"/>
          <w:lang w:bidi="ar"/>
        </w:rPr>
        <w:t xml:space="preserve">以上的网状裂缝。路面上出现的长度 1m 以上、缝宽 1mm 以上的单条裂缝或深度在 </w:t>
      </w:r>
      <w:r>
        <w:rPr>
          <w:rFonts w:hint="eastAsia" w:ascii="宋体" w:hAnsi="宋体" w:cs="宋体"/>
          <w:color w:val="000000"/>
          <w:sz w:val="22"/>
          <w:szCs w:val="22"/>
          <w:lang w:bidi="ar"/>
        </w:rPr>
        <w:t xml:space="preserve">5mm 以上的划横也纳入网裂病害中，其数量按单缝累计长度乘以 0.2m 计。 </w:t>
      </w:r>
    </w:p>
    <w:p w14:paraId="7EE7726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12. 波浪与搓板：路面纵向产生连续起伏，有似搓板状缝谷高差大于 1.5cm 的变形。 </w:t>
      </w:r>
    </w:p>
    <w:p w14:paraId="5B7318B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13. 横坡不适：路面横坡小于 1%或大于 3%，或中线偏移，以及应设超高而无超高或出现返超高的。 </w:t>
      </w:r>
    </w:p>
    <w:p w14:paraId="6232ED3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14. 平整度差：用 3m 直尺沿路面纵向每 100m 至少量三尺。尺底间隙：沥青表面处治路面1.2cm 以上，沥青贯入式路面 1cm 以上，沥青混凝土及沥青碎石路面 0.8cm 以上的，按整尺（3m）长度计算病害。也可用连续式平整度仪检测的均方差值与规定标准值（见表 2-1）比较，大于标准值按病害计。同一横断面内质量最严重的一处。 </w:t>
      </w:r>
    </w:p>
    <w:p w14:paraId="3BBDE530">
      <w:pPr>
        <w:widowControl/>
        <w:ind w:firstLine="440"/>
        <w:jc w:val="center"/>
        <w:rPr>
          <w:rFonts w:hint="eastAsia" w:ascii="宋体" w:hAnsi="宋体" w:cs="宋体"/>
          <w:color w:val="000000"/>
          <w:sz w:val="22"/>
          <w:szCs w:val="22"/>
          <w:lang w:bidi="ar"/>
        </w:rPr>
      </w:pPr>
      <w:r>
        <w:rPr>
          <w:rFonts w:hint="eastAsia" w:ascii="宋体" w:hAnsi="宋体" w:cs="宋体"/>
          <w:color w:val="000000"/>
          <w:sz w:val="22"/>
          <w:szCs w:val="22"/>
          <w:lang w:bidi="ar"/>
        </w:rPr>
        <w:t>各种路面平整度养护标准规定值表 表 2-1</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9"/>
        <w:gridCol w:w="2491"/>
        <w:gridCol w:w="2491"/>
        <w:gridCol w:w="2841"/>
      </w:tblGrid>
      <w:tr w14:paraId="1C4A3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restart"/>
            <w:noWrap w:val="0"/>
            <w:vAlign w:val="center"/>
          </w:tcPr>
          <w:p w14:paraId="09D225BE">
            <w:pPr>
              <w:widowControl/>
              <w:rPr>
                <w:rFonts w:hint="eastAsia" w:ascii="宋体" w:hAnsi="宋体" w:cs="宋体"/>
                <w:color w:val="000000"/>
                <w:szCs w:val="21"/>
                <w:lang w:bidi="ar"/>
              </w:rPr>
            </w:pPr>
            <w:r>
              <w:rPr>
                <w:rFonts w:hint="eastAsia" w:ascii="宋体" w:hAnsi="宋体" w:cs="宋体"/>
                <w:color w:val="000000"/>
                <w:szCs w:val="21"/>
                <w:lang w:bidi="ar"/>
              </w:rPr>
              <w:t>序号</w:t>
            </w:r>
          </w:p>
        </w:tc>
        <w:tc>
          <w:tcPr>
            <w:tcW w:w="4982" w:type="dxa"/>
            <w:gridSpan w:val="2"/>
            <w:vMerge w:val="restart"/>
            <w:noWrap w:val="0"/>
            <w:vAlign w:val="center"/>
          </w:tcPr>
          <w:p w14:paraId="1537E5E8">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路面种类</w:t>
            </w:r>
          </w:p>
        </w:tc>
        <w:tc>
          <w:tcPr>
            <w:tcW w:w="2841" w:type="dxa"/>
            <w:noWrap w:val="0"/>
            <w:vAlign w:val="center"/>
          </w:tcPr>
          <w:p w14:paraId="0FD25E8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允许偏差（mm）</w:t>
            </w:r>
          </w:p>
        </w:tc>
      </w:tr>
      <w:tr w14:paraId="12460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continue"/>
            <w:noWrap w:val="0"/>
            <w:vAlign w:val="center"/>
          </w:tcPr>
          <w:p w14:paraId="29696767">
            <w:pPr>
              <w:widowControl/>
              <w:ind w:firstLine="420"/>
              <w:jc w:val="center"/>
            </w:pPr>
          </w:p>
        </w:tc>
        <w:tc>
          <w:tcPr>
            <w:tcW w:w="4982" w:type="dxa"/>
            <w:gridSpan w:val="2"/>
            <w:vMerge w:val="continue"/>
            <w:noWrap w:val="0"/>
            <w:vAlign w:val="center"/>
          </w:tcPr>
          <w:p w14:paraId="4FDB179C">
            <w:pPr>
              <w:widowControl/>
              <w:ind w:firstLine="420"/>
              <w:jc w:val="center"/>
            </w:pPr>
          </w:p>
        </w:tc>
        <w:tc>
          <w:tcPr>
            <w:tcW w:w="2841" w:type="dxa"/>
            <w:noWrap w:val="0"/>
            <w:vAlign w:val="center"/>
          </w:tcPr>
          <w:p w14:paraId="217902B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平整度仪（σ</w:t>
            </w:r>
            <w:r>
              <w:rPr>
                <w:rFonts w:hint="eastAsia" w:ascii="宋体" w:hAnsi="宋体" w:cs="宋体"/>
                <w:color w:val="000000"/>
                <w:sz w:val="14"/>
                <w:szCs w:val="14"/>
                <w:lang w:bidi="ar"/>
              </w:rPr>
              <w:t>0</w:t>
            </w:r>
            <w:r>
              <w:rPr>
                <w:rFonts w:hint="eastAsia" w:ascii="宋体" w:hAnsi="宋体" w:cs="宋体"/>
                <w:color w:val="000000"/>
                <w:szCs w:val="21"/>
                <w:lang w:bidi="ar"/>
              </w:rPr>
              <w:t>）</w:t>
            </w:r>
          </w:p>
        </w:tc>
      </w:tr>
      <w:tr w14:paraId="3022C3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32617D52">
            <w:pPr>
              <w:widowControl/>
              <w:jc w:val="center"/>
              <w:rPr>
                <w:rFonts w:ascii="宋体" w:hAnsi="宋体" w:cs="宋体"/>
                <w:color w:val="000000"/>
                <w:szCs w:val="21"/>
                <w:lang w:bidi="ar"/>
              </w:rPr>
            </w:pPr>
            <w:r>
              <w:rPr>
                <w:rFonts w:hint="eastAsia" w:ascii="宋体" w:hAnsi="宋体" w:cs="宋体"/>
                <w:color w:val="000000"/>
                <w:szCs w:val="21"/>
                <w:lang w:bidi="ar"/>
              </w:rPr>
              <w:t>1</w:t>
            </w:r>
          </w:p>
        </w:tc>
        <w:tc>
          <w:tcPr>
            <w:tcW w:w="4982" w:type="dxa"/>
            <w:gridSpan w:val="2"/>
            <w:noWrap w:val="0"/>
            <w:vAlign w:val="center"/>
          </w:tcPr>
          <w:p w14:paraId="5C3F99D2">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沥青混凝土路面</w:t>
            </w:r>
          </w:p>
        </w:tc>
        <w:tc>
          <w:tcPr>
            <w:tcW w:w="2841" w:type="dxa"/>
            <w:vMerge w:val="restart"/>
            <w:noWrap w:val="0"/>
            <w:vAlign w:val="center"/>
          </w:tcPr>
          <w:p w14:paraId="1D4FA689">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3.5</w:t>
            </w:r>
          </w:p>
        </w:tc>
      </w:tr>
      <w:tr w14:paraId="25903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00DAA909">
            <w:pPr>
              <w:widowControl/>
              <w:jc w:val="center"/>
              <w:rPr>
                <w:rFonts w:ascii="宋体" w:hAnsi="宋体" w:cs="宋体"/>
                <w:color w:val="000000"/>
                <w:szCs w:val="21"/>
                <w:lang w:bidi="ar"/>
              </w:rPr>
            </w:pPr>
            <w:r>
              <w:rPr>
                <w:rFonts w:hint="eastAsia" w:ascii="宋体" w:hAnsi="宋体" w:cs="宋体"/>
                <w:color w:val="000000"/>
                <w:szCs w:val="21"/>
                <w:lang w:bidi="ar"/>
              </w:rPr>
              <w:t>2</w:t>
            </w:r>
          </w:p>
        </w:tc>
        <w:tc>
          <w:tcPr>
            <w:tcW w:w="4982" w:type="dxa"/>
            <w:gridSpan w:val="2"/>
            <w:noWrap w:val="0"/>
            <w:vAlign w:val="center"/>
          </w:tcPr>
          <w:p w14:paraId="18B59E5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沥青碎石路面</w:t>
            </w:r>
          </w:p>
        </w:tc>
        <w:tc>
          <w:tcPr>
            <w:tcW w:w="2841" w:type="dxa"/>
            <w:vMerge w:val="continue"/>
            <w:noWrap w:val="0"/>
            <w:vAlign w:val="center"/>
          </w:tcPr>
          <w:p w14:paraId="24FDE48B">
            <w:pPr>
              <w:widowControl/>
              <w:ind w:firstLine="420"/>
              <w:jc w:val="center"/>
              <w:rPr>
                <w:rFonts w:hint="eastAsia" w:ascii="宋体" w:hAnsi="宋体" w:cs="宋体"/>
                <w:color w:val="000000"/>
                <w:szCs w:val="21"/>
                <w:lang w:bidi="ar"/>
              </w:rPr>
            </w:pPr>
          </w:p>
        </w:tc>
      </w:tr>
      <w:tr w14:paraId="304BF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9243210">
            <w:pPr>
              <w:widowControl/>
              <w:jc w:val="center"/>
              <w:rPr>
                <w:rFonts w:ascii="宋体" w:hAnsi="宋体" w:cs="宋体"/>
                <w:color w:val="000000"/>
                <w:szCs w:val="21"/>
                <w:lang w:bidi="ar"/>
              </w:rPr>
            </w:pPr>
            <w:r>
              <w:rPr>
                <w:rFonts w:hint="eastAsia" w:ascii="宋体" w:hAnsi="宋体" w:cs="宋体"/>
                <w:color w:val="000000"/>
                <w:szCs w:val="21"/>
                <w:lang w:bidi="ar"/>
              </w:rPr>
              <w:t>3</w:t>
            </w:r>
          </w:p>
        </w:tc>
        <w:tc>
          <w:tcPr>
            <w:tcW w:w="4982" w:type="dxa"/>
            <w:gridSpan w:val="2"/>
            <w:noWrap w:val="0"/>
            <w:vAlign w:val="center"/>
          </w:tcPr>
          <w:p w14:paraId="074B06D2">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沥青贯入式路面</w:t>
            </w:r>
          </w:p>
        </w:tc>
        <w:tc>
          <w:tcPr>
            <w:tcW w:w="2841" w:type="dxa"/>
            <w:noWrap w:val="0"/>
            <w:vAlign w:val="center"/>
          </w:tcPr>
          <w:p w14:paraId="174015B7">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0A51C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1FBCD6D1">
            <w:pPr>
              <w:widowControl/>
              <w:jc w:val="center"/>
              <w:rPr>
                <w:rFonts w:ascii="宋体" w:hAnsi="宋体" w:cs="宋体"/>
                <w:color w:val="000000"/>
                <w:szCs w:val="21"/>
                <w:lang w:bidi="ar"/>
              </w:rPr>
            </w:pPr>
            <w:r>
              <w:rPr>
                <w:rFonts w:hint="eastAsia" w:ascii="宋体" w:hAnsi="宋体" w:cs="宋体"/>
                <w:color w:val="000000"/>
                <w:szCs w:val="21"/>
                <w:lang w:bidi="ar"/>
              </w:rPr>
              <w:t>4</w:t>
            </w:r>
          </w:p>
        </w:tc>
        <w:tc>
          <w:tcPr>
            <w:tcW w:w="4982" w:type="dxa"/>
            <w:gridSpan w:val="2"/>
            <w:noWrap w:val="0"/>
            <w:vAlign w:val="center"/>
          </w:tcPr>
          <w:p w14:paraId="797B05DC">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沥青上拌下贯路面</w:t>
            </w:r>
          </w:p>
        </w:tc>
        <w:tc>
          <w:tcPr>
            <w:tcW w:w="2841" w:type="dxa"/>
            <w:noWrap w:val="0"/>
            <w:vAlign w:val="center"/>
          </w:tcPr>
          <w:p w14:paraId="5E156FE5">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1FB1A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restart"/>
            <w:noWrap w:val="0"/>
            <w:vAlign w:val="center"/>
          </w:tcPr>
          <w:p w14:paraId="65A63F56">
            <w:pPr>
              <w:widowControl/>
              <w:jc w:val="center"/>
              <w:rPr>
                <w:rFonts w:ascii="宋体" w:hAnsi="宋体" w:cs="宋体"/>
                <w:color w:val="000000"/>
                <w:szCs w:val="21"/>
                <w:lang w:bidi="ar"/>
              </w:rPr>
            </w:pPr>
            <w:r>
              <w:rPr>
                <w:rFonts w:hint="eastAsia" w:ascii="宋体" w:hAnsi="宋体" w:cs="宋体"/>
                <w:color w:val="000000"/>
                <w:szCs w:val="21"/>
                <w:lang w:bidi="ar"/>
              </w:rPr>
              <w:t>5</w:t>
            </w:r>
          </w:p>
        </w:tc>
        <w:tc>
          <w:tcPr>
            <w:tcW w:w="2491" w:type="dxa"/>
            <w:vMerge w:val="restart"/>
            <w:noWrap w:val="0"/>
            <w:vAlign w:val="center"/>
          </w:tcPr>
          <w:p w14:paraId="1D3C5579">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表面处治路面</w:t>
            </w:r>
          </w:p>
        </w:tc>
        <w:tc>
          <w:tcPr>
            <w:tcW w:w="2491" w:type="dxa"/>
            <w:noWrap w:val="0"/>
            <w:vAlign w:val="center"/>
          </w:tcPr>
          <w:p w14:paraId="2D232FD9">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沥青</w:t>
            </w:r>
          </w:p>
        </w:tc>
        <w:tc>
          <w:tcPr>
            <w:tcW w:w="2841" w:type="dxa"/>
            <w:noWrap w:val="0"/>
            <w:vAlign w:val="center"/>
          </w:tcPr>
          <w:p w14:paraId="5ACE4049">
            <w:pPr>
              <w:widowControl/>
              <w:ind w:firstLine="420"/>
              <w:jc w:val="center"/>
              <w:rPr>
                <w:rFonts w:ascii="宋体" w:hAnsi="宋体" w:cs="宋体"/>
                <w:color w:val="000000"/>
                <w:szCs w:val="21"/>
                <w:lang w:bidi="ar"/>
              </w:rPr>
            </w:pPr>
            <w:r>
              <w:rPr>
                <w:rFonts w:hint="eastAsia" w:ascii="宋体" w:hAnsi="宋体" w:cs="宋体"/>
                <w:color w:val="000000"/>
                <w:szCs w:val="21"/>
                <w:lang w:bidi="ar"/>
              </w:rPr>
              <w:t>5.8</w:t>
            </w:r>
          </w:p>
        </w:tc>
      </w:tr>
      <w:tr w14:paraId="61011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699" w:type="dxa"/>
            <w:vMerge w:val="continue"/>
            <w:noWrap w:val="0"/>
            <w:vAlign w:val="center"/>
          </w:tcPr>
          <w:p w14:paraId="517AE15A">
            <w:pPr>
              <w:widowControl/>
              <w:jc w:val="center"/>
            </w:pPr>
          </w:p>
        </w:tc>
        <w:tc>
          <w:tcPr>
            <w:tcW w:w="2491" w:type="dxa"/>
            <w:vMerge w:val="continue"/>
            <w:noWrap w:val="0"/>
            <w:vAlign w:val="center"/>
          </w:tcPr>
          <w:p w14:paraId="39235D7F">
            <w:pPr>
              <w:widowControl/>
              <w:ind w:firstLine="420"/>
              <w:jc w:val="center"/>
            </w:pPr>
          </w:p>
        </w:tc>
        <w:tc>
          <w:tcPr>
            <w:tcW w:w="2491" w:type="dxa"/>
            <w:noWrap w:val="0"/>
            <w:vAlign w:val="center"/>
          </w:tcPr>
          <w:p w14:paraId="610AEF9D">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渣油</w:t>
            </w:r>
          </w:p>
        </w:tc>
        <w:tc>
          <w:tcPr>
            <w:tcW w:w="2841" w:type="dxa"/>
            <w:noWrap w:val="0"/>
            <w:vAlign w:val="center"/>
          </w:tcPr>
          <w:p w14:paraId="58294E21">
            <w:pPr>
              <w:widowControl/>
              <w:ind w:firstLine="420"/>
              <w:jc w:val="center"/>
              <w:rPr>
                <w:rFonts w:ascii="宋体" w:hAnsi="宋体" w:cs="宋体"/>
                <w:color w:val="000000"/>
                <w:szCs w:val="21"/>
                <w:lang w:bidi="ar"/>
              </w:rPr>
            </w:pPr>
            <w:r>
              <w:rPr>
                <w:rFonts w:hint="eastAsia" w:ascii="宋体" w:hAnsi="宋体" w:cs="宋体"/>
                <w:color w:val="000000"/>
                <w:szCs w:val="21"/>
                <w:lang w:bidi="ar"/>
              </w:rPr>
              <w:t>5.8</w:t>
            </w:r>
          </w:p>
        </w:tc>
      </w:tr>
      <w:tr w14:paraId="4C42E5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5F0F2FBA">
            <w:pPr>
              <w:widowControl/>
              <w:jc w:val="center"/>
              <w:rPr>
                <w:rFonts w:ascii="宋体" w:hAnsi="宋体" w:cs="宋体"/>
                <w:color w:val="000000"/>
                <w:szCs w:val="21"/>
                <w:lang w:bidi="ar"/>
              </w:rPr>
            </w:pPr>
            <w:r>
              <w:rPr>
                <w:rFonts w:hint="eastAsia" w:ascii="宋体" w:hAnsi="宋体" w:cs="宋体"/>
                <w:color w:val="000000"/>
                <w:szCs w:val="21"/>
                <w:lang w:bidi="ar"/>
              </w:rPr>
              <w:t>6</w:t>
            </w:r>
          </w:p>
        </w:tc>
        <w:tc>
          <w:tcPr>
            <w:tcW w:w="4982" w:type="dxa"/>
            <w:gridSpan w:val="2"/>
            <w:noWrap w:val="0"/>
            <w:vAlign w:val="center"/>
          </w:tcPr>
          <w:p w14:paraId="68734BF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水泥混凝土路面</w:t>
            </w:r>
          </w:p>
        </w:tc>
        <w:tc>
          <w:tcPr>
            <w:tcW w:w="2841" w:type="dxa"/>
            <w:noWrap w:val="0"/>
            <w:vAlign w:val="center"/>
          </w:tcPr>
          <w:p w14:paraId="4B827386">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2.5</w:t>
            </w:r>
          </w:p>
        </w:tc>
      </w:tr>
      <w:tr w14:paraId="32191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restart"/>
            <w:noWrap w:val="0"/>
            <w:vAlign w:val="center"/>
          </w:tcPr>
          <w:p w14:paraId="6EFA12F7">
            <w:pPr>
              <w:widowControl/>
              <w:jc w:val="center"/>
              <w:rPr>
                <w:rFonts w:ascii="宋体" w:hAnsi="宋体" w:cs="宋体"/>
                <w:color w:val="000000"/>
                <w:szCs w:val="21"/>
                <w:lang w:bidi="ar"/>
              </w:rPr>
            </w:pPr>
            <w:r>
              <w:rPr>
                <w:rFonts w:hint="eastAsia" w:ascii="宋体" w:hAnsi="宋体" w:cs="宋体"/>
                <w:color w:val="000000"/>
                <w:szCs w:val="21"/>
                <w:lang w:bidi="ar"/>
              </w:rPr>
              <w:t>7</w:t>
            </w:r>
          </w:p>
        </w:tc>
        <w:tc>
          <w:tcPr>
            <w:tcW w:w="2491" w:type="dxa"/>
            <w:vMerge w:val="restart"/>
            <w:noWrap w:val="0"/>
            <w:vAlign w:val="center"/>
          </w:tcPr>
          <w:p w14:paraId="0EA39A4E">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块石路面</w:t>
            </w:r>
          </w:p>
        </w:tc>
        <w:tc>
          <w:tcPr>
            <w:tcW w:w="2491" w:type="dxa"/>
            <w:noWrap w:val="0"/>
            <w:vAlign w:val="center"/>
          </w:tcPr>
          <w:p w14:paraId="6594D86F">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整齐块石</w:t>
            </w:r>
          </w:p>
        </w:tc>
        <w:tc>
          <w:tcPr>
            <w:tcW w:w="2841" w:type="dxa"/>
            <w:noWrap w:val="0"/>
            <w:vAlign w:val="center"/>
          </w:tcPr>
          <w:p w14:paraId="2B90DCEB">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277A4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continue"/>
            <w:noWrap w:val="0"/>
            <w:vAlign w:val="center"/>
          </w:tcPr>
          <w:p w14:paraId="1BE8A7BC">
            <w:pPr>
              <w:widowControl/>
              <w:jc w:val="center"/>
            </w:pPr>
          </w:p>
        </w:tc>
        <w:tc>
          <w:tcPr>
            <w:tcW w:w="2491" w:type="dxa"/>
            <w:vMerge w:val="continue"/>
            <w:noWrap w:val="0"/>
            <w:vAlign w:val="center"/>
          </w:tcPr>
          <w:p w14:paraId="617883EC">
            <w:pPr>
              <w:widowControl/>
              <w:ind w:firstLine="420"/>
              <w:jc w:val="center"/>
            </w:pPr>
          </w:p>
        </w:tc>
        <w:tc>
          <w:tcPr>
            <w:tcW w:w="2491" w:type="dxa"/>
            <w:noWrap w:val="0"/>
            <w:vAlign w:val="center"/>
          </w:tcPr>
          <w:p w14:paraId="6CEDDF2A">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半整齐块石</w:t>
            </w:r>
          </w:p>
        </w:tc>
        <w:tc>
          <w:tcPr>
            <w:tcW w:w="2841" w:type="dxa"/>
            <w:noWrap w:val="0"/>
            <w:vAlign w:val="center"/>
          </w:tcPr>
          <w:p w14:paraId="009DCC43">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r w14:paraId="5CBF2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 w:hRule="atLeast"/>
          <w:jc w:val="center"/>
        </w:trPr>
        <w:tc>
          <w:tcPr>
            <w:tcW w:w="699" w:type="dxa"/>
            <w:vMerge w:val="continue"/>
            <w:noWrap w:val="0"/>
            <w:vAlign w:val="center"/>
          </w:tcPr>
          <w:p w14:paraId="337C309A">
            <w:pPr>
              <w:widowControl/>
              <w:jc w:val="center"/>
              <w:rPr>
                <w:rFonts w:hint="eastAsia" w:ascii="宋体" w:hAnsi="宋体" w:cs="宋体"/>
                <w:color w:val="000000"/>
                <w:szCs w:val="21"/>
                <w:lang w:bidi="ar"/>
              </w:rPr>
            </w:pPr>
          </w:p>
        </w:tc>
        <w:tc>
          <w:tcPr>
            <w:tcW w:w="2491" w:type="dxa"/>
            <w:vMerge w:val="continue"/>
            <w:noWrap w:val="0"/>
            <w:vAlign w:val="center"/>
          </w:tcPr>
          <w:p w14:paraId="26E2BF62">
            <w:pPr>
              <w:widowControl/>
              <w:ind w:firstLine="420"/>
              <w:jc w:val="center"/>
              <w:rPr>
                <w:rFonts w:hint="eastAsia" w:ascii="宋体" w:hAnsi="宋体" w:cs="宋体"/>
                <w:color w:val="000000"/>
                <w:szCs w:val="21"/>
                <w:lang w:bidi="ar"/>
              </w:rPr>
            </w:pPr>
          </w:p>
        </w:tc>
        <w:tc>
          <w:tcPr>
            <w:tcW w:w="2491" w:type="dxa"/>
            <w:noWrap w:val="0"/>
            <w:vAlign w:val="center"/>
          </w:tcPr>
          <w:p w14:paraId="0ED75CBB">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不整齐块石</w:t>
            </w:r>
          </w:p>
        </w:tc>
        <w:tc>
          <w:tcPr>
            <w:tcW w:w="2841" w:type="dxa"/>
            <w:noWrap w:val="0"/>
            <w:vAlign w:val="center"/>
          </w:tcPr>
          <w:p w14:paraId="56DC260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9.0</w:t>
            </w:r>
          </w:p>
        </w:tc>
      </w:tr>
      <w:tr w14:paraId="7C407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33A10FC8">
            <w:pPr>
              <w:widowControl/>
              <w:jc w:val="center"/>
              <w:rPr>
                <w:rFonts w:ascii="宋体" w:hAnsi="宋体" w:cs="宋体"/>
                <w:color w:val="000000"/>
                <w:szCs w:val="21"/>
                <w:lang w:bidi="ar"/>
              </w:rPr>
            </w:pPr>
            <w:r>
              <w:rPr>
                <w:rFonts w:hint="eastAsia" w:ascii="宋体" w:hAnsi="宋体" w:cs="宋体"/>
                <w:color w:val="000000"/>
                <w:szCs w:val="21"/>
                <w:lang w:bidi="ar"/>
              </w:rPr>
              <w:t>8</w:t>
            </w:r>
          </w:p>
        </w:tc>
        <w:tc>
          <w:tcPr>
            <w:tcW w:w="4982" w:type="dxa"/>
            <w:gridSpan w:val="2"/>
            <w:noWrap w:val="0"/>
            <w:vAlign w:val="center"/>
          </w:tcPr>
          <w:p w14:paraId="4DE52A10">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碎砾石及其它粒料路面</w:t>
            </w:r>
          </w:p>
        </w:tc>
        <w:tc>
          <w:tcPr>
            <w:tcW w:w="2841" w:type="dxa"/>
            <w:noWrap w:val="0"/>
            <w:vAlign w:val="center"/>
          </w:tcPr>
          <w:p w14:paraId="1DB4BD7F">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r w14:paraId="6300DF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9" w:type="dxa"/>
            <w:noWrap w:val="0"/>
            <w:vAlign w:val="center"/>
          </w:tcPr>
          <w:p w14:paraId="7CE8182C">
            <w:pPr>
              <w:widowControl/>
              <w:jc w:val="center"/>
              <w:rPr>
                <w:rFonts w:ascii="宋体" w:hAnsi="宋体" w:cs="宋体"/>
                <w:color w:val="000000"/>
                <w:szCs w:val="21"/>
                <w:lang w:bidi="ar"/>
              </w:rPr>
            </w:pPr>
            <w:r>
              <w:rPr>
                <w:rFonts w:hint="eastAsia" w:ascii="宋体" w:hAnsi="宋体" w:cs="宋体"/>
                <w:color w:val="000000"/>
                <w:szCs w:val="21"/>
                <w:lang w:bidi="ar"/>
              </w:rPr>
              <w:t>9</w:t>
            </w:r>
          </w:p>
        </w:tc>
        <w:tc>
          <w:tcPr>
            <w:tcW w:w="4982" w:type="dxa"/>
            <w:gridSpan w:val="2"/>
            <w:noWrap w:val="0"/>
            <w:vAlign w:val="center"/>
          </w:tcPr>
          <w:p w14:paraId="7053DD64">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改善及稳定土路面</w:t>
            </w:r>
          </w:p>
        </w:tc>
        <w:tc>
          <w:tcPr>
            <w:tcW w:w="2841" w:type="dxa"/>
            <w:noWrap w:val="0"/>
            <w:vAlign w:val="center"/>
          </w:tcPr>
          <w:p w14:paraId="0196A2BE">
            <w:pPr>
              <w:widowControl/>
              <w:ind w:firstLine="420"/>
              <w:jc w:val="center"/>
              <w:rPr>
                <w:rFonts w:hint="eastAsia" w:ascii="宋体" w:hAnsi="宋体" w:cs="宋体"/>
                <w:color w:val="000000"/>
                <w:szCs w:val="21"/>
                <w:lang w:bidi="ar"/>
              </w:rPr>
            </w:pPr>
            <w:r>
              <w:rPr>
                <w:rFonts w:hint="eastAsia" w:ascii="宋体" w:hAnsi="宋体" w:cs="宋体"/>
                <w:color w:val="000000"/>
                <w:szCs w:val="21"/>
                <w:lang w:bidi="ar"/>
              </w:rPr>
              <w:t>7.1</w:t>
            </w:r>
          </w:p>
        </w:tc>
      </w:tr>
    </w:tbl>
    <w:p w14:paraId="68CD82A7">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2.3 路基构造物 </w:t>
      </w:r>
    </w:p>
    <w:p w14:paraId="4D593707">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路肩不清洁：路肩上有杂物、垃圾、堆积物及 15cm 以上的高草。 </w:t>
      </w:r>
    </w:p>
    <w:p w14:paraId="257B47B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路肩不整齐：路肩与路面衔接不平顺，低于路面 2cm 以上（黑色硬化路肩低于 1cm）或高于路面；横坡小于路面横坡；不平整、不密实影响横向排水；路肩宽度小于设计宽度；路肩外缘不顺适，宽度差有 20cm 以上突变者。 </w:t>
      </w:r>
    </w:p>
    <w:p w14:paraId="6D1E636E">
      <w:pPr>
        <w:keepNext w:val="0"/>
        <w:keepLines w:val="0"/>
        <w:pageBreakBefore w:val="0"/>
        <w:widowControl/>
        <w:spacing w:line="360" w:lineRule="auto"/>
        <w:ind w:firstLine="440"/>
        <w:jc w:val="left"/>
        <w:rPr>
          <w:sz w:val="22"/>
          <w:szCs w:val="28"/>
          <w:highlight w:val="none"/>
        </w:rPr>
      </w:pPr>
      <w:r>
        <w:rPr>
          <w:rFonts w:hint="eastAsia" w:ascii="宋体" w:hAnsi="宋体" w:cs="宋体"/>
          <w:color w:val="000000"/>
          <w:sz w:val="22"/>
          <w:szCs w:val="22"/>
          <w:lang w:bidi="ar"/>
        </w:rPr>
        <w:t>3. 水沟淤塞：边沟、</w:t>
      </w:r>
      <w:r>
        <w:rPr>
          <w:rFonts w:hint="eastAsia" w:ascii="宋体" w:hAnsi="宋体" w:cs="宋体"/>
          <w:color w:val="000000"/>
          <w:sz w:val="22"/>
          <w:szCs w:val="22"/>
          <w:highlight w:val="none"/>
          <w:lang w:bidi="ar"/>
        </w:rPr>
        <w:t xml:space="preserve">截水沟、排水沟有淤积影响排水者，以及应有边沟路段而无边沟者。 </w:t>
      </w:r>
    </w:p>
    <w:p w14:paraId="402E839E">
      <w:pPr>
        <w:keepNext w:val="0"/>
        <w:keepLines w:val="0"/>
        <w:pageBreakBefore w:val="0"/>
        <w:widowControl/>
        <w:spacing w:line="360" w:lineRule="auto"/>
        <w:ind w:firstLine="440"/>
        <w:jc w:val="left"/>
        <w:rPr>
          <w:sz w:val="22"/>
          <w:szCs w:val="28"/>
          <w:highlight w:val="none"/>
        </w:rPr>
      </w:pPr>
      <w:r>
        <w:rPr>
          <w:rFonts w:hint="eastAsia" w:ascii="宋体" w:hAnsi="宋体" w:cs="宋体"/>
          <w:color w:val="000000"/>
          <w:sz w:val="22"/>
          <w:szCs w:val="22"/>
          <w:highlight w:val="none"/>
          <w:lang w:bidi="ar"/>
        </w:rPr>
        <w:t>4. 边坡坍塌：挖方边坡塌方 3</w:t>
      </w:r>
      <w:r>
        <w:rPr>
          <w:rFonts w:hint="eastAsia" w:ascii="宋体" w:hAnsi="宋体" w:cs="宋体"/>
          <w:color w:val="000000"/>
          <w:sz w:val="22"/>
          <w:szCs w:val="22"/>
          <w:highlight w:val="none"/>
          <w:lang w:val="en-US" w:eastAsia="zh-CN" w:bidi="ar"/>
        </w:rPr>
        <w:t>m³</w:t>
      </w:r>
      <w:r>
        <w:rPr>
          <w:rFonts w:hint="eastAsia" w:ascii="宋体" w:hAnsi="宋体" w:cs="宋体"/>
          <w:color w:val="000000"/>
          <w:sz w:val="22"/>
          <w:szCs w:val="22"/>
          <w:highlight w:val="none"/>
          <w:lang w:bidi="ar"/>
        </w:rPr>
        <w:t xml:space="preserve">以上，填方边坡有冲沟、缺口宽 30cm 以上；边坡坡度陡于设计坡度。 </w:t>
      </w:r>
    </w:p>
    <w:p w14:paraId="573F4CD9">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5. 构造物损坏：挡墙等圬工体断裂、沉陷、倾斜、局部塌陷、松动，较大面积沟缝脱落者。 </w:t>
      </w:r>
    </w:p>
    <w:p w14:paraId="1568C584">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2.4 桥涵 </w:t>
      </w:r>
    </w:p>
    <w:p w14:paraId="79D9AA17">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桥头（涵顶）跳车：桥梁、过水路面衔接处不平及涵洞顶纵坡不适；桥梁伸缩缝养护不良，引起行车颠簸者，每跳车一次计病害一处。 </w:t>
      </w:r>
    </w:p>
    <w:p w14:paraId="2DDD2089">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桥涵排水不良：桥面不整洁、泄水孔堵塞，影响桥面排水；涵洞（管）淤塞超过孔径 1/4 者。 </w:t>
      </w:r>
    </w:p>
    <w:p w14:paraId="1848C15A">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3. 构部件破损：人行道、栏杆、帽石、锥坡、端墙、墩台有缺件、断裂、破损及露筋等；伸缩缝、支座被杂物卡主或出现松动、锈蚀、老化现象。 </w:t>
      </w:r>
    </w:p>
    <w:p w14:paraId="5E536BCD">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 沥青混凝土路面的养护 </w:t>
      </w:r>
    </w:p>
    <w:p w14:paraId="58CD4CEF">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 养护内容与质量标准 </w:t>
      </w:r>
    </w:p>
    <w:p w14:paraId="3C5DE242">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3.1.1 工作内容与要求 </w:t>
      </w:r>
    </w:p>
    <w:p w14:paraId="7F9830F6">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沥青路面的养护工作可分为日常巡视与检查、小修保养，其具体内容有： </w:t>
      </w:r>
    </w:p>
    <w:p w14:paraId="4950E899">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日常巡视与检查 </w:t>
      </w:r>
    </w:p>
    <w:p w14:paraId="619E8A78">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日常巡视与检查内容包括： </w:t>
      </w:r>
    </w:p>
    <w:p w14:paraId="7B2F6B96">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a. 路面上是否有可明显的坑槽、裂缝、拥包、沉陷、松散、车辙、泛油、波浪、麻面、冻胀、翻浆等病害，其危害程度及趋势； </w:t>
      </w:r>
    </w:p>
    <w:p w14:paraId="412B7B3E">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b. 路面上是否有可能损坏路面或妨碍交通的堆积物等。 </w:t>
      </w:r>
    </w:p>
    <w:p w14:paraId="75B250DC">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小修保养 </w:t>
      </w:r>
    </w:p>
    <w:p w14:paraId="373A0C9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小修保养可分为日常保养和小修二项工作内容。 </w:t>
      </w:r>
    </w:p>
    <w:p w14:paraId="42C2990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a. 日常保养的内容有： </w:t>
      </w:r>
    </w:p>
    <w:p w14:paraId="4579F3CC">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清扫路面泥土、杂物； </w:t>
      </w:r>
    </w:p>
    <w:p w14:paraId="3C1799F2">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排除路面积水、积雪、积冰、积砂、铺防滑料等； </w:t>
      </w:r>
    </w:p>
    <w:p w14:paraId="3E3604E8">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拦水带（路缘石）的刷白、修理； </w:t>
      </w:r>
    </w:p>
    <w:p w14:paraId="7B0B6076">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清理边沟、维修护坡道、培土等。 </w:t>
      </w:r>
    </w:p>
    <w:p w14:paraId="32F34F11">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b. 小修的内容有： </w:t>
      </w:r>
    </w:p>
    <w:p w14:paraId="4C3F3A7F">
      <w:pPr>
        <w:keepNext w:val="0"/>
        <w:keepLines w:val="0"/>
        <w:pageBreakBefore w:val="0"/>
        <w:widowControl/>
        <w:spacing w:line="360" w:lineRule="auto"/>
        <w:ind w:firstLine="440"/>
        <w:jc w:val="left"/>
        <w:rPr>
          <w:sz w:val="22"/>
          <w:szCs w:val="28"/>
        </w:rPr>
      </w:pPr>
      <w:r>
        <w:rPr>
          <w:rFonts w:ascii="Wingdings" w:hAnsi="Wingdings" w:cs="Wingdings"/>
          <w:color w:val="000000"/>
          <w:sz w:val="22"/>
          <w:szCs w:val="22"/>
          <w:lang w:bidi="ar"/>
        </w:rPr>
        <w:t xml:space="preserve"> </w:t>
      </w:r>
      <w:r>
        <w:rPr>
          <w:rFonts w:hint="eastAsia" w:ascii="宋体" w:hAnsi="宋体" w:cs="宋体"/>
          <w:color w:val="000000"/>
          <w:sz w:val="22"/>
          <w:szCs w:val="22"/>
          <w:lang w:bidi="ar"/>
        </w:rPr>
        <w:t xml:space="preserve">修补路面的泛油、拥包、轻微裂缝、横向裂缝、坑槽、沉陷、波浪、局部网裂、车辙、麻面、啃边等病害。 </w:t>
      </w:r>
    </w:p>
    <w:p w14:paraId="50206D7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沥青路面的小修保养应符合下列要求： </w:t>
      </w:r>
    </w:p>
    <w:p w14:paraId="2CF50A31">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保证路面平整、横坡适度、线形顺直、清扫整洁、排水良好； </w:t>
      </w:r>
    </w:p>
    <w:p w14:paraId="48E74DC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2) 加强巡路检查，掌握路面情况，及时排除有损路面的各种不良因素，发现路面初期病害及早维修。 </w:t>
      </w:r>
    </w:p>
    <w:p w14:paraId="75C2E30C">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3. 应重视路面排水。及时修补沥青路面的坑槽和裂缝，防止地表水渗入基层；对已渗入基层的积水，应设纵横向盲沟排水，地下水位较高的在排水沟下面设置腹式盲沟排水，地下水位较高的在排水沟下面设置腹式盲沟；应加强路面排水设施的维修养护，保持良好的排水功能。 </w:t>
      </w:r>
    </w:p>
    <w:p w14:paraId="0A5D624F">
      <w:pPr>
        <w:keepNext w:val="0"/>
        <w:keepLines w:val="0"/>
        <w:pageBreakBefore w:val="0"/>
        <w:widowControl/>
        <w:spacing w:line="360" w:lineRule="auto"/>
        <w:ind w:firstLine="442"/>
        <w:jc w:val="left"/>
        <w:rPr>
          <w:sz w:val="22"/>
          <w:szCs w:val="28"/>
        </w:rPr>
      </w:pPr>
      <w:r>
        <w:rPr>
          <w:rFonts w:ascii="宋体" w:hAnsi="宋体" w:cs="宋体"/>
          <w:b/>
          <w:bCs/>
          <w:color w:val="000000"/>
          <w:sz w:val="22"/>
          <w:szCs w:val="22"/>
          <w:lang w:bidi="ar"/>
        </w:rPr>
        <w:t xml:space="preserve">3.1.2 养护质量标准 </w:t>
      </w:r>
    </w:p>
    <w:p w14:paraId="1185EEB9">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 xml:space="preserve">1. 沥青路面养护质量标准 </w:t>
      </w:r>
    </w:p>
    <w:p w14:paraId="3DCC2340">
      <w:pPr>
        <w:keepNext w:val="0"/>
        <w:keepLines w:val="0"/>
        <w:pageBreakBefore w:val="0"/>
        <w:widowControl/>
        <w:spacing w:line="360" w:lineRule="auto"/>
        <w:ind w:firstLine="440"/>
        <w:jc w:val="left"/>
        <w:rPr>
          <w:sz w:val="22"/>
          <w:szCs w:val="28"/>
        </w:rPr>
      </w:pPr>
      <w:r>
        <w:rPr>
          <w:rFonts w:hint="eastAsia" w:ascii="宋体" w:hAnsi="宋体" w:cs="宋体"/>
          <w:color w:val="000000"/>
          <w:sz w:val="22"/>
          <w:szCs w:val="22"/>
          <w:lang w:bidi="ar"/>
        </w:rPr>
        <w:t>1. 沥青路面平整度、抗滑性能及路面状况的养护质量标准应符合表 3-1 的规定</w:t>
      </w:r>
    </w:p>
    <w:p w14:paraId="64DCCD69">
      <w:pPr>
        <w:jc w:val="center"/>
        <w:rPr>
          <w:rFonts w:hint="eastAsia" w:ascii="宋体" w:hAnsi="宋体" w:cs="宋体"/>
          <w:color w:val="000000"/>
          <w:szCs w:val="21"/>
          <w:lang w:bidi="ar"/>
        </w:rPr>
      </w:pPr>
      <w:r>
        <w:rPr>
          <w:rFonts w:hint="eastAsia" w:ascii="宋体" w:hAnsi="宋体" w:cs="宋体"/>
          <w:color w:val="000000"/>
          <w:szCs w:val="21"/>
          <w:lang w:bidi="ar"/>
        </w:rPr>
        <w:t>平整度、抗滑性能及破损状况的养护质量标准 表 3-1</w:t>
      </w:r>
    </w:p>
    <w:tbl>
      <w:tblPr>
        <w:tblStyle w:val="3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
        <w:gridCol w:w="1516"/>
        <w:gridCol w:w="1881"/>
        <w:gridCol w:w="2131"/>
        <w:gridCol w:w="2131"/>
      </w:tblGrid>
      <w:tr w14:paraId="47FA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 w:type="dxa"/>
            <w:noWrap w:val="0"/>
            <w:vAlign w:val="center"/>
          </w:tcPr>
          <w:p w14:paraId="68ABB5C7">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序号</w:t>
            </w:r>
          </w:p>
        </w:tc>
        <w:tc>
          <w:tcPr>
            <w:tcW w:w="3397" w:type="dxa"/>
            <w:gridSpan w:val="2"/>
            <w:noWrap w:val="0"/>
            <w:vAlign w:val="center"/>
          </w:tcPr>
          <w:p w14:paraId="05251EC5">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项目</w:t>
            </w:r>
          </w:p>
        </w:tc>
        <w:tc>
          <w:tcPr>
            <w:tcW w:w="2131" w:type="dxa"/>
            <w:noWrap w:val="0"/>
            <w:vAlign w:val="center"/>
          </w:tcPr>
          <w:p w14:paraId="199AD0EC">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高速公路、一级公路</w:t>
            </w:r>
          </w:p>
        </w:tc>
        <w:tc>
          <w:tcPr>
            <w:tcW w:w="2131" w:type="dxa"/>
            <w:noWrap w:val="0"/>
            <w:vAlign w:val="center"/>
          </w:tcPr>
          <w:p w14:paraId="6DD188F4">
            <w:pPr>
              <w:keepNext w:val="0"/>
              <w:keepLines w:val="0"/>
              <w:pageBreakBefore w:val="0"/>
              <w:widowControl/>
              <w:spacing w:line="360" w:lineRule="auto"/>
              <w:jc w:val="center"/>
              <w:rPr>
                <w:rFonts w:hint="eastAsia" w:ascii="宋体" w:hAnsi="宋体" w:cs="宋体"/>
                <w:color w:val="000000"/>
                <w:szCs w:val="21"/>
                <w:lang w:bidi="ar"/>
              </w:rPr>
            </w:pPr>
            <w:r>
              <w:rPr>
                <w:rFonts w:hint="eastAsia" w:ascii="宋体" w:hAnsi="宋体" w:cs="宋体"/>
                <w:color w:val="000000"/>
                <w:szCs w:val="21"/>
                <w:lang w:bidi="ar"/>
              </w:rPr>
              <w:t>其它等级公路</w:t>
            </w:r>
          </w:p>
        </w:tc>
      </w:tr>
      <w:tr w14:paraId="3F17C4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restart"/>
            <w:noWrap w:val="0"/>
            <w:vAlign w:val="center"/>
          </w:tcPr>
          <w:p w14:paraId="1CDB6EF7">
            <w:pPr>
              <w:widowControl/>
              <w:jc w:val="center"/>
              <w:rPr>
                <w:rFonts w:ascii="宋体" w:hAnsi="宋体" w:cs="宋体"/>
                <w:color w:val="000000"/>
                <w:szCs w:val="21"/>
                <w:lang w:bidi="ar"/>
              </w:rPr>
            </w:pPr>
            <w:r>
              <w:rPr>
                <w:rFonts w:hint="eastAsia" w:ascii="宋体" w:hAnsi="宋体" w:cs="宋体"/>
                <w:color w:val="000000"/>
                <w:szCs w:val="21"/>
                <w:lang w:bidi="ar"/>
              </w:rPr>
              <w:t>1</w:t>
            </w:r>
          </w:p>
        </w:tc>
        <w:tc>
          <w:tcPr>
            <w:tcW w:w="1516" w:type="dxa"/>
            <w:vMerge w:val="restart"/>
            <w:noWrap w:val="0"/>
            <w:vAlign w:val="center"/>
          </w:tcPr>
          <w:p w14:paraId="4EBFF89E">
            <w:pPr>
              <w:widowControl/>
              <w:jc w:val="center"/>
              <w:rPr>
                <w:rFonts w:hint="eastAsia" w:ascii="宋体" w:hAnsi="宋体" w:cs="宋体"/>
                <w:color w:val="000000"/>
                <w:szCs w:val="21"/>
                <w:lang w:bidi="ar"/>
              </w:rPr>
            </w:pPr>
            <w:r>
              <w:rPr>
                <w:rFonts w:hint="eastAsia" w:ascii="宋体" w:hAnsi="宋体" w:cs="宋体"/>
                <w:color w:val="000000"/>
                <w:szCs w:val="21"/>
                <w:lang w:bidi="ar"/>
              </w:rPr>
              <w:t>平整度（mm）</w:t>
            </w:r>
          </w:p>
        </w:tc>
        <w:tc>
          <w:tcPr>
            <w:tcW w:w="1881" w:type="dxa"/>
            <w:noWrap w:val="0"/>
            <w:vAlign w:val="center"/>
          </w:tcPr>
          <w:p w14:paraId="454C5EF6">
            <w:pPr>
              <w:widowControl/>
              <w:jc w:val="center"/>
              <w:rPr>
                <w:rFonts w:hint="eastAsia" w:ascii="宋体" w:hAnsi="宋体" w:cs="宋体"/>
                <w:color w:val="000000"/>
                <w:szCs w:val="21"/>
                <w:lang w:bidi="ar"/>
              </w:rPr>
            </w:pPr>
            <w:r>
              <w:rPr>
                <w:rFonts w:hint="eastAsia" w:ascii="宋体" w:hAnsi="宋体" w:cs="宋体"/>
                <w:color w:val="000000"/>
                <w:szCs w:val="21"/>
                <w:lang w:bidi="ar"/>
              </w:rPr>
              <w:t>平整度仪（σ）</w:t>
            </w:r>
          </w:p>
        </w:tc>
        <w:tc>
          <w:tcPr>
            <w:tcW w:w="2131" w:type="dxa"/>
            <w:noWrap w:val="0"/>
            <w:vAlign w:val="center"/>
          </w:tcPr>
          <w:p w14:paraId="662CA4D4">
            <w:pPr>
              <w:widowControl/>
              <w:jc w:val="center"/>
              <w:rPr>
                <w:rFonts w:hint="eastAsia" w:ascii="宋体" w:hAnsi="宋体" w:cs="宋体"/>
                <w:color w:val="000000"/>
                <w:szCs w:val="21"/>
                <w:lang w:bidi="ar"/>
              </w:rPr>
            </w:pPr>
            <w:r>
              <w:rPr>
                <w:rFonts w:hint="eastAsia" w:ascii="宋体" w:hAnsi="宋体" w:cs="宋体"/>
                <w:color w:val="000000"/>
                <w:szCs w:val="21"/>
                <w:lang w:bidi="ar"/>
              </w:rPr>
              <w:t>≤3.5</w:t>
            </w:r>
          </w:p>
        </w:tc>
        <w:tc>
          <w:tcPr>
            <w:tcW w:w="2131" w:type="dxa"/>
            <w:noWrap w:val="0"/>
            <w:vAlign w:val="center"/>
          </w:tcPr>
          <w:p w14:paraId="624C0815">
            <w:pPr>
              <w:widowControl/>
              <w:jc w:val="center"/>
              <w:rPr>
                <w:rFonts w:hint="eastAsia" w:ascii="宋体" w:hAnsi="宋体" w:cs="宋体"/>
                <w:color w:val="000000"/>
                <w:szCs w:val="21"/>
                <w:lang w:bidi="ar"/>
              </w:rPr>
            </w:pPr>
            <w:r>
              <w:rPr>
                <w:rFonts w:hint="eastAsia" w:ascii="宋体" w:hAnsi="宋体" w:cs="宋体"/>
                <w:color w:val="000000"/>
                <w:szCs w:val="21"/>
                <w:lang w:bidi="ar"/>
              </w:rPr>
              <w:t>≤4.5</w:t>
            </w:r>
          </w:p>
        </w:tc>
      </w:tr>
      <w:tr w14:paraId="291B4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continue"/>
            <w:noWrap w:val="0"/>
            <w:vAlign w:val="center"/>
          </w:tcPr>
          <w:p w14:paraId="5639B0D2">
            <w:pPr>
              <w:widowControl/>
              <w:jc w:val="center"/>
            </w:pPr>
          </w:p>
        </w:tc>
        <w:tc>
          <w:tcPr>
            <w:tcW w:w="1516" w:type="dxa"/>
            <w:vMerge w:val="continue"/>
            <w:noWrap w:val="0"/>
            <w:vAlign w:val="center"/>
          </w:tcPr>
          <w:p w14:paraId="77844C3B">
            <w:pPr>
              <w:widowControl/>
              <w:jc w:val="center"/>
            </w:pPr>
          </w:p>
        </w:tc>
        <w:tc>
          <w:tcPr>
            <w:tcW w:w="1881" w:type="dxa"/>
            <w:noWrap w:val="0"/>
            <w:vAlign w:val="center"/>
          </w:tcPr>
          <w:p w14:paraId="04776AA2">
            <w:pPr>
              <w:widowControl/>
              <w:jc w:val="center"/>
              <w:rPr>
                <w:rFonts w:hint="eastAsia" w:ascii="宋体" w:hAnsi="宋体" w:cs="宋体"/>
                <w:color w:val="000000"/>
                <w:szCs w:val="21"/>
                <w:lang w:bidi="ar"/>
              </w:rPr>
            </w:pPr>
            <w:r>
              <w:rPr>
                <w:rFonts w:hint="eastAsia" w:ascii="宋体" w:hAnsi="宋体" w:cs="宋体"/>
                <w:color w:val="000000"/>
                <w:szCs w:val="21"/>
                <w:lang w:bidi="ar"/>
              </w:rPr>
              <w:t>三米直尺（h）</w:t>
            </w:r>
          </w:p>
        </w:tc>
        <w:tc>
          <w:tcPr>
            <w:tcW w:w="2131" w:type="dxa"/>
            <w:noWrap w:val="0"/>
            <w:vAlign w:val="center"/>
          </w:tcPr>
          <w:p w14:paraId="250F205D">
            <w:pPr>
              <w:widowControl/>
              <w:jc w:val="center"/>
              <w:rPr>
                <w:rFonts w:hint="eastAsia" w:ascii="宋体" w:hAnsi="宋体" w:cs="宋体"/>
                <w:color w:val="000000"/>
                <w:szCs w:val="21"/>
                <w:lang w:bidi="ar"/>
              </w:rPr>
            </w:pPr>
            <w:r>
              <w:rPr>
                <w:rFonts w:hint="eastAsia" w:ascii="宋体" w:hAnsi="宋体" w:cs="宋体"/>
                <w:color w:val="000000"/>
                <w:szCs w:val="21"/>
                <w:lang w:bidi="ar"/>
              </w:rPr>
              <w:t>≤7</w:t>
            </w:r>
          </w:p>
        </w:tc>
        <w:tc>
          <w:tcPr>
            <w:tcW w:w="2131" w:type="dxa"/>
            <w:noWrap w:val="0"/>
            <w:vAlign w:val="center"/>
          </w:tcPr>
          <w:p w14:paraId="7A79B924">
            <w:pPr>
              <w:widowControl/>
              <w:jc w:val="center"/>
              <w:rPr>
                <w:rFonts w:hint="eastAsia" w:ascii="宋体" w:hAnsi="宋体" w:cs="宋体"/>
                <w:color w:val="000000"/>
                <w:szCs w:val="21"/>
                <w:lang w:bidi="ar"/>
              </w:rPr>
            </w:pPr>
            <w:r>
              <w:rPr>
                <w:rFonts w:hint="eastAsia" w:ascii="宋体" w:hAnsi="宋体" w:cs="宋体"/>
                <w:color w:val="000000"/>
                <w:szCs w:val="21"/>
                <w:lang w:bidi="ar"/>
              </w:rPr>
              <w:t>≤10</w:t>
            </w:r>
          </w:p>
        </w:tc>
      </w:tr>
      <w:tr w14:paraId="30245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4" w:hRule="atLeast"/>
          <w:jc w:val="center"/>
        </w:trPr>
        <w:tc>
          <w:tcPr>
            <w:tcW w:w="863" w:type="dxa"/>
            <w:vMerge w:val="continue"/>
            <w:noWrap w:val="0"/>
            <w:vAlign w:val="center"/>
          </w:tcPr>
          <w:p w14:paraId="67EED6BC">
            <w:pPr>
              <w:widowControl/>
              <w:jc w:val="center"/>
              <w:rPr>
                <w:rFonts w:hint="eastAsia" w:ascii="宋体" w:hAnsi="宋体" w:cs="宋体"/>
                <w:color w:val="000000"/>
                <w:szCs w:val="21"/>
                <w:lang w:bidi="ar"/>
              </w:rPr>
            </w:pPr>
          </w:p>
        </w:tc>
        <w:tc>
          <w:tcPr>
            <w:tcW w:w="1516" w:type="dxa"/>
            <w:vMerge w:val="continue"/>
            <w:noWrap w:val="0"/>
            <w:vAlign w:val="center"/>
          </w:tcPr>
          <w:p w14:paraId="3B4242B4">
            <w:pPr>
              <w:widowControl/>
              <w:jc w:val="center"/>
              <w:rPr>
                <w:rFonts w:hint="eastAsia" w:ascii="宋体" w:hAnsi="宋体" w:cs="宋体"/>
                <w:color w:val="000000"/>
                <w:szCs w:val="21"/>
                <w:lang w:bidi="ar"/>
              </w:rPr>
            </w:pPr>
          </w:p>
        </w:tc>
        <w:tc>
          <w:tcPr>
            <w:tcW w:w="1881" w:type="dxa"/>
            <w:noWrap w:val="0"/>
            <w:vAlign w:val="center"/>
          </w:tcPr>
          <w:p w14:paraId="5291613D">
            <w:pPr>
              <w:widowControl/>
              <w:jc w:val="center"/>
              <w:rPr>
                <w:rFonts w:hint="eastAsia" w:ascii="宋体" w:hAnsi="宋体" w:cs="宋体"/>
                <w:color w:val="000000"/>
                <w:szCs w:val="21"/>
                <w:lang w:bidi="ar"/>
              </w:rPr>
            </w:pPr>
            <w:r>
              <w:rPr>
                <w:rFonts w:hint="eastAsia" w:ascii="宋体" w:hAnsi="宋体" w:cs="宋体"/>
                <w:color w:val="000000"/>
                <w:szCs w:val="21"/>
                <w:lang w:bidi="ar"/>
              </w:rPr>
              <w:t>Irl（mkm）</w:t>
            </w:r>
          </w:p>
        </w:tc>
        <w:tc>
          <w:tcPr>
            <w:tcW w:w="2131" w:type="dxa"/>
            <w:noWrap w:val="0"/>
            <w:vAlign w:val="center"/>
          </w:tcPr>
          <w:p w14:paraId="71B3B921">
            <w:pPr>
              <w:widowControl/>
              <w:jc w:val="center"/>
              <w:rPr>
                <w:rFonts w:hint="eastAsia" w:ascii="宋体" w:hAnsi="宋体" w:cs="宋体"/>
                <w:color w:val="000000"/>
                <w:szCs w:val="21"/>
                <w:lang w:bidi="ar"/>
              </w:rPr>
            </w:pPr>
            <w:r>
              <w:rPr>
                <w:rFonts w:hint="eastAsia" w:ascii="宋体" w:hAnsi="宋体" w:cs="宋体"/>
                <w:color w:val="000000"/>
                <w:szCs w:val="21"/>
                <w:lang w:bidi="ar"/>
              </w:rPr>
              <w:t>≤6</w:t>
            </w:r>
          </w:p>
        </w:tc>
        <w:tc>
          <w:tcPr>
            <w:tcW w:w="2131" w:type="dxa"/>
            <w:noWrap w:val="0"/>
            <w:vAlign w:val="center"/>
          </w:tcPr>
          <w:p w14:paraId="72A52213">
            <w:pPr>
              <w:widowControl/>
              <w:jc w:val="center"/>
              <w:rPr>
                <w:rFonts w:hint="eastAsia" w:ascii="宋体" w:hAnsi="宋体" w:cs="宋体"/>
                <w:color w:val="000000"/>
                <w:szCs w:val="21"/>
                <w:lang w:bidi="ar"/>
              </w:rPr>
            </w:pPr>
            <w:r>
              <w:rPr>
                <w:rFonts w:hint="eastAsia" w:ascii="宋体" w:hAnsi="宋体" w:cs="宋体"/>
                <w:color w:val="000000"/>
                <w:szCs w:val="21"/>
                <w:lang w:bidi="ar"/>
              </w:rPr>
              <w:t>≤8</w:t>
            </w:r>
          </w:p>
        </w:tc>
      </w:tr>
      <w:tr w14:paraId="3C9F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63" w:type="dxa"/>
            <w:vMerge w:val="restart"/>
            <w:noWrap w:val="0"/>
            <w:vAlign w:val="center"/>
          </w:tcPr>
          <w:p w14:paraId="2B255FE7">
            <w:pPr>
              <w:widowControl/>
              <w:jc w:val="center"/>
              <w:rPr>
                <w:rFonts w:ascii="宋体" w:hAnsi="宋体" w:cs="宋体"/>
                <w:color w:val="000000"/>
                <w:szCs w:val="21"/>
                <w:lang w:bidi="ar"/>
              </w:rPr>
            </w:pPr>
            <w:r>
              <w:rPr>
                <w:rFonts w:hint="eastAsia" w:ascii="宋体" w:hAnsi="宋体" w:cs="宋体"/>
                <w:color w:val="000000"/>
                <w:szCs w:val="21"/>
                <w:lang w:bidi="ar"/>
              </w:rPr>
              <w:t>2</w:t>
            </w:r>
          </w:p>
        </w:tc>
        <w:tc>
          <w:tcPr>
            <w:tcW w:w="1516" w:type="dxa"/>
            <w:vMerge w:val="restart"/>
            <w:noWrap w:val="0"/>
            <w:vAlign w:val="center"/>
          </w:tcPr>
          <w:p w14:paraId="7D880E33">
            <w:pPr>
              <w:widowControl/>
              <w:jc w:val="center"/>
              <w:rPr>
                <w:rFonts w:hint="eastAsia" w:ascii="宋体" w:hAnsi="宋体" w:cs="宋体"/>
                <w:color w:val="000000"/>
                <w:szCs w:val="21"/>
                <w:lang w:bidi="ar"/>
              </w:rPr>
            </w:pPr>
            <w:r>
              <w:rPr>
                <w:rFonts w:hint="eastAsia" w:ascii="宋体" w:hAnsi="宋体" w:cs="宋体"/>
                <w:color w:val="000000"/>
                <w:szCs w:val="21"/>
                <w:lang w:bidi="ar"/>
              </w:rPr>
              <w:t>抗滑性能</w:t>
            </w:r>
          </w:p>
        </w:tc>
        <w:tc>
          <w:tcPr>
            <w:tcW w:w="1881" w:type="dxa"/>
            <w:noWrap w:val="0"/>
            <w:vAlign w:val="center"/>
          </w:tcPr>
          <w:p w14:paraId="27D7A3D0">
            <w:pPr>
              <w:widowControl/>
              <w:jc w:val="center"/>
              <w:rPr>
                <w:rFonts w:hint="eastAsia" w:ascii="宋体" w:hAnsi="宋体" w:cs="宋体"/>
                <w:color w:val="000000"/>
                <w:szCs w:val="21"/>
                <w:lang w:bidi="ar"/>
              </w:rPr>
            </w:pPr>
            <w:r>
              <w:rPr>
                <w:rFonts w:hint="eastAsia" w:ascii="宋体" w:hAnsi="宋体" w:cs="宋体"/>
                <w:color w:val="000000"/>
                <w:szCs w:val="21"/>
                <w:lang w:bidi="ar"/>
              </w:rPr>
              <w:t>横向力系数 SFC</w:t>
            </w:r>
          </w:p>
        </w:tc>
        <w:tc>
          <w:tcPr>
            <w:tcW w:w="2131" w:type="dxa"/>
            <w:noWrap w:val="0"/>
            <w:vAlign w:val="center"/>
          </w:tcPr>
          <w:p w14:paraId="66F9CBE5">
            <w:pPr>
              <w:widowControl/>
              <w:jc w:val="center"/>
              <w:rPr>
                <w:rFonts w:hint="eastAsia" w:ascii="宋体" w:hAnsi="宋体" w:cs="宋体"/>
                <w:color w:val="000000"/>
                <w:szCs w:val="21"/>
                <w:lang w:bidi="ar"/>
              </w:rPr>
            </w:pPr>
            <w:r>
              <w:rPr>
                <w:rFonts w:hint="eastAsia" w:ascii="宋体" w:hAnsi="宋体" w:cs="宋体"/>
                <w:color w:val="000000"/>
                <w:szCs w:val="21"/>
                <w:lang w:bidi="ar"/>
              </w:rPr>
              <w:t>≥40</w:t>
            </w:r>
          </w:p>
        </w:tc>
        <w:tc>
          <w:tcPr>
            <w:tcW w:w="2131" w:type="dxa"/>
            <w:noWrap w:val="0"/>
            <w:vAlign w:val="center"/>
          </w:tcPr>
          <w:p w14:paraId="78BC032F">
            <w:pPr>
              <w:widowControl/>
              <w:jc w:val="center"/>
              <w:rPr>
                <w:rFonts w:hint="eastAsia" w:ascii="宋体" w:hAnsi="宋体" w:cs="宋体"/>
                <w:color w:val="000000"/>
                <w:szCs w:val="21"/>
                <w:lang w:bidi="ar"/>
              </w:rPr>
            </w:pPr>
            <w:r>
              <w:rPr>
                <w:rFonts w:hint="eastAsia" w:ascii="宋体" w:hAnsi="宋体" w:cs="宋体"/>
                <w:color w:val="000000"/>
                <w:szCs w:val="21"/>
                <w:lang w:bidi="ar"/>
              </w:rPr>
              <w:t>≥30</w:t>
            </w:r>
          </w:p>
        </w:tc>
      </w:tr>
      <w:tr w14:paraId="394FB3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jc w:val="center"/>
        </w:trPr>
        <w:tc>
          <w:tcPr>
            <w:tcW w:w="863" w:type="dxa"/>
            <w:vMerge w:val="continue"/>
            <w:noWrap w:val="0"/>
            <w:vAlign w:val="center"/>
          </w:tcPr>
          <w:p w14:paraId="06E4C688">
            <w:pPr>
              <w:widowControl/>
              <w:jc w:val="center"/>
            </w:pPr>
          </w:p>
        </w:tc>
        <w:tc>
          <w:tcPr>
            <w:tcW w:w="1516" w:type="dxa"/>
            <w:vMerge w:val="continue"/>
            <w:noWrap w:val="0"/>
            <w:vAlign w:val="center"/>
          </w:tcPr>
          <w:p w14:paraId="7BFA6F1E">
            <w:pPr>
              <w:widowControl/>
              <w:jc w:val="center"/>
            </w:pPr>
          </w:p>
        </w:tc>
        <w:tc>
          <w:tcPr>
            <w:tcW w:w="1881" w:type="dxa"/>
            <w:noWrap w:val="0"/>
            <w:vAlign w:val="center"/>
          </w:tcPr>
          <w:p w14:paraId="7159F2FB">
            <w:pPr>
              <w:widowControl/>
              <w:jc w:val="center"/>
              <w:rPr>
                <w:rFonts w:hint="eastAsia" w:ascii="宋体" w:hAnsi="宋体" w:cs="宋体"/>
                <w:color w:val="000000"/>
                <w:szCs w:val="21"/>
                <w:lang w:bidi="ar"/>
              </w:rPr>
            </w:pPr>
            <w:r>
              <w:rPr>
                <w:rFonts w:hint="eastAsia" w:ascii="宋体" w:hAnsi="宋体" w:cs="宋体"/>
                <w:color w:val="000000"/>
                <w:szCs w:val="21"/>
                <w:lang w:bidi="ar"/>
              </w:rPr>
              <w:t>摆式仪摆值 BPN</w:t>
            </w:r>
          </w:p>
        </w:tc>
        <w:tc>
          <w:tcPr>
            <w:tcW w:w="2131" w:type="dxa"/>
            <w:noWrap w:val="0"/>
            <w:vAlign w:val="center"/>
          </w:tcPr>
          <w:p w14:paraId="210E43DB">
            <w:pPr>
              <w:widowControl/>
              <w:jc w:val="center"/>
              <w:rPr>
                <w:rFonts w:hint="eastAsia" w:ascii="宋体" w:hAnsi="宋体" w:cs="宋体"/>
                <w:color w:val="000000"/>
                <w:szCs w:val="21"/>
                <w:lang w:bidi="ar"/>
              </w:rPr>
            </w:pPr>
            <w:r>
              <w:rPr>
                <w:rFonts w:hint="eastAsia" w:ascii="宋体" w:hAnsi="宋体" w:cs="宋体"/>
                <w:color w:val="000000"/>
                <w:szCs w:val="21"/>
                <w:lang w:bidi="ar"/>
              </w:rPr>
              <w:t>-</w:t>
            </w:r>
          </w:p>
        </w:tc>
        <w:tc>
          <w:tcPr>
            <w:tcW w:w="2131" w:type="dxa"/>
            <w:noWrap w:val="0"/>
            <w:vAlign w:val="center"/>
          </w:tcPr>
          <w:p w14:paraId="3D680728">
            <w:pPr>
              <w:widowControl/>
              <w:jc w:val="center"/>
              <w:rPr>
                <w:rFonts w:hint="eastAsia" w:ascii="宋体" w:hAnsi="宋体" w:cs="宋体"/>
                <w:color w:val="000000"/>
                <w:szCs w:val="21"/>
                <w:lang w:bidi="ar"/>
              </w:rPr>
            </w:pPr>
            <w:r>
              <w:rPr>
                <w:rFonts w:hint="eastAsia" w:ascii="宋体" w:hAnsi="宋体" w:cs="宋体"/>
                <w:color w:val="000000"/>
                <w:szCs w:val="21"/>
                <w:lang w:bidi="ar"/>
              </w:rPr>
              <w:t>≥32</w:t>
            </w:r>
          </w:p>
        </w:tc>
      </w:tr>
      <w:tr w14:paraId="1AB4A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3" w:type="dxa"/>
            <w:noWrap w:val="0"/>
            <w:vAlign w:val="center"/>
          </w:tcPr>
          <w:p w14:paraId="5AA16B07">
            <w:pPr>
              <w:widowControl/>
              <w:jc w:val="center"/>
              <w:rPr>
                <w:rFonts w:ascii="宋体" w:hAnsi="宋体" w:cs="宋体"/>
                <w:color w:val="000000"/>
                <w:szCs w:val="21"/>
                <w:lang w:bidi="ar"/>
              </w:rPr>
            </w:pPr>
            <w:r>
              <w:rPr>
                <w:rFonts w:hint="eastAsia" w:ascii="宋体" w:hAnsi="宋体" w:cs="宋体"/>
                <w:color w:val="000000"/>
                <w:szCs w:val="21"/>
                <w:lang w:bidi="ar"/>
              </w:rPr>
              <w:t>3</w:t>
            </w:r>
          </w:p>
        </w:tc>
        <w:tc>
          <w:tcPr>
            <w:tcW w:w="3397" w:type="dxa"/>
            <w:gridSpan w:val="2"/>
            <w:noWrap w:val="0"/>
            <w:vAlign w:val="center"/>
          </w:tcPr>
          <w:p w14:paraId="5978599B">
            <w:pPr>
              <w:widowControl/>
              <w:jc w:val="center"/>
              <w:rPr>
                <w:rFonts w:hint="eastAsia" w:ascii="宋体" w:hAnsi="宋体" w:cs="宋体"/>
                <w:color w:val="000000"/>
                <w:szCs w:val="21"/>
                <w:lang w:bidi="ar"/>
              </w:rPr>
            </w:pPr>
            <w:r>
              <w:rPr>
                <w:rFonts w:hint="eastAsia" w:ascii="宋体" w:hAnsi="宋体" w:cs="宋体"/>
                <w:color w:val="000000"/>
                <w:szCs w:val="21"/>
                <w:lang w:bidi="ar"/>
              </w:rPr>
              <w:t>路面状况指数 PCI</w:t>
            </w:r>
          </w:p>
        </w:tc>
        <w:tc>
          <w:tcPr>
            <w:tcW w:w="2131" w:type="dxa"/>
            <w:noWrap w:val="0"/>
            <w:vAlign w:val="center"/>
          </w:tcPr>
          <w:p w14:paraId="5414F690">
            <w:pPr>
              <w:widowControl/>
              <w:jc w:val="center"/>
              <w:rPr>
                <w:rFonts w:hint="eastAsia" w:ascii="宋体" w:hAnsi="宋体" w:cs="宋体"/>
                <w:color w:val="000000"/>
                <w:szCs w:val="21"/>
                <w:lang w:bidi="ar"/>
              </w:rPr>
            </w:pPr>
            <w:r>
              <w:rPr>
                <w:rFonts w:hint="eastAsia" w:ascii="宋体" w:hAnsi="宋体" w:cs="宋体"/>
                <w:color w:val="000000"/>
                <w:szCs w:val="21"/>
                <w:lang w:bidi="ar"/>
              </w:rPr>
              <w:t>≥70</w:t>
            </w:r>
          </w:p>
        </w:tc>
        <w:tc>
          <w:tcPr>
            <w:tcW w:w="2131" w:type="dxa"/>
            <w:noWrap w:val="0"/>
            <w:vAlign w:val="center"/>
          </w:tcPr>
          <w:p w14:paraId="08D7D70E">
            <w:pPr>
              <w:widowControl/>
              <w:jc w:val="center"/>
              <w:rPr>
                <w:rFonts w:ascii="宋体" w:hAnsi="宋体" w:cs="宋体"/>
                <w:color w:val="000000"/>
                <w:szCs w:val="21"/>
                <w:lang w:bidi="ar"/>
              </w:rPr>
            </w:pPr>
            <w:r>
              <w:rPr>
                <w:rFonts w:hint="eastAsia" w:ascii="宋体" w:hAnsi="宋体" w:cs="宋体"/>
                <w:color w:val="000000"/>
                <w:szCs w:val="21"/>
                <w:lang w:bidi="ar"/>
              </w:rPr>
              <w:t>52</w:t>
            </w:r>
          </w:p>
        </w:tc>
      </w:tr>
    </w:tbl>
    <w:p w14:paraId="3BB335C9">
      <w:pPr>
        <w:widowControl/>
        <w:ind w:firstLine="420"/>
        <w:jc w:val="center"/>
        <w:rPr>
          <w:rFonts w:hint="eastAsia" w:ascii="宋体" w:hAnsi="宋体" w:cs="宋体"/>
          <w:color w:val="000000"/>
          <w:szCs w:val="21"/>
          <w:lang w:bidi="ar"/>
        </w:rPr>
      </w:pPr>
    </w:p>
    <w:p w14:paraId="3FB5FB68">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3.1.3 养护材料要求 </w:t>
      </w:r>
    </w:p>
    <w:p w14:paraId="6635D3B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基本要求 </w:t>
      </w:r>
    </w:p>
    <w:p w14:paraId="520D35C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沥青路面的养护维修材料主要有道路石油沥青、乳化石油沥青、液体石油沥青、改性沥青等沥青材料、各种规格的粗细集料、填料等砂石材料，以及由这些材料组成的混合料。各种维修养护材料都必须进行必要的试验，不符合要求的，不得使用。 </w:t>
      </w:r>
    </w:p>
    <w:p w14:paraId="3DDCC61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技术要求 </w:t>
      </w:r>
    </w:p>
    <w:p w14:paraId="07C8F31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沥青路面养护维修材料的技术要求应符合《公路沥青路面设计规范》</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JTG D50-2017</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、《公路沥青路面施工技术规范》</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JTG F40-2023</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的规定。材料试验应遵照</w:t>
      </w:r>
      <w:r>
        <w:rPr>
          <w:rFonts w:hint="eastAsia" w:ascii="宋体" w:hAnsi="宋体" w:cs="宋体"/>
          <w:color w:val="000000"/>
          <w:sz w:val="22"/>
          <w:szCs w:val="22"/>
          <w:highlight w:val="none"/>
          <w:lang w:bidi="ar"/>
        </w:rPr>
        <w:t>《公路工程沥青及沥青混合料试验规程》（JTG 3410—2025）</w:t>
      </w:r>
      <w:r>
        <w:rPr>
          <w:rFonts w:hint="eastAsia" w:ascii="宋体" w:hAnsi="宋体" w:eastAsia="宋体" w:cs="宋体"/>
          <w:color w:val="000000"/>
          <w:sz w:val="22"/>
          <w:szCs w:val="22"/>
          <w:highlight w:val="none"/>
          <w:lang w:eastAsia="zh-CN" w:bidi="ar"/>
        </w:rPr>
        <w:t>、</w:t>
      </w:r>
      <w:r>
        <w:rPr>
          <w:rFonts w:hint="eastAsia" w:ascii="宋体" w:hAnsi="宋体" w:eastAsia="宋体" w:cs="宋体"/>
          <w:color w:val="000000"/>
          <w:sz w:val="22"/>
          <w:szCs w:val="22"/>
          <w:lang w:bidi="ar"/>
        </w:rPr>
        <w:t>《公路工程集料试验规程》（JTG 3432</w:t>
      </w:r>
      <w:r>
        <w:rPr>
          <w:rFonts w:hint="eastAsia" w:ascii="宋体" w:hAnsi="宋体" w:cs="宋体"/>
          <w:color w:val="000000"/>
          <w:sz w:val="22"/>
          <w:szCs w:val="22"/>
          <w:lang w:bidi="ar"/>
        </w:rPr>
        <w:t>-</w:t>
      </w:r>
      <w:r>
        <w:rPr>
          <w:rFonts w:hint="eastAsia" w:ascii="宋体" w:hAnsi="宋体" w:eastAsia="宋体" w:cs="宋体"/>
          <w:color w:val="000000"/>
          <w:sz w:val="22"/>
          <w:szCs w:val="22"/>
          <w:lang w:bidi="ar"/>
        </w:rPr>
        <w:t>2024）等现行</w:t>
      </w:r>
      <w:r>
        <w:rPr>
          <w:rFonts w:hint="eastAsia" w:ascii="宋体" w:hAnsi="宋体" w:cs="宋体"/>
          <w:color w:val="000000"/>
          <w:sz w:val="22"/>
          <w:szCs w:val="22"/>
          <w:lang w:bidi="ar"/>
        </w:rPr>
        <w:t xml:space="preserve">规定执行。 </w:t>
      </w:r>
    </w:p>
    <w:p w14:paraId="7F7BC376">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3.1.4 养护机具配备 </w:t>
      </w:r>
    </w:p>
    <w:p w14:paraId="4DADFA4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沥青路面的养护维修应根据实际要求和各地实际情况配备各种机具设备，其种类及规格，可参照《公路水泥混凝土路面养护技术规范》（JTJ073.1）附录 A。 </w:t>
      </w:r>
    </w:p>
    <w:p w14:paraId="0F9A5189">
      <w:pPr>
        <w:keepNext w:val="0"/>
        <w:keepLines w:val="0"/>
        <w:pageBreakBefore w:val="0"/>
        <w:widowControl/>
        <w:spacing w:line="360" w:lineRule="auto"/>
        <w:ind w:firstLine="440"/>
        <w:jc w:val="left"/>
        <w:rPr>
          <w:sz w:val="22"/>
          <w:szCs w:val="22"/>
          <w:highlight w:val="none"/>
        </w:rPr>
      </w:pPr>
      <w:r>
        <w:rPr>
          <w:rFonts w:hint="eastAsia" w:ascii="宋体" w:hAnsi="宋体" w:cs="宋体"/>
          <w:color w:val="000000"/>
          <w:sz w:val="22"/>
          <w:szCs w:val="22"/>
          <w:lang w:bidi="ar"/>
        </w:rPr>
        <w:t>2. 养护机械应配备具有上岗证书的技术工人，并注意做好机械的保养维修工作，确保安全使用，</w:t>
      </w:r>
      <w:r>
        <w:rPr>
          <w:rFonts w:hint="eastAsia" w:ascii="宋体" w:hAnsi="宋体" w:cs="宋体"/>
          <w:color w:val="000000"/>
          <w:sz w:val="22"/>
          <w:szCs w:val="22"/>
          <w:highlight w:val="none"/>
          <w:lang w:bidi="ar"/>
        </w:rPr>
        <w:t xml:space="preserve">提高机械设备的完好率和使用率。 </w:t>
      </w:r>
    </w:p>
    <w:p w14:paraId="0504D3D0">
      <w:pPr>
        <w:keepNext w:val="0"/>
        <w:keepLines w:val="0"/>
        <w:pageBreakBefore w:val="0"/>
        <w:widowControl/>
        <w:spacing w:line="360" w:lineRule="auto"/>
        <w:jc w:val="left"/>
        <w:rPr>
          <w:sz w:val="22"/>
          <w:szCs w:val="22"/>
          <w:highlight w:val="none"/>
        </w:rPr>
      </w:pPr>
      <w:r>
        <w:rPr>
          <w:rFonts w:ascii="宋体" w:hAnsi="宋体" w:cs="宋体"/>
          <w:b/>
          <w:bCs/>
          <w:color w:val="000000"/>
          <w:sz w:val="22"/>
          <w:szCs w:val="22"/>
          <w:highlight w:val="none"/>
          <w:lang w:bidi="ar"/>
        </w:rPr>
        <w:t xml:space="preserve">3.2 </w:t>
      </w:r>
      <w:r>
        <w:rPr>
          <w:rFonts w:hint="eastAsia" w:ascii="宋体" w:hAnsi="宋体" w:cs="宋体"/>
          <w:b/>
          <w:bCs/>
          <w:color w:val="000000"/>
          <w:sz w:val="22"/>
          <w:szCs w:val="22"/>
          <w:highlight w:val="none"/>
          <w:lang w:bidi="ar"/>
        </w:rPr>
        <w:t>道路</w:t>
      </w:r>
      <w:r>
        <w:rPr>
          <w:rFonts w:ascii="宋体" w:hAnsi="宋体" w:cs="宋体"/>
          <w:b/>
          <w:bCs/>
          <w:color w:val="000000"/>
          <w:sz w:val="22"/>
          <w:szCs w:val="22"/>
          <w:highlight w:val="none"/>
          <w:lang w:bidi="ar"/>
        </w:rPr>
        <w:t xml:space="preserve">养护 </w:t>
      </w:r>
    </w:p>
    <w:p w14:paraId="3B2CB8AC">
      <w:pPr>
        <w:keepNext w:val="0"/>
        <w:keepLines w:val="0"/>
        <w:pageBreakBefore w:val="0"/>
        <w:widowControl/>
        <w:spacing w:line="360" w:lineRule="auto"/>
        <w:ind w:firstLine="442"/>
        <w:jc w:val="left"/>
        <w:rPr>
          <w:sz w:val="22"/>
          <w:szCs w:val="22"/>
          <w:highlight w:val="none"/>
        </w:rPr>
      </w:pPr>
      <w:r>
        <w:rPr>
          <w:rFonts w:ascii="宋体" w:hAnsi="宋体" w:cs="宋体"/>
          <w:b/>
          <w:bCs/>
          <w:color w:val="000000"/>
          <w:sz w:val="22"/>
          <w:szCs w:val="22"/>
          <w:highlight w:val="none"/>
          <w:lang w:bidi="ar"/>
        </w:rPr>
        <w:t xml:space="preserve">3.2.1 沥青路面养护应按下列规定执行。 </w:t>
      </w:r>
    </w:p>
    <w:p w14:paraId="58FCB91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1. 加强路况巡查，及时发</w:t>
      </w:r>
      <w:r>
        <w:rPr>
          <w:rFonts w:hint="eastAsia" w:ascii="宋体" w:hAnsi="宋体" w:cs="宋体"/>
          <w:color w:val="000000"/>
          <w:sz w:val="22"/>
          <w:szCs w:val="22"/>
          <w:lang w:bidi="ar"/>
        </w:rPr>
        <w:t xml:space="preserve">现病害，研究分析病害产生的原因，并有针对性及时对病害进行维修处理。 </w:t>
      </w:r>
    </w:p>
    <w:p w14:paraId="24C58C0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路面清扫应按如下规定进行： </w:t>
      </w:r>
    </w:p>
    <w:p w14:paraId="3C74386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巡查过程中，发现路面上有杂物，要及时清扫，保持路面清洁。 </w:t>
      </w:r>
    </w:p>
    <w:p w14:paraId="189D777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沥青路面的日常清扫，应根据实际情况，采用机械或人工的方法进行清扫。 </w:t>
      </w:r>
    </w:p>
    <w:p w14:paraId="2989332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沥青路面的清扫作业频率应根据路面污染程度、交通量的大小及其组成、气候及环境条件等因素而定；长大隧道内、桥梁上沥青路面的清扫频率应适当增加。 </w:t>
      </w:r>
    </w:p>
    <w:p w14:paraId="0102922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为了防止清扫路面时产生扬尘而污染环境，危及行车安全，机械清扫时宜配备洒水装置，并根据路面的扬尘程度，确定适当的洒水量。 </w:t>
      </w:r>
    </w:p>
    <w:p w14:paraId="47522CE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严禁履带车和铁轮车在沥青路面上直接行驶，如必须行驶，应采取相应措施。 </w:t>
      </w:r>
    </w:p>
    <w:p w14:paraId="0520D65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雨后路面有积水的地方要及时排除。 </w:t>
      </w:r>
    </w:p>
    <w:p w14:paraId="3A2534F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排水设施的养护 </w:t>
      </w:r>
    </w:p>
    <w:p w14:paraId="7C4E904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在春融期，特别是汛前，应对排水设施进行全面检查并疏通。雨天必须上路巡查，及时排除堵塞并疏通。防止水流直接冲刷路基、路面及路肩。暴雨过后应重点检查，如有冲刷、损坏，应及时修补。 </w:t>
      </w:r>
    </w:p>
    <w:p w14:paraId="5A4AD361">
      <w:pPr>
        <w:keepNext w:val="0"/>
        <w:keepLines w:val="0"/>
        <w:pageBreakBefore w:val="0"/>
        <w:widowControl/>
        <w:spacing w:line="360" w:lineRule="auto"/>
        <w:ind w:firstLine="440"/>
        <w:jc w:val="left"/>
        <w:rPr>
          <w:rFonts w:hint="eastAsia" w:ascii="宋体" w:hAnsi="宋体" w:cs="宋体"/>
          <w:color w:val="000000"/>
          <w:sz w:val="22"/>
          <w:szCs w:val="22"/>
          <w:highlight w:val="none"/>
          <w:lang w:bidi="ar"/>
        </w:rPr>
      </w:pPr>
      <w:r>
        <w:rPr>
          <w:rFonts w:hint="eastAsia" w:ascii="宋体" w:hAnsi="宋体" w:cs="宋体"/>
          <w:color w:val="000000"/>
          <w:sz w:val="22"/>
          <w:szCs w:val="22"/>
          <w:highlight w:val="none"/>
          <w:lang w:bidi="ar"/>
        </w:rPr>
        <w:t>6. 除雪防滑</w:t>
      </w:r>
    </w:p>
    <w:p w14:paraId="38FC2F1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highlight w:val="none"/>
          <w:lang w:bidi="ar"/>
        </w:rPr>
        <w:t>1) 当降雪影响正常通行时，应组织人员与机械清除路面积雪，对重要道路要争取地方政府组织沿线人员</w:t>
      </w:r>
      <w:r>
        <w:rPr>
          <w:rFonts w:hint="eastAsia" w:ascii="宋体" w:hAnsi="宋体" w:cs="宋体"/>
          <w:color w:val="000000"/>
          <w:sz w:val="22"/>
          <w:szCs w:val="22"/>
          <w:lang w:bidi="ar"/>
        </w:rPr>
        <w:t xml:space="preserve">、设备除雪。 </w:t>
      </w:r>
    </w:p>
    <w:p w14:paraId="5A7C7B0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在冬季降雪或下雨后，路面出现结冰时，应在桥面、陡坡、急弯、桥头引道撒铺一层防滑料。在环保允许情况下，也可撒布融雪材料（氯化钙、氯化钠等）。 </w:t>
      </w:r>
    </w:p>
    <w:p w14:paraId="1692E33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7. 路肩养护 </w:t>
      </w:r>
    </w:p>
    <w:p w14:paraId="1A06493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 路肩上应保持适当的横坡，坡度应平整舒适，硬路肩横坡可与路面横坡相同或略大，植草路肩应比路面横坡度大 1%</w:t>
      </w:r>
      <w:r>
        <w:rPr>
          <w:rFonts w:hint="eastAsia" w:ascii="宋体" w:hAnsi="宋体" w:cs="宋体"/>
          <w:color w:val="000000"/>
          <w:sz w:val="22"/>
          <w:szCs w:val="22"/>
          <w:lang w:val="en-US" w:eastAsia="zh-CN" w:bidi="ar"/>
        </w:rPr>
        <w:t>-</w:t>
      </w:r>
      <w:r>
        <w:rPr>
          <w:rFonts w:hint="eastAsia" w:ascii="宋体" w:hAnsi="宋体" w:cs="宋体"/>
          <w:color w:val="000000"/>
          <w:sz w:val="22"/>
          <w:szCs w:val="22"/>
          <w:lang w:bidi="ar"/>
        </w:rPr>
        <w:t xml:space="preserve">2%。当路肩的横坡过大或过小时，应及时整修。 </w:t>
      </w:r>
    </w:p>
    <w:p w14:paraId="029FD6A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堆料台应设置在路肩以外，堆料应距离适当、排列规整。 </w:t>
      </w:r>
    </w:p>
    <w:p w14:paraId="3003A49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路肩应经常保持平整坚实，对出现的坑槽、车辙、缺口应及时修补。 </w:t>
      </w:r>
    </w:p>
    <w:p w14:paraId="109CC5C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对雨天积水、淤泥应及时排除和清理，铲除的淤泥土石及杂物，不得堆放在边沟内或边坡上。 </w:t>
      </w:r>
    </w:p>
    <w:p w14:paraId="3ED682D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宜结合 GBM 工程，用块石、水泥混凝土预制块铺砌路肩外侧边缘带。对边缘带应加强养护，由于路表水冲刷及车辆碾压造成的松动、破损应及时修复或更换。 </w:t>
      </w:r>
    </w:p>
    <w:p w14:paraId="75604F7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可在路肩上种植（或保留）草皮，并要经常休整，草高不宜超过 15cm，并以不影响路面排水为原则，保证路肩不被冲刷。 </w:t>
      </w:r>
    </w:p>
    <w:p w14:paraId="22DD874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8. 边坡养护 </w:t>
      </w:r>
    </w:p>
    <w:p w14:paraId="57E40DE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肩边坡的坡面应保持平顺、坚实无冲沟，其坡度应符合设计规定。应经常检查路堑，特别是深路堑边坡的稳定情况。如发现有危岩、浮石等，应及时清除，避免坍落危及行车、行人安全和堵塞边沟。当土路堑边坡出现冲沟时，应及时用粘土填塞捣实；如出现潜流涌水，可开集水沟，将水引向路基以外。 </w:t>
      </w:r>
    </w:p>
    <w:p w14:paraId="4FC0EC1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填土路堤边坡因雨水冲刷，易出现冲沟和缺口，应及时用粘性良好的土修补拍实。对较大的冲沟和缺口，修理时应按原边坡开挖成台阶形，然后分层填筑夯实，并注意与原坡面衔接平顺，并增加植被防护。 </w:t>
      </w:r>
    </w:p>
    <w:p w14:paraId="4ADCA2E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边坡、碎落台、护坡道、沿河路堤等，受水流冲刷及浸淹，出现缺口、冲沟、沉陷、塌落滑坡时，应根据水流、地质、边坡坡度等情况，选用种草、铺草皮、栽灌木丛、投放石笼、干砌或浆砌片石护坡等防治措施。 </w:t>
      </w:r>
    </w:p>
    <w:p w14:paraId="3836D56E">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3.2.2 季节性预防养护 </w:t>
      </w:r>
    </w:p>
    <w:p w14:paraId="0A4B342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沥青路面对气温比较敏感,应根据各地不同季节的气候特点、水和温度变化规律，按照“预防为主、防治结合”的原则，结合本地区成功经验，针对如下所列不同季节病害根源，因地制宜，采取有效的技术措施，做好预防性季节性养护工作。 </w:t>
      </w:r>
    </w:p>
    <w:p w14:paraId="340D43B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春季 </w:t>
      </w:r>
    </w:p>
    <w:p w14:paraId="20AD6E9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春季气温较暖，路基内的水分开始转移，是各种病害集中暴露的季节。养护中应抓住时机，及时防治路面病害。 </w:t>
      </w:r>
    </w:p>
    <w:p w14:paraId="1528F83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路基含水量较大的路段，随着解冻路基强度减弱，在行车作用下面层容易出现裂缝病害；含水量已达饱和、强度和稳定性差的路段，经车辆碾压容易出现翻浆。 </w:t>
      </w:r>
    </w:p>
    <w:p w14:paraId="194A861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施工质量差的路面，在气温回升时容易变软，矿料经碾压产生松动，油层不稳定，容易出现油包、波浪等。 </w:t>
      </w:r>
    </w:p>
    <w:p w14:paraId="2055CE3C">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3) 秋末冬初低温施工路段，随着温度的上升，容易出现泛油。</w:t>
      </w:r>
    </w:p>
    <w:p w14:paraId="0C7B450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春融季节路面出现网裂后，如不及时处理，容易发展为坑槽。 </w:t>
      </w:r>
    </w:p>
    <w:p w14:paraId="74B32D88">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2. 夏季 </w:t>
      </w:r>
    </w:p>
    <w:p w14:paraId="5C09FE0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夏季气候炎热，地面水分蒸发快，是沥青路面各种病害全面发展的季节。养护中要充分利用夏季气温高、操作方便的条件，及时消灭病害。 </w:t>
      </w:r>
    </w:p>
    <w:p w14:paraId="3262E38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新铺的沥青路面在高温作用下容易出现泛油。 </w:t>
      </w:r>
    </w:p>
    <w:p w14:paraId="5EF5C32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基层含水量较大或质量差的路段，在行车作用下容易造成路面发软产生车辙。 </w:t>
      </w:r>
    </w:p>
    <w:p w14:paraId="27D15B3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沥青用量过多，矿料过细或沥青粘度差的沥青路面容易出现拥包、波浪、发软等病害。 </w:t>
      </w:r>
    </w:p>
    <w:p w14:paraId="7396E6F1">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3. 秋季 </w:t>
      </w:r>
    </w:p>
    <w:p w14:paraId="005D7AC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秋季气温逐渐降低，而雨水较多。应及时处理病害，为冬季沥青路面的正常使用打下基础。 </w:t>
      </w:r>
    </w:p>
    <w:p w14:paraId="77C1E40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秋季雨水较多，容易积水的路面，如果有裂缝和基层不密实，易出现坑槽。 </w:t>
      </w:r>
    </w:p>
    <w:p w14:paraId="3656D61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强度不够的路肩受雨水侵蚀或积水影响，在行车碾压下，易产生啃边。 </w:t>
      </w:r>
    </w:p>
    <w:p w14:paraId="2F1F170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基层含水量较大、强度不够，或地基受水泡发软的路段，路面稳定受到影响，在行车碾压下易出现网裂。 </w:t>
      </w:r>
    </w:p>
    <w:p w14:paraId="4DC56CC2">
      <w:pPr>
        <w:keepNext w:val="0"/>
        <w:keepLines w:val="0"/>
        <w:pageBreakBefore w:val="0"/>
        <w:widowControl/>
        <w:spacing w:line="360" w:lineRule="auto"/>
        <w:jc w:val="left"/>
        <w:rPr>
          <w:sz w:val="22"/>
          <w:szCs w:val="22"/>
        </w:rPr>
      </w:pPr>
      <w:r>
        <w:rPr>
          <w:rFonts w:hint="eastAsia" w:ascii="宋体" w:hAnsi="宋体" w:cs="宋体"/>
          <w:color w:val="000000"/>
          <w:sz w:val="22"/>
          <w:szCs w:val="22"/>
          <w:lang w:bidi="ar"/>
        </w:rPr>
        <w:t xml:space="preserve">4. 冬季 </w:t>
      </w:r>
    </w:p>
    <w:p w14:paraId="5566DD3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冬季气候寒冷，路基路面冻结，是沥青路面比较稳定的季节，但是也要注意沥青路面的养护。 </w:t>
      </w:r>
    </w:p>
    <w:p w14:paraId="2F2A0BF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路面在低温下发生不同方向的收缩，容易产生横向、纵向裂缝。 </w:t>
      </w:r>
    </w:p>
    <w:p w14:paraId="38FABE1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积雪地区做好除雪防滑。 </w:t>
      </w:r>
    </w:p>
    <w:p w14:paraId="36C45AFE">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3.2.3 不同季节处理各种病害，应按 3.3 条有关规定及时维修。 </w:t>
      </w:r>
    </w:p>
    <w:p w14:paraId="73669105">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 常见病害的维修 </w:t>
      </w:r>
    </w:p>
    <w:p w14:paraId="12454688">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3.3.1 一般要求 </w:t>
      </w:r>
    </w:p>
    <w:p w14:paraId="5690AD3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对各种路面病害应分析其产生的原因,并根据路面的结构类型、设计使用年限、维修季节、气温等实际情况，采取相应维修措施。 </w:t>
      </w:r>
    </w:p>
    <w:p w14:paraId="5C5B125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为防止病害发展和破损面积的扩大，对病害应及时进行处治。 </w:t>
      </w:r>
    </w:p>
    <w:p w14:paraId="64273B6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高速公路和一级公路路面病害的维修应采用机械作用，所使用的沥青混合料应集中厂拌，并采取保温措施。其它等级的公路也应逐步提高维修作业的机械化水平。 </w:t>
      </w:r>
    </w:p>
    <w:p w14:paraId="7F40EC5C">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对病害的维修事先应有周密的计划，作好材料准备，保证工序之间的衔接，对坑槽、沉陷等需将原路面面层挖除后进行机械修补作业的病害，宜当日开挖当日修补，并设置警示标志以保证行车安全。 </w:t>
      </w:r>
    </w:p>
    <w:p w14:paraId="7741FE7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5. 修补面积应大于病害的实际面积，修补范围的轮廓线应与路面中心线平行或垂直并在病害面积范围以外10</w:t>
      </w:r>
      <w:r>
        <w:rPr>
          <w:rFonts w:hint="eastAsia" w:ascii="宋体" w:hAnsi="宋体" w:cs="宋体"/>
          <w:color w:val="000000"/>
          <w:sz w:val="22"/>
          <w:szCs w:val="22"/>
          <w:lang w:val="en-US" w:eastAsia="zh-CN" w:bidi="ar"/>
        </w:rPr>
        <w:t>-</w:t>
      </w:r>
      <w:r>
        <w:rPr>
          <w:rFonts w:hint="eastAsia" w:ascii="宋体" w:hAnsi="宋体" w:cs="宋体"/>
          <w:color w:val="000000"/>
          <w:sz w:val="22"/>
          <w:szCs w:val="22"/>
          <w:lang w:bidi="ar"/>
        </w:rPr>
        <w:t xml:space="preserve">15cm。应采取措施使修补部分与原路面联接紧密。 </w:t>
      </w:r>
    </w:p>
    <w:p w14:paraId="0D93B9B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在病害的防治中，凡需重新作面层的，其技术要求应符合现行《公路沥青路面施工技术规范》（JTJ032）的规定；凡需重作基层的，其技术要求应符合现行《公路路面基层施工技术规范》（JTJ034）的规定。 </w:t>
      </w:r>
    </w:p>
    <w:p w14:paraId="17192C8B">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3.3.2 裂缝的维修 </w:t>
      </w:r>
    </w:p>
    <w:p w14:paraId="67473A3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在高温季节全部或大部分可愈合的轻微裂缝，可不加处理。在高温季节不能愈合的轻微裂缝，可采用以下两种方法进行处治： </w:t>
      </w:r>
    </w:p>
    <w:p w14:paraId="3DFA68F5">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cs="宋体"/>
          <w:color w:val="000000"/>
          <w:sz w:val="22"/>
          <w:szCs w:val="22"/>
          <w:lang w:bidi="ar"/>
        </w:rPr>
        <w:t>1) 将有裂缝的路段清扫干净并均匀喷洒少量沥青（在低温、潮湿季节宜喷洒乳化沥青），再匀撒一层 2~5mm 的干燥洁净石屑或粗砂，最后用轻型压路机将矿料碾压。</w:t>
      </w:r>
    </w:p>
    <w:p w14:paraId="4FC4240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沿裂缝涂刷少量稠度较低的沥青。 </w:t>
      </w:r>
    </w:p>
    <w:p w14:paraId="6FE8D14D">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对于路面的纵向或横向的裂缝，应按裂缝的宽度按以下步骤分别予以处治： </w:t>
      </w:r>
    </w:p>
    <w:p w14:paraId="3B1EB13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缝宽在 5mm 以上： </w:t>
      </w:r>
    </w:p>
    <w:p w14:paraId="6A8C581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a. 清除缝中杂物及尘土。 </w:t>
      </w:r>
    </w:p>
    <w:p w14:paraId="03BF103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b. 将稠度较低的热沥青（缝内潮湿时应采用乳化沥青）灌入缝内，灌入深度约为缝深的 2/3。 </w:t>
      </w:r>
    </w:p>
    <w:p w14:paraId="4C59533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c. 填入干净石屑或粗砂，并捣实。 </w:t>
      </w:r>
    </w:p>
    <w:p w14:paraId="0173885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d. 将溢出缝外的沥青及石屑、砂清除。 </w:t>
      </w:r>
    </w:p>
    <w:p w14:paraId="4F5AB67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缝宽在 5mm 以内： </w:t>
      </w:r>
    </w:p>
    <w:p w14:paraId="06343B8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a. 除去已松动的裂缝边缘。 </w:t>
      </w:r>
    </w:p>
    <w:p w14:paraId="235C343A">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b. 用热拌沥青混合料填入缝中，捣实。缝内潮湿时应采用乳化沥青混合料。 </w:t>
      </w:r>
    </w:p>
    <w:p w14:paraId="4F490C3F">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由于土基、基层强度不足或路基翻浆等引起的严重龟裂，应先处治好基层后再重作面层。 </w:t>
      </w:r>
    </w:p>
    <w:p w14:paraId="370BD4A9">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3.3.3 拥包的维修 </w:t>
      </w:r>
    </w:p>
    <w:p w14:paraId="74FEC68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属于施工时操作不慎将沥青漏洒在路面上形成的拥包,将拥包除去即可。 </w:t>
      </w:r>
    </w:p>
    <w:p w14:paraId="0A4661B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已趋于稳定的轻微拥包，应将拥抱用机械刨削或人工挖出。如果除去拥包后，路表不够平整，应予以处治。 </w:t>
      </w:r>
    </w:p>
    <w:p w14:paraId="58A3632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因层面沥青用量过多或细料集中而产生较严重拥包，或路面连续多次出现拥包切面积较大，但路面基层仍属稳定，则应用机械或人工将拥包全部除去，并低于路表面约 10mm。扫尽碎屑、杂物及粉尘后用热沥青混合料重做面层。 </w:t>
      </w:r>
    </w:p>
    <w:p w14:paraId="0B927E5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因基层局部含水量过大，使面层与基层间结合不良而被推移变形造成的拥包，应把拥包连同面层挖除，将水分晾晒干，或用水稳定性较好的材料更换已变形的基层，再重作面层。 </w:t>
      </w:r>
    </w:p>
    <w:p w14:paraId="6252102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由于基层局部强度不足或水稳性不好，使基层松软而导致的拥包，应将面层和基层完全挖除。如土基中含有淤泥，还应将淤泥彻底挖除，换填新料并夯实。在地下水位较高的潮湿路段，应采取措施引出地下水并在基层下面加铺一层水稳性好的材料，最后重作面层。 </w:t>
      </w:r>
    </w:p>
    <w:p w14:paraId="13B46CA3">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3.3.4 沉陷的维修 </w:t>
      </w:r>
    </w:p>
    <w:p w14:paraId="22DD4DD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因路基不均匀沉降而引起的局部路面沉陷，若土基和基层已经密实稳定，不再继续下沉，可只修补面层。并根据路面的破损状况分别采取下列处治措施。 </w:t>
      </w:r>
    </w:p>
    <w:p w14:paraId="52B85555">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路面略有下沉，无破损或仅有少量轻微裂缝，可在沉陷处喷洒或涂刷粘层沥青，再用沥青混合料将沉陷部分填补，并压实平整。 </w:t>
      </w:r>
    </w:p>
    <w:p w14:paraId="559BCDC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因路基沉陷导致路面破损严重，矿料已松动、脱落形成坑槽的，应按照 3.3.8 条坑槽的维修方法予以处治。 </w:t>
      </w:r>
    </w:p>
    <w:p w14:paraId="1ACD8947">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因土基或基层结构遭到破坏而引起路面沉陷，应参照上述第 3.3.3 条第 5 款的要求处治好基层后再重作面层。 </w:t>
      </w:r>
    </w:p>
    <w:p w14:paraId="7F66F101">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3.3.8 坑槽的维修 </w:t>
      </w:r>
    </w:p>
    <w:p w14:paraId="473D862E">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1</w:t>
      </w:r>
      <w:r>
        <w:rPr>
          <w:rFonts w:hint="eastAsia" w:ascii="宋体" w:hAnsi="宋体" w:cs="宋体"/>
          <w:color w:val="000000"/>
          <w:sz w:val="22"/>
          <w:szCs w:val="22"/>
          <w:lang w:eastAsia="zh-CN" w:bidi="ar"/>
        </w:rPr>
        <w:t>）</w:t>
      </w:r>
      <w:r>
        <w:rPr>
          <w:rFonts w:hint="eastAsia" w:ascii="宋体" w:hAnsi="宋体" w:cs="宋体"/>
          <w:color w:val="000000"/>
          <w:sz w:val="22"/>
          <w:szCs w:val="22"/>
          <w:lang w:bidi="ar"/>
        </w:rPr>
        <w:t xml:space="preserve"> 路面基层完好，仅面层有坑槽时的维修：1) 按照“圆洞方补、斜洞正补”的原则，划出所需要修补坑槽的轮廓线。 </w:t>
      </w:r>
    </w:p>
    <w:p w14:paraId="1310026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沿所划轮廓线开凿至坑底稳定部分，其深度不得小于原坑槽的最大深度。 </w:t>
      </w:r>
    </w:p>
    <w:p w14:paraId="08F13A30">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清除槽底、槽壁的松动部分及粉尘、杂物，并涂刷粘层沥青。 </w:t>
      </w:r>
    </w:p>
    <w:p w14:paraId="3ADB62C6">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4) 填入沥青混合料（在潮湿或低温季节，宜采用乳化粘层沥青拌制的混合料）并整平。 </w:t>
      </w:r>
    </w:p>
    <w:p w14:paraId="0BC70223">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5) 用小型压实积聚或铁制手夯将填补好的部分压（夯）实。新填补的部分应略高于原路面。如果坑槽较深（7cm 以上），应将沥青混合料分两次或三次摊铺和压实。 </w:t>
      </w:r>
    </w:p>
    <w:p w14:paraId="46C29858">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6) 热补法修补。采用热修补养护车，将加热板加热坑槽处路面，翻松被加热软化铺装层，喷洒乳化沥青，加入新的沥青混合料，然后搅拌摊铺，压路机压实成型。 </w:t>
      </w:r>
    </w:p>
    <w:p w14:paraId="203F3F9B">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对交通量较小的路段在低温寒冷或阴雨连绵的季节，无法采用常规方法，也无条件采用合适的材料修补坑槽时，为防止坑槽面积的扩大，可采取临时性的措施对坑槽予以处治，待天气好转后再按规范要求重新修补。 </w:t>
      </w:r>
    </w:p>
    <w:p w14:paraId="316CBBB9">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3. 若因基层局部强度不足等使基层破坏而形成坑槽，应按照 6.3.5 条的要求先处治基层，再修复面层。 </w:t>
      </w:r>
    </w:p>
    <w:p w14:paraId="54CB7A3E">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3.3.9 麻面、松散、泛油、脱皮、磨光的维修 </w:t>
      </w:r>
    </w:p>
    <w:p w14:paraId="4571E071">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1、小面积病害可参照坑槽处治方法，只处理上面层。 </w:t>
      </w:r>
    </w:p>
    <w:p w14:paraId="5599240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2、大面积的病害由业主采用专项维修方式另行委托。 </w:t>
      </w:r>
    </w:p>
    <w:p w14:paraId="7388194E">
      <w:pPr>
        <w:keepNext w:val="0"/>
        <w:keepLines w:val="0"/>
        <w:pageBreakBefore w:val="0"/>
        <w:widowControl/>
        <w:spacing w:line="360" w:lineRule="auto"/>
        <w:ind w:firstLine="442"/>
        <w:jc w:val="left"/>
        <w:rPr>
          <w:sz w:val="22"/>
          <w:szCs w:val="22"/>
        </w:rPr>
      </w:pPr>
      <w:r>
        <w:rPr>
          <w:rFonts w:ascii="宋体" w:hAnsi="宋体" w:cs="宋体"/>
          <w:b/>
          <w:bCs/>
          <w:color w:val="000000"/>
          <w:sz w:val="22"/>
          <w:szCs w:val="22"/>
          <w:lang w:bidi="ar"/>
        </w:rPr>
        <w:t xml:space="preserve">3.3.14 桥面沥青铺装的养护与维修 </w:t>
      </w:r>
    </w:p>
    <w:p w14:paraId="6E64C784">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1. 经常保持桥面的清洁，及时清除各种污物、积水、积雪和冰块，疏通桥面泄水孔。冬季必要时应撒铺防冻、防滑材料。 </w:t>
      </w:r>
    </w:p>
    <w:p w14:paraId="388D3372">
      <w:pPr>
        <w:keepNext w:val="0"/>
        <w:keepLines w:val="0"/>
        <w:pageBreakBefore w:val="0"/>
        <w:widowControl/>
        <w:spacing w:line="360" w:lineRule="auto"/>
        <w:ind w:firstLine="440"/>
        <w:jc w:val="left"/>
        <w:rPr>
          <w:sz w:val="22"/>
          <w:szCs w:val="22"/>
        </w:rPr>
      </w:pPr>
      <w:r>
        <w:rPr>
          <w:rFonts w:hint="eastAsia" w:ascii="宋体" w:hAnsi="宋体" w:cs="宋体"/>
          <w:color w:val="000000"/>
          <w:sz w:val="22"/>
          <w:szCs w:val="22"/>
          <w:lang w:bidi="ar"/>
        </w:rPr>
        <w:t xml:space="preserve">2. 桥面沥青铺装出现的各种病害，经检查确系不是由桥梁结构破坏而引起的沥青面层损坏，应按上述有关病害的处治方法进行。病害规模较大时，由业主另行安排专项维修。 </w:t>
      </w:r>
    </w:p>
    <w:p w14:paraId="6E6F27E3">
      <w:pPr>
        <w:keepNext w:val="0"/>
        <w:keepLines w:val="0"/>
        <w:pageBreakBefore w:val="0"/>
        <w:widowControl/>
        <w:spacing w:line="360" w:lineRule="auto"/>
        <w:jc w:val="left"/>
        <w:rPr>
          <w:sz w:val="22"/>
          <w:szCs w:val="22"/>
        </w:rPr>
      </w:pPr>
      <w:r>
        <w:rPr>
          <w:rFonts w:hint="eastAsia" w:ascii="宋体" w:hAnsi="宋体" w:cs="宋体"/>
          <w:b/>
          <w:bCs/>
          <w:color w:val="000000"/>
          <w:sz w:val="22"/>
          <w:szCs w:val="22"/>
          <w:lang w:eastAsia="zh-CN" w:bidi="ar"/>
        </w:rPr>
        <w:t>（</w:t>
      </w:r>
      <w:r>
        <w:rPr>
          <w:rFonts w:ascii="宋体" w:hAnsi="宋体" w:cs="宋体"/>
          <w:b/>
          <w:bCs/>
          <w:color w:val="000000"/>
          <w:sz w:val="22"/>
          <w:szCs w:val="22"/>
          <w:lang w:bidi="ar"/>
        </w:rPr>
        <w:t>三</w:t>
      </w:r>
      <w:r>
        <w:rPr>
          <w:rFonts w:hint="eastAsia" w:ascii="宋体" w:hAnsi="宋体" w:cs="宋体"/>
          <w:b/>
          <w:bCs/>
          <w:color w:val="000000"/>
          <w:sz w:val="22"/>
          <w:szCs w:val="22"/>
          <w:lang w:eastAsia="zh-CN" w:bidi="ar"/>
        </w:rPr>
        <w:t>）</w:t>
      </w:r>
      <w:r>
        <w:rPr>
          <w:rFonts w:ascii="宋体" w:hAnsi="宋体" w:cs="宋体"/>
          <w:b/>
          <w:bCs/>
          <w:color w:val="000000"/>
          <w:sz w:val="22"/>
          <w:szCs w:val="22"/>
          <w:lang w:bidi="ar"/>
        </w:rPr>
        <w:t xml:space="preserve">、相关技术规范 </w:t>
      </w:r>
    </w:p>
    <w:p w14:paraId="1C45EDA0">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《公路沥青路面养护技术规范》（JTG 5142-2019）</w:t>
      </w:r>
    </w:p>
    <w:p w14:paraId="25CBE63D">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《公路养护工程质量检验评定标准》（JTG 5220—2020）</w:t>
      </w:r>
    </w:p>
    <w:p w14:paraId="5F0505FE">
      <w:pPr>
        <w:keepNext w:val="0"/>
        <w:keepLines w:val="0"/>
        <w:pageBreakBefore w:val="0"/>
        <w:widowControl/>
        <w:spacing w:line="360" w:lineRule="auto"/>
        <w:ind w:firstLine="440"/>
        <w:jc w:val="left"/>
        <w:rPr>
          <w:rFonts w:hint="eastAsia" w:ascii="宋体" w:hAnsi="宋体" w:eastAsia="宋体" w:cs="宋体"/>
          <w:color w:val="000000"/>
          <w:sz w:val="22"/>
          <w:szCs w:val="22"/>
          <w:highlight w:val="none"/>
          <w:lang w:bidi="ar"/>
        </w:rPr>
      </w:pPr>
      <w:r>
        <w:rPr>
          <w:rFonts w:hint="eastAsia" w:ascii="宋体" w:hAnsi="宋体" w:cs="宋体"/>
          <w:color w:val="000000"/>
          <w:sz w:val="22"/>
          <w:szCs w:val="22"/>
          <w:highlight w:val="none"/>
          <w:lang w:bidi="ar"/>
        </w:rPr>
        <w:t>《公路工程沥青及沥青混合料试验规程》（JTG 3410—2025）</w:t>
      </w:r>
    </w:p>
    <w:p w14:paraId="3D2C266E">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《公路工程石料试验规程》（JTJ054-94）</w:t>
      </w:r>
    </w:p>
    <w:p w14:paraId="77556AE5">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《公路工程集料试验规程》（JTG E42-2005）</w:t>
      </w:r>
    </w:p>
    <w:p w14:paraId="137DB29A">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《公路养护技术标准》（JTG 5110—2023）</w:t>
      </w:r>
    </w:p>
    <w:p w14:paraId="401A5BEA">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《公路工程质量检验评定标准》(JTG F80/1－2017）</w:t>
      </w:r>
    </w:p>
    <w:p w14:paraId="75953D79">
      <w:pPr>
        <w:keepNext w:val="0"/>
        <w:keepLines w:val="0"/>
        <w:pageBreakBefore w:val="0"/>
        <w:widowControl/>
        <w:spacing w:line="360" w:lineRule="auto"/>
        <w:ind w:firstLine="440"/>
        <w:jc w:val="left"/>
        <w:rPr>
          <w:rFonts w:hint="eastAsia" w:ascii="宋体" w:hAnsi="宋体" w:eastAsia="宋体" w:cs="宋体"/>
          <w:color w:val="000000"/>
          <w:sz w:val="22"/>
          <w:szCs w:val="22"/>
          <w:lang w:bidi="ar"/>
        </w:rPr>
      </w:pPr>
      <w:r>
        <w:rPr>
          <w:rFonts w:hint="eastAsia" w:ascii="宋体" w:hAnsi="宋体" w:eastAsia="宋体" w:cs="宋体"/>
          <w:color w:val="000000"/>
          <w:sz w:val="22"/>
          <w:szCs w:val="22"/>
          <w:lang w:bidi="ar"/>
        </w:rPr>
        <w:t>《公路桥涵养护技术规范》（JTG5120-2021）</w:t>
      </w:r>
    </w:p>
    <w:p w14:paraId="6629AF03">
      <w:pPr>
        <w:keepNext w:val="0"/>
        <w:keepLines w:val="0"/>
        <w:pageBreakBefore w:val="0"/>
        <w:widowControl/>
        <w:spacing w:line="360" w:lineRule="auto"/>
        <w:ind w:firstLine="440"/>
        <w:jc w:val="left"/>
        <w:rPr>
          <w:rFonts w:hint="eastAsia" w:ascii="宋体" w:hAnsi="宋体" w:cs="宋体"/>
          <w:color w:val="000000"/>
          <w:sz w:val="22"/>
          <w:szCs w:val="22"/>
          <w:lang w:bidi="ar"/>
        </w:rPr>
      </w:pPr>
      <w:r>
        <w:rPr>
          <w:rFonts w:hint="eastAsia" w:ascii="宋体" w:hAnsi="宋体" w:eastAsia="宋体" w:cs="宋体"/>
          <w:color w:val="000000"/>
          <w:sz w:val="22"/>
          <w:szCs w:val="22"/>
          <w:lang w:bidi="ar"/>
        </w:rPr>
        <w:t>《公路养护安全作业规程》（JTG H30-2015</w:t>
      </w:r>
      <w:r>
        <w:rPr>
          <w:rFonts w:hint="eastAsia" w:ascii="宋体" w:hAnsi="宋体" w:cs="宋体"/>
          <w:color w:val="000000"/>
          <w:sz w:val="22"/>
          <w:szCs w:val="22"/>
          <w:lang w:bidi="ar"/>
        </w:rPr>
        <w:t>）</w:t>
      </w:r>
    </w:p>
    <w:p w14:paraId="05AD61BD">
      <w:pPr>
        <w:keepNext w:val="0"/>
        <w:keepLines w:val="0"/>
        <w:pageBreakBefore w:val="0"/>
        <w:widowControl/>
        <w:spacing w:line="360" w:lineRule="auto"/>
        <w:ind w:firstLine="241"/>
        <w:jc w:val="left"/>
      </w:pPr>
      <w:r>
        <w:rPr>
          <w:rFonts w:ascii="宋体" w:hAnsi="宋体" w:cs="宋体"/>
          <w:b/>
          <w:bCs/>
          <w:color w:val="000000"/>
          <w:sz w:val="24"/>
          <w:lang w:bidi="ar"/>
        </w:rPr>
        <w:t xml:space="preserve">注： </w:t>
      </w:r>
    </w:p>
    <w:p w14:paraId="1177EA15">
      <w:pPr>
        <w:keepNext w:val="0"/>
        <w:keepLines w:val="0"/>
        <w:pageBreakBefore w:val="0"/>
        <w:widowControl/>
        <w:spacing w:line="360" w:lineRule="auto"/>
        <w:ind w:firstLine="482"/>
        <w:jc w:val="left"/>
      </w:pPr>
      <w:r>
        <w:rPr>
          <w:rFonts w:ascii="宋体" w:hAnsi="宋体" w:cs="宋体"/>
          <w:b/>
          <w:bCs/>
          <w:color w:val="000000"/>
          <w:sz w:val="24"/>
          <w:lang w:bidi="ar"/>
        </w:rPr>
        <w:t>以上所列规范，只是涉及本项目所需要的部分规范，如果上面没有列出的规范与标准，中标人仍需按规定执行。所有已被废止或停止使用的，各投标人应以现行规范为准。在施工过程中和合同执行期间，如果国家或省市有关部门颁布了新的技术标准或规范，则中标人应采用新的标准或规范进行施工。</w:t>
      </w:r>
    </w:p>
    <w:p w14:paraId="19BA5B7F">
      <w:pPr>
        <w:keepNext w:val="0"/>
        <w:keepLines w:val="0"/>
        <w:pageBreakBefore w:val="0"/>
        <w:widowControl/>
        <w:spacing w:after="0" w:line="360" w:lineRule="auto"/>
        <w:ind w:firstLine="422"/>
        <w:jc w:val="left"/>
        <w:outlineLvl w:val="1"/>
        <w:rPr>
          <w:rFonts w:hint="eastAsia" w:ascii="宋体" w:hAnsi="宋体" w:eastAsia="宋体" w:cs="Times New Roman"/>
          <w:b/>
          <w:sz w:val="21"/>
          <w:szCs w:val="21"/>
          <w:lang w:val="en-US" w:eastAsia="zh-CN" w:bidi="en-US"/>
        </w:rPr>
      </w:pPr>
      <w:r>
        <w:rPr>
          <w:rFonts w:hint="eastAsia" w:ascii="宋体" w:hAnsi="宋体" w:eastAsia="宋体" w:cs="Times New Roman"/>
          <w:b/>
          <w:sz w:val="21"/>
          <w:szCs w:val="21"/>
          <w:lang w:val="en-US" w:eastAsia="zh-CN" w:bidi="en-US"/>
        </w:rPr>
        <w:t>四、</w:t>
      </w:r>
      <w:r>
        <w:rPr>
          <w:rFonts w:hint="eastAsia" w:ascii="宋体" w:hAnsi="宋体" w:eastAsia="宋体" w:cs="Times New Roman"/>
          <w:b/>
          <w:sz w:val="21"/>
          <w:szCs w:val="21"/>
          <w:lang w:val="zh-CN" w:eastAsia="zh-CN" w:bidi="en-US"/>
        </w:rPr>
        <w:t>养护管理考核办法</w:t>
      </w:r>
    </w:p>
    <w:p w14:paraId="625D4C15">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cs="宋体"/>
          <w:b/>
          <w:bCs/>
          <w:sz w:val="22"/>
          <w:szCs w:val="22"/>
          <w:highlight w:val="none"/>
          <w:lang w:eastAsia="zh-CN"/>
        </w:rPr>
        <w:t>（</w:t>
      </w:r>
      <w:r>
        <w:rPr>
          <w:rFonts w:hint="eastAsia" w:ascii="宋体" w:hAnsi="宋体" w:cs="宋体"/>
          <w:b/>
          <w:bCs/>
          <w:sz w:val="22"/>
          <w:szCs w:val="22"/>
          <w:highlight w:val="none"/>
          <w:lang w:val="en-US" w:eastAsia="zh-CN"/>
        </w:rPr>
        <w:t>一</w:t>
      </w:r>
      <w:r>
        <w:rPr>
          <w:rFonts w:hint="eastAsia" w:ascii="宋体" w:hAnsi="宋体" w:cs="宋体"/>
          <w:b/>
          <w:bCs/>
          <w:sz w:val="22"/>
          <w:szCs w:val="22"/>
          <w:highlight w:val="none"/>
          <w:lang w:eastAsia="zh-CN"/>
        </w:rPr>
        <w:t>）</w:t>
      </w:r>
      <w:r>
        <w:rPr>
          <w:rFonts w:hint="eastAsia" w:ascii="宋体" w:hAnsi="宋体" w:eastAsia="宋体" w:cs="宋体"/>
          <w:b/>
          <w:bCs/>
          <w:sz w:val="22"/>
          <w:szCs w:val="22"/>
          <w:highlight w:val="none"/>
        </w:rPr>
        <w:t>、考核依据</w:t>
      </w:r>
    </w:p>
    <w:p w14:paraId="092D3C9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w:t>
      </w:r>
      <w:r>
        <w:rPr>
          <w:rFonts w:hint="eastAsia" w:ascii="宋体" w:hAnsi="宋体" w:eastAsia="宋体" w:cs="宋体"/>
          <w:b w:val="0"/>
          <w:bCs w:val="0"/>
          <w:sz w:val="22"/>
          <w:szCs w:val="22"/>
          <w:highlight w:val="none"/>
          <w:lang w:val="en-US" w:eastAsia="zh-CN"/>
        </w:rPr>
        <w:t>《江宁区乡村林荫大道管护方案》、</w:t>
      </w:r>
      <w:r>
        <w:rPr>
          <w:rFonts w:hint="eastAsia" w:ascii="宋体" w:hAnsi="宋体" w:eastAsia="宋体" w:cs="宋体"/>
          <w:b w:val="0"/>
          <w:bCs w:val="0"/>
          <w:sz w:val="22"/>
          <w:szCs w:val="22"/>
          <w:highlight w:val="none"/>
          <w:lang w:val="zh-CN"/>
        </w:rPr>
        <w:t>《道路养护技术规范》</w:t>
      </w:r>
      <w:r>
        <w:rPr>
          <w:rFonts w:hint="eastAsia" w:ascii="宋体" w:hAnsi="宋体" w:cs="宋体"/>
          <w:b w:val="0"/>
          <w:bCs w:val="0"/>
          <w:sz w:val="22"/>
          <w:szCs w:val="22"/>
          <w:highlight w:val="none"/>
          <w:lang w:val="zh-CN"/>
        </w:rPr>
        <w:t>、</w:t>
      </w:r>
      <w:r>
        <w:rPr>
          <w:rFonts w:hint="eastAsia" w:ascii="宋体" w:hAnsi="宋体" w:eastAsia="宋体" w:cs="宋体"/>
          <w:b w:val="0"/>
          <w:bCs w:val="0"/>
          <w:sz w:val="22"/>
          <w:szCs w:val="22"/>
          <w:highlight w:val="none"/>
        </w:rPr>
        <w:t>《公路</w:t>
      </w:r>
      <w:r>
        <w:rPr>
          <w:rFonts w:hint="eastAsia" w:ascii="宋体" w:hAnsi="宋体" w:eastAsia="宋体" w:cs="宋体"/>
          <w:sz w:val="22"/>
          <w:szCs w:val="22"/>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w:t>
      </w:r>
    </w:p>
    <w:p w14:paraId="3E2B759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2.省、市、区公路行业主管部门颁布的养护考核办法、养护管理办法及相关规定。</w:t>
      </w:r>
    </w:p>
    <w:p w14:paraId="65F2716F">
      <w:pPr>
        <w:keepNext w:val="0"/>
        <w:keepLines w:val="0"/>
        <w:pageBreakBefore w:val="0"/>
        <w:widowControl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3.</w:t>
      </w:r>
      <w:r>
        <w:rPr>
          <w:rFonts w:hint="eastAsia" w:ascii="宋体" w:hAnsi="宋体" w:eastAsia="宋体" w:cs="宋体"/>
          <w:sz w:val="22"/>
          <w:szCs w:val="22"/>
          <w:highlight w:val="none"/>
          <w:lang w:val="en-US" w:eastAsia="zh-CN"/>
        </w:rPr>
        <w:t>区政府印发的</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江宁区乡村道林荫大道管护方案</w:t>
      </w:r>
      <w:r>
        <w:rPr>
          <w:rFonts w:hint="eastAsia" w:ascii="宋体" w:hAnsi="宋体" w:eastAsia="宋体" w:cs="宋体"/>
          <w:sz w:val="22"/>
          <w:szCs w:val="22"/>
          <w:highlight w:val="none"/>
          <w:lang w:eastAsia="zh-CN"/>
        </w:rPr>
        <w:t>》</w:t>
      </w:r>
    </w:p>
    <w:p w14:paraId="71EEA0C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4、</w:t>
      </w:r>
      <w:r>
        <w:rPr>
          <w:rFonts w:hint="eastAsia" w:ascii="宋体" w:hAnsi="宋体" w:eastAsia="宋体" w:cs="宋体"/>
          <w:sz w:val="22"/>
          <w:szCs w:val="22"/>
          <w:highlight w:val="none"/>
        </w:rPr>
        <w:t>江宁区交通运输局下发的有关文件、规定等.</w:t>
      </w:r>
    </w:p>
    <w:p w14:paraId="5DFC888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5</w:t>
      </w:r>
      <w:r>
        <w:rPr>
          <w:rFonts w:hint="eastAsia" w:ascii="宋体" w:hAnsi="宋体" w:eastAsia="宋体" w:cs="宋体"/>
          <w:sz w:val="22"/>
          <w:szCs w:val="22"/>
          <w:highlight w:val="none"/>
        </w:rPr>
        <w:t>.各类专项行动的要求。</w:t>
      </w:r>
    </w:p>
    <w:p w14:paraId="2B7ED13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6</w:t>
      </w:r>
      <w:r>
        <w:rPr>
          <w:rFonts w:hint="eastAsia" w:ascii="宋体" w:hAnsi="宋体" w:eastAsia="宋体" w:cs="宋体"/>
          <w:sz w:val="22"/>
          <w:szCs w:val="22"/>
          <w:highlight w:val="none"/>
        </w:rPr>
        <w:t>.江宁区交通运输局与养护单位签订的合同。</w:t>
      </w:r>
    </w:p>
    <w:p w14:paraId="145F1BF1">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cs="宋体"/>
          <w:b/>
          <w:bCs/>
          <w:sz w:val="22"/>
          <w:szCs w:val="22"/>
          <w:highlight w:val="none"/>
          <w:lang w:eastAsia="zh-CN"/>
        </w:rPr>
        <w:t>（</w:t>
      </w:r>
      <w:r>
        <w:rPr>
          <w:rFonts w:hint="eastAsia" w:ascii="宋体" w:hAnsi="宋体" w:cs="宋体"/>
          <w:b/>
          <w:bCs/>
          <w:sz w:val="22"/>
          <w:szCs w:val="22"/>
          <w:highlight w:val="none"/>
          <w:lang w:val="en-US" w:eastAsia="zh-CN"/>
        </w:rPr>
        <w:t>二</w:t>
      </w:r>
      <w:r>
        <w:rPr>
          <w:rFonts w:hint="eastAsia" w:ascii="宋体" w:hAnsi="宋体" w:cs="宋体"/>
          <w:b/>
          <w:bCs/>
          <w:sz w:val="22"/>
          <w:szCs w:val="22"/>
          <w:highlight w:val="none"/>
          <w:lang w:eastAsia="zh-CN"/>
        </w:rPr>
        <w:t>）</w:t>
      </w:r>
      <w:r>
        <w:rPr>
          <w:rFonts w:hint="eastAsia" w:ascii="宋体" w:hAnsi="宋体" w:eastAsia="宋体" w:cs="宋体"/>
          <w:b/>
          <w:bCs/>
          <w:sz w:val="22"/>
          <w:szCs w:val="22"/>
          <w:highlight w:val="none"/>
        </w:rPr>
        <w:t>、考核方式</w:t>
      </w:r>
    </w:p>
    <w:p w14:paraId="6C612632">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1.考核小组：局领导及相关部门人员组成领导小组，实施养护考核工作。</w:t>
      </w:r>
    </w:p>
    <w:p w14:paraId="1AB452A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2.考核原则：</w:t>
      </w:r>
    </w:p>
    <w:p w14:paraId="0862B3A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“强化措施、完善管理、经费调控、奖优罚差”，通过定期检查考核，全面有效掌握</w:t>
      </w:r>
      <w:r>
        <w:rPr>
          <w:rFonts w:hint="eastAsia" w:ascii="宋体" w:hAnsi="宋体" w:eastAsia="宋体" w:cs="宋体"/>
          <w:sz w:val="22"/>
          <w:szCs w:val="22"/>
          <w:highlight w:val="none"/>
          <w:lang w:val="en-US" w:eastAsia="zh-CN"/>
        </w:rPr>
        <w:t>林荫大道管护质量</w:t>
      </w:r>
      <w:r>
        <w:rPr>
          <w:rFonts w:hint="eastAsia" w:ascii="宋体" w:hAnsi="宋体" w:eastAsia="宋体" w:cs="宋体"/>
          <w:sz w:val="22"/>
          <w:szCs w:val="22"/>
          <w:highlight w:val="none"/>
        </w:rPr>
        <w:t>，提升养护管理水平，营造畅安舒美的公路通行环境。</w:t>
      </w:r>
    </w:p>
    <w:p w14:paraId="2CFEB35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3.考核内容：</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养护质量考核主要包括外业检查和内业检查两个方面。</w:t>
      </w:r>
    </w:p>
    <w:p w14:paraId="5FB3ECD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4.考核方式：</w:t>
      </w:r>
      <w:bookmarkStart w:id="2" w:name="OLE_LINK3"/>
      <w:r>
        <w:rPr>
          <w:rFonts w:hint="eastAsia" w:ascii="宋体" w:hAnsi="宋体" w:cs="宋体"/>
          <w:sz w:val="22"/>
          <w:szCs w:val="22"/>
          <w:highlight w:val="none"/>
          <w:lang w:eastAsia="zh-CN"/>
        </w:rPr>
        <w:t>按考核办法每月检查，季度考核。</w:t>
      </w:r>
      <w:bookmarkEnd w:id="2"/>
    </w:p>
    <w:p w14:paraId="7355CD4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其中月度考核主要对养护外业情况进行检查，下发月度考核通报；季度考核将对养护外业、内业共同进行检查，并下发季度考核通报。</w:t>
      </w:r>
    </w:p>
    <w:p w14:paraId="6D381BE9">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sz w:val="22"/>
          <w:szCs w:val="22"/>
          <w:highlight w:val="none"/>
        </w:rPr>
        <w:t>月度检查情况通报盖章下发，内容主要反映发现的问题及落实整改情况，并提出进一步养护要求，检查发现问题均采用照片形式发布，养护单位及时进行整改则不予扣分，不及时整改的问题进行扣分；对于月度检查中出现以下情况纳入季度考核中加倍扣分：一是虽及时整改但屡次出现的问题，二是对于省</w:t>
      </w:r>
      <w:r>
        <w:rPr>
          <w:rFonts w:hint="eastAsia" w:ascii="宋体" w:hAnsi="宋体" w:eastAsia="宋体" w:cs="宋体"/>
          <w:b w:val="0"/>
          <w:bCs w:val="0"/>
          <w:sz w:val="22"/>
          <w:szCs w:val="22"/>
          <w:highlight w:val="none"/>
        </w:rPr>
        <w:t>市区检查中屡次扣分的同一问题，三是发现养护工人使用钢钎、撬棍等尖锐物体清理桥梁伸缩缝</w:t>
      </w:r>
      <w:r>
        <w:rPr>
          <w:rFonts w:hint="eastAsia" w:ascii="宋体" w:hAnsi="宋体" w:eastAsia="宋体" w:cs="宋体"/>
          <w:b/>
          <w:bCs/>
          <w:sz w:val="22"/>
          <w:szCs w:val="22"/>
          <w:highlight w:val="none"/>
        </w:rPr>
        <w:t>。</w:t>
      </w:r>
    </w:p>
    <w:p w14:paraId="5460CEF9">
      <w:pPr>
        <w:keepNext w:val="0"/>
        <w:keepLines w:val="0"/>
        <w:pageBreakBefore w:val="0"/>
        <w:widowControl w:val="0"/>
        <w:spacing w:line="360" w:lineRule="auto"/>
        <w:ind w:firstLine="420"/>
        <w:rPr>
          <w:rFonts w:hint="eastAsia" w:ascii="宋体" w:hAnsi="宋体" w:eastAsia="宋体" w:cs="宋体"/>
          <w:b/>
          <w:bCs/>
          <w:color w:val="000000" w:themeColor="text1"/>
          <w:sz w:val="22"/>
          <w:szCs w:val="22"/>
          <w:highlight w:val="none"/>
          <w:lang w:eastAsia="zh-CN"/>
          <w14:textFill>
            <w14:solidFill>
              <w14:schemeClr w14:val="tx1"/>
            </w14:solidFill>
          </w14:textFill>
        </w:rPr>
      </w:pPr>
      <w:r>
        <w:rPr>
          <w:rFonts w:hint="eastAsia" w:ascii="宋体" w:hAnsi="宋体" w:eastAsia="宋体" w:cs="宋体"/>
          <w:b/>
          <w:bCs/>
          <w:color w:val="000000" w:themeColor="text1"/>
          <w:sz w:val="22"/>
          <w:szCs w:val="22"/>
          <w:highlight w:val="none"/>
          <w14:textFill>
            <w14:solidFill>
              <w14:schemeClr w14:val="tx1"/>
            </w14:solidFill>
          </w14:textFill>
        </w:rPr>
        <w:t>季度检查考核情况通报由相关领导签字，采用红头文下发，内容主要反映一个季度以来各级部门检查突出的养护问题及整改落实情况、扣分及处罚情况。</w:t>
      </w:r>
    </w:p>
    <w:p w14:paraId="1520D7A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5.考核得分：</w:t>
      </w:r>
    </w:p>
    <w:p w14:paraId="27FE9DA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（1）每月（除3,6,9,12月）月度考核，得分计算方法为：</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养护质量月度考核得分=1000-</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养护质量外业检查累计扣分值。</w:t>
      </w:r>
    </w:p>
    <w:p w14:paraId="2D8F700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（2）每季度（3,6,9,12月）</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养护质量考核包含养护外业和内业检查考核，得分计算方法为：</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养护质量季度考核得分=（月度考核得分+季度养护质量外业检查得分）/3*0.9+养护质量内业检查考核得分。</w:t>
      </w:r>
    </w:p>
    <w:p w14:paraId="369DA7CF">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6.考核标准：</w:t>
      </w:r>
      <w:r>
        <w:rPr>
          <w:rFonts w:hint="eastAsia" w:ascii="宋体" w:hAnsi="宋体" w:eastAsia="宋体" w:cs="宋体"/>
          <w:sz w:val="22"/>
          <w:szCs w:val="22"/>
          <w:highlight w:val="none"/>
          <w:lang w:val="en-US" w:eastAsia="zh-CN"/>
        </w:rPr>
        <w:t>林荫大道</w:t>
      </w:r>
      <w:r>
        <w:rPr>
          <w:rFonts w:hint="eastAsia" w:ascii="宋体" w:hAnsi="宋体" w:eastAsia="宋体" w:cs="宋体"/>
          <w:sz w:val="22"/>
          <w:szCs w:val="22"/>
          <w:highlight w:val="none"/>
        </w:rPr>
        <w:t>养护质量外业检查实行“千分制养护缺陷扣减法”，（评分细则见附件1）。养护质量内业检查按六项内容进行考核，总分为100分（评分细则见附件2）。养护质量内业检查得分=100分-累计扣分值。</w:t>
      </w:r>
    </w:p>
    <w:p w14:paraId="66553AFA">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三、考核的具体内容和养护要求</w:t>
      </w:r>
    </w:p>
    <w:p w14:paraId="52942AD2">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1.养护质量外业检查考核：</w:t>
      </w:r>
    </w:p>
    <w:p w14:paraId="45CCD13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内容主要包括路基、路面、桥涵、沿线设施、绿化、交安、保洁、路域环境等方面，要求如下：</w:t>
      </w:r>
    </w:p>
    <w:p w14:paraId="220BD6D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（1）路基</w:t>
      </w:r>
    </w:p>
    <w:p w14:paraId="2EB67CA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①路基养护和病害处治及时、规范、有效，技术状况达到优等。</w:t>
      </w:r>
    </w:p>
    <w:p w14:paraId="7A1A58E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②路基稳定坚实，无缺口、冲沟，边缘整齐平顺。</w:t>
      </w:r>
    </w:p>
    <w:p w14:paraId="01D82D0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③排水系统完善，排水设施齐全、完好。</w:t>
      </w:r>
    </w:p>
    <w:p w14:paraId="16767DF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④路基防护完好有效并与自然环境协调一致。</w:t>
      </w:r>
    </w:p>
    <w:p w14:paraId="37F5E90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（2）路面</w:t>
      </w:r>
    </w:p>
    <w:p w14:paraId="457890C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①路面养护和病害处治及时、规范、有效。县道优良率路达到93%以上。</w:t>
      </w:r>
    </w:p>
    <w:p w14:paraId="068B055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②路面平整坚实，无积水，行驶舒适。</w:t>
      </w:r>
    </w:p>
    <w:p w14:paraId="562904C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③及时发现并处治路面病害，及时清理路面障碍物。路面无影响行车舒适性、安全性和视觉效果的严重病害。</w:t>
      </w:r>
    </w:p>
    <w:p w14:paraId="494CBE4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④路面局部病害修复应平整、美观，与原路面接合的界面应顺直、耐久。</w:t>
      </w:r>
    </w:p>
    <w:p w14:paraId="506624F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（3）桥涵</w:t>
      </w:r>
    </w:p>
    <w:p w14:paraId="39B2E7F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①桥涵养护规范、有效。桥梁技术状况水平达到三类及以上，涵洞技术状况水平达到较好及以上。</w:t>
      </w:r>
    </w:p>
    <w:p w14:paraId="45F2012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桥梁外观整洁，桥面铺装平整无跳车、排水顺畅，伸缩缝完好、清洁。桥梁基础无冲刷、淘空，支座无断裂、错位，墩台无滑动、倾斜或下沉，台背填土无沉降、隆起，锥坡、翼墙等保持完好，无开裂、沉陷、勾缝脱落。</w:t>
      </w:r>
    </w:p>
    <w:p w14:paraId="75C9684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③涵洞应与路基同宽，涵洞的铺砌、翼墙、护坡等应完好，涵体侧墙及拱顶无开裂、变形，涵洞上下游排水顺畅，洞口清洁，无杂物堆积，洞内无淤塞。</w:t>
      </w:r>
    </w:p>
    <w:p w14:paraId="4A315695">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④隧道洞口边坡无落石、积水、积雪等，洞门结构无开裂、倾斜、沉陷、错台等病害，衬砌完整无明显开裂和剥落，装饰板材安装牢固，无松动和脱落。隧道路面平整，排水系统良好。</w:t>
      </w:r>
    </w:p>
    <w:p w14:paraId="19B3655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（4）沿线设施</w:t>
      </w:r>
    </w:p>
    <w:p w14:paraId="7F2D14F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①沿线设施养护规范有效，技术状况达到优等。</w:t>
      </w:r>
    </w:p>
    <w:p w14:paraId="352A0E8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②沿线防护设施、隔离栅、标志、标线符合规范及路政部门要求。</w:t>
      </w:r>
    </w:p>
    <w:p w14:paraId="6399A6EC">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③沿线里程碑（牌）、百米桩（牌）设置（尺寸、颜色、字体、样式等）符合标准要求，做到位置适当、准确、齐全、完好、醒目、美观。</w:t>
      </w:r>
    </w:p>
    <w:p w14:paraId="74EC60B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（5）绿化</w:t>
      </w:r>
    </w:p>
    <w:p w14:paraId="4073A43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①公路沿线可绿化路段绿化率应达到100%，达到公路绿色通道要求，做到三季有花、四季有绿。</w:t>
      </w:r>
    </w:p>
    <w:p w14:paraId="1AD4032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②沿线绿化要定期修剪，绿化形状美观，无死株、无倒伏、无明显缺株断带、无病虫害，刷白美观。每年冬季统一刷白，刷白高度不低于1.2米。</w:t>
      </w:r>
    </w:p>
    <w:p w14:paraId="383AE7F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③道路两侧灌木、花草等景观绿化定期修剪，灌木成型、色块精致美观，草坪每月修剪一次（4月至11月底），绿化带内杂草、杂物、生活垃圾及时清理。</w:t>
      </w:r>
    </w:p>
    <w:p w14:paraId="211A7EC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④路肩边坡无15cm以上高草。</w:t>
      </w:r>
    </w:p>
    <w:p w14:paraId="49E85C9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（6）交通安全设施</w:t>
      </w:r>
    </w:p>
    <w:p w14:paraId="3E7F5DC7">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①公路交通安全设施齐全，沿线标志、标线、标牌、护栏等设施按国家标准和行业标准设置，无缺损。</w:t>
      </w:r>
    </w:p>
    <w:p w14:paraId="66BD3B9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②公路交通安全设施保持干净整洁。</w:t>
      </w:r>
    </w:p>
    <w:p w14:paraId="656CF4E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（7）保洁</w:t>
      </w:r>
    </w:p>
    <w:p w14:paraId="01EEC89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①保洁要采取机械保洁与人工保洁相结合方式，以机械清扫为主，努力做到路面无积尘、见本色，干净、整洁。</w:t>
      </w:r>
    </w:p>
    <w:p w14:paraId="5FADC07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②中分带、路肩、边坡、边沟等路域范围内无建筑垃圾、白色垃圾、生活垃圾、杂草、淤泥等杂物。</w:t>
      </w:r>
    </w:p>
    <w:p w14:paraId="56B277C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③里程碑（牌）、百米桩（牌）、护栏等沿线设施无污染，外观干净、整洁、醒目。</w:t>
      </w:r>
    </w:p>
    <w:p w14:paraId="237A580B">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2.养护质量内业检查考核：</w:t>
      </w:r>
    </w:p>
    <w:p w14:paraId="0F9A63F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（1）养护管理制度</w:t>
      </w:r>
    </w:p>
    <w:p w14:paraId="3B60116C">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养护单位根据养护实际需求，建立有效的养护管理组织机构，并制定相应的养护管理制度。</w:t>
      </w:r>
    </w:p>
    <w:p w14:paraId="2D800BD1">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（3）养护基本保障</w:t>
      </w:r>
    </w:p>
    <w:p w14:paraId="6D78890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养护单位人员、机械设备、材料等配置合理充足，满足养护及应急处置需求；人员安全、技术培训到位；机械设备维修保养到位。</w:t>
      </w:r>
    </w:p>
    <w:p w14:paraId="77C4081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（4）安全管理</w:t>
      </w:r>
    </w:p>
    <w:p w14:paraId="10CD999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养护单位结合管养实际，建立有效的安全管理制度，施工作业中能严格遵守有关安全规程以及采取维持通车和施工作业的安全措施，开展安全检查，落实安全责任。</w:t>
      </w:r>
    </w:p>
    <w:p w14:paraId="28E76ED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（5）巡查检查计划及纪录</w:t>
      </w:r>
    </w:p>
    <w:p w14:paraId="11461819">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养护单位能制定年度、季度、月度巡查检查计划，相应检查台账，日常巡查、定期检查和专项检查记录真实齐全且签名齐全。</w:t>
      </w:r>
    </w:p>
    <w:p w14:paraId="1D6CE82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（6）应急管理</w:t>
      </w:r>
    </w:p>
    <w:p w14:paraId="2C7CC4B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按照要求建立各类应急预案，在遇到特大暴雨、洪水、冰雪、地震等恶劣天气和突发事件时，公路养护应急方案和措施到位，处置得当，未造成不良社会影响等。应急物资配备齐全，针对性强，进出库记录完整真实。</w:t>
      </w:r>
    </w:p>
    <w:p w14:paraId="32A7CE38">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（7）管理闭合</w:t>
      </w:r>
    </w:p>
    <w:p w14:paraId="44AF3CCD">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养护内业资料全面性、真实性、准确性、关联性等得到充分体现，真实反映路况和养护生产作业实际，实现管理闭合。</w:t>
      </w:r>
    </w:p>
    <w:p w14:paraId="3E429790">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（8）江宁区交通运输局安排的其它工作完成情况。</w:t>
      </w:r>
    </w:p>
    <w:p w14:paraId="73D5EADA">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四、经费拨付</w:t>
      </w:r>
    </w:p>
    <w:p w14:paraId="112DFF7C">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1.按照省市区相关行业标准、管理办法、合同、下发的有关文件、规定等进行经费拨付。</w:t>
      </w:r>
    </w:p>
    <w:p w14:paraId="458CAB4B">
      <w:pPr>
        <w:keepNext w:val="0"/>
        <w:keepLines w:val="0"/>
        <w:pageBreakBefore w:val="0"/>
        <w:widowControl w:val="0"/>
        <w:spacing w:line="360" w:lineRule="auto"/>
        <w:ind w:firstLine="420"/>
        <w:rPr>
          <w:rFonts w:hint="default" w:ascii="宋体" w:hAnsi="宋体" w:eastAsia="宋体" w:cs="宋体"/>
          <w:sz w:val="22"/>
          <w:szCs w:val="22"/>
          <w:highlight w:val="none"/>
          <w:lang w:val="en-US" w:eastAsia="zh-CN"/>
        </w:rPr>
      </w:pPr>
      <w:r>
        <w:rPr>
          <w:rFonts w:hint="eastAsia" w:ascii="宋体" w:hAnsi="宋体" w:eastAsia="宋体" w:cs="宋体"/>
          <w:sz w:val="22"/>
          <w:szCs w:val="22"/>
          <w:highlight w:val="none"/>
        </w:rPr>
        <w:t>2.</w:t>
      </w:r>
      <w:r>
        <w:rPr>
          <w:rFonts w:hint="eastAsia" w:ascii="宋体" w:hAnsi="宋体" w:cs="宋体"/>
          <w:sz w:val="22"/>
          <w:szCs w:val="22"/>
          <w:highlight w:val="none"/>
          <w:lang w:val="en-US" w:eastAsia="zh-CN"/>
        </w:rPr>
        <w:t>采用基价类和单价类结合的方式，按月计量，季度支付。</w:t>
      </w:r>
    </w:p>
    <w:p w14:paraId="5E6F5136">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3.养护单位根据要求，编制年度、月度工作计划，每月25日前上报，经审核后组织实施。如财政部门另有规定的从其规定。</w:t>
      </w:r>
    </w:p>
    <w:p w14:paraId="7131BF48">
      <w:pPr>
        <w:keepNext w:val="0"/>
        <w:keepLines w:val="0"/>
        <w:pageBreakBefore w:val="0"/>
        <w:widowControl w:val="0"/>
        <w:spacing w:line="360" w:lineRule="auto"/>
        <w:ind w:firstLine="420"/>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rPr>
        <w:t>养护单位按月于月末提出经费支付申请，监理审核</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rPr>
        <w:t>报区局</w:t>
      </w:r>
      <w:r>
        <w:rPr>
          <w:rFonts w:hint="eastAsia" w:ascii="宋体" w:hAnsi="宋体" w:eastAsia="宋体" w:cs="宋体"/>
          <w:sz w:val="22"/>
          <w:szCs w:val="22"/>
          <w:highlight w:val="none"/>
          <w:lang w:eastAsia="zh-CN"/>
        </w:rPr>
        <w:t>；</w:t>
      </w:r>
      <w:r>
        <w:rPr>
          <w:rFonts w:hint="eastAsia" w:ascii="宋体" w:hAnsi="宋体" w:eastAsia="宋体" w:cs="宋体"/>
          <w:sz w:val="22"/>
          <w:szCs w:val="22"/>
          <w:highlight w:val="none"/>
          <w:lang w:val="en-US" w:eastAsia="zh-CN"/>
        </w:rPr>
        <w:t>监理</w:t>
      </w:r>
      <w:r>
        <w:rPr>
          <w:rFonts w:hint="eastAsia" w:ascii="宋体" w:hAnsi="宋体" w:eastAsia="宋体" w:cs="宋体"/>
          <w:sz w:val="22"/>
          <w:szCs w:val="22"/>
          <w:highlight w:val="none"/>
        </w:rPr>
        <w:t>在收到申报材料后，在两周内完成审定，</w:t>
      </w:r>
      <w:r>
        <w:rPr>
          <w:rFonts w:hint="eastAsia" w:ascii="宋体" w:hAnsi="宋体" w:eastAsia="宋体" w:cs="宋体"/>
          <w:sz w:val="22"/>
          <w:szCs w:val="22"/>
          <w:highlight w:val="none"/>
          <w:lang w:val="en-US" w:eastAsia="zh-CN"/>
        </w:rPr>
        <w:t>报区局并按季度</w:t>
      </w:r>
      <w:r>
        <w:rPr>
          <w:rFonts w:hint="eastAsia" w:ascii="宋体" w:hAnsi="宋体" w:eastAsia="宋体" w:cs="宋体"/>
          <w:sz w:val="22"/>
          <w:szCs w:val="22"/>
          <w:highlight w:val="none"/>
        </w:rPr>
        <w:t>拨付给养护单位</w:t>
      </w:r>
      <w:r>
        <w:rPr>
          <w:rFonts w:hint="eastAsia" w:ascii="宋体" w:hAnsi="宋体" w:eastAsia="宋体" w:cs="宋体"/>
          <w:sz w:val="22"/>
          <w:szCs w:val="22"/>
          <w:highlight w:val="none"/>
          <w:lang w:eastAsia="zh-CN"/>
        </w:rPr>
        <w:t>。</w:t>
      </w:r>
    </w:p>
    <w:p w14:paraId="5F61E5D4">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cs="宋体"/>
          <w:sz w:val="22"/>
          <w:szCs w:val="22"/>
          <w:highlight w:val="none"/>
          <w:lang w:val="en-US" w:eastAsia="zh-CN"/>
        </w:rPr>
        <w:t>4</w:t>
      </w:r>
      <w:r>
        <w:rPr>
          <w:rFonts w:hint="eastAsia" w:ascii="宋体" w:hAnsi="宋体" w:eastAsia="宋体" w:cs="宋体"/>
          <w:sz w:val="22"/>
          <w:szCs w:val="22"/>
          <w:highlight w:val="none"/>
        </w:rPr>
        <w:t>.</w:t>
      </w:r>
      <w:r>
        <w:rPr>
          <w:rFonts w:hint="eastAsia" w:ascii="宋体" w:hAnsi="宋体" w:eastAsia="宋体" w:cs="宋体"/>
          <w:sz w:val="22"/>
          <w:szCs w:val="22"/>
          <w:highlight w:val="none"/>
          <w:lang w:val="en-US" w:eastAsia="zh-CN"/>
        </w:rPr>
        <w:t>按月度计量，季度支付。</w:t>
      </w:r>
      <w:r>
        <w:rPr>
          <w:rFonts w:hint="eastAsia" w:ascii="宋体" w:hAnsi="宋体" w:eastAsia="宋体" w:cs="宋体"/>
          <w:sz w:val="22"/>
          <w:szCs w:val="22"/>
          <w:highlight w:val="none"/>
        </w:rPr>
        <w:t>区局结合季度考核得分情况拨付经费。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06E70371">
      <w:pPr>
        <w:keepNext w:val="0"/>
        <w:keepLines w:val="0"/>
        <w:pageBreakBefore w:val="0"/>
        <w:widowControl w:val="0"/>
        <w:spacing w:line="360" w:lineRule="auto"/>
        <w:ind w:firstLine="420"/>
        <w:rPr>
          <w:rFonts w:hint="eastAsia" w:ascii="宋体" w:hAnsi="宋体" w:eastAsia="宋体" w:cs="宋体"/>
          <w:b/>
          <w:bCs/>
          <w:sz w:val="22"/>
          <w:szCs w:val="22"/>
          <w:highlight w:val="none"/>
        </w:rPr>
      </w:pPr>
      <w:r>
        <w:rPr>
          <w:rFonts w:hint="eastAsia" w:ascii="宋体" w:hAnsi="宋体" w:eastAsia="宋体" w:cs="宋体"/>
          <w:b/>
          <w:bCs/>
          <w:sz w:val="22"/>
          <w:szCs w:val="22"/>
          <w:highlight w:val="none"/>
        </w:rPr>
        <w:t>五、附则</w:t>
      </w:r>
    </w:p>
    <w:p w14:paraId="508C1783">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1.如有其它未尽事宜，按省市区制定的相关办法执行。</w:t>
      </w:r>
    </w:p>
    <w:p w14:paraId="715984FE">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2.本办法由江宁区交通运输局负责解释。</w:t>
      </w:r>
    </w:p>
    <w:p w14:paraId="7ABCD42A">
      <w:pPr>
        <w:keepNext w:val="0"/>
        <w:keepLines w:val="0"/>
        <w:pageBreakBefore w:val="0"/>
        <w:widowControl w:val="0"/>
        <w:spacing w:line="360" w:lineRule="auto"/>
        <w:ind w:firstLine="420"/>
        <w:rPr>
          <w:rFonts w:hint="eastAsia" w:ascii="宋体" w:hAnsi="宋体" w:eastAsia="宋体" w:cs="宋体"/>
          <w:sz w:val="22"/>
          <w:szCs w:val="22"/>
          <w:highlight w:val="none"/>
        </w:rPr>
      </w:pPr>
      <w:r>
        <w:rPr>
          <w:rFonts w:hint="eastAsia" w:ascii="宋体" w:hAnsi="宋体" w:eastAsia="宋体" w:cs="宋体"/>
          <w:sz w:val="22"/>
          <w:szCs w:val="22"/>
          <w:highlight w:val="none"/>
        </w:rPr>
        <w:t>3.本办法自下发之日起施行。</w:t>
      </w:r>
    </w:p>
    <w:p w14:paraId="722C7D3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32"/>
          <w:highlight w:val="none"/>
        </w:rPr>
        <w:t>附件 1：</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外业检查千分制评分标准</w:t>
      </w:r>
    </w:p>
    <w:p w14:paraId="0969C9F8">
      <w:pPr>
        <w:keepNext w:val="0"/>
        <w:keepLines w:val="0"/>
        <w:pageBreakBefore w:val="0"/>
        <w:widowControl w:val="0"/>
        <w:spacing w:line="360" w:lineRule="auto"/>
        <w:ind w:firstLine="480"/>
        <w:rPr>
          <w:rFonts w:hint="eastAsia" w:ascii="宋体" w:hAnsi="宋体" w:eastAsia="宋体" w:cs="宋体"/>
          <w:highlight w:val="none"/>
          <w:lang w:val="zh-CN"/>
        </w:rPr>
      </w:pPr>
      <w:r>
        <w:rPr>
          <w:rFonts w:hint="eastAsia" w:ascii="宋体" w:hAnsi="宋体" w:eastAsia="宋体" w:cs="宋体"/>
          <w:sz w:val="24"/>
          <w:szCs w:val="24"/>
          <w:highlight w:val="none"/>
        </w:rPr>
        <w:t>附件 2：</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内业</w:t>
      </w:r>
      <w:r>
        <w:rPr>
          <w:rFonts w:hint="eastAsia" w:ascii="宋体" w:hAnsi="宋体" w:eastAsia="宋体" w:cs="宋体"/>
          <w:sz w:val="24"/>
          <w:szCs w:val="32"/>
          <w:highlight w:val="none"/>
        </w:rPr>
        <w:t>检查评分标准</w:t>
      </w:r>
    </w:p>
    <w:p w14:paraId="5BF0F5A2">
      <w:pPr>
        <w:keepNext w:val="0"/>
        <w:keepLines w:val="0"/>
        <w:pageBreakBefore w:val="0"/>
        <w:spacing w:line="360" w:lineRule="auto"/>
        <w:jc w:val="center"/>
        <w:rPr>
          <w:rFonts w:hint="eastAsia" w:ascii="宋体" w:hAnsi="宋体" w:cs="宋体"/>
          <w:b/>
          <w:bCs/>
          <w:color w:val="000000"/>
          <w:sz w:val="24"/>
          <w:highlight w:val="yellow"/>
          <w:lang w:bidi="ar"/>
        </w:rPr>
      </w:pPr>
    </w:p>
    <w:p w14:paraId="3813CDE3">
      <w:pPr>
        <w:jc w:val="center"/>
        <w:rPr>
          <w:rFonts w:hint="eastAsia" w:ascii="宋体" w:hAnsi="宋体" w:cs="宋体"/>
          <w:b/>
          <w:bCs/>
          <w:color w:val="000000"/>
          <w:sz w:val="24"/>
          <w:lang w:bidi="ar"/>
        </w:rPr>
      </w:pPr>
    </w:p>
    <w:p w14:paraId="61BA6F3C">
      <w:pPr>
        <w:jc w:val="center"/>
        <w:rPr>
          <w:rFonts w:hint="eastAsia" w:ascii="宋体" w:hAnsi="宋体" w:cs="宋体"/>
          <w:b/>
          <w:bCs/>
          <w:color w:val="000000"/>
          <w:sz w:val="24"/>
          <w:lang w:bidi="ar"/>
        </w:rPr>
      </w:pPr>
    </w:p>
    <w:p w14:paraId="5A886B84">
      <w:pPr>
        <w:rPr>
          <w:rFonts w:hint="eastAsia" w:ascii="宋体" w:hAnsi="宋体" w:cs="宋体"/>
          <w:b/>
          <w:bCs/>
          <w:color w:val="000000"/>
          <w:sz w:val="24"/>
          <w:lang w:bidi="ar"/>
        </w:rPr>
      </w:pPr>
      <w:r>
        <w:rPr>
          <w:rFonts w:hint="eastAsia" w:ascii="宋体" w:hAnsi="宋体" w:cs="宋体"/>
          <w:b/>
          <w:bCs/>
          <w:color w:val="000000"/>
          <w:sz w:val="24"/>
          <w:lang w:bidi="ar"/>
        </w:rPr>
        <w:br w:type="page" w:clear="all"/>
      </w:r>
    </w:p>
    <w:p w14:paraId="280C9190">
      <w:pPr>
        <w:jc w:val="center"/>
        <w:rPr>
          <w:rFonts w:hint="eastAsia" w:ascii="宋体" w:hAnsi="宋体" w:eastAsia="宋体" w:cs="宋体"/>
          <w:b/>
          <w:bCs/>
          <w:color w:val="000000"/>
          <w:sz w:val="24"/>
          <w:highlight w:val="none"/>
          <w:lang w:eastAsia="zh-CN" w:bidi="ar"/>
        </w:rPr>
      </w:pPr>
      <w:r>
        <w:rPr>
          <w:rFonts w:hint="eastAsia" w:ascii="宋体" w:hAnsi="宋体" w:cs="宋体"/>
          <w:b/>
          <w:bCs/>
          <w:color w:val="000000"/>
          <w:sz w:val="24"/>
          <w:highlight w:val="none"/>
          <w:lang w:bidi="ar"/>
        </w:rPr>
        <w:t>附件 1：</w:t>
      </w:r>
      <w:r>
        <w:rPr>
          <w:rFonts w:hint="eastAsia" w:ascii="宋体" w:hAnsi="宋体" w:cs="宋体"/>
          <w:b/>
          <w:bCs/>
          <w:color w:val="000000"/>
          <w:sz w:val="24"/>
          <w:highlight w:val="none"/>
          <w:lang w:val="zh-CN" w:eastAsia="zh-CN" w:bidi="ar"/>
        </w:rPr>
        <w:t>2026年江宁区林荫大道示范管护带养护服务</w:t>
      </w:r>
      <w:r>
        <w:rPr>
          <w:rFonts w:hint="eastAsia" w:ascii="宋体" w:hAnsi="宋体" w:cs="宋体"/>
          <w:b/>
          <w:bCs/>
          <w:color w:val="000000"/>
          <w:sz w:val="24"/>
          <w:highlight w:val="none"/>
          <w:lang w:val="en-US" w:eastAsia="zh-CN" w:bidi="ar"/>
        </w:rPr>
        <w:t>质量</w:t>
      </w:r>
      <w:r>
        <w:rPr>
          <w:rFonts w:hint="eastAsia" w:ascii="宋体" w:hAnsi="宋体" w:cs="宋体"/>
          <w:b/>
          <w:bCs/>
          <w:color w:val="000000"/>
          <w:sz w:val="24"/>
          <w:highlight w:val="none"/>
          <w:lang w:bidi="ar"/>
        </w:rPr>
        <w:t>外业检查千分制评分标准</w:t>
      </w:r>
    </w:p>
    <w:p w14:paraId="10937B8E">
      <w:pPr>
        <w:jc w:val="center"/>
        <w:rPr>
          <w:rFonts w:hint="eastAsia" w:ascii="Times New Roman" w:hAnsi="Times New Roman" w:eastAsia="宋体" w:cs="Times New Roman"/>
          <w:szCs w:val="24"/>
          <w:lang w:eastAsia="zh-CN"/>
        </w:rPr>
      </w:pPr>
      <w:r>
        <w:rPr>
          <w:rFonts w:hint="eastAsia" w:ascii="Times New Roman" w:hAnsi="Times New Roman" w:eastAsia="宋体" w:cs="Times New Roman"/>
          <w:szCs w:val="24"/>
          <w:lang w:eastAsia="zh-CN"/>
        </w:rPr>
        <w:drawing>
          <wp:inline distT="0" distB="0" distL="0" distR="0">
            <wp:extent cx="6777355" cy="4790440"/>
            <wp:effectExtent l="0" t="0" r="10160" b="4445"/>
            <wp:docPr id="4" name="图片 9" descr="修  2025年江宁区林荫大道示范管护带养护服务质量外业检查千分制评分标准（25.2.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9" descr="修  2025年江宁区林荫大道示范管护带养护服务质量外业检查千分制评分标准（25.2.17）_01"/>
                    <pic:cNvPicPr>
                      <a:picLocks noChangeAspect="1"/>
                    </pic:cNvPicPr>
                  </pic:nvPicPr>
                  <pic:blipFill>
                    <a:blip r:embed="rId9"/>
                    <a:stretch>
                      <a:fillRect/>
                    </a:stretch>
                  </pic:blipFill>
                  <pic:spPr>
                    <a:xfrm rot="16199999">
                      <a:off x="0" y="0"/>
                      <a:ext cx="6777355" cy="4790440"/>
                    </a:xfrm>
                    <a:prstGeom prst="rect">
                      <a:avLst/>
                    </a:prstGeom>
                  </pic:spPr>
                </pic:pic>
              </a:graphicData>
            </a:graphic>
          </wp:inline>
        </w:drawing>
      </w:r>
      <w:r>
        <w:rPr>
          <w:rFonts w:hint="eastAsia" w:ascii="Times New Roman" w:hAnsi="Times New Roman" w:eastAsia="宋体" w:cs="Times New Roman"/>
          <w:szCs w:val="24"/>
          <w:lang w:eastAsia="zh-CN"/>
        </w:rPr>
        <w:drawing>
          <wp:inline distT="0" distB="0" distL="0" distR="0">
            <wp:extent cx="6969125" cy="4925695"/>
            <wp:effectExtent l="0" t="0" r="8255" b="3175"/>
            <wp:docPr id="5" name="图片 8" descr="修  2025年江宁区林荫大道示范管护带养护服务质量外业检查千分制评分标准（25.2.1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修  2025年江宁区林荫大道示范管护带养护服务质量外业检查千分制评分标准（25.2.17）_02"/>
                    <pic:cNvPicPr>
                      <a:picLocks noChangeAspect="1"/>
                    </pic:cNvPicPr>
                  </pic:nvPicPr>
                  <pic:blipFill>
                    <a:blip r:embed="rId10"/>
                    <a:stretch>
                      <a:fillRect/>
                    </a:stretch>
                  </pic:blipFill>
                  <pic:spPr>
                    <a:xfrm rot="16199999">
                      <a:off x="0" y="0"/>
                      <a:ext cx="6969125" cy="4925695"/>
                    </a:xfrm>
                    <a:prstGeom prst="rect">
                      <a:avLst/>
                    </a:prstGeom>
                  </pic:spPr>
                </pic:pic>
              </a:graphicData>
            </a:graphic>
          </wp:inline>
        </w:drawing>
      </w:r>
    </w:p>
    <w:p w14:paraId="171887AA">
      <w:pPr>
        <w:jc w:val="center"/>
      </w:pPr>
    </w:p>
    <w:p w14:paraId="7AD45380">
      <w:pPr>
        <w:jc w:val="center"/>
        <w:sectPr>
          <w:footerReference r:id="rId4" w:type="default"/>
          <w:pgSz w:w="11906" w:h="16838"/>
          <w:pgMar w:top="1440" w:right="1134" w:bottom="1440" w:left="1134" w:header="851" w:footer="992" w:gutter="0"/>
          <w:pgNumType w:start="1"/>
          <w:cols w:space="720" w:num="1"/>
          <w:docGrid w:linePitch="360" w:charSpace="0"/>
        </w:sectPr>
      </w:pPr>
    </w:p>
    <w:p w14:paraId="7E569CEF">
      <w:pPr>
        <w:jc w:val="center"/>
        <w:rPr>
          <w:rFonts w:hint="eastAsia" w:ascii="宋体" w:hAnsi="宋体" w:cs="宋体"/>
          <w:b/>
          <w:bCs/>
          <w:color w:val="000000"/>
          <w:sz w:val="24"/>
          <w:lang w:bidi="ar"/>
        </w:rPr>
      </w:pPr>
      <w:r>
        <w:rPr>
          <w:rFonts w:hint="eastAsia" w:ascii="宋体" w:hAnsi="宋体" w:cs="宋体"/>
          <w:b/>
          <w:bCs/>
          <w:color w:val="000000"/>
          <w:sz w:val="24"/>
          <w:lang w:bidi="ar"/>
        </w:rPr>
        <w:t>附件 2：</w:t>
      </w:r>
      <w:r>
        <w:rPr>
          <w:rFonts w:hint="eastAsia" w:ascii="宋体" w:hAnsi="宋体" w:cs="宋体"/>
          <w:b/>
          <w:bCs/>
          <w:color w:val="000000"/>
          <w:sz w:val="24"/>
          <w:lang w:val="zh-CN" w:eastAsia="zh-CN" w:bidi="ar"/>
        </w:rPr>
        <w:t>2026年江宁区林荫大道示范管护带养护服务</w:t>
      </w:r>
      <w:r>
        <w:rPr>
          <w:rFonts w:hint="eastAsia" w:ascii="宋体" w:hAnsi="宋体" w:cs="宋体"/>
          <w:b/>
          <w:bCs/>
          <w:color w:val="000000"/>
          <w:sz w:val="24"/>
          <w:lang w:bidi="ar"/>
        </w:rPr>
        <w:t>质量内业检查评分标准</w:t>
      </w:r>
    </w:p>
    <w:p w14:paraId="45713E01"/>
    <w:tbl>
      <w:tblPr>
        <w:tblStyle w:val="35"/>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840"/>
        <w:gridCol w:w="4137"/>
        <w:gridCol w:w="3081"/>
      </w:tblGrid>
      <w:tr w14:paraId="67B8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689" w:type="dxa"/>
            <w:noWrap w:val="0"/>
            <w:vAlign w:val="center"/>
          </w:tcPr>
          <w:p w14:paraId="619B0401">
            <w:pPr>
              <w:widowControl/>
              <w:jc w:val="center"/>
              <w:rPr>
                <w:sz w:val="24"/>
              </w:rPr>
            </w:pPr>
            <w:r>
              <w:rPr>
                <w:rFonts w:hint="eastAsia" w:ascii="宋体" w:hAnsi="宋体" w:cs="宋体"/>
                <w:color w:val="000000"/>
                <w:sz w:val="24"/>
                <w:lang w:bidi="ar"/>
              </w:rPr>
              <w:t>评分项目</w:t>
            </w:r>
          </w:p>
        </w:tc>
        <w:tc>
          <w:tcPr>
            <w:tcW w:w="840" w:type="dxa"/>
            <w:noWrap w:val="0"/>
            <w:vAlign w:val="center"/>
          </w:tcPr>
          <w:p w14:paraId="18957371">
            <w:pPr>
              <w:widowControl/>
              <w:jc w:val="center"/>
              <w:rPr>
                <w:sz w:val="24"/>
              </w:rPr>
            </w:pPr>
            <w:r>
              <w:rPr>
                <w:rFonts w:hint="eastAsia"/>
                <w:sz w:val="24"/>
              </w:rPr>
              <w:t>满分</w:t>
            </w:r>
          </w:p>
        </w:tc>
        <w:tc>
          <w:tcPr>
            <w:tcW w:w="4137" w:type="dxa"/>
            <w:noWrap w:val="0"/>
            <w:vAlign w:val="center"/>
          </w:tcPr>
          <w:p w14:paraId="6977C717">
            <w:pPr>
              <w:widowControl/>
              <w:jc w:val="center"/>
              <w:rPr>
                <w:sz w:val="24"/>
              </w:rPr>
            </w:pPr>
            <w:r>
              <w:rPr>
                <w:rFonts w:hint="eastAsia" w:ascii="宋体" w:hAnsi="宋体" w:cs="宋体"/>
                <w:color w:val="000000"/>
                <w:sz w:val="24"/>
                <w:lang w:bidi="ar"/>
              </w:rPr>
              <w:t>评分内容</w:t>
            </w:r>
          </w:p>
        </w:tc>
        <w:tc>
          <w:tcPr>
            <w:tcW w:w="3081" w:type="dxa"/>
            <w:noWrap w:val="0"/>
            <w:vAlign w:val="center"/>
          </w:tcPr>
          <w:p w14:paraId="7168E515">
            <w:pPr>
              <w:widowControl/>
              <w:jc w:val="center"/>
              <w:rPr>
                <w:sz w:val="24"/>
              </w:rPr>
            </w:pPr>
            <w:r>
              <w:rPr>
                <w:rFonts w:hint="eastAsia" w:ascii="宋体" w:hAnsi="宋体" w:cs="宋体"/>
                <w:color w:val="000000"/>
                <w:sz w:val="24"/>
                <w:lang w:bidi="ar"/>
              </w:rPr>
              <w:t>评分标准及细则</w:t>
            </w:r>
          </w:p>
        </w:tc>
      </w:tr>
      <w:tr w14:paraId="7062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555127EF">
            <w:pPr>
              <w:widowControl/>
              <w:jc w:val="center"/>
              <w:rPr>
                <w:sz w:val="24"/>
              </w:rPr>
            </w:pPr>
            <w:r>
              <w:rPr>
                <w:rFonts w:hint="eastAsia" w:ascii="宋体" w:hAnsi="宋体" w:cs="宋体"/>
                <w:color w:val="000000"/>
                <w:sz w:val="24"/>
                <w:lang w:bidi="ar"/>
              </w:rPr>
              <w:t>养护管理机</w:t>
            </w:r>
          </w:p>
          <w:p w14:paraId="5887CF59">
            <w:pPr>
              <w:widowControl/>
              <w:jc w:val="center"/>
              <w:rPr>
                <w:sz w:val="24"/>
              </w:rPr>
            </w:pPr>
            <w:r>
              <w:rPr>
                <w:rFonts w:hint="eastAsia" w:ascii="宋体" w:hAnsi="宋体" w:cs="宋体"/>
                <w:color w:val="000000"/>
                <w:sz w:val="24"/>
                <w:lang w:bidi="ar"/>
              </w:rPr>
              <w:t>构设置</w:t>
            </w:r>
          </w:p>
        </w:tc>
        <w:tc>
          <w:tcPr>
            <w:tcW w:w="840" w:type="dxa"/>
            <w:noWrap w:val="0"/>
            <w:vAlign w:val="center"/>
          </w:tcPr>
          <w:p w14:paraId="03F1E841">
            <w:pPr>
              <w:widowControl/>
              <w:jc w:val="center"/>
              <w:rPr>
                <w:sz w:val="24"/>
              </w:rPr>
            </w:pPr>
            <w:r>
              <w:rPr>
                <w:rFonts w:hint="eastAsia" w:ascii="宋体" w:hAnsi="宋体" w:cs="宋体"/>
                <w:color w:val="000000"/>
                <w:sz w:val="24"/>
                <w:lang w:bidi="ar"/>
              </w:rPr>
              <w:t>25分</w:t>
            </w:r>
          </w:p>
        </w:tc>
        <w:tc>
          <w:tcPr>
            <w:tcW w:w="4137" w:type="dxa"/>
            <w:noWrap w:val="0"/>
            <w:vAlign w:val="center"/>
          </w:tcPr>
          <w:p w14:paraId="77EE5449">
            <w:pPr>
              <w:widowControl/>
              <w:jc w:val="center"/>
              <w:rPr>
                <w:sz w:val="24"/>
              </w:rPr>
            </w:pPr>
            <w:r>
              <w:rPr>
                <w:rFonts w:hint="eastAsia" w:ascii="宋体" w:hAnsi="宋体" w:cs="宋体"/>
                <w:color w:val="000000"/>
                <w:sz w:val="24"/>
                <w:lang w:bidi="ar"/>
              </w:rPr>
              <w:t>根据养护实际需求，配备相应的养护人员、桥梁工程师和巡查车辆。</w:t>
            </w:r>
          </w:p>
        </w:tc>
        <w:tc>
          <w:tcPr>
            <w:tcW w:w="3081" w:type="dxa"/>
            <w:noWrap w:val="0"/>
            <w:vAlign w:val="center"/>
          </w:tcPr>
          <w:p w14:paraId="4C2D4D03">
            <w:pPr>
              <w:widowControl/>
              <w:jc w:val="center"/>
              <w:rPr>
                <w:sz w:val="24"/>
              </w:rPr>
            </w:pPr>
            <w:r>
              <w:rPr>
                <w:rFonts w:hint="eastAsia" w:ascii="宋体" w:hAnsi="宋体" w:cs="宋体"/>
                <w:color w:val="000000"/>
                <w:sz w:val="24"/>
                <w:lang w:bidi="ar"/>
              </w:rPr>
              <w:t>人员、车辆、设备等配备和机构设置不满足要求一项扣2.5分。</w:t>
            </w:r>
          </w:p>
        </w:tc>
      </w:tr>
      <w:tr w14:paraId="3CAB7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689" w:type="dxa"/>
            <w:noWrap w:val="0"/>
            <w:vAlign w:val="center"/>
          </w:tcPr>
          <w:p w14:paraId="10CC014A">
            <w:pPr>
              <w:widowControl/>
              <w:jc w:val="center"/>
              <w:rPr>
                <w:sz w:val="24"/>
              </w:rPr>
            </w:pPr>
            <w:r>
              <w:rPr>
                <w:rFonts w:hint="eastAsia" w:ascii="宋体" w:hAnsi="宋体" w:cs="宋体"/>
                <w:color w:val="000000"/>
                <w:sz w:val="24"/>
                <w:lang w:bidi="ar"/>
              </w:rPr>
              <w:t>内业资料管</w:t>
            </w:r>
          </w:p>
          <w:p w14:paraId="56895286">
            <w:pPr>
              <w:widowControl/>
              <w:jc w:val="center"/>
              <w:rPr>
                <w:sz w:val="24"/>
              </w:rPr>
            </w:pPr>
            <w:r>
              <w:rPr>
                <w:rFonts w:hint="eastAsia" w:ascii="宋体" w:hAnsi="宋体" w:cs="宋体"/>
                <w:color w:val="000000"/>
                <w:sz w:val="24"/>
                <w:lang w:bidi="ar"/>
              </w:rPr>
              <w:t>理</w:t>
            </w:r>
          </w:p>
        </w:tc>
        <w:tc>
          <w:tcPr>
            <w:tcW w:w="840" w:type="dxa"/>
            <w:noWrap w:val="0"/>
            <w:vAlign w:val="center"/>
          </w:tcPr>
          <w:p w14:paraId="136DAFF8">
            <w:pPr>
              <w:widowControl/>
              <w:jc w:val="center"/>
              <w:rPr>
                <w:sz w:val="24"/>
              </w:rPr>
            </w:pPr>
            <w:r>
              <w:rPr>
                <w:rFonts w:hint="eastAsia" w:ascii="宋体" w:hAnsi="宋体" w:cs="宋体"/>
                <w:color w:val="000000"/>
                <w:sz w:val="24"/>
                <w:lang w:bidi="ar"/>
              </w:rPr>
              <w:t>25分</w:t>
            </w:r>
          </w:p>
        </w:tc>
        <w:tc>
          <w:tcPr>
            <w:tcW w:w="4137" w:type="dxa"/>
            <w:noWrap w:val="0"/>
            <w:vAlign w:val="center"/>
          </w:tcPr>
          <w:p w14:paraId="364E3EF5">
            <w:pPr>
              <w:widowControl/>
              <w:jc w:val="center"/>
              <w:rPr>
                <w:sz w:val="24"/>
              </w:rPr>
            </w:pPr>
            <w:r>
              <w:rPr>
                <w:rFonts w:hint="eastAsia" w:ascii="宋体" w:hAnsi="宋体" w:cs="宋体"/>
                <w:color w:val="000000"/>
                <w:sz w:val="24"/>
                <w:lang w:bidi="ar"/>
              </w:rPr>
              <w:t>内容真实全面、填写规范准确、逻辑关联对应、条理清晰分明、归档整齐有序。</w:t>
            </w:r>
          </w:p>
        </w:tc>
        <w:tc>
          <w:tcPr>
            <w:tcW w:w="3081" w:type="dxa"/>
            <w:noWrap w:val="0"/>
            <w:vAlign w:val="center"/>
          </w:tcPr>
          <w:p w14:paraId="466D36C5">
            <w:pPr>
              <w:widowControl/>
              <w:jc w:val="center"/>
              <w:rPr>
                <w:sz w:val="24"/>
              </w:rPr>
            </w:pPr>
            <w:r>
              <w:rPr>
                <w:rFonts w:hint="eastAsia" w:ascii="宋体" w:hAnsi="宋体" w:cs="宋体"/>
                <w:color w:val="000000"/>
                <w:sz w:val="24"/>
                <w:lang w:bidi="ar"/>
              </w:rPr>
              <w:t>资料缺失，填写不规范，无关联性，归档无序等一处扣1分。</w:t>
            </w:r>
          </w:p>
        </w:tc>
      </w:tr>
      <w:tr w14:paraId="2B5500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689" w:type="dxa"/>
            <w:noWrap w:val="0"/>
            <w:vAlign w:val="center"/>
          </w:tcPr>
          <w:p w14:paraId="796F7CCD">
            <w:pPr>
              <w:widowControl/>
              <w:jc w:val="center"/>
              <w:rPr>
                <w:sz w:val="24"/>
              </w:rPr>
            </w:pPr>
            <w:r>
              <w:rPr>
                <w:rFonts w:hint="eastAsia" w:ascii="宋体" w:hAnsi="宋体" w:cs="宋体"/>
                <w:color w:val="000000"/>
                <w:sz w:val="24"/>
                <w:lang w:bidi="ar"/>
              </w:rPr>
              <w:t>公路特情应</w:t>
            </w:r>
          </w:p>
          <w:p w14:paraId="71F41602">
            <w:pPr>
              <w:widowControl/>
              <w:jc w:val="center"/>
              <w:rPr>
                <w:sz w:val="24"/>
              </w:rPr>
            </w:pPr>
            <w:r>
              <w:rPr>
                <w:rFonts w:hint="eastAsia" w:ascii="宋体" w:hAnsi="宋体" w:cs="宋体"/>
                <w:color w:val="000000"/>
                <w:sz w:val="24"/>
                <w:lang w:bidi="ar"/>
              </w:rPr>
              <w:t>急处置</w:t>
            </w:r>
          </w:p>
        </w:tc>
        <w:tc>
          <w:tcPr>
            <w:tcW w:w="840" w:type="dxa"/>
            <w:noWrap w:val="0"/>
            <w:vAlign w:val="center"/>
          </w:tcPr>
          <w:p w14:paraId="54B68807">
            <w:pPr>
              <w:widowControl/>
              <w:jc w:val="center"/>
              <w:rPr>
                <w:sz w:val="24"/>
              </w:rPr>
            </w:pPr>
            <w:r>
              <w:rPr>
                <w:rFonts w:hint="eastAsia" w:ascii="宋体" w:hAnsi="宋体" w:cs="宋体"/>
                <w:color w:val="000000"/>
                <w:sz w:val="24"/>
                <w:lang w:bidi="ar"/>
              </w:rPr>
              <w:t>20分</w:t>
            </w:r>
          </w:p>
        </w:tc>
        <w:tc>
          <w:tcPr>
            <w:tcW w:w="4137" w:type="dxa"/>
            <w:noWrap w:val="0"/>
            <w:vAlign w:val="center"/>
          </w:tcPr>
          <w:p w14:paraId="4F826E63">
            <w:pPr>
              <w:widowControl/>
              <w:jc w:val="center"/>
              <w:rPr>
                <w:sz w:val="24"/>
              </w:rPr>
            </w:pPr>
            <w:r>
              <w:rPr>
                <w:rFonts w:hint="eastAsia" w:ascii="宋体" w:hAnsi="宋体" w:cs="宋体"/>
                <w:color w:val="000000"/>
                <w:sz w:val="24"/>
                <w:lang w:bidi="ar"/>
              </w:rPr>
              <w:t>建立各类应急预案，在遇到特大暴雨、洪水、冰雪、地震等恶劣天气和突发事件时，公路养护应急方案和措施到位，处置得当，未造成不良社会影响等。</w:t>
            </w:r>
          </w:p>
        </w:tc>
        <w:tc>
          <w:tcPr>
            <w:tcW w:w="3081" w:type="dxa"/>
            <w:noWrap w:val="0"/>
            <w:vAlign w:val="center"/>
          </w:tcPr>
          <w:p w14:paraId="3E4B8AEC">
            <w:pPr>
              <w:widowControl/>
              <w:jc w:val="center"/>
              <w:rPr>
                <w:sz w:val="24"/>
              </w:rPr>
            </w:pPr>
            <w:r>
              <w:rPr>
                <w:rFonts w:hint="eastAsia" w:ascii="宋体" w:hAnsi="宋体" w:cs="宋体"/>
                <w:color w:val="000000"/>
                <w:sz w:val="24"/>
                <w:lang w:bidi="ar"/>
              </w:rPr>
              <w:t>无预案扣5分，预案考虑不全面、不充分一处扣1分，应急准备不充分、处治不及时一次扣2.5分，处治不当，造成不良社会影响扣10分。</w:t>
            </w:r>
          </w:p>
        </w:tc>
      </w:tr>
      <w:tr w14:paraId="404E07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2E588439">
            <w:pPr>
              <w:widowControl/>
              <w:jc w:val="center"/>
              <w:rPr>
                <w:sz w:val="24"/>
              </w:rPr>
            </w:pPr>
            <w:r>
              <w:rPr>
                <w:rFonts w:hint="eastAsia" w:ascii="宋体" w:hAnsi="宋体" w:cs="宋体"/>
                <w:color w:val="000000"/>
                <w:sz w:val="24"/>
                <w:lang w:bidi="ar"/>
              </w:rPr>
              <w:t>文明生产和</w:t>
            </w:r>
          </w:p>
          <w:p w14:paraId="65207624">
            <w:pPr>
              <w:widowControl/>
              <w:jc w:val="center"/>
              <w:rPr>
                <w:sz w:val="24"/>
              </w:rPr>
            </w:pPr>
            <w:r>
              <w:rPr>
                <w:rFonts w:hint="eastAsia" w:ascii="宋体" w:hAnsi="宋体" w:cs="宋体"/>
                <w:color w:val="000000"/>
                <w:sz w:val="24"/>
                <w:lang w:bidi="ar"/>
              </w:rPr>
              <w:t>安全作业情</w:t>
            </w:r>
          </w:p>
          <w:p w14:paraId="3788311A">
            <w:pPr>
              <w:widowControl/>
              <w:jc w:val="center"/>
              <w:rPr>
                <w:sz w:val="24"/>
              </w:rPr>
            </w:pPr>
            <w:r>
              <w:rPr>
                <w:rFonts w:hint="eastAsia" w:ascii="宋体" w:hAnsi="宋体" w:cs="宋体"/>
                <w:color w:val="000000"/>
                <w:sz w:val="24"/>
                <w:lang w:bidi="ar"/>
              </w:rPr>
              <w:t>况</w:t>
            </w:r>
          </w:p>
        </w:tc>
        <w:tc>
          <w:tcPr>
            <w:tcW w:w="840" w:type="dxa"/>
            <w:noWrap w:val="0"/>
            <w:vAlign w:val="center"/>
          </w:tcPr>
          <w:p w14:paraId="6D03AB91">
            <w:pPr>
              <w:widowControl/>
              <w:jc w:val="center"/>
              <w:rPr>
                <w:sz w:val="24"/>
              </w:rPr>
            </w:pPr>
            <w:r>
              <w:rPr>
                <w:rFonts w:hint="eastAsia" w:ascii="宋体" w:hAnsi="宋体" w:cs="宋体"/>
                <w:color w:val="000000"/>
                <w:sz w:val="24"/>
                <w:lang w:val="en-US" w:eastAsia="zh-CN" w:bidi="ar"/>
              </w:rPr>
              <w:t>15</w:t>
            </w:r>
            <w:r>
              <w:rPr>
                <w:rFonts w:hint="eastAsia" w:ascii="宋体" w:hAnsi="宋体" w:cs="宋体"/>
                <w:color w:val="000000"/>
                <w:sz w:val="24"/>
                <w:lang w:bidi="ar"/>
              </w:rPr>
              <w:t>分</w:t>
            </w:r>
          </w:p>
        </w:tc>
        <w:tc>
          <w:tcPr>
            <w:tcW w:w="4137" w:type="dxa"/>
            <w:noWrap w:val="0"/>
            <w:vAlign w:val="center"/>
          </w:tcPr>
          <w:p w14:paraId="23890C3D">
            <w:pPr>
              <w:widowControl/>
              <w:jc w:val="center"/>
              <w:rPr>
                <w:sz w:val="24"/>
              </w:rPr>
            </w:pPr>
            <w:r>
              <w:rPr>
                <w:rFonts w:hint="eastAsia" w:ascii="宋体" w:hAnsi="宋体" w:cs="宋体"/>
                <w:color w:val="000000"/>
                <w:sz w:val="24"/>
                <w:lang w:bidi="ar"/>
              </w:rPr>
              <w:t>按照公路、桥梁等相关规程及行业管理部门要求执行。</w:t>
            </w:r>
          </w:p>
        </w:tc>
        <w:tc>
          <w:tcPr>
            <w:tcW w:w="3081" w:type="dxa"/>
            <w:noWrap w:val="0"/>
            <w:vAlign w:val="center"/>
          </w:tcPr>
          <w:p w14:paraId="5FF02E8B">
            <w:pPr>
              <w:widowControl/>
              <w:jc w:val="center"/>
              <w:rPr>
                <w:sz w:val="24"/>
              </w:rPr>
            </w:pPr>
            <w:r>
              <w:rPr>
                <w:rFonts w:hint="eastAsia" w:ascii="宋体" w:hAnsi="宋体" w:cs="宋体"/>
                <w:color w:val="000000"/>
                <w:sz w:val="24"/>
                <w:lang w:bidi="ar"/>
              </w:rPr>
              <w:t>未按相关规程及行业管理部门要求文明施工和安全作业，发现一处扣2.5分。</w:t>
            </w:r>
          </w:p>
        </w:tc>
      </w:tr>
      <w:tr w14:paraId="70EB88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34A160F3">
            <w:pPr>
              <w:widowControl/>
              <w:jc w:val="center"/>
              <w:rPr>
                <w:rFonts w:hint="eastAsia" w:ascii="宋体" w:hAnsi="宋体" w:eastAsia="宋体" w:cs="宋体"/>
                <w:color w:val="000000"/>
                <w:sz w:val="24"/>
                <w:lang w:val="en-US" w:eastAsia="zh-CN" w:bidi="ar"/>
              </w:rPr>
            </w:pPr>
            <w:r>
              <w:rPr>
                <w:rFonts w:hint="eastAsia" w:ascii="宋体" w:hAnsi="宋体" w:cs="宋体"/>
                <w:color w:val="000000"/>
                <w:sz w:val="24"/>
                <w:lang w:val="en-US" w:eastAsia="zh-CN" w:bidi="ar"/>
              </w:rPr>
              <w:t>落实绿化管养智慧化应用</w:t>
            </w:r>
          </w:p>
        </w:tc>
        <w:tc>
          <w:tcPr>
            <w:tcW w:w="840" w:type="dxa"/>
            <w:noWrap w:val="0"/>
            <w:vAlign w:val="center"/>
          </w:tcPr>
          <w:p w14:paraId="73C218AC">
            <w:pPr>
              <w:widowControl/>
              <w:jc w:val="center"/>
              <w:rPr>
                <w:rFonts w:hint="default" w:ascii="宋体" w:hAnsi="宋体" w:eastAsia="宋体" w:cs="宋体"/>
                <w:color w:val="000000"/>
                <w:sz w:val="24"/>
                <w:lang w:val="en-US" w:eastAsia="zh-CN" w:bidi="ar"/>
              </w:rPr>
            </w:pPr>
            <w:r>
              <w:rPr>
                <w:rFonts w:hint="eastAsia" w:ascii="宋体" w:hAnsi="宋体" w:cs="宋体"/>
                <w:color w:val="000000"/>
                <w:sz w:val="24"/>
                <w:lang w:val="en-US" w:eastAsia="zh-CN" w:bidi="ar"/>
              </w:rPr>
              <w:t>10分</w:t>
            </w:r>
          </w:p>
        </w:tc>
        <w:tc>
          <w:tcPr>
            <w:tcW w:w="4137" w:type="dxa"/>
            <w:noWrap w:val="0"/>
            <w:vAlign w:val="center"/>
          </w:tcPr>
          <w:p w14:paraId="3A364120">
            <w:pPr>
              <w:widowControl/>
              <w:jc w:val="center"/>
              <w:rPr>
                <w:rFonts w:hint="eastAsia" w:ascii="宋体" w:hAnsi="宋体" w:eastAsia="宋体" w:cs="宋体"/>
                <w:color w:val="000000"/>
                <w:sz w:val="24"/>
                <w:lang w:eastAsia="zh-CN" w:bidi="ar"/>
              </w:rPr>
            </w:pPr>
            <w:r>
              <w:rPr>
                <w:rFonts w:hint="eastAsia" w:ascii="宋体" w:hAnsi="宋体" w:cs="宋体"/>
                <w:color w:val="000000"/>
                <w:sz w:val="24"/>
                <w:lang w:eastAsia="zh-CN" w:bidi="ar"/>
              </w:rPr>
              <w:t>落实绿化管养智慧化应用</w:t>
            </w:r>
          </w:p>
        </w:tc>
        <w:tc>
          <w:tcPr>
            <w:tcW w:w="3081" w:type="dxa"/>
            <w:noWrap w:val="0"/>
            <w:vAlign w:val="center"/>
          </w:tcPr>
          <w:p w14:paraId="7A3D0F0A">
            <w:pPr>
              <w:widowControl/>
              <w:jc w:val="center"/>
              <w:rPr>
                <w:rFonts w:hint="default" w:ascii="宋体" w:hAnsi="宋体" w:eastAsia="宋体" w:cs="宋体"/>
                <w:color w:val="000000"/>
                <w:sz w:val="24"/>
                <w:lang w:val="en-US" w:eastAsia="zh-CN" w:bidi="ar"/>
              </w:rPr>
            </w:pPr>
            <w:r>
              <w:rPr>
                <w:rFonts w:hint="eastAsia" w:ascii="宋体" w:hAnsi="宋体" w:cs="宋体"/>
                <w:color w:val="000000"/>
                <w:sz w:val="24"/>
                <w:lang w:eastAsia="zh-CN" w:bidi="ar"/>
              </w:rPr>
              <w:t>未落实，一次扣</w:t>
            </w:r>
            <w:r>
              <w:rPr>
                <w:rFonts w:hint="eastAsia" w:ascii="宋体" w:hAnsi="宋体" w:cs="宋体"/>
                <w:color w:val="000000"/>
                <w:sz w:val="24"/>
                <w:lang w:val="en-US" w:eastAsia="zh-CN" w:bidi="ar"/>
              </w:rPr>
              <w:t>10分。</w:t>
            </w:r>
          </w:p>
        </w:tc>
      </w:tr>
      <w:tr w14:paraId="02908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0C51CD4E">
            <w:pPr>
              <w:widowControl/>
              <w:jc w:val="center"/>
              <w:rPr>
                <w:sz w:val="24"/>
              </w:rPr>
            </w:pPr>
            <w:r>
              <w:rPr>
                <w:rFonts w:hint="eastAsia" w:ascii="宋体" w:hAnsi="宋体" w:cs="宋体"/>
                <w:color w:val="000000"/>
                <w:sz w:val="24"/>
                <w:lang w:bidi="ar"/>
              </w:rPr>
              <w:t>区交通局安</w:t>
            </w:r>
          </w:p>
          <w:p w14:paraId="54885113">
            <w:pPr>
              <w:widowControl/>
              <w:jc w:val="center"/>
              <w:rPr>
                <w:sz w:val="24"/>
              </w:rPr>
            </w:pPr>
            <w:r>
              <w:rPr>
                <w:rFonts w:hint="eastAsia" w:ascii="宋体" w:hAnsi="宋体" w:cs="宋体"/>
                <w:color w:val="000000"/>
                <w:sz w:val="24"/>
                <w:lang w:bidi="ar"/>
              </w:rPr>
              <w:t>排的其它工</w:t>
            </w:r>
          </w:p>
          <w:p w14:paraId="165FFBBC">
            <w:pPr>
              <w:widowControl/>
              <w:jc w:val="center"/>
              <w:rPr>
                <w:sz w:val="24"/>
              </w:rPr>
            </w:pPr>
            <w:r>
              <w:rPr>
                <w:rFonts w:hint="eastAsia" w:ascii="宋体" w:hAnsi="宋体" w:cs="宋体"/>
                <w:color w:val="000000"/>
                <w:sz w:val="24"/>
                <w:lang w:bidi="ar"/>
              </w:rPr>
              <w:t>作完成情况</w:t>
            </w:r>
          </w:p>
        </w:tc>
        <w:tc>
          <w:tcPr>
            <w:tcW w:w="840" w:type="dxa"/>
            <w:noWrap w:val="0"/>
            <w:vAlign w:val="center"/>
          </w:tcPr>
          <w:p w14:paraId="00428D6E">
            <w:pPr>
              <w:widowControl/>
              <w:jc w:val="center"/>
              <w:rPr>
                <w:sz w:val="24"/>
              </w:rPr>
            </w:pPr>
            <w:r>
              <w:rPr>
                <w:rFonts w:hint="eastAsia" w:ascii="宋体" w:hAnsi="宋体" w:cs="宋体"/>
                <w:color w:val="000000"/>
                <w:sz w:val="24"/>
                <w:lang w:val="en-US" w:eastAsia="zh-CN" w:bidi="ar"/>
              </w:rPr>
              <w:t>5分</w:t>
            </w:r>
            <w:r>
              <w:rPr>
                <w:rFonts w:hint="eastAsia" w:ascii="宋体" w:hAnsi="宋体" w:cs="宋体"/>
                <w:color w:val="000000"/>
                <w:sz w:val="24"/>
                <w:lang w:bidi="ar"/>
              </w:rPr>
              <w:t>分</w:t>
            </w:r>
          </w:p>
        </w:tc>
        <w:tc>
          <w:tcPr>
            <w:tcW w:w="4137" w:type="dxa"/>
            <w:noWrap w:val="0"/>
            <w:vAlign w:val="center"/>
          </w:tcPr>
          <w:p w14:paraId="670022BA">
            <w:pPr>
              <w:widowControl/>
              <w:jc w:val="center"/>
              <w:rPr>
                <w:sz w:val="24"/>
              </w:rPr>
            </w:pPr>
            <w:r>
              <w:rPr>
                <w:rFonts w:hint="eastAsia" w:ascii="宋体" w:hAnsi="宋体" w:cs="宋体"/>
                <w:color w:val="000000"/>
                <w:sz w:val="24"/>
                <w:lang w:bidi="ar"/>
              </w:rPr>
              <w:t>按时保质完成南京市江宁区交通运输局安排的其它工作。</w:t>
            </w:r>
          </w:p>
        </w:tc>
        <w:tc>
          <w:tcPr>
            <w:tcW w:w="3081" w:type="dxa"/>
            <w:noWrap w:val="0"/>
            <w:vAlign w:val="center"/>
          </w:tcPr>
          <w:p w14:paraId="44704255">
            <w:pPr>
              <w:widowControl/>
              <w:jc w:val="center"/>
              <w:rPr>
                <w:sz w:val="24"/>
              </w:rPr>
            </w:pPr>
            <w:r>
              <w:rPr>
                <w:rFonts w:hint="eastAsia" w:ascii="宋体" w:hAnsi="宋体" w:cs="宋体"/>
                <w:color w:val="000000"/>
                <w:sz w:val="24"/>
                <w:lang w:bidi="ar"/>
              </w:rPr>
              <w:t>报表、材料等工作不及时一次扣1分，未按要求填报或质量不高一次扣1分。</w:t>
            </w:r>
          </w:p>
        </w:tc>
      </w:tr>
      <w:tr w14:paraId="492EC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689" w:type="dxa"/>
            <w:noWrap w:val="0"/>
            <w:vAlign w:val="center"/>
          </w:tcPr>
          <w:p w14:paraId="7903FCC3">
            <w:pPr>
              <w:widowControl/>
              <w:jc w:val="center"/>
              <w:rPr>
                <w:sz w:val="24"/>
              </w:rPr>
            </w:pPr>
            <w:r>
              <w:rPr>
                <w:rFonts w:hint="eastAsia" w:ascii="宋体" w:hAnsi="宋体" w:cs="宋体"/>
                <w:color w:val="000000"/>
                <w:sz w:val="24"/>
                <w:lang w:bidi="ar"/>
              </w:rPr>
              <w:t>总分</w:t>
            </w:r>
          </w:p>
        </w:tc>
        <w:tc>
          <w:tcPr>
            <w:tcW w:w="840" w:type="dxa"/>
            <w:noWrap w:val="0"/>
            <w:vAlign w:val="center"/>
          </w:tcPr>
          <w:p w14:paraId="1A833C57">
            <w:pPr>
              <w:widowControl/>
              <w:jc w:val="center"/>
              <w:rPr>
                <w:sz w:val="24"/>
              </w:rPr>
            </w:pPr>
            <w:r>
              <w:rPr>
                <w:rFonts w:hint="eastAsia" w:ascii="宋体" w:hAnsi="宋体" w:cs="宋体"/>
                <w:color w:val="000000"/>
                <w:sz w:val="24"/>
                <w:lang w:bidi="ar"/>
              </w:rPr>
              <w:t>100分</w:t>
            </w:r>
          </w:p>
        </w:tc>
        <w:tc>
          <w:tcPr>
            <w:tcW w:w="4137" w:type="dxa"/>
            <w:noWrap w:val="0"/>
            <w:vAlign w:val="center"/>
          </w:tcPr>
          <w:p w14:paraId="1D1AE5E8">
            <w:pPr>
              <w:jc w:val="center"/>
              <w:rPr>
                <w:sz w:val="24"/>
              </w:rPr>
            </w:pPr>
          </w:p>
        </w:tc>
        <w:tc>
          <w:tcPr>
            <w:tcW w:w="3081" w:type="dxa"/>
            <w:noWrap w:val="0"/>
            <w:vAlign w:val="center"/>
          </w:tcPr>
          <w:p w14:paraId="5BAF9C60">
            <w:pPr>
              <w:jc w:val="center"/>
              <w:rPr>
                <w:sz w:val="24"/>
              </w:rPr>
            </w:pPr>
          </w:p>
        </w:tc>
      </w:tr>
    </w:tbl>
    <w:p w14:paraId="10B6980B">
      <w:pPr>
        <w:rPr>
          <w:rFonts w:hint="eastAsia" w:ascii="宋体" w:hAnsi="宋体" w:eastAsia="宋体" w:cs="宋体"/>
          <w:b/>
          <w:bCs/>
          <w:sz w:val="28"/>
          <w:szCs w:val="28"/>
          <w:highlight w:val="none"/>
        </w:rPr>
      </w:pPr>
      <w:r>
        <w:rPr>
          <w:rFonts w:hint="eastAsia" w:ascii="黑体" w:eastAsia="黑体"/>
          <w:sz w:val="48"/>
          <w:szCs w:val="48"/>
        </w:rPr>
        <w:br w:type="page" w:clear="all"/>
      </w:r>
    </w:p>
    <w:p w14:paraId="41990418">
      <w:pPr>
        <w:pStyle w:val="42"/>
        <w:keepNext w:val="0"/>
        <w:keepLines w:val="0"/>
        <w:pageBreakBefore w:val="0"/>
        <w:spacing w:line="360" w:lineRule="auto"/>
        <w:ind w:firstLine="420"/>
        <w:rPr>
          <w:rFonts w:hint="eastAsia" w:ascii="宋体" w:hAnsi="宋体" w:eastAsia="宋体" w:cs="宋体"/>
          <w:sz w:val="21"/>
          <w:szCs w:val="21"/>
          <w:lang w:val="en-US" w:eastAsia="zh-CN" w:bidi="ar-SA"/>
        </w:rPr>
      </w:pPr>
    </w:p>
    <w:p w14:paraId="67DF9C58">
      <w:pPr>
        <w:pStyle w:val="42"/>
        <w:ind w:left="0" w:firstLine="0"/>
        <w:rPr>
          <w:rFonts w:hint="eastAsia" w:ascii="宋体" w:hAnsi="宋体" w:cs="宋体"/>
          <w:b/>
          <w:color w:val="000000"/>
          <w:szCs w:val="21"/>
        </w:rPr>
      </w:pPr>
    </w:p>
    <w:p w14:paraId="11BAE9A4">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en-US" w:eastAsia="zh-CN" w:bidi="en-US"/>
        </w:rPr>
        <w:t xml:space="preserve">第五章 </w:t>
      </w:r>
      <w:r>
        <w:rPr>
          <w:rFonts w:hint="eastAsia" w:ascii="宋体" w:hAnsi="宋体" w:eastAsia="宋体" w:cs="Times New Roman"/>
          <w:b/>
          <w:sz w:val="36"/>
          <w:szCs w:val="30"/>
          <w:lang w:val="zh-CN" w:eastAsia="zh-CN" w:bidi="en-US"/>
        </w:rPr>
        <w:t xml:space="preserve"> 合同主要条款及格式</w:t>
      </w:r>
    </w:p>
    <w:p w14:paraId="644451D8">
      <w:pPr>
        <w:rPr>
          <w:rFonts w:hint="eastAsia"/>
          <w:lang w:val="zh-CN" w:eastAsia="zh-CN"/>
        </w:rPr>
      </w:pPr>
    </w:p>
    <w:p w14:paraId="213C30AC">
      <w:pPr>
        <w:jc w:val="center"/>
        <w:rPr>
          <w:rFonts w:hint="eastAsia" w:ascii="Calibri" w:hAnsi="Calibri"/>
          <w:sz w:val="84"/>
          <w:szCs w:val="84"/>
        </w:rPr>
      </w:pPr>
    </w:p>
    <w:p w14:paraId="3FC29032">
      <w:pPr>
        <w:jc w:val="center"/>
        <w:rPr>
          <w:rFonts w:hint="eastAsia" w:ascii="Calibri" w:hAnsi="Calibri"/>
          <w:sz w:val="84"/>
          <w:szCs w:val="84"/>
        </w:rPr>
      </w:pPr>
    </w:p>
    <w:p w14:paraId="67D44BDE">
      <w:pPr>
        <w:jc w:val="center"/>
        <w:rPr>
          <w:rFonts w:hint="eastAsia" w:ascii="Calibri" w:hAnsi="Calibri"/>
          <w:sz w:val="84"/>
          <w:szCs w:val="84"/>
        </w:rPr>
      </w:pPr>
      <w:r>
        <w:rPr>
          <w:rFonts w:hint="eastAsia" w:ascii="Calibri" w:hAnsi="Calibri"/>
          <w:sz w:val="84"/>
          <w:szCs w:val="84"/>
        </w:rPr>
        <w:t>合同文件</w:t>
      </w:r>
    </w:p>
    <w:p w14:paraId="37C6B651">
      <w:pPr>
        <w:rPr>
          <w:rFonts w:hint="eastAsia" w:ascii="Calibri" w:hAnsi="Calibri"/>
        </w:rPr>
      </w:pPr>
    </w:p>
    <w:p w14:paraId="22A984A5">
      <w:pPr>
        <w:rPr>
          <w:rFonts w:hint="eastAsia" w:ascii="Calibri" w:hAnsi="Calibri"/>
        </w:rPr>
      </w:pPr>
    </w:p>
    <w:p w14:paraId="76C98FFE">
      <w:pPr>
        <w:rPr>
          <w:rFonts w:hint="eastAsia" w:ascii="Calibri" w:hAnsi="Calibri"/>
        </w:rPr>
      </w:pPr>
    </w:p>
    <w:p w14:paraId="512246A2">
      <w:pPr>
        <w:rPr>
          <w:rFonts w:hint="eastAsia" w:ascii="Calibri" w:hAnsi="Calibri"/>
        </w:rPr>
      </w:pPr>
    </w:p>
    <w:p w14:paraId="61ACDD02">
      <w:pPr>
        <w:rPr>
          <w:rFonts w:hint="eastAsia" w:ascii="Calibri" w:hAnsi="Calibri"/>
        </w:rPr>
      </w:pPr>
    </w:p>
    <w:p w14:paraId="05957EC8">
      <w:pPr>
        <w:rPr>
          <w:rFonts w:hint="eastAsia" w:ascii="Calibri" w:hAnsi="Calibri"/>
        </w:rPr>
      </w:pPr>
    </w:p>
    <w:p w14:paraId="3AECA510">
      <w:pPr>
        <w:rPr>
          <w:rFonts w:hint="eastAsia" w:ascii="Calibri" w:hAnsi="Calibri"/>
        </w:rPr>
      </w:pPr>
    </w:p>
    <w:p w14:paraId="7F9642E5">
      <w:pPr>
        <w:rPr>
          <w:rFonts w:hint="eastAsia" w:ascii="Calibri" w:hAnsi="Calibri"/>
        </w:rPr>
      </w:pPr>
    </w:p>
    <w:p w14:paraId="53E5E3B5">
      <w:pPr>
        <w:rPr>
          <w:rFonts w:hint="eastAsia" w:ascii="Calibri" w:hAnsi="Calibri"/>
        </w:rPr>
      </w:pPr>
    </w:p>
    <w:p w14:paraId="2C12D8FB">
      <w:pPr>
        <w:rPr>
          <w:rFonts w:hint="eastAsia" w:ascii="Calibri" w:hAnsi="Calibri"/>
        </w:rPr>
      </w:pPr>
    </w:p>
    <w:p w14:paraId="5C21B83D">
      <w:pPr>
        <w:rPr>
          <w:rFonts w:hint="eastAsia" w:ascii="Calibri" w:hAnsi="Calibri"/>
        </w:rPr>
      </w:pPr>
    </w:p>
    <w:p w14:paraId="36F31617">
      <w:pPr>
        <w:rPr>
          <w:rFonts w:hint="eastAsia" w:ascii="Calibri" w:hAnsi="Calibri"/>
        </w:rPr>
      </w:pPr>
    </w:p>
    <w:p w14:paraId="6BCC1F24">
      <w:pPr>
        <w:rPr>
          <w:rFonts w:hint="eastAsia" w:ascii="Calibri" w:hAnsi="Calibri"/>
        </w:rPr>
      </w:pPr>
    </w:p>
    <w:p w14:paraId="5F42D4C5">
      <w:pPr>
        <w:rPr>
          <w:rFonts w:hint="eastAsia" w:ascii="Calibri" w:hAnsi="Calibri"/>
        </w:rPr>
      </w:pPr>
    </w:p>
    <w:p w14:paraId="6409AFAC">
      <w:pPr>
        <w:rPr>
          <w:rFonts w:hint="eastAsia" w:ascii="Calibri" w:hAnsi="Calibri"/>
        </w:rPr>
      </w:pPr>
    </w:p>
    <w:p w14:paraId="4205F412">
      <w:pPr>
        <w:rPr>
          <w:rFonts w:hint="eastAsia" w:ascii="Calibri" w:hAnsi="Calibri"/>
        </w:rPr>
      </w:pPr>
    </w:p>
    <w:p w14:paraId="0CEA6F72">
      <w:pPr>
        <w:rPr>
          <w:rFonts w:hint="eastAsia" w:ascii="Calibri" w:hAnsi="Calibri"/>
        </w:rPr>
      </w:pPr>
    </w:p>
    <w:p w14:paraId="2B077346">
      <w:pPr>
        <w:rPr>
          <w:rFonts w:hint="eastAsia" w:ascii="Calibri" w:hAnsi="Calibri"/>
        </w:rPr>
      </w:pPr>
    </w:p>
    <w:p w14:paraId="00BD00D7">
      <w:pPr>
        <w:rPr>
          <w:rFonts w:hint="eastAsia" w:ascii="Calibri" w:hAnsi="Calibri"/>
        </w:rPr>
      </w:pPr>
    </w:p>
    <w:p w14:paraId="0315F474">
      <w:pPr>
        <w:rPr>
          <w:rFonts w:hint="eastAsia" w:ascii="Calibri" w:hAnsi="Calibri"/>
        </w:rPr>
      </w:pPr>
    </w:p>
    <w:p w14:paraId="5342B527">
      <w:pPr>
        <w:rPr>
          <w:rFonts w:hint="eastAsia" w:ascii="Calibri" w:hAnsi="Calibri"/>
          <w:sz w:val="36"/>
          <w:szCs w:val="36"/>
        </w:rPr>
      </w:pPr>
      <w:r>
        <w:rPr>
          <w:rFonts w:hint="eastAsia" w:ascii="Calibri" w:hAnsi="Calibri"/>
          <w:sz w:val="36"/>
          <w:szCs w:val="36"/>
        </w:rPr>
        <w:t>发包人：</w:t>
      </w:r>
    </w:p>
    <w:p w14:paraId="60EC0DA7">
      <w:pPr>
        <w:rPr>
          <w:rFonts w:hint="eastAsia" w:ascii="Calibri" w:hAnsi="Calibri"/>
          <w:sz w:val="36"/>
          <w:szCs w:val="36"/>
        </w:rPr>
      </w:pPr>
      <w:r>
        <w:rPr>
          <w:rFonts w:hint="eastAsia" w:ascii="Calibri" w:hAnsi="Calibri"/>
          <w:sz w:val="36"/>
          <w:szCs w:val="36"/>
        </w:rPr>
        <w:t>承包人：</w:t>
      </w:r>
    </w:p>
    <w:p w14:paraId="1D4B2BEA">
      <w:pPr>
        <w:jc w:val="center"/>
        <w:rPr>
          <w:rFonts w:hint="eastAsia" w:ascii="Calibri" w:hAnsi="Calibri"/>
        </w:rPr>
      </w:pPr>
      <w:r>
        <w:rPr>
          <w:rFonts w:hint="eastAsia" w:ascii="Calibri" w:hAnsi="Calibri"/>
        </w:rPr>
        <w:t>签订地点：</w:t>
      </w:r>
    </w:p>
    <w:p w14:paraId="788F2DFD">
      <w:pPr>
        <w:jc w:val="center"/>
        <w:rPr>
          <w:rFonts w:hint="eastAsia" w:ascii="Calibri" w:hAnsi="Calibri"/>
        </w:rPr>
      </w:pPr>
      <w:r>
        <w:rPr>
          <w:rFonts w:hint="eastAsia" w:ascii="Calibri" w:hAnsi="Calibri"/>
        </w:rPr>
        <w:t>签订日期：</w:t>
      </w:r>
    </w:p>
    <w:p w14:paraId="58DCD2D6">
      <w:pPr>
        <w:rPr>
          <w:rFonts w:hint="eastAsia" w:ascii="Calibri" w:hAnsi="Calibri"/>
          <w:sz w:val="30"/>
          <w:szCs w:val="30"/>
        </w:rPr>
      </w:pPr>
      <w:r>
        <w:rPr>
          <w:rFonts w:hint="eastAsia" w:ascii="Calibri" w:hAnsi="Calibri"/>
          <w:sz w:val="30"/>
          <w:szCs w:val="30"/>
        </w:rPr>
        <w:br w:type="page" w:clear="all"/>
      </w:r>
    </w:p>
    <w:p w14:paraId="2B478783">
      <w:pPr>
        <w:jc w:val="center"/>
        <w:rPr>
          <w:rFonts w:hint="eastAsia" w:ascii="Calibri" w:hAnsi="Calibri"/>
          <w:sz w:val="30"/>
          <w:szCs w:val="30"/>
        </w:rPr>
      </w:pPr>
      <w:r>
        <w:rPr>
          <w:rFonts w:hint="eastAsia" w:ascii="Calibri" w:hAnsi="Calibri"/>
          <w:sz w:val="30"/>
          <w:szCs w:val="30"/>
        </w:rPr>
        <w:t>合同协议书</w:t>
      </w:r>
    </w:p>
    <w:p w14:paraId="579DD13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u w:val="single"/>
        </w:rPr>
        <w:t>南京市江宁区交通运输局</w:t>
      </w:r>
      <w:r>
        <w:rPr>
          <w:rFonts w:hint="eastAsia" w:ascii="宋体" w:hAnsi="宋体" w:eastAsia="宋体" w:cs="宋体"/>
          <w:sz w:val="24"/>
          <w:szCs w:val="24"/>
        </w:rPr>
        <w:t xml:space="preserve">（发包人名称，以下简称“发包人”）为实施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（项目名称），已接受</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（承包人名称，以下简称“承包人”）对该项目</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的投标。发包人和承包人共同达成如下协议。</w:t>
      </w:r>
    </w:p>
    <w:p w14:paraId="7E139DF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1、项目概况：</w:t>
      </w:r>
    </w:p>
    <w:p w14:paraId="70BC6D43">
      <w:pPr>
        <w:keepNext w:val="0"/>
        <w:keepLines w:val="0"/>
        <w:pageBreakBefore w:val="0"/>
        <w:widowControl w:val="0"/>
        <w:spacing w:line="360" w:lineRule="auto"/>
        <w:ind w:firstLine="480"/>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zh-CN" w:eastAsia="zh-CN"/>
        </w:rPr>
        <w:t>2026年江宁区林荫大道示范管护带养护服务</w:t>
      </w:r>
      <w:r>
        <w:rPr>
          <w:rFonts w:hint="eastAsia" w:ascii="宋体" w:hAnsi="宋体" w:eastAsia="宋体" w:cs="宋体"/>
          <w:sz w:val="24"/>
          <w:szCs w:val="24"/>
          <w:highlight w:val="none"/>
          <w:lang w:val="en-US" w:eastAsia="zh-CN"/>
        </w:rPr>
        <w:t>，江宁区林荫大道集中管护工程分布在江宁、秣陵、横溪、谷里、湖熟五个街道，共15条道路，路面宽度为6~7m，合计里程88.93km。</w:t>
      </w:r>
    </w:p>
    <w:p w14:paraId="62475AA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2、下列文件应视为构成合同文件的组成部分：</w:t>
      </w:r>
    </w:p>
    <w:p w14:paraId="6F09E8A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（1）本协议书及各种合同附件（含评标期间和合同谈判过程中的澄清文件和补充资料）；</w:t>
      </w:r>
    </w:p>
    <w:p w14:paraId="4A7655C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（2）中标通知书；</w:t>
      </w:r>
    </w:p>
    <w:p w14:paraId="67C17944">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（3）投标函及投标函附录；</w:t>
      </w:r>
    </w:p>
    <w:p w14:paraId="66EC610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（4）合同条款；</w:t>
      </w:r>
    </w:p>
    <w:p w14:paraId="039BA10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eastAsia="zh-CN"/>
        </w:rPr>
        <w:t>工作量</w:t>
      </w:r>
      <w:r>
        <w:rPr>
          <w:rFonts w:hint="eastAsia" w:ascii="宋体" w:hAnsi="宋体" w:eastAsia="宋体" w:cs="宋体"/>
          <w:sz w:val="24"/>
          <w:szCs w:val="24"/>
        </w:rPr>
        <w:t>清单计量规则；</w:t>
      </w:r>
    </w:p>
    <w:p w14:paraId="0D0E59A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（6）技术规范；</w:t>
      </w:r>
    </w:p>
    <w:p w14:paraId="74CD1D9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（7）已标价</w:t>
      </w:r>
      <w:r>
        <w:rPr>
          <w:rFonts w:hint="eastAsia" w:ascii="宋体" w:hAnsi="宋体" w:eastAsia="宋体" w:cs="宋体"/>
          <w:sz w:val="24"/>
          <w:szCs w:val="24"/>
          <w:lang w:eastAsia="zh-CN"/>
        </w:rPr>
        <w:t>工作量</w:t>
      </w:r>
      <w:r>
        <w:rPr>
          <w:rFonts w:hint="eastAsia" w:ascii="宋体" w:hAnsi="宋体" w:eastAsia="宋体" w:cs="宋体"/>
          <w:sz w:val="24"/>
          <w:szCs w:val="24"/>
        </w:rPr>
        <w:t>清单；</w:t>
      </w:r>
    </w:p>
    <w:p w14:paraId="3D75B10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（8）承包人有关人员、设备投入的承诺及投标文件中的施工组织设计；</w:t>
      </w:r>
    </w:p>
    <w:p w14:paraId="5DB600FB">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（9）其他合同文件。</w:t>
      </w:r>
    </w:p>
    <w:p w14:paraId="511CDB9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上述文件互相补充和解释，如果合同文件之间存在矛盾或不一致之处，以上述文件的排列顺序在先者为准。</w:t>
      </w:r>
    </w:p>
    <w:p w14:paraId="313817F5">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3、根据</w:t>
      </w:r>
      <w:r>
        <w:rPr>
          <w:rFonts w:hint="eastAsia" w:ascii="宋体" w:hAnsi="宋体" w:eastAsia="宋体" w:cs="宋体"/>
          <w:sz w:val="24"/>
          <w:szCs w:val="24"/>
          <w:lang w:eastAsia="zh-CN"/>
        </w:rPr>
        <w:t>工作量</w:t>
      </w:r>
      <w:r>
        <w:rPr>
          <w:rFonts w:hint="eastAsia" w:ascii="宋体" w:hAnsi="宋体" w:eastAsia="宋体" w:cs="宋体"/>
          <w:sz w:val="24"/>
          <w:szCs w:val="24"/>
        </w:rPr>
        <w:t>清单所列的预计数量和单价或总额价计算的本合同总价为人民币（大写）</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w:t>
      </w:r>
    </w:p>
    <w:p w14:paraId="2B04175F">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4、承包人项目经理：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；承包人项目总工：</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 。</w:t>
      </w:r>
    </w:p>
    <w:p w14:paraId="703646E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5、工程质量标准：符合国家质量验收规范及《公路养护技术规范》；安全目标：无施工安全事故。</w:t>
      </w:r>
    </w:p>
    <w:p w14:paraId="55D7EA9A">
      <w:pPr>
        <w:keepNext w:val="0"/>
        <w:keepLines w:val="0"/>
        <w:pageBreakBefore w:val="0"/>
        <w:widowControl w:val="0"/>
        <w:spacing w:line="360" w:lineRule="auto"/>
        <w:ind w:firstLine="480"/>
        <w:rPr>
          <w:rFonts w:hint="eastAsia" w:ascii="宋体" w:hAnsi="宋体" w:eastAsia="宋体" w:cs="宋体"/>
          <w:sz w:val="24"/>
          <w:szCs w:val="24"/>
          <w:lang w:val="en-US" w:eastAsia="zh-CN"/>
        </w:rPr>
      </w:pPr>
      <w:r>
        <w:rPr>
          <w:rFonts w:hint="eastAsia" w:ascii="宋体" w:hAnsi="宋体" w:eastAsia="宋体" w:cs="宋体"/>
          <w:sz w:val="24"/>
          <w:szCs w:val="24"/>
        </w:rPr>
        <w:t>6、承包人承诺按合同约定承担工程的实施、完成及缺陷修复。包括对本项目上述范围内的</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p>
    <w:p w14:paraId="1DDE180F">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7、发包人承诺按合同约定的条件、时间和方式向承包人支付合同价款。</w:t>
      </w:r>
    </w:p>
    <w:p w14:paraId="1F53FBD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highlight w:val="none"/>
        </w:rPr>
        <w:t>项目预付款：</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rPr>
        <w:t>。</w:t>
      </w:r>
    </w:p>
    <w:p w14:paraId="61307DD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（2）中期结算支付：</w:t>
      </w:r>
      <w:r>
        <w:rPr>
          <w:rFonts w:hint="eastAsia" w:ascii="宋体" w:hAnsi="宋体" w:eastAsia="宋体" w:cs="宋体"/>
          <w:sz w:val="24"/>
          <w:szCs w:val="24"/>
          <w:lang w:val="en-US" w:eastAsia="zh-CN"/>
        </w:rPr>
        <w:t>采用基价类和单价类结合的方式，</w:t>
      </w:r>
      <w:r>
        <w:rPr>
          <w:rFonts w:hint="eastAsia" w:ascii="宋体" w:hAnsi="宋体" w:eastAsia="宋体" w:cs="宋体"/>
          <w:sz w:val="24"/>
          <w:szCs w:val="24"/>
        </w:rPr>
        <w:t>本项目采用月度计量，</w:t>
      </w:r>
      <w:r>
        <w:rPr>
          <w:rFonts w:hint="eastAsia" w:ascii="宋体" w:hAnsi="宋体" w:cs="宋体"/>
          <w:sz w:val="24"/>
          <w:szCs w:val="24"/>
          <w:lang w:eastAsia="zh-CN"/>
        </w:rPr>
        <w:t>季度支付</w:t>
      </w:r>
      <w:r>
        <w:rPr>
          <w:rFonts w:hint="eastAsia" w:ascii="宋体" w:hAnsi="宋体" w:eastAsia="宋体" w:cs="宋体"/>
          <w:sz w:val="24"/>
          <w:szCs w:val="24"/>
        </w:rPr>
        <w:t>。</w:t>
      </w:r>
    </w:p>
    <w:p w14:paraId="33F9277C">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养护单位按月于月末提出经费支付申请，监理审核、报发包人；监理在收到申报材料后，在两周内完成审定，报发包人并按季度拨付给养护单位。</w:t>
      </w:r>
    </w:p>
    <w:p w14:paraId="0C49D738">
      <w:pPr>
        <w:keepNext w:val="0"/>
        <w:keepLines w:val="0"/>
        <w:pageBreakBefore w:val="0"/>
        <w:widowControl w:val="0"/>
        <w:numPr>
          <w:ilvl w:val="0"/>
          <w:numId w:val="5"/>
        </w:numPr>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按月度计量，季度支付</w:t>
      </w:r>
      <w:r>
        <w:rPr>
          <w:rFonts w:hint="eastAsia" w:ascii="宋体" w:hAnsi="宋体" w:cs="宋体"/>
          <w:highlight w:val="none"/>
          <w:lang w:val="en-US" w:eastAsia="zh-CN"/>
        </w:rPr>
        <w:t>。</w:t>
      </w:r>
      <w:r>
        <w:rPr>
          <w:rFonts w:hint="eastAsia" w:ascii="宋体" w:hAnsi="宋体" w:eastAsia="宋体" w:cs="宋体"/>
          <w:color w:val="000000"/>
          <w:sz w:val="24"/>
          <w:szCs w:val="24"/>
          <w:highlight w:val="none"/>
          <w:lang w:val="en-US" w:eastAsia="zh-CN" w:bidi="ar"/>
        </w:rPr>
        <w:t>发包人将对承包人进行考核。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52FEE489">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（4）经费拨付承包人应按照要求开具发票，否则业主有权拒绝付款且不承担任何违约责任。</w:t>
      </w:r>
    </w:p>
    <w:p w14:paraId="6349ED8C">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（5）涉及到资金来源于街道、园区的，考核和支付以街道、园区相关文件为准，同时区配比资金按照区政府会议纪要同步拨付。</w:t>
      </w:r>
    </w:p>
    <w:p w14:paraId="49C940D7">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（6）由于资金构成涉及上级多部门，因上级部门拨付时间问题引起的逾期付款，业主</w:t>
      </w:r>
    </w:p>
    <w:p w14:paraId="5D9A6BD0">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发包人付款前，承包人需要提供符合发包人要求的等额有效发票，若承包人不提供或提供的发票不符合发包人要求的，发包人有权拒绝付款，并不视为发包人违约，承包人仍需继续履行本合同。</w:t>
      </w:r>
    </w:p>
    <w:p w14:paraId="423242B7">
      <w:pPr>
        <w:keepNext w:val="0"/>
        <w:keepLines w:val="0"/>
        <w:pageBreakBefore w:val="0"/>
        <w:widowControl w:val="0"/>
        <w:spacing w:line="360" w:lineRule="auto"/>
        <w:ind w:firstLine="480"/>
        <w:rPr>
          <w:rFonts w:hint="eastAsia" w:ascii="Calibri" w:hAnsi="Calibri"/>
          <w:sz w:val="24"/>
          <w:szCs w:val="32"/>
          <w:highlight w:val="none"/>
        </w:rPr>
      </w:pPr>
      <w:r>
        <w:rPr>
          <w:rFonts w:hint="eastAsia" w:ascii="Calibri" w:hAnsi="Calibri"/>
          <w:sz w:val="24"/>
          <w:szCs w:val="32"/>
          <w:highlight w:val="none"/>
        </w:rPr>
        <w:t>8、承包人应按照监理人指示开工，预计自</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年</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月</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日至</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年</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月</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日；工期为</w:t>
      </w:r>
      <w:r>
        <w:rPr>
          <w:rFonts w:hint="eastAsia" w:ascii="Calibri" w:hAnsi="Calibri"/>
          <w:sz w:val="24"/>
          <w:szCs w:val="32"/>
          <w:highlight w:val="none"/>
          <w:u w:val="single"/>
        </w:rPr>
        <w:t xml:space="preserve"> </w:t>
      </w:r>
      <w:r>
        <w:rPr>
          <w:rFonts w:hint="eastAsia" w:ascii="Calibri" w:hAnsi="Calibri"/>
          <w:sz w:val="24"/>
          <w:szCs w:val="32"/>
          <w:highlight w:val="none"/>
          <w:u w:val="single"/>
          <w:lang w:val="en-US" w:eastAsia="zh-CN"/>
        </w:rPr>
        <w:t xml:space="preserve">      </w:t>
      </w:r>
      <w:r>
        <w:rPr>
          <w:rFonts w:hint="eastAsia" w:ascii="Calibri" w:hAnsi="Calibri"/>
          <w:sz w:val="24"/>
          <w:szCs w:val="32"/>
          <w:highlight w:val="none"/>
        </w:rPr>
        <w:t>个日历天。</w:t>
      </w:r>
    </w:p>
    <w:p w14:paraId="3C399A1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9、本协议书由双方法定代表人或其委托代理人签署并加盖单位章后生效。全部工程完工后经交工验收合格、缺陷责任期满签发缺陷责任终止证书后失效。</w:t>
      </w:r>
    </w:p>
    <w:p w14:paraId="0CC14BA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10、本协议书正本二份、副本二份，合同双方各执正本一份，副本一份，当</w:t>
      </w:r>
    </w:p>
    <w:p w14:paraId="5B8699CD">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正本与副本的内容不一致时，以正本为准。</w:t>
      </w:r>
    </w:p>
    <w:p w14:paraId="31E4701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11、合同未尽事宜，双方另行签订补充协议。补充协议是合同的组成部分。</w:t>
      </w:r>
    </w:p>
    <w:p w14:paraId="4323F96E">
      <w:pPr>
        <w:keepNext w:val="0"/>
        <w:keepLines w:val="0"/>
        <w:pageBreakBefore w:val="0"/>
        <w:widowControl w:val="0"/>
        <w:spacing w:line="360" w:lineRule="auto"/>
        <w:rPr>
          <w:rFonts w:hint="eastAsia" w:ascii="宋体" w:hAnsi="宋体" w:eastAsia="宋体" w:cs="宋体"/>
          <w:sz w:val="24"/>
          <w:szCs w:val="32"/>
        </w:rPr>
      </w:pPr>
    </w:p>
    <w:p w14:paraId="4FC5DECF">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发包人：南京市江宁区交通运输局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承包人：</w:t>
      </w:r>
    </w:p>
    <w:p w14:paraId="2BBF0928">
      <w:pPr>
        <w:keepNext w:val="0"/>
        <w:keepLines w:val="0"/>
        <w:pageBreakBefore w:val="0"/>
        <w:widowControl w:val="0"/>
        <w:spacing w:line="360" w:lineRule="auto"/>
        <w:ind w:firstLine="960"/>
        <w:rPr>
          <w:rFonts w:hint="eastAsia" w:ascii="宋体" w:hAnsi="宋体" w:eastAsia="宋体" w:cs="宋体"/>
          <w:sz w:val="24"/>
          <w:szCs w:val="32"/>
        </w:rPr>
      </w:pPr>
      <w:r>
        <w:rPr>
          <w:rFonts w:hint="eastAsia" w:ascii="宋体" w:hAnsi="宋体" w:eastAsia="宋体" w:cs="宋体"/>
          <w:sz w:val="24"/>
          <w:szCs w:val="32"/>
        </w:rPr>
        <w:t xml:space="preserve">（盖单位章）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（盖单位章）</w:t>
      </w:r>
    </w:p>
    <w:p w14:paraId="3B21FF05">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法定代表人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法定代表人</w:t>
      </w:r>
    </w:p>
    <w:p w14:paraId="06AC0867">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或其委托代理人： （签字）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或其委托代理人： （签字）</w:t>
      </w:r>
    </w:p>
    <w:p w14:paraId="41680B03">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 xml:space="preserve">年 月 日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年 月 日</w:t>
      </w:r>
    </w:p>
    <w:p w14:paraId="710BA61F">
      <w:pPr>
        <w:jc w:val="center"/>
        <w:rPr>
          <w:rFonts w:hint="eastAsia" w:ascii="Calibri" w:hAnsi="Calibri"/>
          <w:b/>
          <w:bCs/>
          <w:sz w:val="28"/>
          <w:szCs w:val="36"/>
        </w:rPr>
      </w:pPr>
      <w:r>
        <w:rPr>
          <w:rFonts w:hint="eastAsia" w:ascii="Calibri" w:hAnsi="Calibri"/>
          <w:b/>
          <w:bCs/>
          <w:sz w:val="28"/>
          <w:szCs w:val="36"/>
        </w:rPr>
        <w:t>廉政合同</w:t>
      </w:r>
    </w:p>
    <w:p w14:paraId="0CC3ADF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根据《关于在交通基础设施建设中加强廉政建设的若干意见》以及有关工程建设、廉政建设的规定，为做好工程建设中的党风廉政建设，保证工程建设高效优质，保证建设资金的安全和有效使用以及投资效益，</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的项目法人</w:t>
      </w:r>
      <w:r>
        <w:rPr>
          <w:rFonts w:hint="eastAsia" w:ascii="宋体" w:hAnsi="宋体" w:eastAsia="宋体" w:cs="宋体"/>
          <w:sz w:val="24"/>
          <w:szCs w:val="32"/>
          <w:u w:val="single"/>
        </w:rPr>
        <w:t>南京市江宁区交通运输局</w:t>
      </w:r>
      <w:r>
        <w:rPr>
          <w:rFonts w:hint="eastAsia" w:ascii="宋体" w:hAnsi="宋体" w:eastAsia="宋体" w:cs="宋体"/>
          <w:sz w:val="24"/>
          <w:szCs w:val="32"/>
        </w:rPr>
        <w:t>（项目法人名称，以下简称“发包人”）与该项目的施工单位</w:t>
      </w:r>
      <w:r>
        <w:rPr>
          <w:rFonts w:hint="eastAsia" w:ascii="宋体" w:hAnsi="宋体" w:eastAsia="宋体" w:cs="宋体"/>
          <w:sz w:val="24"/>
          <w:szCs w:val="32"/>
          <w:u w:val="single"/>
          <w:lang w:val="en-US" w:eastAsia="zh-CN"/>
        </w:rPr>
        <w:t xml:space="preserve">                  </w:t>
      </w:r>
      <w:r>
        <w:rPr>
          <w:rFonts w:hint="eastAsia" w:ascii="宋体" w:hAnsi="宋体" w:eastAsia="宋体" w:cs="宋体"/>
          <w:sz w:val="24"/>
          <w:szCs w:val="32"/>
        </w:rPr>
        <w:t>（施工单位名称，以下简称“承包人”），特订立如下合同。</w:t>
      </w:r>
    </w:p>
    <w:p w14:paraId="13041AD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1.发包人和承包人双方的权利和义务</w:t>
      </w:r>
    </w:p>
    <w:p w14:paraId="3D59A99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（1）严格遵守党的政策规定和国家有关法律法规及交通运输部的有关规定。</w:t>
      </w:r>
    </w:p>
    <w:p w14:paraId="6EAA752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（2）严格执行 </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合同文件，自觉按合同办事。</w:t>
      </w:r>
    </w:p>
    <w:p w14:paraId="2265B7D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（3）双方的业务活动坚持公开、公正、诚信、透明的原则（法律认定的商业秘密和合同文件另有规定除外），不得损害国家和集体利益，不得违反工程建设管理规章制度。</w:t>
      </w:r>
    </w:p>
    <w:p w14:paraId="26FF6E4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（4）建立健全廉政制度，开展廉政教育，设立廉政告示牌，公布举报电话，监督并认真查处违法违纪行为。</w:t>
      </w:r>
    </w:p>
    <w:p w14:paraId="59C5BA4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（5）发现对方在业务活动中有违反廉政规定的行为，有及时提醒对方纠正的权利和义务。</w:t>
      </w:r>
    </w:p>
    <w:p w14:paraId="3A2861D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（6）发现对方严重违反本合同义务条款的行为，有向其上级有关部门举报、建议给予处理并要求告知处理结果的权利。</w:t>
      </w:r>
    </w:p>
    <w:p w14:paraId="1F6B98D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2.发包人的义务</w:t>
      </w:r>
    </w:p>
    <w:p w14:paraId="4921A6A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（1）发包人及其工作人员不得索要或接受承包人的礼金、有价证券和贵重物品，不得让承包人报销任何应由发包人或发包人工作人员个人支付的费用等。</w:t>
      </w:r>
    </w:p>
    <w:p w14:paraId="61C9811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（2）发包人工作人员不得参加承包人安排的超标准宴请和娱乐活动；不得接受承包人提供的通信工具、交通工具和高档办公用品等。</w:t>
      </w:r>
    </w:p>
    <w:p w14:paraId="7BD172B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（3）发包人及其工作人员不得要求或者接受承包人为其住房装修、婚丧嫁娶活动、配偶子女的工作安排以及出国出境、旅游等提供方便等。</w:t>
      </w:r>
    </w:p>
    <w:p w14:paraId="189E34F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（4）发包人工作人员及其配偶、子女不得从事与发包人工程有关的材料设备供应、工程分包、劳务等经济活动等。</w:t>
      </w:r>
    </w:p>
    <w:p w14:paraId="5F9CE70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（5）发包人及其工作人员不得以任何理由向承包人推荐分包单位或推销材料，不得要求承包人购买合同规定外的材料和设备。</w:t>
      </w:r>
    </w:p>
    <w:p w14:paraId="15C5335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（6）发包人工作人员要秉公办事，不准营私舞弊，不准利用职权从事各种个人有偿中介活动和安排个人施工队伍。</w:t>
      </w:r>
    </w:p>
    <w:p w14:paraId="1D3924D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3.承包人的义务</w:t>
      </w:r>
    </w:p>
    <w:p w14:paraId="73E452C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（1）承包人不得以任何理由向发包人及其工作人员行贿或馈赠礼金、有价证券、贵重礼品。</w:t>
      </w:r>
    </w:p>
    <w:p w14:paraId="5356F8A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（2）承包人不得以任何名义为发包人及其工作人员报销应由发包人单位或个人支付的任何费用。</w:t>
      </w:r>
    </w:p>
    <w:p w14:paraId="212D4F4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（3）承包人不得以任何理由安排发包人工作人员参加超标准宴请及娱乐活动。</w:t>
      </w:r>
    </w:p>
    <w:p w14:paraId="3BC67A7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（4）承包人不得为发包人单位和个人购置或提供通信工具、交通工具和高档办公用品等。</w:t>
      </w:r>
    </w:p>
    <w:p w14:paraId="5867DB6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4.违约责任</w:t>
      </w:r>
    </w:p>
    <w:p w14:paraId="0EBFD82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（1）发包人及其工作人员违反本合同第 1、2条，按管理权限，依据有关规定给予党纪、政纪或组织处理；涉嫌犯罪的，移交司法机关追究刑事责任；给承包人单位造成经济损失的，应予以赔偿。</w:t>
      </w:r>
    </w:p>
    <w:p w14:paraId="56831A80">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（2）承包人及其工作人员违反本合同第 1、3条，按管理权限，依据有关规定给予党纪、政纪或组织处理；给发包人单位造成经济损失的，应予以赔偿；情节严重的，发包人建议交通运输主管部门给予承包人一至三年内不得进入其主管的公路建设市场的处罚。</w:t>
      </w:r>
    </w:p>
    <w:p w14:paraId="04F0099E">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5.双方约定：本合同由双方或双方上级单位的纪检监察部门负责监督执行。</w:t>
      </w:r>
    </w:p>
    <w:p w14:paraId="3867A607">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由发包人或发包人上级单位的纪检监察部门约请承包人或承包人上级单位纪检监察部门对本合同执行情况进行检查，提出在本合同规定范围内的裁定意见。</w:t>
      </w:r>
    </w:p>
    <w:p w14:paraId="58FB07B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6.本合同有效期为发包人和承包人签署之日起至该工程项目竣工验收后止。</w:t>
      </w:r>
    </w:p>
    <w:p w14:paraId="7C62D7C4">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7.本合同作为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施工合同的附件，与工程施工合同具有同等的法律效力，经合同双方签署后立即生效。</w:t>
      </w:r>
    </w:p>
    <w:p w14:paraId="42DA7922">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8.本合同一式肆份，由发包人和承包人各执二份。</w:t>
      </w:r>
    </w:p>
    <w:p w14:paraId="493209D2">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发包人：南京市江宁区交通运输局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承包人：</w:t>
      </w:r>
    </w:p>
    <w:p w14:paraId="469C2694">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（盖单位章）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（盖单位章）</w:t>
      </w:r>
    </w:p>
    <w:p w14:paraId="74BBD60E">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w:t>
      </w:r>
    </w:p>
    <w:p w14:paraId="0E01ED5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或其委托代理人： （签字）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或其委托代理人： （签字）</w:t>
      </w:r>
    </w:p>
    <w:p w14:paraId="26B4B349">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 xml:space="preserve">年 月 日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062D5F19">
      <w:pPr>
        <w:rPr>
          <w:rFonts w:hint="eastAsia" w:ascii="宋体" w:hAnsi="宋体" w:eastAsia="宋体" w:cs="宋体"/>
          <w:sz w:val="24"/>
          <w:szCs w:val="24"/>
        </w:rPr>
      </w:pPr>
      <w:r>
        <w:rPr>
          <w:rFonts w:hint="eastAsia" w:ascii="宋体" w:hAnsi="宋体" w:eastAsia="宋体" w:cs="宋体"/>
          <w:sz w:val="24"/>
          <w:szCs w:val="24"/>
        </w:rPr>
        <w:br w:type="page" w:clear="all"/>
      </w:r>
    </w:p>
    <w:p w14:paraId="0A033DB7">
      <w:pPr>
        <w:keepNext w:val="0"/>
        <w:keepLines w:val="0"/>
        <w:pageBreakBefore w:val="0"/>
        <w:widowControl w:val="0"/>
        <w:spacing w:line="360" w:lineRule="auto"/>
        <w:ind w:firstLine="482"/>
        <w:jc w:val="center"/>
        <w:rPr>
          <w:rFonts w:hint="eastAsia" w:ascii="宋体" w:hAnsi="宋体" w:eastAsia="宋体" w:cs="宋体"/>
          <w:b/>
          <w:bCs/>
          <w:sz w:val="24"/>
          <w:szCs w:val="24"/>
        </w:rPr>
      </w:pPr>
      <w:r>
        <w:rPr>
          <w:rFonts w:hint="eastAsia" w:ascii="宋体" w:hAnsi="宋体" w:eastAsia="宋体" w:cs="宋体"/>
          <w:b/>
          <w:bCs/>
          <w:sz w:val="24"/>
          <w:szCs w:val="24"/>
        </w:rPr>
        <w:t>安全生产合同</w:t>
      </w:r>
    </w:p>
    <w:p w14:paraId="3C3A7BD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为了切实加强《</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》实施过程中的施工安全管理工作，明确安全管理责任，本项目发包人</w:t>
      </w:r>
      <w:r>
        <w:rPr>
          <w:rFonts w:hint="eastAsia" w:ascii="宋体" w:hAnsi="宋体" w:eastAsia="宋体" w:cs="宋体"/>
          <w:sz w:val="24"/>
          <w:szCs w:val="24"/>
          <w:u w:val="single"/>
        </w:rPr>
        <w:t>南京市江宁区交通运输局</w:t>
      </w:r>
      <w:r>
        <w:rPr>
          <w:rFonts w:hint="eastAsia" w:ascii="宋体" w:hAnsi="宋体" w:eastAsia="宋体" w:cs="宋体"/>
          <w:sz w:val="24"/>
          <w:szCs w:val="24"/>
        </w:rPr>
        <w:t>与承包人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，根据交通运输部《公路养护安全作业规程》等现行相关规定，现就承包人在 </w:t>
      </w:r>
      <w:r>
        <w:rPr>
          <w:rFonts w:hint="eastAsia" w:ascii="宋体" w:hAnsi="宋体" w:cs="宋体"/>
          <w:sz w:val="24"/>
          <w:szCs w:val="24"/>
          <w:lang w:eastAsia="zh-CN"/>
        </w:rPr>
        <w:t>2026年江宁区林荫大道示范管护带养护服务</w:t>
      </w:r>
      <w:r>
        <w:rPr>
          <w:rFonts w:hint="eastAsia" w:ascii="宋体" w:hAnsi="宋体" w:eastAsia="宋体" w:cs="宋体"/>
          <w:sz w:val="24"/>
          <w:szCs w:val="24"/>
        </w:rPr>
        <w:t>作业安全</w:t>
      </w:r>
    </w:p>
    <w:p w14:paraId="68410358">
      <w:pPr>
        <w:keepNext w:val="0"/>
        <w:keepLines w:val="0"/>
        <w:pageBreakBefore w:val="0"/>
        <w:widowControl w:val="0"/>
        <w:spacing w:line="360" w:lineRule="auto"/>
        <w:rPr>
          <w:rFonts w:hint="eastAsia" w:ascii="宋体" w:hAnsi="宋体" w:eastAsia="宋体" w:cs="宋体"/>
          <w:sz w:val="24"/>
          <w:szCs w:val="24"/>
        </w:rPr>
      </w:pPr>
      <w:r>
        <w:rPr>
          <w:rFonts w:hint="eastAsia" w:ascii="宋体" w:hAnsi="宋体" w:eastAsia="宋体" w:cs="宋体"/>
          <w:sz w:val="24"/>
          <w:szCs w:val="24"/>
        </w:rPr>
        <w:t>管理工作达成如下协议：</w:t>
      </w:r>
    </w:p>
    <w:p w14:paraId="22328C6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一、发包人主要义务</w:t>
      </w:r>
    </w:p>
    <w:p w14:paraId="2C1BD53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1、按照“安全第一、预防为主”和坚持“管施工必须管安全”的原则，对承包人的施工作业安全进行监督管理。</w:t>
      </w:r>
    </w:p>
    <w:p w14:paraId="5DF93F1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2、组织对承包人施工现场安全生产检查，监督承包人及时处理发现的各种安全隐患。</w:t>
      </w:r>
    </w:p>
    <w:p w14:paraId="17379B7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二、承包人主要义务</w:t>
      </w:r>
    </w:p>
    <w:p w14:paraId="4568D03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严格遵守国家、地方等有关安全生产的法律法规及管理制度，认真执行工程承包合同中的有关安全要求，服从发包人安全生产管理。承包人在施工过程中发生的任何交通、生产事故造成财产损失或人员伤亡的，以及与其他第三方发生的任何纠纷或事故，发包人概不承担任何责任和费用。</w:t>
      </w:r>
    </w:p>
    <w:p w14:paraId="43DE6A0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2、根据工程的特点制定相应的安全技术保障措施，编制专项安全施工组织方案、道路交通组织方案及施工安全紧急处理预案。</w:t>
      </w:r>
    </w:p>
    <w:p w14:paraId="4F1F779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3、在施工现场按照相关规定要求设置安全指示标志、警告标志、禁令标志等，确保施工现场及道路营运的安全。</w:t>
      </w:r>
    </w:p>
    <w:p w14:paraId="5A68720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4、应采取各种合理有效的预防措施，维护施工驻地及施工现场治安，保证施工的正常进行。</w:t>
      </w:r>
    </w:p>
    <w:p w14:paraId="14EEF80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5、承包人应设有负责安全、文明施工的专职管理人员。操作人员上岗，必须按规定穿戴防护用品。施工负责人和安全检查员应随时检查劳动防护用品的穿戴情况，不按规定穿戴防护用品的人员不得上岗。</w:t>
      </w:r>
    </w:p>
    <w:p w14:paraId="2594BD9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按照规定定期对施工现场的各种安全设施和劳动保护器具进行检查和维护，及时消除隐患，所有施工机具设备和高空作业的设备均应保证其处于完好状态；不合格的机具、设备和劳动保护用品严禁使用，由此造成的一切安全事故由承包人负全责。</w:t>
      </w:r>
    </w:p>
    <w:p w14:paraId="76A0E72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7、在容易发生火灾的地区施工或者储存、使用易燃易爆物品时，应当采取特殊消防安全措施。</w:t>
      </w:r>
    </w:p>
    <w:p w14:paraId="052B27F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8、必须按照本工程项目特点，组织制定本工程实施中的生产安全事故应急救援预案；如果发生安全事故，应按照《国务院关于特大安全事故行政责任追究的规定》以及其它有关规定，及时上报发包人及有关部门，并坚持“三不放过”的原则，严肃处理相关责任人。</w:t>
      </w:r>
    </w:p>
    <w:p w14:paraId="1B64A67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9、承包人施工车辆应自觉遵守交通安全法规，不得违章行驶，严禁在养护道路上随意调头、逆行。</w:t>
      </w:r>
    </w:p>
    <w:p w14:paraId="720190C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10、承包人施工车辆到达施工现场后，应将施工车辆停放置施工作业区内指定地点，不允许随意停靠，影响其它车辆正常通行。</w:t>
      </w:r>
    </w:p>
    <w:p w14:paraId="02AB2D4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11、承包人施工期间，施工车辆必须开启作业标志灯及双闪示警灯（在作业区内作业除外）。</w:t>
      </w:r>
    </w:p>
    <w:p w14:paraId="18B9CEF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12、承包人施工作业区应为施工车辆提供安全进、出口，并设有专人负责。施工车辆进出作业区时，应当注意观察并避让其它过往车辆。</w:t>
      </w:r>
    </w:p>
    <w:p w14:paraId="392B470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13、承包人必须遵守高速、一级公路中央隔离带与防护栏的使用规定，施工期间如需开启，必须按审批程序，进行逐级审批，经审批后，按相应程序进行开启或使用。</w:t>
      </w:r>
    </w:p>
    <w:p w14:paraId="36C72AD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14、承包人施工材料、机具、设备等应按照有关规定摆放整齐、有序，不得零乱堆放，影响道路安全畅通。</w:t>
      </w:r>
    </w:p>
    <w:p w14:paraId="6A557D1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15、承包人负责施工作业区环境卫生，及时清除施工垃圾，不得随意倾倒施工废物，确保路容路貌整洁。</w:t>
      </w:r>
    </w:p>
    <w:p w14:paraId="55A8A54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16、承包人施工作业区内长、大型设备进行施工作业时，应保证吊钩、传送带等悬出部分不能伸出作业区，不得影响其他车辆正常通行。</w:t>
      </w:r>
    </w:p>
    <w:p w14:paraId="275E52B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17、承包人作业区与车道之间应按照交通运输部《公路养护安全作业规程》中的相关规定，采取安全隔离措施。</w:t>
      </w:r>
    </w:p>
    <w:p w14:paraId="2EFD978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18、承包人施工作业现场夜间不能撤离的，施工单位应按照交通运输部《公路养护安全作业规程》中的相关规定，采取安全保障措施。</w:t>
      </w:r>
    </w:p>
    <w:p w14:paraId="0FA0B145">
      <w:pPr>
        <w:keepNext w:val="0"/>
        <w:keepLines w:val="0"/>
        <w:pageBreakBefore w:val="0"/>
        <w:widowControl w:val="0"/>
        <w:spacing w:line="360" w:lineRule="auto"/>
        <w:ind w:firstLine="480"/>
        <w:rPr>
          <w:rFonts w:hint="eastAsia" w:ascii="宋体" w:hAnsi="宋体" w:eastAsia="宋体" w:cs="宋体"/>
          <w:sz w:val="24"/>
          <w:szCs w:val="32"/>
          <w:lang w:eastAsia="zh-CN"/>
        </w:rPr>
      </w:pPr>
      <w:r>
        <w:rPr>
          <w:rFonts w:hint="eastAsia" w:ascii="宋体" w:hAnsi="宋体" w:eastAsia="宋体" w:cs="宋体"/>
          <w:sz w:val="24"/>
          <w:szCs w:val="32"/>
        </w:rPr>
        <w:t>19、承包人施工人员必须在封闭区域内进行施工作业操作，应统一着施工作业服（着反光背心等）。施工人员不得随意横穿道路</w:t>
      </w:r>
      <w:r>
        <w:rPr>
          <w:rFonts w:hint="eastAsia" w:ascii="宋体" w:hAnsi="宋体" w:eastAsia="宋体" w:cs="宋体"/>
          <w:sz w:val="24"/>
          <w:szCs w:val="32"/>
          <w:lang w:eastAsia="zh-CN"/>
        </w:rPr>
        <w:t>。</w:t>
      </w:r>
    </w:p>
    <w:p w14:paraId="2ADB382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20、承包人未按照交通运输部《公路养护安全作业规程》要求施工作业、使用中央活动护拦而引发安全责任事故，将承担一切事故责任。</w:t>
      </w:r>
    </w:p>
    <w:p w14:paraId="0E303B8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三、违约责任</w:t>
      </w:r>
    </w:p>
    <w:p w14:paraId="0134241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如因发包人或承包人违约造成安全事故，将依法追究责任。任何一方因为未切实履行本合同约定的义务而给对方或第三方造成任何损失必须承担赔偿责任；对己方造成任何损失则自行承担经济损失责任及善后处理责任。在施工过程中，若发现施工单位有安全问题或有违反安全管理规章制度的情况，可视为施工单位违约，应按照合同约定的违约金方式处理，严重时可解除合同，同时将其违约行为纳入公司信用信息管理系统。</w:t>
      </w:r>
    </w:p>
    <w:p w14:paraId="28BCF33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四、其他</w:t>
      </w:r>
    </w:p>
    <w:p w14:paraId="0E3A08D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1、双方签署《</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》的同时签订本协议。本协议与双方签署的《</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》时效相同并具有同等法律效力。</w:t>
      </w:r>
    </w:p>
    <w:p w14:paraId="3C1C8B5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2、本协议一式肆份，双方各执二份。由双方法定代表人或其授权的代理人签署与加盖公章后生效，主体合同到期后本协议同时终止。</w:t>
      </w:r>
    </w:p>
    <w:p w14:paraId="74CD16DC">
      <w:pPr>
        <w:keepNext w:val="0"/>
        <w:keepLines w:val="0"/>
        <w:pageBreakBefore w:val="0"/>
        <w:widowControl w:val="0"/>
        <w:spacing w:line="360" w:lineRule="auto"/>
        <w:rPr>
          <w:rFonts w:hint="default" w:ascii="宋体" w:hAnsi="宋体" w:eastAsia="宋体" w:cs="宋体"/>
          <w:sz w:val="24"/>
          <w:szCs w:val="32"/>
          <w:lang w:val="en-US" w:eastAsia="zh-CN"/>
        </w:rPr>
      </w:pPr>
      <w:r>
        <w:rPr>
          <w:rFonts w:hint="eastAsia" w:ascii="宋体" w:hAnsi="宋体" w:eastAsia="宋体" w:cs="宋体"/>
          <w:sz w:val="24"/>
          <w:szCs w:val="32"/>
        </w:rPr>
        <w:t xml:space="preserve">发包人：南京市江宁区交通运输局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承包人：</w:t>
      </w:r>
    </w:p>
    <w:p w14:paraId="3D1F96B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（盖单位章）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（盖单位章）</w:t>
      </w:r>
    </w:p>
    <w:p w14:paraId="14E9F49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法定代表人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法定代表人</w:t>
      </w:r>
    </w:p>
    <w:p w14:paraId="328A495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或其委托代理人： （签字）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或其委托代理人： （签字）</w:t>
      </w:r>
    </w:p>
    <w:p w14:paraId="6C2E113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 xml:space="preserve">年 月 日 </w:t>
      </w:r>
      <w:r>
        <w:rPr>
          <w:rFonts w:hint="eastAsia" w:ascii="宋体" w:hAnsi="宋体" w:eastAsia="宋体" w:cs="宋体"/>
          <w:sz w:val="24"/>
          <w:szCs w:val="32"/>
          <w:lang w:val="en-US" w:eastAsia="zh-CN"/>
        </w:rPr>
        <w:t xml:space="preserve">                             </w:t>
      </w:r>
      <w:r>
        <w:rPr>
          <w:rFonts w:hint="eastAsia" w:ascii="宋体" w:hAnsi="宋体" w:eastAsia="宋体" w:cs="宋体"/>
          <w:sz w:val="24"/>
          <w:szCs w:val="32"/>
        </w:rPr>
        <w:t>年 月 日</w:t>
      </w:r>
    </w:p>
    <w:p w14:paraId="25C12B51">
      <w:pPr>
        <w:rPr>
          <w:rFonts w:hint="eastAsia" w:ascii="Calibri" w:hAnsi="Calibri"/>
        </w:rPr>
      </w:pPr>
      <w:r>
        <w:rPr>
          <w:rFonts w:hint="eastAsia" w:ascii="Calibri" w:hAnsi="Calibri"/>
        </w:rPr>
        <w:br w:type="page" w:clear="all"/>
      </w:r>
    </w:p>
    <w:p w14:paraId="2DB17A7E">
      <w:pPr>
        <w:jc w:val="center"/>
        <w:rPr>
          <w:rFonts w:hint="eastAsia" w:ascii="Calibri" w:hAnsi="Calibri"/>
          <w:b/>
          <w:bCs/>
          <w:sz w:val="24"/>
          <w:szCs w:val="32"/>
        </w:rPr>
      </w:pPr>
      <w:r>
        <w:rPr>
          <w:rFonts w:hint="eastAsia" w:ascii="Calibri" w:hAnsi="Calibri"/>
          <w:b/>
          <w:bCs/>
          <w:sz w:val="24"/>
          <w:szCs w:val="32"/>
        </w:rPr>
        <w:t>合同条款</w:t>
      </w:r>
    </w:p>
    <w:p w14:paraId="72F07EB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一、名词解释</w:t>
      </w:r>
    </w:p>
    <w:p w14:paraId="1CD3F00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除另有说明外，下列名词的含义如下：</w:t>
      </w:r>
    </w:p>
    <w:p w14:paraId="16E81D5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1、“发包人”是指投资建设的单位。本工程发包人是南京市江宁区交通运输</w:t>
      </w:r>
    </w:p>
    <w:p w14:paraId="4BA946E1">
      <w:pPr>
        <w:keepNext w:val="0"/>
        <w:keepLines w:val="0"/>
        <w:pageBreakBefore w:val="0"/>
        <w:widowControl w:val="0"/>
        <w:spacing w:line="360" w:lineRule="auto"/>
        <w:rPr>
          <w:rFonts w:hint="eastAsia" w:ascii="宋体" w:hAnsi="宋体" w:eastAsia="宋体" w:cs="宋体"/>
          <w:sz w:val="24"/>
          <w:szCs w:val="32"/>
        </w:rPr>
      </w:pPr>
      <w:r>
        <w:rPr>
          <w:rFonts w:hint="eastAsia" w:ascii="宋体" w:hAnsi="宋体" w:eastAsia="宋体" w:cs="宋体"/>
          <w:sz w:val="24"/>
          <w:szCs w:val="32"/>
        </w:rPr>
        <w:t>局。发包人代表：由发包人委托，负责各合同段施工、养护管理工作的管理处。</w:t>
      </w:r>
    </w:p>
    <w:p w14:paraId="7DCFCE2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2、承包人是指接到建设(招标)单位中标通知，并与建设(招标)单位签订了承包协议书的投标单位。本工程承包人是</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w:t>
      </w:r>
    </w:p>
    <w:p w14:paraId="7515896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3、项目经理是指由承包人委派、全面负责其承包工程按合同规定施工的经济和技术的代理人。承包人应将对项目经理的委任以书面形式通知建设(招标)单位。本工程项目经理是指</w:t>
      </w:r>
      <w:r>
        <w:rPr>
          <w:rFonts w:hint="eastAsia" w:ascii="宋体" w:hAnsi="宋体" w:eastAsia="宋体" w:cs="宋体"/>
          <w:sz w:val="24"/>
          <w:szCs w:val="32"/>
          <w:highlight w:val="none"/>
          <w:lang w:val="en-US" w:eastAsia="zh-CN"/>
        </w:rPr>
        <w:t xml:space="preserve">              </w:t>
      </w:r>
      <w:r>
        <w:rPr>
          <w:rFonts w:hint="eastAsia" w:ascii="宋体" w:hAnsi="宋体" w:eastAsia="宋体" w:cs="宋体"/>
          <w:sz w:val="24"/>
          <w:szCs w:val="32"/>
          <w:highlight w:val="none"/>
        </w:rPr>
        <w:t>。</w:t>
      </w:r>
    </w:p>
    <w:p w14:paraId="49ED32CA">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4、工程是指列入本合同必须完成的全部工程（包括临时工程以及由符合程序而签署变更通知和额外工程项目）。</w:t>
      </w:r>
    </w:p>
    <w:p w14:paraId="67CE44A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5、施工设备</w:t>
      </w:r>
    </w:p>
    <w:p w14:paraId="414CD8A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是指承包人为实施完成本合同工程以及临时工程、临时设施和维护工程所必</w:t>
      </w:r>
    </w:p>
    <w:p w14:paraId="638AED53">
      <w:pPr>
        <w:keepNext w:val="0"/>
        <w:keepLines w:val="0"/>
        <w:pageBreakBefore w:val="0"/>
        <w:widowControl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须的全部机械、器具等。</w:t>
      </w:r>
    </w:p>
    <w:p w14:paraId="1A10283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6、合同价款</w:t>
      </w:r>
    </w:p>
    <w:p w14:paraId="411BF4F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是指按本合同条款中的有关规定，经双方确认认可、据实结算的总金额。</w:t>
      </w:r>
    </w:p>
    <w:p w14:paraId="7F1F7FA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7、技术规范</w:t>
      </w:r>
    </w:p>
    <w:p w14:paraId="1D5ED80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是指合同文件中的技术规范。该规范是根据有关《规范》摘录合编的，是对</w:t>
      </w:r>
    </w:p>
    <w:p w14:paraId="019D0B97">
      <w:pPr>
        <w:keepNext w:val="0"/>
        <w:keepLines w:val="0"/>
        <w:pageBreakBefore w:val="0"/>
        <w:widowControl w:val="0"/>
        <w:spacing w:line="360" w:lineRule="auto"/>
        <w:rPr>
          <w:rFonts w:hint="eastAsia" w:ascii="宋体" w:hAnsi="宋体" w:eastAsia="宋体" w:cs="宋体"/>
          <w:sz w:val="24"/>
          <w:szCs w:val="32"/>
          <w:highlight w:val="none"/>
        </w:rPr>
      </w:pPr>
      <w:r>
        <w:rPr>
          <w:rFonts w:hint="eastAsia" w:ascii="宋体" w:hAnsi="宋体" w:eastAsia="宋体" w:cs="宋体"/>
          <w:sz w:val="24"/>
          <w:szCs w:val="32"/>
          <w:highlight w:val="none"/>
        </w:rPr>
        <w:t>本合同工程施工的技术要求。</w:t>
      </w:r>
    </w:p>
    <w:p w14:paraId="14B5006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8、合同</w:t>
      </w:r>
    </w:p>
    <w:p w14:paraId="5AA347F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是发包人和承包人法定代表人或其授权代表之间正式签订的相互明确权利和义务关系的协议。</w:t>
      </w:r>
    </w:p>
    <w:p w14:paraId="6A1B952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9．暂列金额</w:t>
      </w:r>
    </w:p>
    <w:p w14:paraId="11A084E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暂列金额是在在</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清单中标明列入合同投标价的一项款额。暂列金额按单价类小计的 3%计列。</w:t>
      </w:r>
    </w:p>
    <w:p w14:paraId="463BD3F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10、“年”、“月”和“日”都应按公历计算。“天”：是指日历天。</w:t>
      </w:r>
    </w:p>
    <w:p w14:paraId="66BF8B6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11、“元”是指人民币元，是本合同中的货币单位。</w:t>
      </w:r>
    </w:p>
    <w:p w14:paraId="607EA2D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二、项目概况</w:t>
      </w:r>
    </w:p>
    <w:p w14:paraId="7B4615E4">
      <w:pPr>
        <w:keepNext w:val="0"/>
        <w:keepLines w:val="0"/>
        <w:pageBreakBefore w:val="0"/>
        <w:widowControl w:val="0"/>
        <w:spacing w:line="360" w:lineRule="auto"/>
        <w:ind w:firstLine="480"/>
        <w:rPr>
          <w:rFonts w:hint="eastAsia" w:ascii="宋体" w:hAnsi="宋体" w:eastAsia="宋体" w:cs="宋体"/>
          <w:sz w:val="24"/>
          <w:szCs w:val="32"/>
          <w:highlight w:val="none"/>
          <w:lang w:eastAsia="zh-CN"/>
        </w:rPr>
      </w:pPr>
      <w:r>
        <w:rPr>
          <w:rFonts w:hint="eastAsia" w:ascii="宋体" w:hAnsi="宋体" w:eastAsia="宋体" w:cs="宋体"/>
          <w:sz w:val="24"/>
          <w:szCs w:val="32"/>
          <w:highlight w:val="none"/>
        </w:rPr>
        <w:t>1、工程名称：</w:t>
      </w:r>
      <w:r>
        <w:rPr>
          <w:rFonts w:hint="eastAsia" w:ascii="宋体" w:hAnsi="宋体" w:cs="宋体"/>
          <w:sz w:val="24"/>
          <w:szCs w:val="32"/>
          <w:highlight w:val="none"/>
          <w:lang w:eastAsia="zh-CN"/>
        </w:rPr>
        <w:t>2026年江宁区林荫大道示范管护带养护服务</w:t>
      </w:r>
    </w:p>
    <w:p w14:paraId="109D5A6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2、工程地点：南京市江宁区</w:t>
      </w:r>
    </w:p>
    <w:p w14:paraId="25421607">
      <w:pPr>
        <w:keepNext w:val="0"/>
        <w:keepLines w:val="0"/>
        <w:pageBreakBefore w:val="0"/>
        <w:widowControl w:val="0"/>
        <w:spacing w:line="360" w:lineRule="auto"/>
        <w:ind w:firstLine="480"/>
        <w:rPr>
          <w:rFonts w:hint="eastAsia" w:ascii="宋体" w:hAnsi="宋体" w:eastAsia="宋体" w:cs="宋体"/>
          <w:sz w:val="24"/>
          <w:szCs w:val="32"/>
          <w:lang w:eastAsia="zh-CN"/>
        </w:rPr>
      </w:pPr>
      <w:r>
        <w:rPr>
          <w:rFonts w:hint="eastAsia" w:ascii="宋体" w:hAnsi="宋体" w:eastAsia="宋体" w:cs="宋体"/>
          <w:sz w:val="24"/>
          <w:szCs w:val="32"/>
        </w:rPr>
        <w:t>3、项目内容：</w:t>
      </w:r>
      <w:r>
        <w:rPr>
          <w:rFonts w:hint="eastAsia" w:ascii="宋体" w:hAnsi="宋体" w:eastAsia="宋体" w:cs="宋体"/>
          <w:sz w:val="24"/>
          <w:szCs w:val="32"/>
          <w:lang w:val="en-US" w:eastAsia="zh-CN"/>
        </w:rPr>
        <w:t>主要内容包括林荫大道日常巡查、道路日常养护、桥梁日常养护、路面保洁（人员配合机械保洁类）、林荫大道苗木绿化一级养护，修剪、绿化补植、桥涵构造物维修维护及经常性检查、标志标线等安全设施的清洗，维修，维护、边沟清理、边坡清理、排水系统疏通等</w:t>
      </w:r>
      <w:r>
        <w:rPr>
          <w:rFonts w:hint="eastAsia" w:ascii="宋体" w:hAnsi="宋体" w:eastAsia="宋体" w:cs="宋体"/>
          <w:sz w:val="24"/>
          <w:szCs w:val="32"/>
        </w:rPr>
        <w:t>以及采购人指令的其它工作内容（以工程量清单为准）。具体详见养护清单</w:t>
      </w:r>
      <w:r>
        <w:rPr>
          <w:rFonts w:hint="eastAsia" w:ascii="宋体" w:hAnsi="宋体" w:eastAsia="宋体" w:cs="宋体"/>
          <w:sz w:val="24"/>
          <w:szCs w:val="32"/>
          <w:lang w:eastAsia="zh-CN"/>
        </w:rPr>
        <w:t>。</w:t>
      </w:r>
    </w:p>
    <w:p w14:paraId="08953622">
      <w:pPr>
        <w:keepNext w:val="0"/>
        <w:keepLines w:val="0"/>
        <w:pageBreakBefore w:val="0"/>
        <w:widowControl w:val="0"/>
        <w:spacing w:line="360" w:lineRule="auto"/>
        <w:ind w:firstLine="480"/>
        <w:rPr>
          <w:rFonts w:hint="default" w:ascii="宋体" w:hAnsi="宋体" w:eastAsia="宋体" w:cs="宋体"/>
          <w:sz w:val="24"/>
          <w:szCs w:val="32"/>
          <w:lang w:val="en-US" w:eastAsia="zh-CN"/>
        </w:rPr>
      </w:pPr>
      <w:r>
        <w:rPr>
          <w:rFonts w:hint="eastAsia" w:ascii="宋体" w:hAnsi="宋体" w:eastAsia="宋体" w:cs="宋体"/>
          <w:sz w:val="24"/>
          <w:szCs w:val="32"/>
        </w:rPr>
        <w:t>4、养护期限：</w:t>
      </w:r>
      <w:r>
        <w:rPr>
          <w:rFonts w:hint="eastAsia" w:ascii="宋体" w:hAnsi="宋体" w:eastAsia="宋体" w:cs="宋体"/>
          <w:sz w:val="24"/>
          <w:szCs w:val="32"/>
          <w:lang w:val="en-US" w:eastAsia="zh-CN"/>
        </w:rPr>
        <w:t xml:space="preserve">                       </w:t>
      </w:r>
    </w:p>
    <w:p w14:paraId="25E612F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三、养护质量及验收标准和依据</w:t>
      </w:r>
    </w:p>
    <w:p w14:paraId="2100A8FE">
      <w:pPr>
        <w:keepNext w:val="0"/>
        <w:keepLines w:val="0"/>
        <w:pageBreakBefore w:val="0"/>
        <w:widowControl w:val="0"/>
        <w:spacing w:line="360" w:lineRule="auto"/>
        <w:ind w:firstLine="420"/>
        <w:rPr>
          <w:rFonts w:hint="eastAsia" w:ascii="宋体" w:hAnsi="宋体" w:eastAsia="宋体" w:cs="宋体"/>
          <w:sz w:val="24"/>
          <w:szCs w:val="24"/>
        </w:rPr>
      </w:pPr>
      <w:r>
        <w:rPr>
          <w:rFonts w:hint="eastAsia" w:ascii="宋体" w:hAnsi="宋体" w:eastAsia="宋体" w:cs="宋体"/>
          <w:sz w:val="24"/>
          <w:szCs w:val="24"/>
        </w:rPr>
        <w:t>1、养护工作必须全面达到</w:t>
      </w:r>
      <w:r>
        <w:rPr>
          <w:rFonts w:hint="eastAsia" w:ascii="宋体" w:hAnsi="宋体" w:eastAsia="宋体" w:cs="宋体"/>
          <w:b w:val="0"/>
          <w:bCs w:val="0"/>
          <w:sz w:val="24"/>
          <w:szCs w:val="24"/>
          <w:highlight w:val="none"/>
          <w:lang w:val="en-US" w:eastAsia="zh-CN"/>
        </w:rPr>
        <w:t>《江宁区乡村林荫大道管护方案》、</w:t>
      </w:r>
      <w:r>
        <w:rPr>
          <w:rFonts w:hint="eastAsia" w:ascii="宋体" w:hAnsi="宋体" w:eastAsia="宋体" w:cs="宋体"/>
          <w:b w:val="0"/>
          <w:bCs w:val="0"/>
          <w:sz w:val="24"/>
          <w:szCs w:val="24"/>
          <w:highlight w:val="none"/>
          <w:lang w:val="zh-CN"/>
        </w:rPr>
        <w:t>《道路养护技术规范》</w:t>
      </w:r>
      <w:r>
        <w:rPr>
          <w:rFonts w:hint="eastAsia" w:ascii="宋体" w:hAnsi="宋体" w:cs="宋体"/>
          <w:b w:val="0"/>
          <w:bCs w:val="0"/>
          <w:sz w:val="24"/>
          <w:szCs w:val="24"/>
          <w:highlight w:val="none"/>
          <w:lang w:val="zh-CN"/>
        </w:rPr>
        <w:t>、</w:t>
      </w:r>
      <w:r>
        <w:rPr>
          <w:rFonts w:hint="eastAsia" w:ascii="宋体" w:hAnsi="宋体" w:eastAsia="宋体" w:cs="宋体"/>
          <w:b w:val="0"/>
          <w:bCs w:val="0"/>
          <w:sz w:val="24"/>
          <w:szCs w:val="24"/>
          <w:highlight w:val="none"/>
        </w:rPr>
        <w:t>《公路</w:t>
      </w:r>
      <w:r>
        <w:rPr>
          <w:rFonts w:hint="eastAsia" w:ascii="宋体" w:hAnsi="宋体" w:eastAsia="宋体" w:cs="宋体"/>
          <w:sz w:val="24"/>
          <w:szCs w:val="24"/>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1017—2020）等相关规范、标准。省、市、区公路行业主管部门颁布的养护考核办法、养护管理办法及相关规定。</w:t>
      </w:r>
      <w:r>
        <w:rPr>
          <w:rFonts w:hint="eastAsia" w:ascii="宋体" w:hAnsi="宋体" w:eastAsia="宋体" w:cs="宋体"/>
          <w:sz w:val="24"/>
          <w:szCs w:val="24"/>
          <w:highlight w:val="none"/>
          <w:lang w:val="en-US" w:eastAsia="zh-CN"/>
        </w:rPr>
        <w:t>区政府印发的</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江宁区乡村道林荫大道管护方案</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w:t>
      </w:r>
      <w:r>
        <w:rPr>
          <w:rFonts w:hint="eastAsia" w:ascii="宋体" w:hAnsi="宋体" w:eastAsia="宋体" w:cs="宋体"/>
          <w:sz w:val="24"/>
          <w:szCs w:val="24"/>
          <w:highlight w:val="none"/>
        </w:rPr>
        <w:t>江宁区交通运输局下发的有关文件、规定等</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各类专项行动的要求。江宁区交通运输局与养护单位签订的合同。</w:t>
      </w:r>
    </w:p>
    <w:p w14:paraId="5EEB777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rPr>
        <w:t>2、考核内</w:t>
      </w:r>
      <w:r>
        <w:rPr>
          <w:rFonts w:hint="eastAsia" w:ascii="宋体" w:hAnsi="宋体" w:eastAsia="宋体" w:cs="宋体"/>
          <w:sz w:val="24"/>
          <w:szCs w:val="32"/>
          <w:highlight w:val="none"/>
        </w:rPr>
        <w:t>容：公路养护管理检查考核主要包括外业检查和内业检查两个方面。</w:t>
      </w:r>
    </w:p>
    <w:p w14:paraId="0994708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3、考核方式：</w:t>
      </w:r>
      <w:r>
        <w:rPr>
          <w:rFonts w:hint="eastAsia" w:ascii="宋体" w:hAnsi="宋体" w:cs="宋体"/>
          <w:sz w:val="24"/>
          <w:szCs w:val="32"/>
          <w:highlight w:val="none"/>
          <w:lang w:eastAsia="zh-CN"/>
        </w:rPr>
        <w:t>按考核办法每月检查，季度考核。</w:t>
      </w:r>
    </w:p>
    <w:p w14:paraId="3763785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其中月度考核主要对养护外业情况进行检查，下发月度考核通报；季度考核将对养护外业、内业共同进行检查，并下发季度考核考核通报。具体考评办法见</w:t>
      </w:r>
    </w:p>
    <w:p w14:paraId="57F3D6F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合同附件。</w:t>
      </w:r>
    </w:p>
    <w:p w14:paraId="019E526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四、发包人主要义务</w:t>
      </w:r>
    </w:p>
    <w:p w14:paraId="1A93668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1、提供与本工程有关的资料。</w:t>
      </w:r>
    </w:p>
    <w:p w14:paraId="54E2063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2、协助承包人办理施工、养护所需有关证件和批件，并配合协调交警、路政及地方等关系。</w:t>
      </w:r>
    </w:p>
    <w:p w14:paraId="3B84EDE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3、制定本合同项目的管理制度、技术要求等。</w:t>
      </w:r>
    </w:p>
    <w:p w14:paraId="6E13234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4、检查和监督承包人的养护管理及质量、安全生产和环境保护工作。</w:t>
      </w:r>
    </w:p>
    <w:p w14:paraId="6F908F3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5、按时审查承包人的养护申请款，及时支付养护款项。</w:t>
      </w:r>
    </w:p>
    <w:p w14:paraId="418F177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6、双方约定发包人应完成的其他工作。</w:t>
      </w:r>
    </w:p>
    <w:p w14:paraId="2326700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五、承包人主要义务</w:t>
      </w:r>
    </w:p>
    <w:p w14:paraId="532D323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按招标文件的技术规范以及发包人或其代表的要求完成本项目合同范围内的养护管理工作。养护期间服从发包人或其代表的现场管理、监督、检查和验收，采取切实可行的措施，确保按期完成发包人代表委托的养护任务，并保证达到发包人代表要求的质量等级。</w:t>
      </w:r>
    </w:p>
    <w:p w14:paraId="285845D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2、承包人不得随意拖延维修时间（不可抗力的因素除外），承包人应在 24小时内完成一般病害的养护修复任务，严重影响交通安全的病害应及时处理，对严重病害以及技术有特殊性要求的项目应采取必要的措施。若承包人未能响应，发包人将按合同条款的规定进行处理。</w:t>
      </w:r>
    </w:p>
    <w:p w14:paraId="70A34BA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3、承包人应加强养护巡查，做好巡查记录，以及上级部门要求的各类台账,及时进行维护，对巡查发现的重大问题及时通报发包人代表。</w:t>
      </w:r>
    </w:p>
    <w:p w14:paraId="67FD70EE">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4、</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人进入现场前，首先与交警、路政、地方政府等部门协调后，取得相关手续后方可进入现场，所有的协调工作由</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人自行完成。</w:t>
      </w:r>
    </w:p>
    <w:p w14:paraId="2A0208C8">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5、配合发包人代表编制合同范围内的年度养护计划；配合发包人代表建立完整的养护技术档案，并完善补充相关数据资料。</w:t>
      </w:r>
    </w:p>
    <w:p w14:paraId="7A9654DF">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6、</w:t>
      </w:r>
      <w:r>
        <w:rPr>
          <w:rFonts w:hint="eastAsia" w:ascii="宋体" w:hAnsi="宋体" w:eastAsia="宋体" w:cs="宋体"/>
          <w:color w:val="000000"/>
          <w:sz w:val="24"/>
          <w:szCs w:val="24"/>
          <w:highlight w:val="none"/>
          <w:lang w:bidi="ar"/>
        </w:rPr>
        <w:t>承包人应按照投标承诺和备案合同约定派驻现场技术、经济管理人员，并确保项目管理机构主要成员常驻项目现场，原则上不得调整；确需调整的，需经发包人同意。发包人应在进场工作前严格核对进场服务队伍，承包人擅自改变项目负责人及主要管理人员的，一律不得进场作业。</w:t>
      </w:r>
    </w:p>
    <w:p w14:paraId="143CA7C4">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7、</w:t>
      </w:r>
      <w:r>
        <w:rPr>
          <w:rFonts w:hint="eastAsia" w:ascii="宋体" w:hAnsi="宋体" w:eastAsia="宋体" w:cs="宋体"/>
          <w:color w:val="000000"/>
          <w:sz w:val="24"/>
          <w:szCs w:val="24"/>
          <w:highlight w:val="none"/>
          <w:lang w:bidi="ar"/>
        </w:rPr>
        <w:t>日常小修保养过程中不能封闭交通（特殊情况下的应急处置除外），由此引发的养护安全，临时标牌制作和设置，养护人员、设备、材料等的调配运输等问题，承包人自行考虑，由此产生的费用包含在合同总价中，不单独计量；承包人进入项目现场前，首先与交警、路政、地方政府等部门协调，取得相关手续后方可进入项目现场，所有的协调工作由承包人自行完成，由此产生的费用包含在合同总价中，不单独计量。</w:t>
      </w:r>
    </w:p>
    <w:p w14:paraId="6DD5BE71">
      <w:pPr>
        <w:keepNext w:val="0"/>
        <w:keepLines w:val="0"/>
        <w:pageBreakBefore w:val="0"/>
        <w:widowControl/>
        <w:spacing w:line="360" w:lineRule="auto"/>
        <w:ind w:firstLine="480"/>
        <w:jc w:val="left"/>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8、承包人</w:t>
      </w:r>
      <w:r>
        <w:rPr>
          <w:rFonts w:hint="eastAsia" w:ascii="宋体" w:hAnsi="宋体" w:eastAsia="宋体" w:cs="宋体"/>
          <w:color w:val="000000"/>
          <w:sz w:val="24"/>
          <w:szCs w:val="24"/>
          <w:highlight w:val="none"/>
          <w:lang w:bidi="ar"/>
        </w:rPr>
        <w:t>应配备足够数量的养护、保洁人员及机械，未经发包人代表批准不得随意更换或减少主要养护管理人员和机械，</w:t>
      </w:r>
      <w:r>
        <w:rPr>
          <w:rFonts w:hint="eastAsia" w:ascii="宋体" w:hAnsi="宋体" w:eastAsia="宋体" w:cs="宋体"/>
          <w:color w:val="000000"/>
          <w:sz w:val="24"/>
          <w:szCs w:val="24"/>
          <w:highlight w:val="none"/>
          <w:lang w:val="en-US" w:eastAsia="zh-CN" w:bidi="ar"/>
        </w:rPr>
        <w:t>承包</w:t>
      </w:r>
      <w:r>
        <w:rPr>
          <w:rFonts w:hint="eastAsia" w:ascii="宋体" w:hAnsi="宋体" w:eastAsia="宋体" w:cs="宋体"/>
          <w:color w:val="000000"/>
          <w:sz w:val="24"/>
          <w:szCs w:val="24"/>
          <w:highlight w:val="none"/>
          <w:lang w:bidi="ar"/>
        </w:rPr>
        <w:t>人针对本项目配备的人员须统一安全标志服装，养护车辆须统一标识。为此发生的相关费用包含在所报的单价或总价中，发包人不再另行计列和支付。</w:t>
      </w:r>
    </w:p>
    <w:p w14:paraId="4D4285FB">
      <w:pPr>
        <w:keepNext w:val="0"/>
        <w:keepLines w:val="0"/>
        <w:pageBreakBefore w:val="0"/>
        <w:widowControl/>
        <w:spacing w:line="360" w:lineRule="auto"/>
        <w:ind w:firstLine="480"/>
        <w:jc w:val="left"/>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9</w:t>
      </w:r>
      <w:r>
        <w:rPr>
          <w:rFonts w:hint="eastAsia" w:ascii="宋体" w:hAnsi="宋体" w:cs="宋体"/>
          <w:color w:val="000000"/>
          <w:sz w:val="24"/>
          <w:szCs w:val="24"/>
          <w:highlight w:val="none"/>
          <w:lang w:bidi="ar"/>
        </w:rPr>
        <w:t>、本养护工作的生活用电用水，均由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人自行解决。</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人应将生活及</w:t>
      </w:r>
      <w:r>
        <w:rPr>
          <w:rFonts w:hint="eastAsia" w:ascii="宋体" w:hAnsi="宋体" w:cs="宋体"/>
          <w:color w:val="000000"/>
          <w:sz w:val="24"/>
          <w:szCs w:val="24"/>
          <w:highlight w:val="none"/>
          <w:lang w:val="en-US" w:eastAsia="zh-CN" w:bidi="ar"/>
        </w:rPr>
        <w:t>工作</w:t>
      </w:r>
      <w:r>
        <w:rPr>
          <w:rFonts w:hint="eastAsia" w:ascii="宋体" w:hAnsi="宋体" w:cs="宋体"/>
          <w:color w:val="000000"/>
          <w:sz w:val="24"/>
          <w:szCs w:val="24"/>
          <w:highlight w:val="none"/>
          <w:lang w:bidi="ar"/>
        </w:rPr>
        <w:t>中留下的杂物、垃圾等清理出道路用地范围并妥善处理，不得造成二次污染，影响路容路貌。</w:t>
      </w:r>
    </w:p>
    <w:p w14:paraId="664DF0C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10</w:t>
      </w:r>
      <w:r>
        <w:rPr>
          <w:rFonts w:ascii="宋体" w:hAnsi="宋体" w:eastAsia="宋体" w:cs="宋体"/>
          <w:color w:val="000000"/>
          <w:sz w:val="24"/>
          <w:szCs w:val="24"/>
          <w:highlight w:val="none"/>
          <w:lang w:val="en-US" w:eastAsia="zh-CN" w:bidi="ar"/>
        </w:rPr>
        <w:t>、</w:t>
      </w:r>
      <w:r>
        <w:rPr>
          <w:rFonts w:ascii="宋体" w:hAnsi="宋体" w:eastAsia="宋体" w:cs="宋体"/>
          <w:sz w:val="24"/>
          <w:szCs w:val="24"/>
          <w:highlight w:val="none"/>
          <w:lang w:val="en-US" w:eastAsia="zh-CN" w:bidi="ar-SA"/>
        </w:rPr>
        <w:t>严格遵守</w:t>
      </w:r>
      <w:r>
        <w:rPr>
          <w:rFonts w:hint="eastAsia" w:ascii="宋体" w:hAnsi="宋体" w:eastAsia="宋体" w:cs="宋体"/>
          <w:sz w:val="24"/>
          <w:szCs w:val="24"/>
          <w:highlight w:val="none"/>
          <w:lang w:val="en-US" w:eastAsia="zh-CN" w:bidi="ar-SA"/>
        </w:rPr>
        <w:t>项目</w:t>
      </w:r>
      <w:r>
        <w:rPr>
          <w:rFonts w:ascii="宋体" w:hAnsi="宋体" w:eastAsia="宋体" w:cs="宋体"/>
          <w:sz w:val="24"/>
          <w:szCs w:val="24"/>
          <w:highlight w:val="none"/>
          <w:lang w:val="en-US" w:eastAsia="zh-CN" w:bidi="ar-SA"/>
        </w:rPr>
        <w:t>建设安全生产的有关规定，严格按照安全标准</w:t>
      </w:r>
      <w:r>
        <w:rPr>
          <w:rFonts w:hint="eastAsia" w:ascii="宋体" w:hAnsi="宋体" w:eastAsia="宋体" w:cs="宋体"/>
          <w:sz w:val="24"/>
          <w:szCs w:val="24"/>
          <w:highlight w:val="none"/>
          <w:lang w:val="en-US" w:eastAsia="zh-CN" w:bidi="ar-SA"/>
        </w:rPr>
        <w:t>工作</w:t>
      </w:r>
      <w:r>
        <w:rPr>
          <w:rFonts w:ascii="宋体" w:hAnsi="宋体" w:eastAsia="宋体" w:cs="宋体"/>
          <w:sz w:val="24"/>
          <w:szCs w:val="24"/>
          <w:highlight w:val="none"/>
          <w:lang w:val="en-US" w:eastAsia="zh-CN" w:bidi="ar-SA"/>
        </w:rPr>
        <w:t>，采取必要的安全防护措施并对</w:t>
      </w:r>
      <w:r>
        <w:rPr>
          <w:rFonts w:hint="eastAsia" w:ascii="宋体" w:hAnsi="宋体" w:eastAsia="宋体" w:cs="宋体"/>
          <w:sz w:val="24"/>
          <w:szCs w:val="24"/>
          <w:highlight w:val="none"/>
          <w:lang w:val="en-US" w:eastAsia="zh-CN" w:bidi="ar-SA"/>
        </w:rPr>
        <w:t>养护</w:t>
      </w:r>
      <w:r>
        <w:rPr>
          <w:rFonts w:ascii="宋体" w:hAnsi="宋体" w:eastAsia="宋体" w:cs="宋体"/>
          <w:sz w:val="24"/>
          <w:szCs w:val="24"/>
          <w:highlight w:val="none"/>
          <w:lang w:val="en-US" w:eastAsia="zh-CN" w:bidi="ar-SA"/>
        </w:rPr>
        <w:t>人员进行安全生产教育和管理；健全组织制度，指定主要领导负责安全工作，确保作业人员和车辆、设备的安全。</w:t>
      </w:r>
    </w:p>
    <w:p w14:paraId="5477844B">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上路作业应按规定办理相关手续，并服从公安、路政等部门的管理；作业人员须穿着统一的安全标志服在作业封闭区内作业，严禁随意穿越车道；在作业封闭区内的车辆和设备应按要求设置安全标志，并开启黄色警示灯和双跳灯；运输车辆进出作业封闭区应遵守现场管理人员指挥，严禁私自开启中央分隔带开口调头；白天滞留在公路上的</w:t>
      </w:r>
      <w:r>
        <w:rPr>
          <w:rFonts w:hint="eastAsia" w:ascii="宋体" w:hAnsi="宋体" w:eastAsia="宋体" w:cs="宋体"/>
          <w:sz w:val="24"/>
          <w:szCs w:val="24"/>
          <w:highlight w:val="none"/>
          <w:lang w:val="en-US" w:eastAsia="zh-CN" w:bidi="ar-SA"/>
        </w:rPr>
        <w:t>养护</w:t>
      </w:r>
      <w:r>
        <w:rPr>
          <w:rFonts w:ascii="宋体" w:hAnsi="宋体" w:eastAsia="宋体" w:cs="宋体"/>
          <w:sz w:val="24"/>
          <w:szCs w:val="24"/>
          <w:highlight w:val="none"/>
          <w:lang w:val="en-US" w:eastAsia="zh-CN" w:bidi="ar-SA"/>
        </w:rPr>
        <w:t>设备应整齐地停放，不得侵占行车道，并按规定设置相应的警示和隔离标志。</w:t>
      </w:r>
    </w:p>
    <w:p w14:paraId="101CD8E0">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2"/>
        <w:jc w:val="left"/>
        <w:rPr>
          <w:rFonts w:ascii="宋体" w:hAnsi="宋体" w:eastAsia="宋体" w:cs="宋体"/>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
        </w:rPr>
        <w:t>承包人</w:t>
      </w:r>
      <w:r>
        <w:rPr>
          <w:rFonts w:ascii="宋体" w:hAnsi="宋体" w:eastAsia="宋体" w:cs="宋体"/>
          <w:b/>
          <w:bCs/>
          <w:sz w:val="24"/>
          <w:szCs w:val="24"/>
          <w:highlight w:val="none"/>
          <w:lang w:val="en-US" w:eastAsia="zh-CN" w:bidi="ar-SA"/>
        </w:rPr>
        <w:t>在</w:t>
      </w:r>
      <w:r>
        <w:rPr>
          <w:rFonts w:hint="eastAsia" w:ascii="宋体" w:hAnsi="宋体" w:eastAsia="宋体" w:cs="宋体"/>
          <w:b/>
          <w:bCs/>
          <w:sz w:val="24"/>
          <w:szCs w:val="24"/>
          <w:highlight w:val="none"/>
          <w:lang w:val="en-US" w:eastAsia="zh-CN" w:bidi="ar-SA"/>
        </w:rPr>
        <w:t>工作</w:t>
      </w:r>
      <w:r>
        <w:rPr>
          <w:rFonts w:ascii="宋体" w:hAnsi="宋体" w:eastAsia="宋体" w:cs="宋体"/>
          <w:b/>
          <w:bCs/>
          <w:sz w:val="24"/>
          <w:szCs w:val="24"/>
          <w:highlight w:val="none"/>
          <w:lang w:val="en-US" w:eastAsia="zh-CN" w:bidi="ar-SA"/>
        </w:rPr>
        <w:t>过程中发生的任何交通、生产事故造成财产损失或人员伤亡的，以及与其他第三方发生的任何纠纷或事故，任何责任和费用均由投标人自行承担。</w:t>
      </w:r>
    </w:p>
    <w:p w14:paraId="73BF9132">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eastAsia="宋体" w:cs="宋体"/>
          <w:sz w:val="24"/>
          <w:szCs w:val="24"/>
          <w:highlight w:val="none"/>
          <w:lang w:val="en-US" w:eastAsia="zh-CN" w:bidi="ar-SA"/>
        </w:rPr>
        <w:t>11、</w:t>
      </w:r>
      <w:r>
        <w:rPr>
          <w:rFonts w:hint="eastAsia" w:ascii="宋体" w:hAnsi="宋体" w:cs="宋体"/>
          <w:color w:val="000000"/>
          <w:sz w:val="24"/>
          <w:szCs w:val="24"/>
          <w:highlight w:val="none"/>
          <w:lang w:bidi="ar"/>
        </w:rPr>
        <w:t>遵守《江苏省公路条例》的有关规定，服从公安、路政部门的管理，自觉保护</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公路路产；遵守地方政府和有关部门对</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场地交通和噪音等管理规定，否则将承担由此造成的有权部门的处罚。</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人负责</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现场的环境保护工作，保证</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现场环境符合有关规定，加强对作业人员的环境保护意识教育。</w:t>
      </w:r>
    </w:p>
    <w:p w14:paraId="5E62FEF4">
      <w:pPr>
        <w:keepNext w:val="0"/>
        <w:keepLines w:val="0"/>
        <w:pageBreakBefore w:val="0"/>
        <w:spacing w:line="360" w:lineRule="auto"/>
        <w:ind w:firstLine="480"/>
        <w:rPr>
          <w:rFonts w:hint="eastAsia" w:ascii="宋体" w:hAnsi="宋体" w:cs="宋体"/>
          <w:sz w:val="24"/>
          <w:szCs w:val="24"/>
          <w:highlight w:val="none"/>
        </w:rPr>
      </w:pP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人负责养护现场的环境保护工作，保证养护现场环境符合有关规定，加强对作业人员的环境保护意识教育。若因使用农药不当而引发的纠纷由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人自行解决。废料应集中堆放，任何养护、保洁及生活垃圾必须自行妥善处理，不得抛洒在公路用地界内，在养护中应加强设备和材料的管理，不得抛、洒、滴、漏污染路面。</w:t>
      </w:r>
    </w:p>
    <w:p w14:paraId="173B7DDE">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2</w:t>
      </w:r>
      <w:r>
        <w:rPr>
          <w:rFonts w:ascii="宋体" w:hAnsi="宋体" w:eastAsia="宋体" w:cs="宋体"/>
          <w:sz w:val="24"/>
          <w:szCs w:val="24"/>
          <w:highlight w:val="none"/>
          <w:lang w:val="en-US" w:eastAsia="zh-CN" w:bidi="ar-SA"/>
        </w:rPr>
        <w:t>、</w:t>
      </w: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提出合理化建议降低了合同价格或者提高了本项目经济效益的，不得以该理由申请奖励经费。</w:t>
      </w:r>
    </w:p>
    <w:p w14:paraId="7CEC08FC">
      <w:pPr>
        <w:keepNext w:val="0"/>
        <w:keepLines w:val="0"/>
        <w:pageBreakBefore w:val="0"/>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firstLine="480"/>
        <w:jc w:val="left"/>
        <w:rPr>
          <w:rFonts w:ascii="宋体" w:hAnsi="宋体" w:eastAsia="宋体" w:cs="宋体"/>
          <w:sz w:val="24"/>
          <w:szCs w:val="24"/>
          <w:highlight w:val="none"/>
          <w:lang w:val="en-US" w:eastAsia="zh-CN" w:bidi="ar-SA"/>
        </w:rPr>
      </w:pPr>
      <w:r>
        <w:rPr>
          <w:rFonts w:ascii="宋体" w:hAnsi="宋体" w:eastAsia="宋体" w:cs="宋体"/>
          <w:sz w:val="24"/>
          <w:szCs w:val="24"/>
          <w:highlight w:val="none"/>
          <w:lang w:val="en-US" w:eastAsia="zh-CN" w:bidi="ar-SA"/>
        </w:rPr>
        <w:t>1</w:t>
      </w:r>
      <w:r>
        <w:rPr>
          <w:rFonts w:hint="eastAsia" w:ascii="宋体" w:hAnsi="宋体" w:eastAsia="宋体" w:cs="宋体"/>
          <w:sz w:val="24"/>
          <w:szCs w:val="24"/>
          <w:highlight w:val="none"/>
          <w:lang w:val="en-US" w:eastAsia="zh-CN" w:bidi="ar-SA"/>
        </w:rPr>
        <w:t>3</w:t>
      </w:r>
      <w:r>
        <w:rPr>
          <w:rFonts w:ascii="宋体" w:hAnsi="宋体" w:eastAsia="宋体" w:cs="宋体"/>
          <w:sz w:val="24"/>
          <w:szCs w:val="24"/>
          <w:highlight w:val="none"/>
          <w:lang w:val="en-US" w:eastAsia="zh-CN" w:bidi="ar-SA"/>
        </w:rPr>
        <w:t>、因物价波动引起的价格调整，应考虑在</w:t>
      </w:r>
      <w:r>
        <w:rPr>
          <w:rFonts w:hint="eastAsia" w:ascii="宋体" w:hAnsi="宋体" w:eastAsia="宋体" w:cs="宋体"/>
          <w:color w:val="000000"/>
          <w:sz w:val="24"/>
          <w:szCs w:val="24"/>
          <w:highlight w:val="none"/>
          <w:lang w:val="en-US" w:eastAsia="zh-CN" w:bidi="ar"/>
        </w:rPr>
        <w:t>承包人</w:t>
      </w:r>
      <w:r>
        <w:rPr>
          <w:rFonts w:ascii="宋体" w:hAnsi="宋体" w:eastAsia="宋体" w:cs="宋体"/>
          <w:sz w:val="24"/>
          <w:szCs w:val="24"/>
          <w:highlight w:val="none"/>
          <w:lang w:val="en-US" w:eastAsia="zh-CN" w:bidi="ar-SA"/>
        </w:rPr>
        <w:t>的投标报价中，不得另行申报价格调整。</w:t>
      </w:r>
    </w:p>
    <w:p w14:paraId="0DB49A67">
      <w:pPr>
        <w:keepNext w:val="0"/>
        <w:keepLines w:val="0"/>
        <w:pageBreakBefore w:val="0"/>
        <w:widowControl/>
        <w:spacing w:line="360" w:lineRule="auto"/>
        <w:ind w:firstLine="480"/>
        <w:jc w:val="left"/>
        <w:rPr>
          <w:rFonts w:hint="eastAsia" w:ascii="宋体" w:hAnsi="宋体" w:cs="宋体"/>
          <w:sz w:val="24"/>
          <w:szCs w:val="24"/>
          <w:highlight w:val="none"/>
        </w:rPr>
      </w:pPr>
      <w:r>
        <w:rPr>
          <w:rFonts w:hint="eastAsia" w:ascii="宋体" w:hAnsi="宋体" w:cs="宋体"/>
          <w:sz w:val="24"/>
          <w:szCs w:val="24"/>
          <w:highlight w:val="none"/>
        </w:rPr>
        <w:t>1</w:t>
      </w:r>
      <w:r>
        <w:rPr>
          <w:rFonts w:hint="eastAsia" w:ascii="宋体" w:hAnsi="宋体" w:cs="宋体"/>
          <w:sz w:val="24"/>
          <w:szCs w:val="24"/>
          <w:highlight w:val="none"/>
          <w:lang w:val="en-US" w:eastAsia="zh-CN"/>
        </w:rPr>
        <w:t>4</w:t>
      </w:r>
      <w:r>
        <w:rPr>
          <w:rFonts w:hint="eastAsia" w:ascii="宋体" w:hAnsi="宋体" w:cs="宋体"/>
          <w:sz w:val="24"/>
          <w:szCs w:val="24"/>
          <w:highlight w:val="none"/>
        </w:rPr>
        <w:t>、</w:t>
      </w:r>
      <w:r>
        <w:rPr>
          <w:rFonts w:hint="eastAsia" w:ascii="宋体" w:hAnsi="宋体" w:eastAsia="宋体" w:cs="宋体"/>
          <w:spacing w:val="0"/>
          <w:position w:val="0"/>
          <w:sz w:val="24"/>
          <w:szCs w:val="24"/>
          <w:highlight w:val="none"/>
          <w:lang w:val="en-US" w:eastAsia="zh-CN"/>
        </w:rPr>
        <w:t>养护期间承包人必须严格执行国家、地方政府有关项目安全管理方面的法律、法规及规章制度，同时严格执行发包人制订的本项目安全生产管理方面的规章制度、安全检查程序及施工安全管理要求，以及监理人有关安全工作的指示。本项目安全生产费为最高投标限价的1.5%，计入投标总价。安全生产费使用前经监理人、发包人及相关有权部门验收符合《公路水运安全生产监督管理办法》的规定，并根据实际发生额，经发包人审核后，据实支付。如承包人在此基础上增加安全生产费用以满足项目施工需要，则承包人应在本项目价格清单其他子目的单价或总额价中予以考虑，发包人不再另行支付。</w:t>
      </w:r>
    </w:p>
    <w:p w14:paraId="5C9DCECC">
      <w:pPr>
        <w:keepNext w:val="0"/>
        <w:keepLines w:val="0"/>
        <w:pageBreakBefore w:val="0"/>
        <w:widowControl w:val="0"/>
        <w:spacing w:line="360" w:lineRule="auto"/>
        <w:ind w:left="0" w:firstLine="480"/>
        <w:jc w:val="both"/>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15、</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在处理劳务事宜时，应充分考虑和尊重法定的节假日和公认的农作季节，尊重宗教习惯和风俗习惯，由于</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处理不当引起的费用或纠纷等责任由</w:t>
      </w:r>
      <w:r>
        <w:rPr>
          <w:rFonts w:hint="eastAsia" w:ascii="宋体" w:hAnsi="宋体" w:eastAsia="宋体" w:cs="宋体"/>
          <w:color w:val="000000"/>
          <w:sz w:val="24"/>
          <w:szCs w:val="24"/>
          <w:highlight w:val="none"/>
          <w:lang w:val="en-US" w:eastAsia="zh-CN" w:bidi="ar"/>
        </w:rPr>
        <w:t>承包人</w:t>
      </w:r>
      <w:r>
        <w:rPr>
          <w:rFonts w:hint="eastAsia" w:ascii="宋体" w:hAnsi="宋体" w:eastAsia="宋体" w:cs="宋体"/>
          <w:sz w:val="24"/>
          <w:szCs w:val="24"/>
          <w:highlight w:val="none"/>
          <w:lang w:val="en-US" w:eastAsia="zh-CN" w:bidi="ar-SA"/>
        </w:rPr>
        <w:t>自负。</w:t>
      </w:r>
    </w:p>
    <w:p w14:paraId="01B9EF1F">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6</w:t>
      </w: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人承诺按</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的要求提供应对恶劣天气、突发事件临时用工人员人数。按</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的需要，及时、保质保量的完成冬防扫雪除冰工作和汛期防汛抗旱工作。</w:t>
      </w:r>
    </w:p>
    <w:p w14:paraId="639EE4D1">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7</w:t>
      </w:r>
      <w:r>
        <w:rPr>
          <w:rFonts w:hint="eastAsia" w:ascii="宋体" w:hAnsi="宋体" w:cs="宋体"/>
          <w:color w:val="000000"/>
          <w:sz w:val="24"/>
          <w:szCs w:val="24"/>
          <w:highlight w:val="none"/>
          <w:lang w:bidi="ar"/>
        </w:rPr>
        <w:t>、以机械养护维修为主，文明生产，加强抢修能力，不断提高</w:t>
      </w:r>
      <w:r>
        <w:rPr>
          <w:rFonts w:hint="eastAsia" w:ascii="宋体" w:hAnsi="宋体" w:cs="宋体"/>
          <w:color w:val="000000"/>
          <w:sz w:val="24"/>
          <w:szCs w:val="24"/>
          <w:highlight w:val="none"/>
          <w:lang w:val="en-US" w:eastAsia="zh-CN" w:bidi="ar"/>
        </w:rPr>
        <w:t>养护</w:t>
      </w:r>
      <w:r>
        <w:rPr>
          <w:rFonts w:hint="eastAsia" w:ascii="宋体" w:hAnsi="宋体" w:cs="宋体"/>
          <w:color w:val="000000"/>
          <w:sz w:val="24"/>
          <w:szCs w:val="24"/>
          <w:highlight w:val="none"/>
          <w:lang w:bidi="ar"/>
        </w:rPr>
        <w:t>人员业务水平，提高项目养护质量。实行24小时值班制度，服从</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调度，及时完成紧急维修任务，若未按规定的时效进行护栏、隔离栅等安全设施的维修，所造成的安全事故责任及损失，均由</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人承担。</w:t>
      </w:r>
    </w:p>
    <w:p w14:paraId="76C9973D">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8</w:t>
      </w:r>
      <w:r>
        <w:rPr>
          <w:rFonts w:hint="eastAsia" w:ascii="宋体" w:hAnsi="宋体" w:cs="宋体"/>
          <w:color w:val="000000"/>
          <w:sz w:val="24"/>
          <w:szCs w:val="24"/>
          <w:highlight w:val="none"/>
          <w:lang w:bidi="ar"/>
        </w:rPr>
        <w:t>、</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人不得以任何理由拖欠工人（含民工）工资，</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人应在交付工地前付清所欠工人（含民工）工资。在交付前，</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人应将本项目所涉及的工人（含民工）工资应付情况和支付时间在工地现场和周围张贴公布，</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人未付清工人（含民工）工资前，</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有权暂定支付</w:t>
      </w:r>
      <w:r>
        <w:rPr>
          <w:rFonts w:hint="eastAsia" w:ascii="宋体" w:hAnsi="宋体" w:cs="宋体"/>
          <w:color w:val="000000"/>
          <w:sz w:val="24"/>
          <w:szCs w:val="24"/>
          <w:highlight w:val="none"/>
          <w:lang w:val="en-US" w:eastAsia="zh-CN" w:bidi="ar"/>
        </w:rPr>
        <w:t>合同</w:t>
      </w:r>
      <w:r>
        <w:rPr>
          <w:rFonts w:hint="eastAsia" w:ascii="宋体" w:hAnsi="宋体" w:cs="宋体"/>
          <w:color w:val="000000"/>
          <w:sz w:val="24"/>
          <w:szCs w:val="24"/>
          <w:highlight w:val="none"/>
          <w:lang w:bidi="ar"/>
        </w:rPr>
        <w:t>款，若造成</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垫付任何费用的，</w:t>
      </w:r>
      <w:r>
        <w:rPr>
          <w:rFonts w:hint="eastAsia" w:ascii="宋体" w:hAnsi="宋体" w:cs="宋体"/>
          <w:color w:val="000000"/>
          <w:sz w:val="24"/>
          <w:szCs w:val="24"/>
          <w:highlight w:val="none"/>
          <w:lang w:val="en-US" w:eastAsia="zh-CN" w:bidi="ar"/>
        </w:rPr>
        <w:t>承包</w:t>
      </w:r>
      <w:r>
        <w:rPr>
          <w:rFonts w:hint="eastAsia" w:ascii="宋体" w:hAnsi="宋体" w:cs="宋体"/>
          <w:color w:val="000000"/>
          <w:sz w:val="24"/>
          <w:szCs w:val="24"/>
          <w:highlight w:val="none"/>
          <w:lang w:bidi="ar"/>
        </w:rPr>
        <w:t>人应向</w:t>
      </w:r>
      <w:r>
        <w:rPr>
          <w:rFonts w:hint="eastAsia" w:ascii="宋体" w:hAnsi="宋体" w:cs="宋体"/>
          <w:color w:val="000000"/>
          <w:sz w:val="24"/>
          <w:szCs w:val="24"/>
          <w:highlight w:val="none"/>
          <w:lang w:val="en-US" w:eastAsia="zh-CN" w:bidi="ar"/>
        </w:rPr>
        <w:t>发包人</w:t>
      </w:r>
      <w:r>
        <w:rPr>
          <w:rFonts w:hint="eastAsia" w:ascii="宋体" w:hAnsi="宋体" w:cs="宋体"/>
          <w:color w:val="000000"/>
          <w:sz w:val="24"/>
          <w:szCs w:val="24"/>
          <w:highlight w:val="none"/>
          <w:lang w:bidi="ar"/>
        </w:rPr>
        <w:t>双倍返还。</w:t>
      </w:r>
    </w:p>
    <w:p w14:paraId="549C6C0C">
      <w:pPr>
        <w:keepNext w:val="0"/>
        <w:keepLines w:val="0"/>
        <w:pageBreakBefore w:val="0"/>
        <w:widowControl/>
        <w:spacing w:line="360" w:lineRule="auto"/>
        <w:ind w:firstLine="480"/>
        <w:jc w:val="left"/>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1</w:t>
      </w:r>
      <w:r>
        <w:rPr>
          <w:rFonts w:hint="eastAsia" w:ascii="宋体" w:hAnsi="宋体" w:cs="宋体"/>
          <w:color w:val="000000"/>
          <w:sz w:val="24"/>
          <w:szCs w:val="24"/>
          <w:highlight w:val="none"/>
          <w:lang w:val="en-US" w:eastAsia="zh-CN" w:bidi="ar"/>
        </w:rPr>
        <w:t>9</w:t>
      </w:r>
      <w:r>
        <w:rPr>
          <w:rFonts w:hint="eastAsia" w:ascii="宋体" w:hAnsi="宋体" w:cs="宋体"/>
          <w:color w:val="000000"/>
          <w:sz w:val="24"/>
          <w:szCs w:val="24"/>
          <w:highlight w:val="none"/>
          <w:lang w:bidi="ar"/>
        </w:rPr>
        <w:t>、双方约定</w:t>
      </w:r>
      <w:r>
        <w:rPr>
          <w:rFonts w:hint="eastAsia" w:ascii="宋体" w:hAnsi="宋体" w:cs="宋体"/>
          <w:color w:val="000000"/>
          <w:sz w:val="24"/>
          <w:szCs w:val="24"/>
          <w:highlight w:val="none"/>
          <w:lang w:val="en-US" w:eastAsia="zh-CN" w:bidi="ar"/>
        </w:rPr>
        <w:t>承包人</w:t>
      </w:r>
      <w:r>
        <w:rPr>
          <w:rFonts w:hint="eastAsia" w:ascii="宋体" w:hAnsi="宋体" w:cs="宋体"/>
          <w:color w:val="000000"/>
          <w:sz w:val="24"/>
          <w:szCs w:val="24"/>
          <w:highlight w:val="none"/>
          <w:lang w:bidi="ar"/>
        </w:rPr>
        <w:t>应做的其他工作。</w:t>
      </w:r>
    </w:p>
    <w:p w14:paraId="67ADA7D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五、转让和分包</w:t>
      </w:r>
    </w:p>
    <w:p w14:paraId="6E26A924">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承包人承诺按照法律规定及合同约定组织完成养护、维修及应急处置工作，确保服务质量和安全，并承担相应的工程维修责任。本项目严禁转包、违法分包，一经发现，视其情节严重程度严肃处理，直至清退出场解除合同。</w:t>
      </w:r>
    </w:p>
    <w:p w14:paraId="703A336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2、转包、分包违约责任。承包人不得将本项目进行转包或违法分包。经核查，发现承包人存在法律法规规定的转包、违法分包情形的，发包人应书面告知承包人。承包人应在接到书面告知后 7日内，向发包人提供相关证明材料。承包人未能在规定时问内举证或其证明材料不足以排除承包人存在转包、违法分包行为的，视同承包人存在违约责任，承包人应向发包人支付不低于合同金额 2%的违约金（发包人可根据项目具体规模适当调整违约金比例），并视情况制止违法分包行为。承包人存在转包、违法分包行为，被行政监管部门查处并依法作出行政处罚的，不影响合同违约责任履行，承包人仍须按合同约定向发包人支付违约金。承包人将项目转包或违法分包的，发包人有权终止合同。</w:t>
      </w:r>
    </w:p>
    <w:p w14:paraId="3C36953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3、承包人的任何分包应当符合《江苏省公路工程施工分包管理实施细则》的规定。本项目的专业分包合同、劳务分包合同应当按照《江苏省公路工程劳务合作合同》（示范文本 2015年版）和《江苏省公路工程施工分包合同》（示范文本2015年版）进行签订。</w:t>
      </w:r>
    </w:p>
    <w:p w14:paraId="066D13B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4、承包人对于分包单位的选择必须报发包人书面审核同意。</w:t>
      </w:r>
    </w:p>
    <w:p w14:paraId="1EDEBB7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5、发包人对承包人与分包人之间的法律与经济纠纷不承担任何责任或义务。</w:t>
      </w:r>
    </w:p>
    <w:p w14:paraId="3A597DF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6、承包人不得低于成本价将工程进行分包。出现以下三类情形时，承包人在提交分包合同审查的同时向发包人进行合理解释与书面说明，并提供相关证明和经承包人与分包人双方签字并盖章的书面承诺，否则视为低于成本价分包：</w:t>
      </w:r>
    </w:p>
    <w:p w14:paraId="59F49A2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（1）以明显低于合理的市场最低价格水平进行分包的；</w:t>
      </w:r>
    </w:p>
    <w:p w14:paraId="3005B12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（2）以低于本项目中其他合同段同类工程最低单价进行分包的；</w:t>
      </w:r>
    </w:p>
    <w:p w14:paraId="6FCB5F1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（3）承包人提取的分包管理费明显高于该分包工程市场利润水平的。</w:t>
      </w:r>
    </w:p>
    <w:p w14:paraId="2994767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承包人低于成本价分包的，其分包合同不予审查通过和备案，由发包人督促改正。</w:t>
      </w:r>
    </w:p>
    <w:p w14:paraId="4E39393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lang w:val="en-US" w:eastAsia="zh-CN"/>
        </w:rPr>
        <w:t>六</w:t>
      </w:r>
      <w:r>
        <w:rPr>
          <w:rFonts w:hint="eastAsia" w:ascii="宋体" w:hAnsi="宋体" w:eastAsia="宋体" w:cs="宋体"/>
          <w:sz w:val="24"/>
          <w:szCs w:val="32"/>
          <w:highlight w:val="none"/>
        </w:rPr>
        <w:t>、工程数量</w:t>
      </w:r>
    </w:p>
    <w:p w14:paraId="6289E83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本项目具体</w:t>
      </w:r>
      <w:r>
        <w:rPr>
          <w:rFonts w:hint="eastAsia" w:ascii="宋体" w:hAnsi="宋体" w:cs="宋体"/>
          <w:sz w:val="24"/>
          <w:szCs w:val="32"/>
          <w:highlight w:val="none"/>
          <w:lang w:val="en-US" w:eastAsia="zh-CN"/>
        </w:rPr>
        <w:t>工作</w:t>
      </w:r>
      <w:r>
        <w:rPr>
          <w:rFonts w:hint="eastAsia" w:ascii="宋体" w:hAnsi="宋体" w:eastAsia="宋体" w:cs="宋体"/>
          <w:sz w:val="24"/>
          <w:szCs w:val="32"/>
          <w:highlight w:val="none"/>
        </w:rPr>
        <w:t>数量见</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清单。其中路基、路面、桥涵、交安设施、绿化养护类型工程数量是根据工程现场情况估算的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，它们不能作为承包人在履行合同义务过程中应予完成工程的实际和准确的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。除另有规定外，本合同以按发包人及承包人两方签认的完成的工程数量并达到合同规定的质量标准的数量作为最终支付结算的工程数量。</w:t>
      </w:r>
    </w:p>
    <w:p w14:paraId="191D5E1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八、合同金额及结算方式</w:t>
      </w:r>
    </w:p>
    <w:p w14:paraId="678847B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本合同基价类项目采用“总价承包，缺陷扣减”的方法，由业主实施监管，单价类项目采用“单价控制，计量支付”的方法，委托第三方监理。清单价格（单价或总额价）涵盖了为实施和完成单位合同项目所需用的人力、材料、工程设备和一切施工设施(临时性措施费以外)等全部开支费用。未列入标价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清单、但为完成维护工程所必需的相关辅助工作(含材料及服务等)其费用视为已计入标价的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清单相关项目单价、并不单独计量与支付。</w:t>
      </w:r>
    </w:p>
    <w:p w14:paraId="17989BB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2、本合同结算方式：</w:t>
      </w:r>
    </w:p>
    <w:p w14:paraId="65FB375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eastAsia="宋体" w:cs="宋体"/>
          <w:sz w:val="24"/>
          <w:szCs w:val="32"/>
          <w:highlight w:val="none"/>
          <w:lang w:val="en-US" w:eastAsia="zh-CN"/>
        </w:rPr>
        <w:t>1</w:t>
      </w:r>
      <w:r>
        <w:rPr>
          <w:rFonts w:hint="eastAsia" w:ascii="宋体" w:hAnsi="宋体" w:eastAsia="宋体" w:cs="宋体"/>
          <w:sz w:val="24"/>
          <w:szCs w:val="32"/>
          <w:highlight w:val="none"/>
        </w:rPr>
        <w:t>）中期结算支付：</w:t>
      </w:r>
      <w:r>
        <w:rPr>
          <w:rFonts w:hint="eastAsia" w:ascii="宋体" w:hAnsi="宋体" w:eastAsia="宋体" w:cs="宋体"/>
          <w:sz w:val="24"/>
          <w:szCs w:val="32"/>
          <w:highlight w:val="none"/>
          <w:lang w:val="en-US" w:eastAsia="zh-CN"/>
        </w:rPr>
        <w:t>采用基价类和单价类结合的方式，</w:t>
      </w:r>
      <w:r>
        <w:rPr>
          <w:rFonts w:hint="eastAsia" w:ascii="宋体" w:hAnsi="宋体" w:eastAsia="宋体" w:cs="宋体"/>
          <w:sz w:val="24"/>
          <w:szCs w:val="32"/>
          <w:highlight w:val="none"/>
        </w:rPr>
        <w:t>本项目采用月度计量，</w:t>
      </w:r>
      <w:r>
        <w:rPr>
          <w:rFonts w:hint="eastAsia" w:ascii="宋体" w:hAnsi="宋体" w:eastAsia="宋体" w:cs="宋体"/>
          <w:sz w:val="24"/>
          <w:szCs w:val="32"/>
          <w:highlight w:val="none"/>
          <w:lang w:eastAsia="zh-CN"/>
        </w:rPr>
        <w:t>季度支付</w:t>
      </w:r>
      <w:r>
        <w:rPr>
          <w:rFonts w:hint="eastAsia" w:ascii="宋体" w:hAnsi="宋体" w:eastAsia="宋体" w:cs="宋体"/>
          <w:sz w:val="24"/>
          <w:szCs w:val="32"/>
          <w:highlight w:val="none"/>
        </w:rPr>
        <w:t>。</w:t>
      </w:r>
    </w:p>
    <w:p w14:paraId="11B20565">
      <w:pPr>
        <w:keepNext w:val="0"/>
        <w:keepLines w:val="0"/>
        <w:pageBreakBefore w:val="0"/>
        <w:widowControl w:val="0"/>
        <w:spacing w:line="360" w:lineRule="auto"/>
        <w:ind w:firstLine="480"/>
        <w:rPr>
          <w:rFonts w:hint="eastAsia" w:ascii="宋体" w:hAnsi="宋体" w:eastAsia="宋体" w:cs="宋体"/>
          <w:color w:val="000000"/>
          <w:sz w:val="24"/>
          <w:szCs w:val="24"/>
          <w:highlight w:val="none"/>
          <w:lang w:val="en-US" w:eastAsia="zh-CN" w:bidi="ar"/>
        </w:rPr>
      </w:pPr>
      <w:r>
        <w:rPr>
          <w:rFonts w:hint="eastAsia" w:ascii="宋体" w:hAnsi="宋体" w:eastAsia="宋体" w:cs="宋体"/>
          <w:sz w:val="24"/>
          <w:szCs w:val="32"/>
          <w:highlight w:val="none"/>
          <w:lang w:val="en-US" w:eastAsia="zh-CN"/>
        </w:rPr>
        <w:t>养护单位按月于月末提出经费支付申请，监理审核、报发包人；监</w:t>
      </w:r>
      <w:r>
        <w:rPr>
          <w:rFonts w:hint="eastAsia" w:ascii="宋体" w:hAnsi="宋体" w:eastAsia="宋体" w:cs="宋体"/>
          <w:color w:val="000000"/>
          <w:sz w:val="24"/>
          <w:szCs w:val="24"/>
          <w:highlight w:val="none"/>
          <w:lang w:val="en-US" w:eastAsia="zh-CN" w:bidi="ar"/>
        </w:rPr>
        <w:t>理在收到申报材料后，在两周内完成审定，报发包人并按季度拨付给养护单位。</w:t>
      </w:r>
    </w:p>
    <w:p w14:paraId="437E6D2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cs="宋体"/>
          <w:color w:val="000000"/>
          <w:sz w:val="24"/>
          <w:szCs w:val="24"/>
          <w:highlight w:val="none"/>
          <w:lang w:val="en-US" w:eastAsia="zh-CN" w:bidi="ar"/>
        </w:rPr>
        <w:t>（2）</w:t>
      </w:r>
      <w:r>
        <w:rPr>
          <w:rFonts w:hint="eastAsia" w:ascii="宋体" w:hAnsi="宋体" w:eastAsia="宋体" w:cs="宋体"/>
          <w:color w:val="000000"/>
          <w:sz w:val="24"/>
          <w:szCs w:val="24"/>
          <w:highlight w:val="none"/>
          <w:lang w:val="en-US" w:eastAsia="zh-CN" w:bidi="ar"/>
        </w:rPr>
        <w:t>按月度计量，季度支付</w:t>
      </w:r>
      <w:r>
        <w:rPr>
          <w:rFonts w:hint="eastAsia" w:ascii="宋体" w:hAnsi="宋体" w:cs="宋体"/>
          <w:highlight w:val="none"/>
          <w:lang w:val="en-US" w:eastAsia="zh-CN"/>
        </w:rPr>
        <w:t>。</w:t>
      </w:r>
      <w:r>
        <w:rPr>
          <w:rFonts w:hint="eastAsia" w:ascii="宋体" w:hAnsi="宋体" w:eastAsia="宋体" w:cs="宋体"/>
          <w:color w:val="000000"/>
          <w:sz w:val="24"/>
          <w:szCs w:val="24"/>
          <w:highlight w:val="none"/>
          <w:lang w:val="en-US" w:eastAsia="zh-CN" w:bidi="ar"/>
        </w:rPr>
        <w:t>发包人将对承包人进行考核。考核得分在900-930分，全额拨付季度经费；考核得分在850-900分（不含900分），按（899-季度考核得分）*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275F7660">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3</w:t>
      </w:r>
      <w:r>
        <w:rPr>
          <w:rFonts w:hint="eastAsia" w:ascii="宋体" w:hAnsi="宋体" w:eastAsia="宋体" w:cs="宋体"/>
          <w:sz w:val="24"/>
          <w:szCs w:val="32"/>
          <w:highlight w:val="none"/>
        </w:rPr>
        <w:t>）经费拨付承包人应按照要求开具发票，否则业主有权拒绝付款且不承担任何违约责任。</w:t>
      </w:r>
    </w:p>
    <w:p w14:paraId="1E1BC68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4</w:t>
      </w:r>
      <w:r>
        <w:rPr>
          <w:rFonts w:hint="eastAsia" w:ascii="宋体" w:hAnsi="宋体" w:eastAsia="宋体" w:cs="宋体"/>
          <w:sz w:val="24"/>
          <w:szCs w:val="32"/>
          <w:highlight w:val="none"/>
        </w:rPr>
        <w:t>）涉及到资金来源于街道、园区的，考核和支付以街道、园区相关文件为准，同时区配比资金按照区政府会议纪要同步拨付。</w:t>
      </w:r>
    </w:p>
    <w:p w14:paraId="6CBE061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w:t>
      </w:r>
      <w:r>
        <w:rPr>
          <w:rFonts w:hint="eastAsia" w:ascii="宋体" w:hAnsi="宋体" w:cs="宋体"/>
          <w:sz w:val="24"/>
          <w:szCs w:val="32"/>
          <w:highlight w:val="none"/>
          <w:lang w:val="en-US" w:eastAsia="zh-CN"/>
        </w:rPr>
        <w:t>5</w:t>
      </w:r>
      <w:r>
        <w:rPr>
          <w:rFonts w:hint="eastAsia" w:ascii="宋体" w:hAnsi="宋体" w:eastAsia="宋体" w:cs="宋体"/>
          <w:sz w:val="24"/>
          <w:szCs w:val="32"/>
          <w:highlight w:val="none"/>
        </w:rPr>
        <w:t>）由于资金构成涉及上级多部门，因上级部门拨付时间问题引起的逾期付款，业主不承担违约金及相关利息。</w:t>
      </w:r>
    </w:p>
    <w:p w14:paraId="6C1CD0FA">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九、工程变更</w:t>
      </w:r>
    </w:p>
    <w:p w14:paraId="3C84B62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（一）如果发包人认为有必要后即可通过有关手续对工程或其中任何部分的形式、质量或数量作出任何变更，发包人有权指示承包人进行也应进行下述工作：</w:t>
      </w:r>
    </w:p>
    <w:p w14:paraId="18863B1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1、增加或减少合同中所包括的任何工程的数量；</w:t>
      </w:r>
    </w:p>
    <w:p w14:paraId="3BCF5123">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2、省略任何这类工作（但被省略的工作由发包人或其他承包人实施者除外）；</w:t>
      </w:r>
    </w:p>
    <w:p w14:paraId="3549201A">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3、改变任何这类工作的性质或质量或类型；</w:t>
      </w:r>
    </w:p>
    <w:p w14:paraId="5887B60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4、改变工程任何部分的标高、基线、位置和尺寸；</w:t>
      </w:r>
    </w:p>
    <w:p w14:paraId="1AE47DBA">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上述变更不应以任何方式使合同作废或失效。</w:t>
      </w:r>
    </w:p>
    <w:p w14:paraId="5A506E01">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二）发包人认为适当的所有变更，应以合同中规定的单价进行计价。如合同中未包括适用于该变更工作的单价，则应在合理的范围内使用合同中的其他基础单价作为计价的基础。如工程数量的变更导致合同金额减少，不论减少程度有多大，承包人都不得向发包人提出费用补偿。</w:t>
      </w:r>
    </w:p>
    <w:p w14:paraId="5ED6A18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（三）本合同价格在合同生效后任何一方不得擅自改变，但双方另有约定或发生下列情况之一的可作调整。</w:t>
      </w:r>
    </w:p>
    <w:p w14:paraId="6F2C603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1、发包人或其代表确认的</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增减。</w:t>
      </w:r>
    </w:p>
    <w:p w14:paraId="56DA24E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2、发包人或其代表确认的设计变更或工程洽商。</w:t>
      </w:r>
    </w:p>
    <w:p w14:paraId="3FF7DB45">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3、其它发包人或其代表同意的价格调整。</w:t>
      </w:r>
    </w:p>
    <w:p w14:paraId="7BE8F1A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承包人应在上述情况发生后 10天内，将调整的原因、金额以书面形式通知发包人或其代表，发包人或其代表批准后通知承包人。</w:t>
      </w:r>
    </w:p>
    <w:p w14:paraId="5929975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十、不可抗力</w:t>
      </w:r>
    </w:p>
    <w:p w14:paraId="643BBC4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1、当事人一方因不可抗力不能履行合同的，应当及时通知对方，并应当积极采取措施以减轻或消除可能给对方造成的损失，并应当在事件结束后 7天内提供有力证明。</w:t>
      </w:r>
    </w:p>
    <w:p w14:paraId="55CE6AE2">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2、因不可抗力不能履行合同的，根据不可抗力的影响，部分或者全部（由双方协商确定）免除责任，但法律另有规定的除外。当事人迟延履行后发生不可抗力的，不能免除责任。</w:t>
      </w:r>
    </w:p>
    <w:p w14:paraId="635FE10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3、因不可抗力使合同不能如期履行时，由双方协商确定是否延期履行或终止本合同。</w:t>
      </w:r>
    </w:p>
    <w:p w14:paraId="71DDF07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十一、税金和保险</w:t>
      </w:r>
    </w:p>
    <w:p w14:paraId="5782CCF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1、政府根据现行税法和有关部门现行规定就本合同项下向承包人征收的所有税金及其它应交纳的所有费用，均由承包人摊入各工程细目的单价中，不另报价。</w:t>
      </w:r>
    </w:p>
    <w:p w14:paraId="5613709D">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2、保险</w:t>
      </w:r>
    </w:p>
    <w:p w14:paraId="0C02068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本项目建筑工程一切险及第三者责任险由承包人以承包人与发包人的名义联名投保，投保条件与保险费率由承包人根据江苏省保险行业协会有关公路工程保险的相关规定自行考虑，保险费由承包人承担并支付，其费用包含在所报的投标报价中，不另行计量与支付。</w:t>
      </w:r>
    </w:p>
    <w:p w14:paraId="0095328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（2）根据《江苏省工伤保险费率管理办法》（苏人社规〔2020〕1号），施工企业应在项目开工前一次性足额缴纳工伤保险费，费率为最高投标限价的 0.9‰，其保险费用列入</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清单中，结算时承包人应提供合法票据，最终结算价不超过</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清单中的投标报价。</w:t>
      </w:r>
    </w:p>
    <w:p w14:paraId="1C2A011F">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（3）本项目承包人应按相关规定投保公共责任险和雇主责任险，其保险费用列入</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清单中，结算时承包人应提供合法票据，最终结算价不超过</w:t>
      </w:r>
      <w:r>
        <w:rPr>
          <w:rFonts w:hint="eastAsia" w:ascii="宋体" w:hAnsi="宋体" w:eastAsia="宋体" w:cs="宋体"/>
          <w:sz w:val="24"/>
          <w:szCs w:val="32"/>
          <w:highlight w:val="none"/>
          <w:lang w:eastAsia="zh-CN"/>
        </w:rPr>
        <w:t>工作量</w:t>
      </w:r>
      <w:r>
        <w:rPr>
          <w:rFonts w:hint="eastAsia" w:ascii="宋体" w:hAnsi="宋体" w:eastAsia="宋体" w:cs="宋体"/>
          <w:sz w:val="24"/>
          <w:szCs w:val="32"/>
          <w:highlight w:val="none"/>
        </w:rPr>
        <w:t>清单中的投标报价。</w:t>
      </w:r>
    </w:p>
    <w:p w14:paraId="293F6F1B">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4）承包人装备险及其他保险均由承包人投保，保险费由承包人承担并支付，其费用含在承包人的投标报价中，不另行计量与支付。承包人必须按招标文件和国家有关规定办理各种保险，一旦发生保险范围内的事件，损失由承包人自行承担。</w:t>
      </w:r>
    </w:p>
    <w:p w14:paraId="62B79FF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十二、违约责任</w:t>
      </w:r>
    </w:p>
    <w:p w14:paraId="28E4B6E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1、如无不可抗力的因素，未经发包人同意，承包人不得随意拖延维修时间，</w:t>
      </w:r>
    </w:p>
    <w:p w14:paraId="13F73586">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承包人如未在本合同规定的时间内（要求承包人 24小时内完成一般病害的养护修复任务，严重影响交通安全的病害应及时处理）进行修复，发包人将对承包人提出书面警告。如承包人累计三次被发包人书面警告，本合同将自行终止。</w:t>
      </w:r>
    </w:p>
    <w:p w14:paraId="0619E29C">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发包人将按照有关技术规范及所规定的要求对承包人所维修的质量验收，并对其质量进行不定期的检验鉴定，如不符要求承包人应立即重修，且修复时限不得超出本合同规定时间，否则发包人按拖延维修时间予以确认。</w:t>
      </w:r>
    </w:p>
    <w:p w14:paraId="3B861C3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highlight w:val="none"/>
        </w:rPr>
        <w:t>3、如果一方未履行合同规定的责任，给对方造成不良影响和经济损失的，由责任方对损失方偿付相当于合同总价 20%的违约金，同时承担相应责任并赔偿经济损失。损失方有</w:t>
      </w:r>
      <w:r>
        <w:rPr>
          <w:rFonts w:hint="eastAsia" w:ascii="宋体" w:hAnsi="宋体" w:eastAsia="宋体" w:cs="宋体"/>
          <w:sz w:val="24"/>
          <w:szCs w:val="32"/>
        </w:rPr>
        <w:t>权终止合同。</w:t>
      </w:r>
    </w:p>
    <w:p w14:paraId="7628D6D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十三、争议的解决</w:t>
      </w:r>
    </w:p>
    <w:p w14:paraId="2C03E23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1、合同双方发生合同纠纷时，双方应尽量通过协商解决，协商不成时，向发包人所在地法院提起诉讼解决,费用先由起诉方支付,但由败诉方承担.</w:t>
      </w:r>
    </w:p>
    <w:p w14:paraId="69B514C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2、本合同条款未尽事宜，合同双方应参照“中华人民共和国民法典”执行。</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质量考核与经费支付办法为进一步提高</w:t>
      </w:r>
      <w:r>
        <w:rPr>
          <w:rFonts w:hint="eastAsia" w:ascii="宋体" w:hAnsi="宋体" w:cs="宋体"/>
          <w:sz w:val="24"/>
          <w:szCs w:val="32"/>
          <w:lang w:eastAsia="zh-CN"/>
        </w:rPr>
        <w:t>2026年江宁区林荫大道示范管护带养护服务</w:t>
      </w:r>
      <w:r>
        <w:rPr>
          <w:rFonts w:hint="eastAsia" w:ascii="宋体" w:hAnsi="宋体" w:eastAsia="宋体" w:cs="宋体"/>
          <w:sz w:val="24"/>
          <w:szCs w:val="32"/>
        </w:rPr>
        <w:t>质量，全面</w:t>
      </w:r>
      <w:r>
        <w:rPr>
          <w:rFonts w:hint="eastAsia" w:ascii="宋体" w:hAnsi="宋体" w:eastAsia="宋体" w:cs="宋体"/>
          <w:sz w:val="24"/>
          <w:szCs w:val="32"/>
          <w:lang w:val="en-US" w:eastAsia="zh-CN"/>
        </w:rPr>
        <w:t>巩固</w:t>
      </w:r>
      <w:r>
        <w:rPr>
          <w:rFonts w:hint="eastAsia" w:ascii="宋体" w:hAnsi="宋体" w:eastAsia="宋体" w:cs="宋体"/>
          <w:sz w:val="24"/>
          <w:szCs w:val="32"/>
        </w:rPr>
        <w:t>“四好农村路”</w:t>
      </w:r>
      <w:r>
        <w:rPr>
          <w:rFonts w:hint="eastAsia" w:ascii="宋体" w:hAnsi="宋体" w:eastAsia="宋体" w:cs="宋体"/>
          <w:sz w:val="24"/>
          <w:szCs w:val="32"/>
          <w:lang w:val="en-US" w:eastAsia="zh-CN"/>
        </w:rPr>
        <w:t>全国示范县建设成果</w:t>
      </w:r>
      <w:r>
        <w:rPr>
          <w:rFonts w:hint="eastAsia" w:ascii="宋体" w:hAnsi="宋体" w:eastAsia="宋体" w:cs="宋体"/>
          <w:sz w:val="24"/>
          <w:szCs w:val="32"/>
        </w:rPr>
        <w:t>，</w:t>
      </w:r>
      <w:r>
        <w:rPr>
          <w:rFonts w:hint="eastAsia" w:ascii="宋体" w:hAnsi="宋体" w:eastAsia="宋体" w:cs="宋体"/>
          <w:sz w:val="24"/>
          <w:szCs w:val="32"/>
          <w:lang w:val="en-US" w:eastAsia="zh-CN"/>
        </w:rPr>
        <w:t>提升农村生态质量</w:t>
      </w:r>
      <w:r>
        <w:rPr>
          <w:rFonts w:hint="eastAsia" w:ascii="宋体" w:hAnsi="宋体" w:eastAsia="宋体" w:cs="宋体"/>
          <w:sz w:val="24"/>
          <w:szCs w:val="32"/>
        </w:rPr>
        <w:t>，</w:t>
      </w:r>
      <w:r>
        <w:rPr>
          <w:rFonts w:hint="eastAsia" w:ascii="宋体" w:hAnsi="宋体" w:eastAsia="宋体" w:cs="宋体"/>
          <w:sz w:val="24"/>
          <w:szCs w:val="32"/>
          <w:lang w:val="en-US" w:eastAsia="zh-CN"/>
        </w:rPr>
        <w:t>实现生态更优、田园更美，打造江宁乡村振兴的靓丽风景线。</w:t>
      </w:r>
      <w:r>
        <w:rPr>
          <w:rFonts w:hint="eastAsia" w:ascii="宋体" w:hAnsi="宋体" w:eastAsia="宋体" w:cs="宋体"/>
          <w:sz w:val="24"/>
          <w:szCs w:val="32"/>
        </w:rPr>
        <w:t>按照国家和省市有关公路工程技术标准修建的县道及其附属设施的养护量考核工作。</w:t>
      </w:r>
    </w:p>
    <w:p w14:paraId="04289A9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一、考核依据</w:t>
      </w:r>
    </w:p>
    <w:p w14:paraId="6E9770B6">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b w:val="0"/>
          <w:bCs w:val="0"/>
          <w:sz w:val="24"/>
          <w:szCs w:val="24"/>
          <w:highlight w:val="none"/>
          <w:lang w:val="en-US" w:eastAsia="zh-CN"/>
        </w:rPr>
        <w:t>《江宁区乡村林荫大道管护方案》、</w:t>
      </w:r>
      <w:r>
        <w:rPr>
          <w:rFonts w:hint="eastAsia" w:ascii="宋体" w:hAnsi="宋体" w:eastAsia="宋体" w:cs="宋体"/>
          <w:b w:val="0"/>
          <w:bCs w:val="0"/>
          <w:sz w:val="24"/>
          <w:szCs w:val="24"/>
          <w:highlight w:val="none"/>
          <w:lang w:val="zh-CN"/>
        </w:rPr>
        <w:t>《道路养护技术规范》</w:t>
      </w:r>
      <w:r>
        <w:rPr>
          <w:rFonts w:hint="eastAsia" w:ascii="宋体" w:hAnsi="宋体" w:cs="宋体"/>
          <w:b w:val="0"/>
          <w:bCs w:val="0"/>
          <w:sz w:val="24"/>
          <w:szCs w:val="24"/>
          <w:highlight w:val="none"/>
          <w:lang w:val="zh-CN"/>
        </w:rPr>
        <w:t>、</w:t>
      </w:r>
      <w:r>
        <w:rPr>
          <w:rFonts w:hint="eastAsia" w:ascii="宋体" w:hAnsi="宋体" w:eastAsia="宋体" w:cs="宋体"/>
          <w:b w:val="0"/>
          <w:bCs w:val="0"/>
          <w:sz w:val="24"/>
          <w:szCs w:val="24"/>
          <w:highlight w:val="none"/>
        </w:rPr>
        <w:t>《公路</w:t>
      </w:r>
      <w:r>
        <w:rPr>
          <w:rFonts w:hint="eastAsia" w:ascii="宋体" w:hAnsi="宋体" w:eastAsia="宋体" w:cs="宋体"/>
          <w:sz w:val="24"/>
          <w:szCs w:val="24"/>
          <w:highlight w:val="none"/>
        </w:rPr>
        <w:t>养护技术标准》（JTG 5110—2023）、《公路沥青路面养护技术规范》（JTG 5142-2019）、《公路桥涵养护技术规范》（JTG5 120-2021）、《公路养护安全作业规程》（JTG H30-2015）、《江苏省农村公路条例》、《省交通运输厅省财政厅关于印发江苏省交通养护（农村公路养护）项目管理办法的通知》（苏交公路〔2021〕4号）以及《农村公路养护规范》（DB 3201/T 1017—2020）等相关规范、标准。</w:t>
      </w:r>
    </w:p>
    <w:p w14:paraId="04C5F14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2</w:t>
      </w:r>
      <w:r>
        <w:rPr>
          <w:rFonts w:hint="eastAsia" w:ascii="宋体" w:hAnsi="宋体" w:eastAsia="宋体" w:cs="宋体"/>
          <w:sz w:val="24"/>
          <w:szCs w:val="32"/>
        </w:rPr>
        <w:t>.省、市、区公路行业主管部门颁布的养护考核办法、养护管理办法及相关规定。</w:t>
      </w:r>
    </w:p>
    <w:p w14:paraId="0DD70F1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3</w:t>
      </w:r>
      <w:r>
        <w:rPr>
          <w:rFonts w:hint="eastAsia" w:ascii="宋体" w:hAnsi="宋体" w:eastAsia="宋体" w:cs="宋体"/>
          <w:sz w:val="24"/>
          <w:szCs w:val="32"/>
        </w:rPr>
        <w:t>.</w:t>
      </w:r>
      <w:r>
        <w:rPr>
          <w:rFonts w:hint="eastAsia" w:ascii="宋体" w:hAnsi="宋体" w:eastAsia="宋体" w:cs="宋体"/>
          <w:sz w:val="24"/>
          <w:szCs w:val="32"/>
          <w:lang w:val="en-US" w:eastAsia="zh-CN"/>
        </w:rPr>
        <w:t>区政府印发的</w:t>
      </w:r>
      <w:r>
        <w:rPr>
          <w:rFonts w:hint="eastAsia" w:ascii="宋体" w:hAnsi="宋体" w:eastAsia="宋体" w:cs="宋体"/>
          <w:sz w:val="24"/>
          <w:szCs w:val="32"/>
          <w:lang w:eastAsia="zh-CN"/>
        </w:rPr>
        <w:t>《</w:t>
      </w:r>
      <w:r>
        <w:rPr>
          <w:rFonts w:hint="eastAsia" w:ascii="宋体" w:hAnsi="宋体" w:eastAsia="宋体" w:cs="宋体"/>
          <w:sz w:val="24"/>
          <w:szCs w:val="32"/>
          <w:lang w:val="en-US" w:eastAsia="zh-CN"/>
        </w:rPr>
        <w:t>江宁区乡村道林荫大道管护方案</w:t>
      </w:r>
      <w:r>
        <w:rPr>
          <w:rFonts w:hint="eastAsia" w:ascii="宋体" w:hAnsi="宋体" w:eastAsia="宋体" w:cs="宋体"/>
          <w:sz w:val="24"/>
          <w:szCs w:val="32"/>
          <w:lang w:eastAsia="zh-CN"/>
        </w:rPr>
        <w:t>》</w:t>
      </w:r>
      <w:r>
        <w:rPr>
          <w:rFonts w:hint="eastAsia" w:ascii="宋体" w:hAnsi="宋体" w:eastAsia="宋体" w:cs="宋体"/>
          <w:sz w:val="24"/>
          <w:szCs w:val="32"/>
        </w:rPr>
        <w:t>。</w:t>
      </w:r>
    </w:p>
    <w:p w14:paraId="3038F9E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4.</w:t>
      </w:r>
      <w:r>
        <w:rPr>
          <w:rFonts w:hint="eastAsia" w:ascii="宋体" w:hAnsi="宋体" w:eastAsia="宋体" w:cs="宋体"/>
          <w:sz w:val="24"/>
          <w:szCs w:val="32"/>
        </w:rPr>
        <w:t>江宁区交通运输局下发的有关文件、规定等</w:t>
      </w:r>
    </w:p>
    <w:p w14:paraId="66821CC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lang w:val="en-US" w:eastAsia="zh-CN"/>
        </w:rPr>
        <w:t>5.</w:t>
      </w:r>
      <w:r>
        <w:rPr>
          <w:rFonts w:hint="eastAsia" w:ascii="宋体" w:hAnsi="宋体" w:eastAsia="宋体" w:cs="宋体"/>
          <w:sz w:val="24"/>
          <w:szCs w:val="32"/>
        </w:rPr>
        <w:t>各类专项行动的要求</w:t>
      </w:r>
    </w:p>
    <w:p w14:paraId="2516B5E4">
      <w:pPr>
        <w:keepNext w:val="0"/>
        <w:keepLines w:val="0"/>
        <w:pageBreakBefore w:val="0"/>
        <w:widowControl w:val="0"/>
        <w:spacing w:line="360" w:lineRule="auto"/>
        <w:ind w:firstLine="480"/>
        <w:rPr>
          <w:rFonts w:hint="default" w:ascii="宋体" w:hAnsi="宋体" w:eastAsia="宋体" w:cs="宋体"/>
          <w:sz w:val="24"/>
          <w:szCs w:val="32"/>
          <w:lang w:val="en-US" w:eastAsia="zh-CN"/>
        </w:rPr>
      </w:pPr>
      <w:r>
        <w:rPr>
          <w:rFonts w:hint="eastAsia" w:ascii="宋体" w:hAnsi="宋体" w:eastAsia="宋体" w:cs="宋体"/>
          <w:sz w:val="24"/>
          <w:szCs w:val="32"/>
          <w:lang w:val="en-US" w:eastAsia="zh-CN"/>
        </w:rPr>
        <w:t>6.</w:t>
      </w:r>
      <w:r>
        <w:rPr>
          <w:rFonts w:hint="eastAsia" w:ascii="宋体" w:hAnsi="宋体" w:eastAsia="宋体" w:cs="宋体"/>
          <w:sz w:val="24"/>
          <w:szCs w:val="32"/>
        </w:rPr>
        <w:t>江宁区交通运输局与养护单位签订的合同。</w:t>
      </w:r>
    </w:p>
    <w:p w14:paraId="41D1F5B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二、考核方式</w:t>
      </w:r>
    </w:p>
    <w:p w14:paraId="3B4C61B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1.考核小组：局领导及相关部门人员组成领导小组，实施养护考核工作。</w:t>
      </w:r>
    </w:p>
    <w:p w14:paraId="7BDEDA1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2.考核原则：</w:t>
      </w:r>
    </w:p>
    <w:p w14:paraId="710FFEB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“强化措施、完善管理、经费调控、奖优罚差”，通过定期检查考核，全面有效掌握路况，提升养护管理水平，营造畅安舒美的公路通行环境。</w:t>
      </w:r>
    </w:p>
    <w:p w14:paraId="52E596F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3.考核内容：</w:t>
      </w:r>
      <w:r>
        <w:rPr>
          <w:rFonts w:hint="eastAsia" w:ascii="宋体" w:hAnsi="宋体" w:eastAsia="宋体" w:cs="宋体"/>
          <w:sz w:val="24"/>
          <w:szCs w:val="32"/>
          <w:lang w:eastAsia="zh-CN"/>
        </w:rPr>
        <w:t>林荫大道</w:t>
      </w:r>
      <w:r>
        <w:rPr>
          <w:rFonts w:hint="eastAsia" w:ascii="宋体" w:hAnsi="宋体" w:eastAsia="宋体" w:cs="宋体"/>
          <w:sz w:val="24"/>
          <w:szCs w:val="32"/>
        </w:rPr>
        <w:t>养护质量考核主要包括外业检查和内业检查两个方面。</w:t>
      </w:r>
    </w:p>
    <w:p w14:paraId="1A8FA18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4.考核方式：</w:t>
      </w:r>
      <w:r>
        <w:rPr>
          <w:rFonts w:hint="eastAsia" w:ascii="宋体" w:hAnsi="宋体" w:cs="宋体"/>
          <w:sz w:val="24"/>
          <w:szCs w:val="32"/>
          <w:lang w:eastAsia="zh-CN"/>
        </w:rPr>
        <w:t>按考核办法每月检查，季度考核。</w:t>
      </w:r>
    </w:p>
    <w:p w14:paraId="6F942333">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其中月度考核主要对养护外业情况进行检查，下发月度考核通报；季度考核将对养护外业、内业共同进行检查，并下发季度考核考核通报。</w:t>
      </w:r>
    </w:p>
    <w:p w14:paraId="0AB00B6E">
      <w:pPr>
        <w:keepNext w:val="0"/>
        <w:keepLines w:val="0"/>
        <w:pageBreakBefore w:val="0"/>
        <w:widowControl w:val="0"/>
        <w:spacing w:line="360" w:lineRule="auto"/>
        <w:ind w:firstLine="480"/>
        <w:rPr>
          <w:rFonts w:hint="eastAsia" w:ascii="宋体" w:hAnsi="宋体" w:eastAsia="宋体" w:cs="宋体"/>
          <w:b/>
          <w:bCs/>
          <w:sz w:val="24"/>
          <w:szCs w:val="24"/>
          <w:highlight w:val="none"/>
        </w:rPr>
      </w:pPr>
      <w:r>
        <w:rPr>
          <w:rFonts w:hint="eastAsia" w:ascii="宋体" w:hAnsi="宋体" w:eastAsia="宋体" w:cs="宋体"/>
          <w:sz w:val="24"/>
          <w:szCs w:val="24"/>
          <w:highlight w:val="none"/>
        </w:rPr>
        <w:t>月度检查情况通报盖章下发，内容主要反映发现的问题及落实整改情况，并提出进一步养护要求，检查发现问题均采用照片形式发布，养护单位及时进行整改则不予扣分，不及时整改的问题进行扣分；对于月度检查中出现以下情况纳入季度考核中加倍扣分：一是虽及时整改但屡次出现的问题，二是对于省</w:t>
      </w:r>
      <w:r>
        <w:rPr>
          <w:rFonts w:hint="eastAsia" w:ascii="宋体" w:hAnsi="宋体" w:eastAsia="宋体" w:cs="宋体"/>
          <w:b w:val="0"/>
          <w:bCs w:val="0"/>
          <w:sz w:val="24"/>
          <w:szCs w:val="24"/>
          <w:highlight w:val="none"/>
        </w:rPr>
        <w:t>市区检查中屡次扣分的同一问题，三是发现养护工人使用钢钎、撬棍等尖锐物体清理桥梁伸缩缝</w:t>
      </w:r>
      <w:r>
        <w:rPr>
          <w:rFonts w:hint="eastAsia" w:ascii="宋体" w:hAnsi="宋体" w:eastAsia="宋体" w:cs="宋体"/>
          <w:b/>
          <w:bCs/>
          <w:sz w:val="24"/>
          <w:szCs w:val="24"/>
          <w:highlight w:val="none"/>
        </w:rPr>
        <w:t>。</w:t>
      </w:r>
    </w:p>
    <w:p w14:paraId="13F0BCD2">
      <w:pPr>
        <w:keepNext w:val="0"/>
        <w:keepLines w:val="0"/>
        <w:pageBreakBefore w:val="0"/>
        <w:widowControl w:val="0"/>
        <w:spacing w:line="360" w:lineRule="auto"/>
        <w:ind w:firstLine="422"/>
        <w:rPr>
          <w:rFonts w:hint="eastAsia" w:ascii="宋体" w:hAnsi="宋体" w:eastAsia="宋体" w:cs="宋体"/>
          <w:b/>
          <w:bCs/>
          <w:sz w:val="24"/>
          <w:szCs w:val="24"/>
          <w:highlight w:val="none"/>
        </w:rPr>
      </w:pPr>
      <w:r>
        <w:rPr>
          <w:rFonts w:hint="eastAsia" w:ascii="宋体" w:hAnsi="宋体" w:eastAsia="宋体" w:cs="宋体"/>
          <w:b/>
          <w:bCs/>
          <w:color w:val="000000"/>
          <w:highlight w:val="none"/>
        </w:rPr>
        <w:t>季度检查考核情况通报由相关领导签字，采用红头文下发，内容主要反映一个季度以来各级部门检查突出的养护问题及整改落实情况、扣分及处罚情况。</w:t>
      </w:r>
    </w:p>
    <w:p w14:paraId="734A18E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5.考核得分：</w:t>
      </w:r>
    </w:p>
    <w:p w14:paraId="4A05BFED">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highlight w:val="none"/>
        </w:rPr>
        <w:t>每月（除3,6,9,12月）月度考核，得分计算方法为：</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养护质量月度考核得分=1000-</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养护质量外业检查累计扣分值。</w:t>
      </w:r>
    </w:p>
    <w:p w14:paraId="4FB18E5C">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highlight w:val="none"/>
        </w:rPr>
        <w:t>每季度（3,6,9,12月）</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养护质量考核包含养护外业和内业检查考核，得分计算方法为：</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养护质量季度考核得分=（月度考核得分+季度养护质量外业检查得分）/3*0.9+养护质量内业检查考核得分。</w:t>
      </w:r>
    </w:p>
    <w:p w14:paraId="2017E971">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rPr>
        <w:t>6.考核标准：</w:t>
      </w:r>
      <w:r>
        <w:rPr>
          <w:rFonts w:hint="eastAsia" w:ascii="宋体" w:hAnsi="宋体" w:eastAsia="宋体" w:cs="宋体"/>
          <w:sz w:val="24"/>
          <w:szCs w:val="24"/>
          <w:highlight w:val="none"/>
          <w:lang w:val="en-US" w:eastAsia="zh-CN"/>
        </w:rPr>
        <w:t>林荫大道</w:t>
      </w:r>
      <w:r>
        <w:rPr>
          <w:rFonts w:hint="eastAsia" w:ascii="宋体" w:hAnsi="宋体" w:eastAsia="宋体" w:cs="宋体"/>
          <w:sz w:val="24"/>
          <w:szCs w:val="24"/>
          <w:highlight w:val="none"/>
        </w:rPr>
        <w:t>养护质量外业检查实行“千分制养护缺陷扣减法”，（评分细则见附件1）。养护质量内业检查按六项内容进行考核，总分为100分（评分细则见附件2）。养护质量内业检查得分=100分-累计扣分值。</w:t>
      </w:r>
    </w:p>
    <w:p w14:paraId="3031D08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三、考核的具体内容和养护要求</w:t>
      </w:r>
    </w:p>
    <w:p w14:paraId="5CB5620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1.养护质量外业检查考核：</w:t>
      </w:r>
    </w:p>
    <w:p w14:paraId="216A3F5A">
      <w:pPr>
        <w:keepNext w:val="0"/>
        <w:keepLines w:val="0"/>
        <w:pageBreakBefore w:val="0"/>
        <w:widowControl w:val="0"/>
        <w:spacing w:line="360" w:lineRule="auto"/>
        <w:ind w:firstLine="480"/>
        <w:rPr>
          <w:rFonts w:hint="eastAsia" w:ascii="宋体" w:hAnsi="宋体" w:eastAsia="宋体" w:cs="宋体"/>
          <w:sz w:val="24"/>
          <w:szCs w:val="24"/>
        </w:rPr>
      </w:pPr>
      <w:r>
        <w:rPr>
          <w:rFonts w:hint="eastAsia" w:ascii="宋体" w:hAnsi="宋体" w:eastAsia="宋体" w:cs="宋体"/>
          <w:sz w:val="24"/>
          <w:szCs w:val="24"/>
          <w:highlight w:val="none"/>
        </w:rPr>
        <w:t>内容主要包括路基、路面、桥涵、沿线设施、绿化、交安、保洁、路域环境等方面，要求如下</w:t>
      </w:r>
      <w:r>
        <w:rPr>
          <w:rFonts w:hint="eastAsia" w:ascii="宋体" w:hAnsi="宋体" w:eastAsia="宋体" w:cs="宋体"/>
          <w:sz w:val="24"/>
          <w:szCs w:val="24"/>
        </w:rPr>
        <w:t>：</w:t>
      </w:r>
    </w:p>
    <w:p w14:paraId="59D727B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（1）路基</w:t>
      </w:r>
    </w:p>
    <w:p w14:paraId="30F6828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①路基养护和病害处治及时、规范、有效，技术状况达到优等。</w:t>
      </w:r>
    </w:p>
    <w:p w14:paraId="0E3289E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②路基稳定坚实，无缺口、冲沟，边缘整齐平顺。</w:t>
      </w:r>
    </w:p>
    <w:p w14:paraId="243A12F2">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③排水系统完善，排水设施齐全、完好。</w:t>
      </w:r>
    </w:p>
    <w:p w14:paraId="7DD9F46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④路基防护完好有效并与自然环境协调一致。</w:t>
      </w:r>
    </w:p>
    <w:p w14:paraId="6FC05FF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（2）路面</w:t>
      </w:r>
    </w:p>
    <w:p w14:paraId="60F3782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①路面养护和病害处治及时、规范、有效。县道优良率路达到 93%以上。</w:t>
      </w:r>
    </w:p>
    <w:p w14:paraId="68F9F1A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②路面平整坚实，无积水，行驶舒适。</w:t>
      </w:r>
    </w:p>
    <w:p w14:paraId="07371B45">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③及时发现并处治路面病害，及时清理路面障碍物。路面无影响行车舒适性、安全性和视觉效果的严重病害。</w:t>
      </w:r>
    </w:p>
    <w:p w14:paraId="7B6A077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④路面局部病害修复应平整、美观，与原路面接合的界面应顺直、耐久。</w:t>
      </w:r>
    </w:p>
    <w:p w14:paraId="5910BAE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（3）桥涵</w:t>
      </w:r>
    </w:p>
    <w:p w14:paraId="2C520213">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①桥涵养护规范、有效。桥梁技术状况水平达到三类及以上，涵洞技术状况水平达到较好及以上。</w:t>
      </w:r>
    </w:p>
    <w:p w14:paraId="7EF9578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桥梁外观整洁，桥面铺装平整无跳车、排水顺畅，伸缩缝完好、清洁。桥梁基础无冲刷、淘空，支座无断裂、错位，墩台无滑动、倾斜或下沉，台背填土无沉降、隆起，锥坡、翼墙等保持完好，无开裂、沉陷、勾缝脱落。</w:t>
      </w:r>
    </w:p>
    <w:p w14:paraId="2AB3707F">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③涵洞应与路基同宽，涵洞的铺砌、翼墙、护坡等应完好，涵体侧墙及拱顶无开裂、变形，涵洞上下游排水顺畅，洞口清洁，无杂物堆积，洞内无淤塞。</w:t>
      </w:r>
    </w:p>
    <w:p w14:paraId="17452A0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④隧道洞口边坡无落石、积水、积雪等，洞门结构无开裂、倾斜、沉陷、错台等病害，衬砌完整无明显开裂和剥落，装饰板材安装牢固，无松动和脱落。隧道路面平整，排水系统良好。</w:t>
      </w:r>
    </w:p>
    <w:p w14:paraId="7DB013F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（4）沿线设施</w:t>
      </w:r>
    </w:p>
    <w:p w14:paraId="0BA0747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①沿线设施养护规范有效，技术状况达到优等。</w:t>
      </w:r>
    </w:p>
    <w:p w14:paraId="5191A527">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②沿线防护设施、隔离栅、标志、标线符合规范及路政部门要求。</w:t>
      </w:r>
    </w:p>
    <w:p w14:paraId="2D92239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③沿线里程碑（牌）、百米桩（牌）设置（尺寸、颜色、字体、样式等）符合标准要求，做到位置适当、准确、齐全、完好、醒目、美观。</w:t>
      </w:r>
    </w:p>
    <w:p w14:paraId="1D68187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（5）绿化</w:t>
      </w:r>
    </w:p>
    <w:p w14:paraId="4E89D11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①公路沿线可绿化路段绿化率应达到 100%，达到公路绿色通道要求，做到三季有花、四季有绿。</w:t>
      </w:r>
    </w:p>
    <w:p w14:paraId="4F9FD83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②沿线绿化要定期修剪，绿化形状美观，无死株、无倒伏、无明显缺株断带、无病虫害，刷白美观。每年冬季统一刷白，刷白高度不低于 1.2米。</w:t>
      </w:r>
    </w:p>
    <w:p w14:paraId="4FEB04B6">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③道路两侧灌木、花草等景观绿化定期修剪，灌木成型、色块精致美观，草坪每月修剪一次（4月至 11月底），绿化带内杂草、杂物、生活垃圾及时清理。</w:t>
      </w:r>
    </w:p>
    <w:p w14:paraId="15F285F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④路肩边坡无 15cm以上高草。</w:t>
      </w:r>
    </w:p>
    <w:p w14:paraId="6EF31C7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（6）交通安全设施</w:t>
      </w:r>
    </w:p>
    <w:p w14:paraId="0EEE6CE8">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①公路交通安全设施齐全，沿线标志、标线、标牌、护栏等设施按国家标准和行业标准设置，无缺损。</w:t>
      </w:r>
    </w:p>
    <w:p w14:paraId="29BEE1A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②公路交通安全设施保持干净整洁。</w:t>
      </w:r>
    </w:p>
    <w:p w14:paraId="787DAA0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（7）保洁</w:t>
      </w:r>
    </w:p>
    <w:p w14:paraId="7CC4C16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①保洁要采取机械保洁与人工保洁相结合方式，以机械清扫为主，努力做到路面无积尘、见本色，干净、整洁。</w:t>
      </w:r>
    </w:p>
    <w:p w14:paraId="53BEC5F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②中分带、路肩、边坡、边沟等路域范围内无建筑垃圾、白色垃圾、生活垃圾、杂草、淤泥等杂物。</w:t>
      </w:r>
    </w:p>
    <w:p w14:paraId="12FAE43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③里程碑（牌）、百米桩（牌）、护栏等沿线设施无污染，外观干净、整洁、醒目。</w:t>
      </w:r>
    </w:p>
    <w:p w14:paraId="18D3495B">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2.养护质量内业检查考核：</w:t>
      </w:r>
    </w:p>
    <w:p w14:paraId="544D47A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（1）养护管理制度</w:t>
      </w:r>
    </w:p>
    <w:p w14:paraId="0404314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养护单位根据养护实际需求，建立有效的养护管理组织机构，并制定相应的养护管理制度。</w:t>
      </w:r>
    </w:p>
    <w:p w14:paraId="327A59E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（3）养护基本保障</w:t>
      </w:r>
    </w:p>
    <w:p w14:paraId="55C29E7D">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养护单位人员、机械设备、材料等配置合理充足，满足养护及应急处置需求；人员安全、技术培训到位；机械设备维修保养到位。</w:t>
      </w:r>
    </w:p>
    <w:p w14:paraId="2E46F92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（4）安全管理</w:t>
      </w:r>
    </w:p>
    <w:p w14:paraId="31D13E1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养护单位结合管养实际，建立有效的安全管理制度，施工作业中能严格遵守有关安全规程以及采取维持通车和施工作业的安全措施，开展安全检查，落实安全责任。</w:t>
      </w:r>
    </w:p>
    <w:p w14:paraId="3B66063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（5）巡查检查计划及纪录</w:t>
      </w:r>
    </w:p>
    <w:p w14:paraId="7B290771">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养护单位能制定年度、季度、月度巡查检查计划，相应检查台账，日常巡查、定期检查和专项检查记录真实齐全且签名齐全。</w:t>
      </w:r>
    </w:p>
    <w:p w14:paraId="5D2E30FE">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（6）应急管理</w:t>
      </w:r>
    </w:p>
    <w:p w14:paraId="32D2CBC9">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按照要求建立各类应急预案，在遇到特大暴雨、洪水、冰雪、地震等恶劣天气和突发事件时，公路养护应急方案和措施到位，处置得当，未造成不良社会影响等。应急物资配备齐全，针对性强，进出库记录完整真实。</w:t>
      </w:r>
    </w:p>
    <w:p w14:paraId="79B85B34">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（7）管理闭合</w:t>
      </w:r>
    </w:p>
    <w:p w14:paraId="17559890">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养护内业资料全面性、真实性、准确性、关联性等得到充分体现，真实反映路况和养护生产作业实际，实现管理闭合。</w:t>
      </w:r>
    </w:p>
    <w:p w14:paraId="2292277C">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（8）江宁区交通运输局安排的其它工作完成情况。</w:t>
      </w:r>
    </w:p>
    <w:p w14:paraId="4429797A">
      <w:pPr>
        <w:keepNext w:val="0"/>
        <w:keepLines w:val="0"/>
        <w:pageBreakBefore w:val="0"/>
        <w:widowControl w:val="0"/>
        <w:spacing w:line="360" w:lineRule="auto"/>
        <w:ind w:firstLine="480"/>
        <w:rPr>
          <w:rFonts w:hint="eastAsia" w:ascii="宋体" w:hAnsi="宋体" w:eastAsia="宋体" w:cs="宋体"/>
          <w:sz w:val="24"/>
          <w:szCs w:val="32"/>
        </w:rPr>
      </w:pPr>
      <w:r>
        <w:rPr>
          <w:rFonts w:hint="eastAsia" w:ascii="宋体" w:hAnsi="宋体" w:eastAsia="宋体" w:cs="宋体"/>
          <w:sz w:val="24"/>
          <w:szCs w:val="32"/>
        </w:rPr>
        <w:t>四、经费拨付</w:t>
      </w:r>
    </w:p>
    <w:p w14:paraId="2E4CEA2E">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1.按照省市区相关行业标准、管理办法、合同、下发的有关文件、规定等进行经费拨付。</w:t>
      </w:r>
    </w:p>
    <w:p w14:paraId="38041939">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lang w:val="en-US" w:eastAsia="zh-CN"/>
        </w:rPr>
        <w:t>采用基价类和单价类结合的方式，按月计量，季度支付。</w:t>
      </w:r>
    </w:p>
    <w:p w14:paraId="0D28BEB2">
      <w:pPr>
        <w:keepNext w:val="0"/>
        <w:keepLines w:val="0"/>
        <w:pageBreakBefore w:val="0"/>
        <w:widowControl w:val="0"/>
        <w:spacing w:line="360" w:lineRule="auto"/>
        <w:ind w:firstLine="420"/>
        <w:rPr>
          <w:rFonts w:hint="eastAsia" w:ascii="宋体" w:hAnsi="宋体" w:eastAsia="宋体" w:cs="宋体"/>
          <w:sz w:val="24"/>
          <w:szCs w:val="24"/>
          <w:highlight w:val="none"/>
        </w:rPr>
      </w:pPr>
      <w:r>
        <w:rPr>
          <w:rFonts w:hint="eastAsia" w:ascii="宋体" w:hAnsi="宋体" w:eastAsia="宋体" w:cs="宋体"/>
          <w:sz w:val="24"/>
          <w:szCs w:val="24"/>
          <w:highlight w:val="none"/>
        </w:rPr>
        <w:t>3.养护单位根据要求，编制年度、月度工作计划，每月25日前上报，经审核后组织实施。如财政部门另有规定的从其规定。</w:t>
      </w:r>
    </w:p>
    <w:p w14:paraId="0828C85D">
      <w:pPr>
        <w:keepNext w:val="0"/>
        <w:keepLines w:val="0"/>
        <w:pageBreakBefore w:val="0"/>
        <w:widowControl w:val="0"/>
        <w:spacing w:line="360" w:lineRule="auto"/>
        <w:ind w:firstLine="420"/>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养护单位按月于月末提出经费支付申请，监理审核</w:t>
      </w:r>
      <w:r>
        <w:rPr>
          <w:rFonts w:hint="eastAsia" w:ascii="宋体" w:hAnsi="宋体" w:cs="宋体"/>
          <w:sz w:val="24"/>
          <w:szCs w:val="24"/>
          <w:highlight w:val="none"/>
          <w:lang w:eastAsia="zh-CN"/>
        </w:rPr>
        <w:t>、</w:t>
      </w:r>
      <w:r>
        <w:rPr>
          <w:rFonts w:hint="eastAsia" w:ascii="宋体" w:hAnsi="宋体" w:eastAsia="宋体" w:cs="宋体"/>
          <w:sz w:val="24"/>
          <w:szCs w:val="24"/>
          <w:highlight w:val="none"/>
        </w:rPr>
        <w:t>报区局</w:t>
      </w:r>
      <w:r>
        <w:rPr>
          <w:rFonts w:hint="eastAsia" w:ascii="宋体" w:hAnsi="宋体" w:cs="宋体"/>
          <w:sz w:val="24"/>
          <w:szCs w:val="24"/>
          <w:highlight w:val="none"/>
          <w:lang w:eastAsia="zh-CN"/>
        </w:rPr>
        <w:t>；</w:t>
      </w:r>
      <w:r>
        <w:rPr>
          <w:rFonts w:hint="eastAsia" w:ascii="宋体" w:hAnsi="宋体" w:cs="宋体"/>
          <w:sz w:val="24"/>
          <w:szCs w:val="24"/>
          <w:highlight w:val="none"/>
          <w:lang w:val="en-US" w:eastAsia="zh-CN"/>
        </w:rPr>
        <w:t>监理</w:t>
      </w:r>
      <w:r>
        <w:rPr>
          <w:rFonts w:hint="eastAsia" w:ascii="宋体" w:hAnsi="宋体" w:eastAsia="宋体" w:cs="宋体"/>
          <w:sz w:val="24"/>
          <w:szCs w:val="24"/>
          <w:highlight w:val="none"/>
        </w:rPr>
        <w:t>在收到申报材料后，在两周内完成审定，</w:t>
      </w:r>
      <w:r>
        <w:rPr>
          <w:rFonts w:hint="eastAsia" w:ascii="宋体" w:hAnsi="宋体" w:cs="宋体"/>
          <w:sz w:val="24"/>
          <w:szCs w:val="24"/>
          <w:highlight w:val="none"/>
          <w:lang w:val="en-US" w:eastAsia="zh-CN"/>
        </w:rPr>
        <w:t>报区局并</w:t>
      </w:r>
      <w:r>
        <w:rPr>
          <w:rFonts w:hint="eastAsia" w:ascii="宋体" w:hAnsi="宋体" w:eastAsia="宋体" w:cs="宋体"/>
          <w:sz w:val="24"/>
          <w:szCs w:val="24"/>
          <w:highlight w:val="none"/>
          <w:lang w:val="en-US" w:eastAsia="zh-CN"/>
        </w:rPr>
        <w:t>按季度</w:t>
      </w:r>
      <w:r>
        <w:rPr>
          <w:rFonts w:hint="eastAsia" w:ascii="宋体" w:hAnsi="宋体" w:eastAsia="宋体" w:cs="宋体"/>
          <w:sz w:val="24"/>
          <w:szCs w:val="24"/>
          <w:highlight w:val="none"/>
        </w:rPr>
        <w:t>拨付给养护单位</w:t>
      </w:r>
      <w:r>
        <w:rPr>
          <w:rFonts w:hint="eastAsia" w:ascii="宋体" w:hAnsi="宋体" w:eastAsia="宋体" w:cs="宋体"/>
          <w:sz w:val="24"/>
          <w:szCs w:val="24"/>
          <w:highlight w:val="none"/>
          <w:lang w:eastAsia="zh-CN"/>
        </w:rPr>
        <w:t>。</w:t>
      </w:r>
    </w:p>
    <w:p w14:paraId="0FB0F914">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rPr>
        <w:t>.</w:t>
      </w:r>
      <w:r>
        <w:rPr>
          <w:rFonts w:hint="eastAsia" w:ascii="宋体" w:hAnsi="宋体" w:cs="宋体"/>
          <w:sz w:val="24"/>
          <w:szCs w:val="24"/>
          <w:highlight w:val="none"/>
          <w:lang w:val="en-US" w:eastAsia="zh-CN"/>
        </w:rPr>
        <w:t>按月度计量，季度支付。</w:t>
      </w:r>
      <w:r>
        <w:rPr>
          <w:rFonts w:hint="eastAsia" w:ascii="宋体" w:hAnsi="宋体" w:eastAsia="宋体" w:cs="宋体"/>
          <w:sz w:val="24"/>
          <w:szCs w:val="24"/>
          <w:highlight w:val="none"/>
        </w:rPr>
        <w:t>区局结合季度考核得分情况拨付经费。考核得分在900-930分，全额拨付季度经费；考核得分在850-900分（不含900分），按（</w:t>
      </w:r>
      <w:r>
        <w:rPr>
          <w:rFonts w:hint="eastAsia" w:ascii="宋体" w:hAnsi="宋体" w:eastAsia="宋体" w:cs="宋体"/>
          <w:color w:val="auto"/>
          <w:sz w:val="24"/>
          <w:szCs w:val="24"/>
          <w:highlight w:val="none"/>
        </w:rPr>
        <w:t>899-季度考核得分</w:t>
      </w:r>
      <w:r>
        <w:rPr>
          <w:rFonts w:hint="eastAsia" w:ascii="宋体" w:hAnsi="宋体" w:eastAsia="宋体" w:cs="宋体"/>
          <w:sz w:val="24"/>
          <w:szCs w:val="24"/>
          <w:highlight w:val="none"/>
        </w:rPr>
        <w:t>）*1000元标准扣除养护经费；考核得分在800-850分（不含850分），按（899-季度考核得分）*2000元标准扣除养护经费；考核得分在800分及以下的，扣除（899-季度考核得分）*5000元标准扣除养护经费。扣除的养护经费在季度拨付当月计量经费中扣除。</w:t>
      </w:r>
    </w:p>
    <w:p w14:paraId="08801C48">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五、附则</w:t>
      </w:r>
    </w:p>
    <w:p w14:paraId="527BFEF9">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1.如有其它未尽事宜，按省市区制定的相关办法执行。</w:t>
      </w:r>
    </w:p>
    <w:p w14:paraId="0E127E67">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2.本办法由江宁区交通运输局负责解释。</w:t>
      </w:r>
    </w:p>
    <w:p w14:paraId="7C20BE9E">
      <w:pPr>
        <w:keepNext w:val="0"/>
        <w:keepLines w:val="0"/>
        <w:pageBreakBefore w:val="0"/>
        <w:widowControl w:val="0"/>
        <w:spacing w:line="360" w:lineRule="auto"/>
        <w:ind w:firstLine="480"/>
        <w:rPr>
          <w:rFonts w:hint="eastAsia" w:ascii="宋体" w:hAnsi="宋体" w:eastAsia="宋体" w:cs="宋体"/>
          <w:sz w:val="24"/>
          <w:szCs w:val="32"/>
          <w:highlight w:val="none"/>
        </w:rPr>
      </w:pPr>
      <w:r>
        <w:rPr>
          <w:rFonts w:hint="eastAsia" w:ascii="宋体" w:hAnsi="宋体" w:eastAsia="宋体" w:cs="宋体"/>
          <w:sz w:val="24"/>
          <w:szCs w:val="32"/>
          <w:highlight w:val="none"/>
        </w:rPr>
        <w:t>3.本办法自下发之日起施行。</w:t>
      </w:r>
    </w:p>
    <w:p w14:paraId="6169063B">
      <w:pPr>
        <w:keepNext w:val="0"/>
        <w:keepLines w:val="0"/>
        <w:pageBreakBefore w:val="0"/>
        <w:widowControl w:val="0"/>
        <w:spacing w:line="360" w:lineRule="auto"/>
        <w:ind w:firstLine="480"/>
        <w:rPr>
          <w:rFonts w:hint="eastAsia" w:ascii="宋体" w:hAnsi="宋体" w:eastAsia="宋体" w:cs="宋体"/>
          <w:sz w:val="24"/>
          <w:szCs w:val="24"/>
          <w:highlight w:val="none"/>
        </w:rPr>
      </w:pPr>
      <w:r>
        <w:rPr>
          <w:rFonts w:hint="eastAsia" w:ascii="宋体" w:hAnsi="宋体" w:eastAsia="宋体" w:cs="宋体"/>
          <w:sz w:val="24"/>
          <w:szCs w:val="32"/>
          <w:highlight w:val="none"/>
        </w:rPr>
        <w:t>附件 1：</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外业检查千分制评分标准</w:t>
      </w:r>
    </w:p>
    <w:p w14:paraId="7E05F867">
      <w:pPr>
        <w:keepNext w:val="0"/>
        <w:keepLines w:val="0"/>
        <w:pageBreakBefore w:val="0"/>
        <w:widowControl w:val="0"/>
        <w:spacing w:line="360" w:lineRule="auto"/>
        <w:ind w:firstLine="480"/>
        <w:rPr>
          <w:rFonts w:hint="eastAsia" w:ascii="宋体" w:hAnsi="宋体" w:eastAsia="宋体" w:cs="宋体"/>
          <w:highlight w:val="none"/>
          <w:lang w:val="zh-CN"/>
        </w:rPr>
      </w:pPr>
      <w:r>
        <w:rPr>
          <w:rFonts w:hint="eastAsia" w:ascii="宋体" w:hAnsi="宋体" w:eastAsia="宋体" w:cs="宋体"/>
          <w:sz w:val="24"/>
          <w:szCs w:val="24"/>
          <w:highlight w:val="none"/>
        </w:rPr>
        <w:t>附件 2：</w:t>
      </w:r>
      <w:r>
        <w:rPr>
          <w:rFonts w:hint="eastAsia" w:ascii="宋体" w:hAnsi="宋体"/>
          <w:sz w:val="24"/>
          <w:szCs w:val="24"/>
          <w:highlight w:val="none"/>
          <w:lang w:val="zh-CN" w:eastAsia="zh-CN"/>
        </w:rPr>
        <w:t>2026年江宁区林荫大道示范管护带养护服务</w:t>
      </w:r>
      <w:r>
        <w:rPr>
          <w:rFonts w:hint="eastAsia" w:ascii="宋体" w:hAnsi="宋体"/>
          <w:sz w:val="24"/>
          <w:szCs w:val="24"/>
          <w:highlight w:val="none"/>
          <w:lang w:val="en-US" w:eastAsia="zh-CN"/>
        </w:rPr>
        <w:t>质量</w:t>
      </w:r>
      <w:r>
        <w:rPr>
          <w:rFonts w:hint="eastAsia" w:ascii="宋体" w:hAnsi="宋体" w:eastAsia="宋体" w:cs="宋体"/>
          <w:sz w:val="24"/>
          <w:szCs w:val="24"/>
          <w:highlight w:val="none"/>
        </w:rPr>
        <w:t>内业</w:t>
      </w:r>
      <w:r>
        <w:rPr>
          <w:rFonts w:hint="eastAsia" w:ascii="宋体" w:hAnsi="宋体" w:eastAsia="宋体" w:cs="宋体"/>
          <w:sz w:val="24"/>
          <w:szCs w:val="32"/>
          <w:highlight w:val="none"/>
        </w:rPr>
        <w:t>检查评分标准</w:t>
      </w:r>
    </w:p>
    <w:p w14:paraId="596ECCFA">
      <w:pPr>
        <w:keepNext w:val="0"/>
        <w:keepLines w:val="0"/>
        <w:pageBreakBefore w:val="0"/>
        <w:spacing w:line="360" w:lineRule="auto"/>
        <w:jc w:val="center"/>
        <w:rPr>
          <w:rFonts w:hint="eastAsia" w:ascii="宋体" w:hAnsi="宋体" w:cs="宋体"/>
          <w:b/>
          <w:bCs/>
          <w:color w:val="000000"/>
          <w:sz w:val="24"/>
          <w:highlight w:val="yellow"/>
          <w:lang w:bidi="ar"/>
        </w:rPr>
      </w:pPr>
    </w:p>
    <w:p w14:paraId="388FC750">
      <w:pPr>
        <w:jc w:val="center"/>
        <w:rPr>
          <w:rFonts w:hint="eastAsia" w:ascii="宋体" w:hAnsi="宋体" w:cs="宋体"/>
          <w:b/>
          <w:bCs/>
          <w:color w:val="000000"/>
          <w:sz w:val="24"/>
          <w:lang w:bidi="ar"/>
        </w:rPr>
      </w:pPr>
    </w:p>
    <w:p w14:paraId="4D2D7B7B">
      <w:pPr>
        <w:jc w:val="center"/>
        <w:rPr>
          <w:rFonts w:hint="eastAsia" w:ascii="宋体" w:hAnsi="宋体" w:cs="宋体"/>
          <w:b/>
          <w:bCs/>
          <w:color w:val="000000"/>
          <w:sz w:val="24"/>
          <w:lang w:bidi="ar"/>
        </w:rPr>
      </w:pPr>
    </w:p>
    <w:p w14:paraId="501E86B6">
      <w:pPr>
        <w:rPr>
          <w:rFonts w:hint="eastAsia" w:ascii="宋体" w:hAnsi="宋体" w:cs="宋体"/>
          <w:b/>
          <w:bCs/>
          <w:color w:val="000000"/>
          <w:sz w:val="24"/>
          <w:lang w:bidi="ar"/>
        </w:rPr>
      </w:pPr>
      <w:r>
        <w:rPr>
          <w:rFonts w:hint="eastAsia" w:ascii="宋体" w:hAnsi="宋体" w:cs="宋体"/>
          <w:b/>
          <w:bCs/>
          <w:color w:val="000000"/>
          <w:sz w:val="24"/>
          <w:lang w:bidi="ar"/>
        </w:rPr>
        <w:br w:type="page" w:clear="all"/>
      </w:r>
    </w:p>
    <w:p w14:paraId="2831EB43">
      <w:pPr>
        <w:jc w:val="center"/>
        <w:rPr>
          <w:rFonts w:hint="eastAsia" w:ascii="Times New Roman" w:hAnsi="Times New Roman" w:eastAsia="宋体" w:cs="Times New Roman"/>
          <w:szCs w:val="24"/>
          <w:highlight w:val="none"/>
          <w:lang w:eastAsia="zh-CN"/>
        </w:rPr>
      </w:pPr>
      <w:r>
        <w:rPr>
          <w:rFonts w:hint="eastAsia" w:ascii="宋体" w:hAnsi="宋体" w:cs="宋体"/>
          <w:b/>
          <w:bCs/>
          <w:color w:val="000000"/>
          <w:sz w:val="24"/>
          <w:highlight w:val="none"/>
          <w:lang w:bidi="ar"/>
        </w:rPr>
        <w:t>附件 1：</w:t>
      </w:r>
      <w:r>
        <w:rPr>
          <w:rFonts w:hint="eastAsia" w:ascii="宋体" w:hAnsi="宋体" w:cs="宋体"/>
          <w:b/>
          <w:bCs/>
          <w:color w:val="000000"/>
          <w:sz w:val="24"/>
          <w:highlight w:val="none"/>
          <w:lang w:val="zh-CN" w:eastAsia="zh-CN" w:bidi="ar"/>
        </w:rPr>
        <w:t>2026年江宁区林荫大道示范管护带养护服务</w:t>
      </w:r>
      <w:r>
        <w:rPr>
          <w:rFonts w:hint="eastAsia" w:ascii="宋体" w:hAnsi="宋体" w:cs="宋体"/>
          <w:b/>
          <w:bCs/>
          <w:color w:val="000000"/>
          <w:sz w:val="24"/>
          <w:highlight w:val="none"/>
          <w:lang w:val="en-US" w:eastAsia="zh-CN" w:bidi="ar"/>
        </w:rPr>
        <w:t>质量</w:t>
      </w:r>
      <w:r>
        <w:rPr>
          <w:rFonts w:hint="eastAsia" w:ascii="宋体" w:hAnsi="宋体" w:cs="宋体"/>
          <w:b/>
          <w:bCs/>
          <w:color w:val="000000"/>
          <w:sz w:val="24"/>
          <w:highlight w:val="none"/>
          <w:lang w:bidi="ar"/>
        </w:rPr>
        <w:t>外业检查千分制评分标准</w:t>
      </w:r>
    </w:p>
    <w:p w14:paraId="163E3486">
      <w:pPr>
        <w:jc w:val="center"/>
        <w:rPr>
          <w:rFonts w:hint="eastAsia" w:ascii="宋体" w:hAnsi="宋体" w:eastAsia="宋体" w:cs="宋体"/>
          <w:b/>
          <w:bCs/>
          <w:color w:val="000000"/>
          <w:sz w:val="24"/>
          <w:lang w:eastAsia="zh-CN" w:bidi="ar"/>
        </w:rPr>
      </w:pPr>
      <w:r>
        <w:rPr>
          <w:rFonts w:hint="eastAsia" w:ascii="宋体" w:hAnsi="宋体" w:eastAsia="宋体" w:cs="宋体"/>
          <w:b/>
          <w:bCs/>
          <w:color w:val="000000"/>
          <w:sz w:val="24"/>
          <w:lang w:eastAsia="zh-CN" w:bidi="ar"/>
        </w:rPr>
        <w:drawing>
          <wp:inline distT="0" distB="0" distL="0" distR="0">
            <wp:extent cx="7360285" cy="5202555"/>
            <wp:effectExtent l="0" t="0" r="17145" b="12065"/>
            <wp:docPr id="6" name="图片 11" descr="修  2025年江宁区林荫大道示范管护带养护服务质量外业检查千分制评分标准（25.2.17）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1" descr="修  2025年江宁区林荫大道示范管护带养护服务质量外业检查千分制评分标准（25.2.17）_01"/>
                    <pic:cNvPicPr>
                      <a:picLocks noChangeAspect="1"/>
                    </pic:cNvPicPr>
                  </pic:nvPicPr>
                  <pic:blipFill>
                    <a:blip r:embed="rId9"/>
                    <a:stretch>
                      <a:fillRect/>
                    </a:stretch>
                  </pic:blipFill>
                  <pic:spPr>
                    <a:xfrm rot="16199999">
                      <a:off x="0" y="0"/>
                      <a:ext cx="7360285" cy="5202554"/>
                    </a:xfrm>
                    <a:prstGeom prst="rect">
                      <a:avLst/>
                    </a:prstGeom>
                  </pic:spPr>
                </pic:pic>
              </a:graphicData>
            </a:graphic>
          </wp:inline>
        </w:drawing>
      </w:r>
      <w:r>
        <w:rPr>
          <w:rFonts w:hint="eastAsia" w:ascii="宋体" w:hAnsi="宋体" w:eastAsia="宋体" w:cs="宋体"/>
          <w:b/>
          <w:bCs/>
          <w:color w:val="000000"/>
          <w:sz w:val="24"/>
          <w:lang w:eastAsia="zh-CN" w:bidi="ar"/>
        </w:rPr>
        <w:drawing>
          <wp:inline distT="0" distB="0" distL="0" distR="0">
            <wp:extent cx="8225790" cy="5814060"/>
            <wp:effectExtent l="0" t="0" r="15240" b="3810"/>
            <wp:docPr id="7" name="图片 10" descr="修  2025年江宁区林荫大道示范管护带养护服务质量外业检查千分制评分标准（25.2.17）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0" descr="修  2025年江宁区林荫大道示范管护带养护服务质量外业检查千分制评分标准（25.2.17）_02"/>
                    <pic:cNvPicPr>
                      <a:picLocks noChangeAspect="1"/>
                    </pic:cNvPicPr>
                  </pic:nvPicPr>
                  <pic:blipFill>
                    <a:blip r:embed="rId10"/>
                    <a:stretch>
                      <a:fillRect/>
                    </a:stretch>
                  </pic:blipFill>
                  <pic:spPr>
                    <a:xfrm rot="16199999">
                      <a:off x="0" y="0"/>
                      <a:ext cx="8225790" cy="5814060"/>
                    </a:xfrm>
                    <a:prstGeom prst="rect">
                      <a:avLst/>
                    </a:prstGeom>
                  </pic:spPr>
                </pic:pic>
              </a:graphicData>
            </a:graphic>
          </wp:inline>
        </w:drawing>
      </w:r>
    </w:p>
    <w:p w14:paraId="0DDDA0D9">
      <w:pPr>
        <w:jc w:val="center"/>
      </w:pPr>
    </w:p>
    <w:p w14:paraId="2D6694B9">
      <w:pPr>
        <w:jc w:val="center"/>
        <w:sectPr>
          <w:footerReference r:id="rId5" w:type="default"/>
          <w:pgSz w:w="11906" w:h="16838"/>
          <w:pgMar w:top="1440" w:right="1134" w:bottom="1440" w:left="1134" w:header="851" w:footer="992" w:gutter="0"/>
          <w:pgNumType w:start="1"/>
          <w:cols w:space="720" w:num="1"/>
          <w:docGrid w:linePitch="360" w:charSpace="0"/>
        </w:sectPr>
      </w:pPr>
    </w:p>
    <w:p w14:paraId="2B117D95">
      <w:pPr>
        <w:jc w:val="center"/>
        <w:rPr>
          <w:rFonts w:hint="eastAsia" w:ascii="宋体" w:hAnsi="宋体" w:cs="宋体"/>
          <w:b/>
          <w:bCs/>
          <w:color w:val="000000"/>
          <w:sz w:val="24"/>
          <w:lang w:bidi="ar"/>
        </w:rPr>
      </w:pPr>
      <w:r>
        <w:rPr>
          <w:rFonts w:hint="eastAsia" w:ascii="宋体" w:hAnsi="宋体" w:cs="宋体"/>
          <w:b/>
          <w:bCs/>
          <w:color w:val="000000"/>
          <w:sz w:val="24"/>
          <w:lang w:bidi="ar"/>
        </w:rPr>
        <w:t>附件 2：</w:t>
      </w:r>
      <w:r>
        <w:rPr>
          <w:rFonts w:hint="eastAsia" w:ascii="宋体" w:hAnsi="宋体" w:cs="宋体"/>
          <w:b/>
          <w:bCs/>
          <w:color w:val="000000"/>
          <w:sz w:val="24"/>
          <w:lang w:val="zh-CN" w:eastAsia="zh-CN" w:bidi="ar"/>
        </w:rPr>
        <w:t>2026年江宁区林荫大道示范管护带养护服务</w:t>
      </w:r>
      <w:r>
        <w:rPr>
          <w:rFonts w:hint="eastAsia" w:ascii="宋体" w:hAnsi="宋体" w:cs="宋体"/>
          <w:b/>
          <w:bCs/>
          <w:color w:val="000000"/>
          <w:sz w:val="24"/>
          <w:lang w:bidi="ar"/>
        </w:rPr>
        <w:t>质量内业检查评分标准</w:t>
      </w:r>
    </w:p>
    <w:p w14:paraId="1EB995D5"/>
    <w:tbl>
      <w:tblPr>
        <w:tblStyle w:val="35"/>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840"/>
        <w:gridCol w:w="4137"/>
        <w:gridCol w:w="3081"/>
      </w:tblGrid>
      <w:tr w14:paraId="03D014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689" w:type="dxa"/>
            <w:noWrap w:val="0"/>
            <w:vAlign w:val="center"/>
          </w:tcPr>
          <w:p w14:paraId="7C58126D">
            <w:pPr>
              <w:widowControl/>
              <w:jc w:val="center"/>
              <w:rPr>
                <w:sz w:val="24"/>
              </w:rPr>
            </w:pPr>
            <w:r>
              <w:rPr>
                <w:rFonts w:hint="eastAsia" w:ascii="宋体" w:hAnsi="宋体" w:cs="宋体"/>
                <w:color w:val="000000"/>
                <w:sz w:val="24"/>
                <w:lang w:bidi="ar"/>
              </w:rPr>
              <w:t>评分项目</w:t>
            </w:r>
          </w:p>
        </w:tc>
        <w:tc>
          <w:tcPr>
            <w:tcW w:w="840" w:type="dxa"/>
            <w:noWrap w:val="0"/>
            <w:vAlign w:val="center"/>
          </w:tcPr>
          <w:p w14:paraId="059C0944">
            <w:pPr>
              <w:widowControl/>
              <w:jc w:val="center"/>
              <w:rPr>
                <w:sz w:val="24"/>
              </w:rPr>
            </w:pPr>
            <w:r>
              <w:rPr>
                <w:rFonts w:hint="eastAsia"/>
                <w:sz w:val="24"/>
              </w:rPr>
              <w:t>满分</w:t>
            </w:r>
          </w:p>
        </w:tc>
        <w:tc>
          <w:tcPr>
            <w:tcW w:w="4137" w:type="dxa"/>
            <w:noWrap w:val="0"/>
            <w:vAlign w:val="center"/>
          </w:tcPr>
          <w:p w14:paraId="4C3C963B">
            <w:pPr>
              <w:widowControl/>
              <w:jc w:val="center"/>
              <w:rPr>
                <w:sz w:val="24"/>
              </w:rPr>
            </w:pPr>
            <w:r>
              <w:rPr>
                <w:rFonts w:hint="eastAsia" w:ascii="宋体" w:hAnsi="宋体" w:cs="宋体"/>
                <w:color w:val="000000"/>
                <w:sz w:val="24"/>
                <w:lang w:bidi="ar"/>
              </w:rPr>
              <w:t>评分内容</w:t>
            </w:r>
          </w:p>
        </w:tc>
        <w:tc>
          <w:tcPr>
            <w:tcW w:w="3081" w:type="dxa"/>
            <w:noWrap w:val="0"/>
            <w:vAlign w:val="center"/>
          </w:tcPr>
          <w:p w14:paraId="06515640">
            <w:pPr>
              <w:widowControl/>
              <w:jc w:val="center"/>
              <w:rPr>
                <w:sz w:val="24"/>
              </w:rPr>
            </w:pPr>
            <w:r>
              <w:rPr>
                <w:rFonts w:hint="eastAsia" w:ascii="宋体" w:hAnsi="宋体" w:cs="宋体"/>
                <w:color w:val="000000"/>
                <w:sz w:val="24"/>
                <w:lang w:bidi="ar"/>
              </w:rPr>
              <w:t>评分标准及细则</w:t>
            </w:r>
          </w:p>
        </w:tc>
      </w:tr>
      <w:tr w14:paraId="15085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2F2AD34F">
            <w:pPr>
              <w:widowControl/>
              <w:jc w:val="center"/>
              <w:rPr>
                <w:sz w:val="24"/>
              </w:rPr>
            </w:pPr>
            <w:r>
              <w:rPr>
                <w:rFonts w:hint="eastAsia" w:ascii="宋体" w:hAnsi="宋体" w:cs="宋体"/>
                <w:color w:val="000000"/>
                <w:sz w:val="24"/>
                <w:lang w:bidi="ar"/>
              </w:rPr>
              <w:t>养护管理机</w:t>
            </w:r>
          </w:p>
          <w:p w14:paraId="74E8E827">
            <w:pPr>
              <w:widowControl/>
              <w:jc w:val="center"/>
              <w:rPr>
                <w:sz w:val="24"/>
              </w:rPr>
            </w:pPr>
            <w:r>
              <w:rPr>
                <w:rFonts w:hint="eastAsia" w:ascii="宋体" w:hAnsi="宋体" w:cs="宋体"/>
                <w:color w:val="000000"/>
                <w:sz w:val="24"/>
                <w:lang w:bidi="ar"/>
              </w:rPr>
              <w:t>构设置</w:t>
            </w:r>
          </w:p>
        </w:tc>
        <w:tc>
          <w:tcPr>
            <w:tcW w:w="840" w:type="dxa"/>
            <w:noWrap w:val="0"/>
            <w:vAlign w:val="center"/>
          </w:tcPr>
          <w:p w14:paraId="0B423364">
            <w:pPr>
              <w:widowControl/>
              <w:jc w:val="center"/>
              <w:rPr>
                <w:sz w:val="24"/>
              </w:rPr>
            </w:pPr>
            <w:r>
              <w:rPr>
                <w:rFonts w:hint="eastAsia" w:ascii="宋体" w:hAnsi="宋体" w:cs="宋体"/>
                <w:color w:val="000000"/>
                <w:sz w:val="24"/>
                <w:lang w:bidi="ar"/>
              </w:rPr>
              <w:t>25分</w:t>
            </w:r>
          </w:p>
        </w:tc>
        <w:tc>
          <w:tcPr>
            <w:tcW w:w="4137" w:type="dxa"/>
            <w:noWrap w:val="0"/>
            <w:vAlign w:val="center"/>
          </w:tcPr>
          <w:p w14:paraId="6949ED76">
            <w:pPr>
              <w:widowControl/>
              <w:jc w:val="center"/>
              <w:rPr>
                <w:sz w:val="24"/>
              </w:rPr>
            </w:pPr>
            <w:r>
              <w:rPr>
                <w:rFonts w:hint="eastAsia" w:ascii="宋体" w:hAnsi="宋体" w:cs="宋体"/>
                <w:color w:val="000000"/>
                <w:sz w:val="24"/>
                <w:lang w:bidi="ar"/>
              </w:rPr>
              <w:t>根据养护实际需求，配备相应的养护人员、桥梁工程师和巡查车辆。</w:t>
            </w:r>
          </w:p>
        </w:tc>
        <w:tc>
          <w:tcPr>
            <w:tcW w:w="3081" w:type="dxa"/>
            <w:noWrap w:val="0"/>
            <w:vAlign w:val="center"/>
          </w:tcPr>
          <w:p w14:paraId="5EE52927">
            <w:pPr>
              <w:widowControl/>
              <w:jc w:val="center"/>
              <w:rPr>
                <w:sz w:val="24"/>
              </w:rPr>
            </w:pPr>
            <w:r>
              <w:rPr>
                <w:rFonts w:hint="eastAsia" w:ascii="宋体" w:hAnsi="宋体" w:cs="宋体"/>
                <w:color w:val="000000"/>
                <w:sz w:val="24"/>
                <w:lang w:bidi="ar"/>
              </w:rPr>
              <w:t>人员、车辆、设备等配备和机构设置不满足要求一项扣2.5分。</w:t>
            </w:r>
          </w:p>
        </w:tc>
      </w:tr>
      <w:tr w14:paraId="3FE08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8" w:hRule="atLeast"/>
          <w:jc w:val="center"/>
        </w:trPr>
        <w:tc>
          <w:tcPr>
            <w:tcW w:w="1689" w:type="dxa"/>
            <w:noWrap w:val="0"/>
            <w:vAlign w:val="center"/>
          </w:tcPr>
          <w:p w14:paraId="0D54A5E3">
            <w:pPr>
              <w:widowControl/>
              <w:jc w:val="center"/>
              <w:rPr>
                <w:sz w:val="24"/>
              </w:rPr>
            </w:pPr>
            <w:r>
              <w:rPr>
                <w:rFonts w:hint="eastAsia" w:ascii="宋体" w:hAnsi="宋体" w:cs="宋体"/>
                <w:color w:val="000000"/>
                <w:sz w:val="24"/>
                <w:lang w:bidi="ar"/>
              </w:rPr>
              <w:t>内业资料管</w:t>
            </w:r>
          </w:p>
          <w:p w14:paraId="0F5A5D7A">
            <w:pPr>
              <w:widowControl/>
              <w:jc w:val="center"/>
              <w:rPr>
                <w:sz w:val="24"/>
              </w:rPr>
            </w:pPr>
            <w:r>
              <w:rPr>
                <w:rFonts w:hint="eastAsia" w:ascii="宋体" w:hAnsi="宋体" w:cs="宋体"/>
                <w:color w:val="000000"/>
                <w:sz w:val="24"/>
                <w:lang w:bidi="ar"/>
              </w:rPr>
              <w:t>理</w:t>
            </w:r>
          </w:p>
        </w:tc>
        <w:tc>
          <w:tcPr>
            <w:tcW w:w="840" w:type="dxa"/>
            <w:noWrap w:val="0"/>
            <w:vAlign w:val="center"/>
          </w:tcPr>
          <w:p w14:paraId="414B8D5C">
            <w:pPr>
              <w:widowControl/>
              <w:jc w:val="center"/>
              <w:rPr>
                <w:sz w:val="24"/>
              </w:rPr>
            </w:pPr>
            <w:r>
              <w:rPr>
                <w:rFonts w:hint="eastAsia" w:ascii="宋体" w:hAnsi="宋体" w:cs="宋体"/>
                <w:color w:val="000000"/>
                <w:sz w:val="24"/>
                <w:lang w:bidi="ar"/>
              </w:rPr>
              <w:t>25分</w:t>
            </w:r>
          </w:p>
        </w:tc>
        <w:tc>
          <w:tcPr>
            <w:tcW w:w="4137" w:type="dxa"/>
            <w:noWrap w:val="0"/>
            <w:vAlign w:val="center"/>
          </w:tcPr>
          <w:p w14:paraId="519E2123">
            <w:pPr>
              <w:widowControl/>
              <w:jc w:val="center"/>
              <w:rPr>
                <w:sz w:val="24"/>
              </w:rPr>
            </w:pPr>
            <w:r>
              <w:rPr>
                <w:rFonts w:hint="eastAsia" w:ascii="宋体" w:hAnsi="宋体" w:cs="宋体"/>
                <w:color w:val="000000"/>
                <w:sz w:val="24"/>
                <w:lang w:bidi="ar"/>
              </w:rPr>
              <w:t>内容真实全面、填写规范准确、逻辑关联对应、条理清晰分明、归档整齐有序。</w:t>
            </w:r>
          </w:p>
        </w:tc>
        <w:tc>
          <w:tcPr>
            <w:tcW w:w="3081" w:type="dxa"/>
            <w:noWrap w:val="0"/>
            <w:vAlign w:val="center"/>
          </w:tcPr>
          <w:p w14:paraId="35D5A0E3">
            <w:pPr>
              <w:widowControl/>
              <w:jc w:val="center"/>
              <w:rPr>
                <w:sz w:val="24"/>
              </w:rPr>
            </w:pPr>
            <w:r>
              <w:rPr>
                <w:rFonts w:hint="eastAsia" w:ascii="宋体" w:hAnsi="宋体" w:cs="宋体"/>
                <w:color w:val="000000"/>
                <w:sz w:val="24"/>
                <w:lang w:bidi="ar"/>
              </w:rPr>
              <w:t>资料缺失，填写不规范，无关联性，归档无序等一处扣1分。</w:t>
            </w:r>
          </w:p>
        </w:tc>
      </w:tr>
      <w:tr w14:paraId="7A8AD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9" w:hRule="atLeast"/>
          <w:jc w:val="center"/>
        </w:trPr>
        <w:tc>
          <w:tcPr>
            <w:tcW w:w="1689" w:type="dxa"/>
            <w:noWrap w:val="0"/>
            <w:vAlign w:val="center"/>
          </w:tcPr>
          <w:p w14:paraId="3A4E0A67">
            <w:pPr>
              <w:widowControl/>
              <w:jc w:val="center"/>
              <w:rPr>
                <w:sz w:val="24"/>
              </w:rPr>
            </w:pPr>
            <w:r>
              <w:rPr>
                <w:rFonts w:hint="eastAsia" w:ascii="宋体" w:hAnsi="宋体" w:cs="宋体"/>
                <w:color w:val="000000"/>
                <w:sz w:val="24"/>
                <w:lang w:bidi="ar"/>
              </w:rPr>
              <w:t>公路特情应</w:t>
            </w:r>
          </w:p>
          <w:p w14:paraId="6B81F318">
            <w:pPr>
              <w:widowControl/>
              <w:jc w:val="center"/>
              <w:rPr>
                <w:sz w:val="24"/>
              </w:rPr>
            </w:pPr>
            <w:r>
              <w:rPr>
                <w:rFonts w:hint="eastAsia" w:ascii="宋体" w:hAnsi="宋体" w:cs="宋体"/>
                <w:color w:val="000000"/>
                <w:sz w:val="24"/>
                <w:lang w:bidi="ar"/>
              </w:rPr>
              <w:t>急处置</w:t>
            </w:r>
          </w:p>
        </w:tc>
        <w:tc>
          <w:tcPr>
            <w:tcW w:w="840" w:type="dxa"/>
            <w:noWrap w:val="0"/>
            <w:vAlign w:val="center"/>
          </w:tcPr>
          <w:p w14:paraId="6408B1EC">
            <w:pPr>
              <w:widowControl/>
              <w:jc w:val="center"/>
              <w:rPr>
                <w:sz w:val="24"/>
              </w:rPr>
            </w:pPr>
            <w:r>
              <w:rPr>
                <w:rFonts w:hint="eastAsia" w:ascii="宋体" w:hAnsi="宋体" w:cs="宋体"/>
                <w:color w:val="000000"/>
                <w:sz w:val="24"/>
                <w:lang w:bidi="ar"/>
              </w:rPr>
              <w:t>20分</w:t>
            </w:r>
          </w:p>
        </w:tc>
        <w:tc>
          <w:tcPr>
            <w:tcW w:w="4137" w:type="dxa"/>
            <w:noWrap w:val="0"/>
            <w:vAlign w:val="center"/>
          </w:tcPr>
          <w:p w14:paraId="5661880D">
            <w:pPr>
              <w:widowControl/>
              <w:jc w:val="center"/>
              <w:rPr>
                <w:sz w:val="24"/>
              </w:rPr>
            </w:pPr>
            <w:r>
              <w:rPr>
                <w:rFonts w:hint="eastAsia" w:ascii="宋体" w:hAnsi="宋体" w:cs="宋体"/>
                <w:color w:val="000000"/>
                <w:sz w:val="24"/>
                <w:lang w:bidi="ar"/>
              </w:rPr>
              <w:t>建立各类应急预案，在遇到特大暴雨、洪水、冰雪、地震等恶劣天气和突发事件时，公路养护应急方案和措施到位，处置得当，未造成不良社会影响等。</w:t>
            </w:r>
          </w:p>
        </w:tc>
        <w:tc>
          <w:tcPr>
            <w:tcW w:w="3081" w:type="dxa"/>
            <w:noWrap w:val="0"/>
            <w:vAlign w:val="center"/>
          </w:tcPr>
          <w:p w14:paraId="69400F27">
            <w:pPr>
              <w:widowControl/>
              <w:jc w:val="center"/>
              <w:rPr>
                <w:sz w:val="24"/>
              </w:rPr>
            </w:pPr>
            <w:r>
              <w:rPr>
                <w:rFonts w:hint="eastAsia" w:ascii="宋体" w:hAnsi="宋体" w:cs="宋体"/>
                <w:color w:val="000000"/>
                <w:sz w:val="24"/>
                <w:lang w:bidi="ar"/>
              </w:rPr>
              <w:t>无预案扣5分，预案考虑不全面、不充分一处扣1分，应急准备不充分、处治不及时一次扣2.5分，处治不当，造成不良社会影响扣10分。</w:t>
            </w:r>
          </w:p>
        </w:tc>
      </w:tr>
      <w:tr w14:paraId="4231C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4986216A">
            <w:pPr>
              <w:widowControl/>
              <w:jc w:val="center"/>
              <w:rPr>
                <w:sz w:val="24"/>
              </w:rPr>
            </w:pPr>
            <w:r>
              <w:rPr>
                <w:rFonts w:hint="eastAsia" w:ascii="宋体" w:hAnsi="宋体" w:cs="宋体"/>
                <w:color w:val="000000"/>
                <w:sz w:val="24"/>
                <w:lang w:bidi="ar"/>
              </w:rPr>
              <w:t>文明生产和</w:t>
            </w:r>
          </w:p>
          <w:p w14:paraId="0A743765">
            <w:pPr>
              <w:widowControl/>
              <w:jc w:val="center"/>
              <w:rPr>
                <w:sz w:val="24"/>
              </w:rPr>
            </w:pPr>
            <w:r>
              <w:rPr>
                <w:rFonts w:hint="eastAsia" w:ascii="宋体" w:hAnsi="宋体" w:cs="宋体"/>
                <w:color w:val="000000"/>
                <w:sz w:val="24"/>
                <w:lang w:bidi="ar"/>
              </w:rPr>
              <w:t>安全作业情</w:t>
            </w:r>
          </w:p>
          <w:p w14:paraId="0FA37A9E">
            <w:pPr>
              <w:widowControl/>
              <w:jc w:val="center"/>
              <w:rPr>
                <w:sz w:val="24"/>
              </w:rPr>
            </w:pPr>
            <w:r>
              <w:rPr>
                <w:rFonts w:hint="eastAsia" w:ascii="宋体" w:hAnsi="宋体" w:cs="宋体"/>
                <w:color w:val="000000"/>
                <w:sz w:val="24"/>
                <w:lang w:bidi="ar"/>
              </w:rPr>
              <w:t>况</w:t>
            </w:r>
          </w:p>
        </w:tc>
        <w:tc>
          <w:tcPr>
            <w:tcW w:w="840" w:type="dxa"/>
            <w:noWrap w:val="0"/>
            <w:vAlign w:val="center"/>
          </w:tcPr>
          <w:p w14:paraId="7909E351">
            <w:pPr>
              <w:widowControl/>
              <w:jc w:val="center"/>
              <w:rPr>
                <w:sz w:val="24"/>
              </w:rPr>
            </w:pPr>
            <w:r>
              <w:rPr>
                <w:rFonts w:hint="eastAsia" w:ascii="宋体" w:hAnsi="宋体" w:cs="宋体"/>
                <w:color w:val="000000"/>
                <w:sz w:val="24"/>
                <w:lang w:bidi="ar"/>
              </w:rPr>
              <w:t>20分</w:t>
            </w:r>
          </w:p>
        </w:tc>
        <w:tc>
          <w:tcPr>
            <w:tcW w:w="4137" w:type="dxa"/>
            <w:noWrap w:val="0"/>
            <w:vAlign w:val="center"/>
          </w:tcPr>
          <w:p w14:paraId="69BBD4CA">
            <w:pPr>
              <w:widowControl/>
              <w:jc w:val="center"/>
              <w:rPr>
                <w:sz w:val="24"/>
              </w:rPr>
            </w:pPr>
            <w:r>
              <w:rPr>
                <w:rFonts w:hint="eastAsia" w:ascii="宋体" w:hAnsi="宋体" w:cs="宋体"/>
                <w:color w:val="000000"/>
                <w:sz w:val="24"/>
                <w:lang w:bidi="ar"/>
              </w:rPr>
              <w:t>按照公路、桥梁等相关规程及行业管理部门要求执行。</w:t>
            </w:r>
          </w:p>
        </w:tc>
        <w:tc>
          <w:tcPr>
            <w:tcW w:w="3081" w:type="dxa"/>
            <w:noWrap w:val="0"/>
            <w:vAlign w:val="center"/>
          </w:tcPr>
          <w:p w14:paraId="12DEFE36">
            <w:pPr>
              <w:widowControl/>
              <w:jc w:val="center"/>
              <w:rPr>
                <w:sz w:val="24"/>
              </w:rPr>
            </w:pPr>
            <w:r>
              <w:rPr>
                <w:rFonts w:hint="eastAsia" w:ascii="宋体" w:hAnsi="宋体" w:cs="宋体"/>
                <w:color w:val="000000"/>
                <w:sz w:val="24"/>
                <w:lang w:bidi="ar"/>
              </w:rPr>
              <w:t>未按相关规程及行业管理部门要求文明施工和安全作业，发现一处扣2.5分。</w:t>
            </w:r>
          </w:p>
        </w:tc>
      </w:tr>
      <w:tr w14:paraId="3AD3E6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2" w:hRule="atLeast"/>
          <w:jc w:val="center"/>
        </w:trPr>
        <w:tc>
          <w:tcPr>
            <w:tcW w:w="1689" w:type="dxa"/>
            <w:noWrap w:val="0"/>
            <w:vAlign w:val="center"/>
          </w:tcPr>
          <w:p w14:paraId="4C78D5CA">
            <w:pPr>
              <w:widowControl/>
              <w:jc w:val="center"/>
              <w:rPr>
                <w:sz w:val="24"/>
              </w:rPr>
            </w:pPr>
            <w:r>
              <w:rPr>
                <w:rFonts w:hint="eastAsia" w:ascii="宋体" w:hAnsi="宋体" w:cs="宋体"/>
                <w:color w:val="000000"/>
                <w:sz w:val="24"/>
                <w:lang w:bidi="ar"/>
              </w:rPr>
              <w:t>区交通局安</w:t>
            </w:r>
          </w:p>
          <w:p w14:paraId="18E3C0B2">
            <w:pPr>
              <w:widowControl/>
              <w:jc w:val="center"/>
              <w:rPr>
                <w:sz w:val="24"/>
              </w:rPr>
            </w:pPr>
            <w:r>
              <w:rPr>
                <w:rFonts w:hint="eastAsia" w:ascii="宋体" w:hAnsi="宋体" w:cs="宋体"/>
                <w:color w:val="000000"/>
                <w:sz w:val="24"/>
                <w:lang w:bidi="ar"/>
              </w:rPr>
              <w:t>排的其它工</w:t>
            </w:r>
          </w:p>
          <w:p w14:paraId="0E666A9C">
            <w:pPr>
              <w:widowControl/>
              <w:jc w:val="center"/>
              <w:rPr>
                <w:sz w:val="24"/>
              </w:rPr>
            </w:pPr>
            <w:r>
              <w:rPr>
                <w:rFonts w:hint="eastAsia" w:ascii="宋体" w:hAnsi="宋体" w:cs="宋体"/>
                <w:color w:val="000000"/>
                <w:sz w:val="24"/>
                <w:lang w:bidi="ar"/>
              </w:rPr>
              <w:t>作完成情况</w:t>
            </w:r>
          </w:p>
        </w:tc>
        <w:tc>
          <w:tcPr>
            <w:tcW w:w="840" w:type="dxa"/>
            <w:noWrap w:val="0"/>
            <w:vAlign w:val="center"/>
          </w:tcPr>
          <w:p w14:paraId="4991C353">
            <w:pPr>
              <w:widowControl/>
              <w:jc w:val="center"/>
              <w:rPr>
                <w:sz w:val="24"/>
              </w:rPr>
            </w:pPr>
            <w:r>
              <w:rPr>
                <w:rFonts w:hint="eastAsia" w:ascii="宋体" w:hAnsi="宋体" w:cs="宋体"/>
                <w:color w:val="000000"/>
                <w:sz w:val="24"/>
                <w:lang w:bidi="ar"/>
              </w:rPr>
              <w:t>10分</w:t>
            </w:r>
          </w:p>
        </w:tc>
        <w:tc>
          <w:tcPr>
            <w:tcW w:w="4137" w:type="dxa"/>
            <w:noWrap w:val="0"/>
            <w:vAlign w:val="center"/>
          </w:tcPr>
          <w:p w14:paraId="5EBA2642">
            <w:pPr>
              <w:widowControl/>
              <w:jc w:val="center"/>
              <w:rPr>
                <w:sz w:val="24"/>
              </w:rPr>
            </w:pPr>
            <w:r>
              <w:rPr>
                <w:rFonts w:hint="eastAsia" w:ascii="宋体" w:hAnsi="宋体" w:cs="宋体"/>
                <w:color w:val="000000"/>
                <w:sz w:val="24"/>
                <w:lang w:bidi="ar"/>
              </w:rPr>
              <w:t>按时保质完成南京市江宁区交通运输局安排的其它工作。</w:t>
            </w:r>
          </w:p>
        </w:tc>
        <w:tc>
          <w:tcPr>
            <w:tcW w:w="3081" w:type="dxa"/>
            <w:noWrap w:val="0"/>
            <w:vAlign w:val="center"/>
          </w:tcPr>
          <w:p w14:paraId="40EE3507">
            <w:pPr>
              <w:widowControl/>
              <w:jc w:val="center"/>
              <w:rPr>
                <w:sz w:val="24"/>
              </w:rPr>
            </w:pPr>
            <w:r>
              <w:rPr>
                <w:rFonts w:hint="eastAsia" w:ascii="宋体" w:hAnsi="宋体" w:cs="宋体"/>
                <w:color w:val="000000"/>
                <w:sz w:val="24"/>
                <w:lang w:bidi="ar"/>
              </w:rPr>
              <w:t>报表、材料等工作不及时一次扣1分，未按要求填报或质量不高一次扣1分。</w:t>
            </w:r>
          </w:p>
        </w:tc>
      </w:tr>
      <w:tr w14:paraId="719D8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4" w:hRule="atLeast"/>
          <w:jc w:val="center"/>
        </w:trPr>
        <w:tc>
          <w:tcPr>
            <w:tcW w:w="1689" w:type="dxa"/>
            <w:noWrap w:val="0"/>
            <w:vAlign w:val="center"/>
          </w:tcPr>
          <w:p w14:paraId="29CA8BFF">
            <w:pPr>
              <w:widowControl/>
              <w:jc w:val="center"/>
              <w:rPr>
                <w:sz w:val="24"/>
              </w:rPr>
            </w:pPr>
            <w:r>
              <w:rPr>
                <w:rFonts w:hint="eastAsia" w:ascii="宋体" w:hAnsi="宋体" w:cs="宋体"/>
                <w:color w:val="000000"/>
                <w:sz w:val="24"/>
                <w:lang w:bidi="ar"/>
              </w:rPr>
              <w:t>总分</w:t>
            </w:r>
          </w:p>
        </w:tc>
        <w:tc>
          <w:tcPr>
            <w:tcW w:w="840" w:type="dxa"/>
            <w:noWrap w:val="0"/>
            <w:vAlign w:val="center"/>
          </w:tcPr>
          <w:p w14:paraId="559B0962">
            <w:pPr>
              <w:widowControl/>
              <w:jc w:val="center"/>
              <w:rPr>
                <w:sz w:val="24"/>
              </w:rPr>
            </w:pPr>
            <w:r>
              <w:rPr>
                <w:rFonts w:hint="eastAsia" w:ascii="宋体" w:hAnsi="宋体" w:cs="宋体"/>
                <w:color w:val="000000"/>
                <w:sz w:val="24"/>
                <w:lang w:bidi="ar"/>
              </w:rPr>
              <w:t>100分</w:t>
            </w:r>
          </w:p>
        </w:tc>
        <w:tc>
          <w:tcPr>
            <w:tcW w:w="4137" w:type="dxa"/>
            <w:noWrap w:val="0"/>
            <w:vAlign w:val="center"/>
          </w:tcPr>
          <w:p w14:paraId="21200D27">
            <w:pPr>
              <w:jc w:val="center"/>
              <w:rPr>
                <w:sz w:val="24"/>
              </w:rPr>
            </w:pPr>
          </w:p>
        </w:tc>
        <w:tc>
          <w:tcPr>
            <w:tcW w:w="3081" w:type="dxa"/>
            <w:noWrap w:val="0"/>
            <w:vAlign w:val="center"/>
          </w:tcPr>
          <w:p w14:paraId="407CCA84">
            <w:pPr>
              <w:jc w:val="center"/>
              <w:rPr>
                <w:sz w:val="24"/>
              </w:rPr>
            </w:pPr>
          </w:p>
        </w:tc>
      </w:tr>
    </w:tbl>
    <w:p w14:paraId="57776DB6">
      <w:pPr>
        <w:rPr>
          <w:rFonts w:hint="eastAsia" w:ascii="宋体" w:hAnsi="宋体" w:eastAsia="宋体" w:cs="宋体"/>
          <w:b/>
          <w:bCs/>
          <w:sz w:val="28"/>
          <w:szCs w:val="28"/>
          <w:highlight w:val="none"/>
        </w:rPr>
      </w:pPr>
      <w:r>
        <w:rPr>
          <w:rFonts w:hint="eastAsia" w:ascii="黑体" w:eastAsia="黑体"/>
          <w:sz w:val="48"/>
          <w:szCs w:val="48"/>
        </w:rPr>
        <w:br w:type="page" w:clear="all"/>
      </w:r>
    </w:p>
    <w:p w14:paraId="3B94E579">
      <w:pPr>
        <w:pStyle w:val="41"/>
        <w:widowControl/>
        <w:spacing w:before="156" w:after="156" w:line="460" w:lineRule="exact"/>
        <w:ind w:left="1455" w:hanging="1455"/>
        <w:contextualSpacing/>
        <w:jc w:val="center"/>
        <w:outlineLvl w:val="0"/>
        <w:rPr>
          <w:rFonts w:hint="eastAsia" w:ascii="宋体" w:hAnsi="宋体" w:eastAsia="宋体" w:cs="Times New Roman"/>
          <w:b/>
          <w:sz w:val="36"/>
          <w:szCs w:val="30"/>
          <w:lang w:val="zh-CN" w:eastAsia="zh-CN" w:bidi="en-US"/>
        </w:rPr>
      </w:pPr>
      <w:r>
        <w:rPr>
          <w:rFonts w:hint="eastAsia" w:ascii="宋体" w:hAnsi="宋体" w:eastAsia="宋体" w:cs="Times New Roman"/>
          <w:b/>
          <w:sz w:val="36"/>
          <w:szCs w:val="30"/>
          <w:lang w:val="zh-CN" w:eastAsia="zh-CN" w:bidi="en-US"/>
        </w:rPr>
        <w:t>第</w:t>
      </w:r>
      <w:r>
        <w:rPr>
          <w:rFonts w:hint="eastAsia" w:ascii="宋体" w:hAnsi="宋体" w:eastAsia="宋体" w:cs="Times New Roman"/>
          <w:b/>
          <w:sz w:val="36"/>
          <w:szCs w:val="30"/>
          <w:lang w:val="en-US" w:eastAsia="zh-CN" w:bidi="en-US"/>
        </w:rPr>
        <w:t>六</w:t>
      </w:r>
      <w:r>
        <w:rPr>
          <w:rFonts w:hint="eastAsia" w:ascii="宋体" w:hAnsi="宋体" w:eastAsia="宋体" w:cs="Times New Roman"/>
          <w:b/>
          <w:sz w:val="36"/>
          <w:szCs w:val="30"/>
          <w:lang w:val="zh-CN" w:eastAsia="zh-CN" w:bidi="en-US"/>
        </w:rPr>
        <w:t>章 投标文件格式及附件</w:t>
      </w:r>
    </w:p>
    <w:p w14:paraId="211F64BF">
      <w:pPr>
        <w:rPr>
          <w:rFonts w:hint="eastAsia"/>
        </w:rPr>
      </w:pPr>
    </w:p>
    <w:p w14:paraId="081F35A5">
      <w:pPr>
        <w:jc w:val="center"/>
        <w:rPr>
          <w:rFonts w:hint="eastAsia" w:ascii="宋体" w:hAnsi="宋体" w:cs="宋体"/>
          <w:b/>
          <w:szCs w:val="21"/>
        </w:rPr>
      </w:pPr>
    </w:p>
    <w:p w14:paraId="2CCEED83">
      <w:pPr>
        <w:jc w:val="center"/>
        <w:rPr>
          <w:rFonts w:hint="eastAsia" w:ascii="宋体" w:hAnsi="宋体" w:cs="宋体"/>
          <w:b/>
          <w:sz w:val="36"/>
          <w:szCs w:val="36"/>
        </w:rPr>
      </w:pPr>
      <w:r>
        <w:rPr>
          <w:rFonts w:hint="eastAsia" w:ascii="宋体" w:hAnsi="宋体" w:cs="宋体"/>
          <w:b/>
          <w:sz w:val="36"/>
          <w:szCs w:val="36"/>
        </w:rPr>
        <w:t>投  标  文  件</w:t>
      </w:r>
    </w:p>
    <w:p w14:paraId="1A9769DC">
      <w:pPr>
        <w:ind w:firstLine="3708"/>
        <w:rPr>
          <w:rFonts w:hint="eastAsia" w:ascii="宋体" w:hAnsi="宋体" w:cs="宋体"/>
          <w:b/>
          <w:sz w:val="36"/>
          <w:szCs w:val="36"/>
        </w:rPr>
      </w:pPr>
    </w:p>
    <w:p w14:paraId="599BFDE1">
      <w:pPr>
        <w:jc w:val="center"/>
        <w:rPr>
          <w:rFonts w:hint="eastAsia" w:ascii="宋体" w:hAnsi="宋体" w:cs="宋体"/>
          <w:b/>
          <w:sz w:val="36"/>
          <w:szCs w:val="36"/>
        </w:rPr>
      </w:pPr>
    </w:p>
    <w:p w14:paraId="232C2842">
      <w:pPr>
        <w:jc w:val="center"/>
        <w:rPr>
          <w:rFonts w:hint="eastAsia" w:ascii="宋体" w:hAnsi="宋体" w:cs="宋体"/>
          <w:b/>
          <w:sz w:val="36"/>
          <w:szCs w:val="36"/>
        </w:rPr>
      </w:pPr>
    </w:p>
    <w:p w14:paraId="3EA7763A">
      <w:pPr>
        <w:jc w:val="center"/>
        <w:rPr>
          <w:rFonts w:hint="eastAsia" w:ascii="宋体" w:hAnsi="宋体" w:cs="宋体"/>
          <w:b/>
          <w:sz w:val="36"/>
          <w:szCs w:val="36"/>
        </w:rPr>
      </w:pPr>
    </w:p>
    <w:p w14:paraId="5D2FCA68">
      <w:pPr>
        <w:jc w:val="center"/>
        <w:rPr>
          <w:rFonts w:hint="eastAsia" w:ascii="宋体" w:hAnsi="宋体" w:cs="宋体"/>
          <w:b/>
          <w:sz w:val="36"/>
          <w:szCs w:val="36"/>
        </w:rPr>
      </w:pPr>
    </w:p>
    <w:p w14:paraId="63F70943">
      <w:pPr>
        <w:ind w:firstLine="1084"/>
        <w:rPr>
          <w:rFonts w:hint="eastAsia" w:ascii="宋体" w:hAnsi="宋体" w:cs="宋体"/>
          <w:b/>
          <w:sz w:val="36"/>
          <w:szCs w:val="36"/>
        </w:rPr>
      </w:pPr>
      <w:r>
        <w:rPr>
          <w:rFonts w:hint="eastAsia" w:ascii="宋体" w:hAnsi="宋体" w:cs="宋体"/>
          <w:b/>
          <w:sz w:val="36"/>
          <w:szCs w:val="36"/>
        </w:rPr>
        <w:t xml:space="preserve">项 目 编号： </w:t>
      </w:r>
      <w:r>
        <w:rPr>
          <w:rFonts w:hint="eastAsia" w:ascii="宋体" w:hAnsi="宋体" w:cs="宋体"/>
          <w:b/>
          <w:sz w:val="36"/>
          <w:szCs w:val="36"/>
          <w:u w:val="single"/>
        </w:rPr>
        <w:t xml:space="preserve">               </w:t>
      </w:r>
    </w:p>
    <w:p w14:paraId="4C20CB35">
      <w:pPr>
        <w:ind w:firstLine="1084"/>
        <w:rPr>
          <w:rFonts w:hint="eastAsia" w:ascii="宋体" w:hAnsi="宋体" w:cs="宋体"/>
          <w:b/>
          <w:sz w:val="36"/>
          <w:szCs w:val="36"/>
          <w:u w:val="single"/>
        </w:rPr>
      </w:pPr>
      <w:r>
        <w:rPr>
          <w:rFonts w:hint="eastAsia" w:ascii="宋体" w:hAnsi="宋体" w:cs="宋体"/>
          <w:b/>
          <w:sz w:val="36"/>
          <w:szCs w:val="36"/>
        </w:rPr>
        <w:t xml:space="preserve">项 目 名称： </w:t>
      </w:r>
      <w:r>
        <w:rPr>
          <w:rFonts w:hint="eastAsia" w:ascii="宋体" w:hAnsi="宋体" w:cs="宋体"/>
          <w:b/>
          <w:sz w:val="36"/>
          <w:szCs w:val="36"/>
          <w:u w:val="single"/>
        </w:rPr>
        <w:t xml:space="preserve">               </w:t>
      </w:r>
    </w:p>
    <w:p w14:paraId="51B11658">
      <w:pPr>
        <w:ind w:firstLine="1084"/>
        <w:rPr>
          <w:rFonts w:hint="eastAsia" w:ascii="宋体" w:hAnsi="宋体" w:cs="宋体"/>
          <w:b/>
          <w:sz w:val="36"/>
          <w:szCs w:val="36"/>
          <w:u w:val="single"/>
        </w:rPr>
      </w:pPr>
      <w:r>
        <w:rPr>
          <w:rFonts w:hint="eastAsia" w:ascii="宋体" w:hAnsi="宋体" w:cs="宋体"/>
          <w:b/>
          <w:sz w:val="36"/>
          <w:szCs w:val="36"/>
        </w:rPr>
        <w:t xml:space="preserve">标      段： </w:t>
      </w:r>
      <w:r>
        <w:rPr>
          <w:rFonts w:hint="eastAsia" w:ascii="宋体" w:hAnsi="宋体" w:cs="宋体"/>
          <w:b/>
          <w:sz w:val="36"/>
          <w:szCs w:val="36"/>
          <w:u w:val="single"/>
        </w:rPr>
        <w:t xml:space="preserve">               </w:t>
      </w:r>
    </w:p>
    <w:p w14:paraId="10D060AF">
      <w:pPr>
        <w:rPr>
          <w:rFonts w:hint="eastAsia" w:ascii="宋体" w:hAnsi="宋体" w:cs="宋体"/>
          <w:b/>
          <w:sz w:val="36"/>
          <w:szCs w:val="36"/>
        </w:rPr>
      </w:pPr>
    </w:p>
    <w:p w14:paraId="45470054">
      <w:pPr>
        <w:rPr>
          <w:rFonts w:hint="eastAsia" w:ascii="宋体" w:hAnsi="宋体" w:cs="宋体"/>
          <w:b/>
          <w:sz w:val="36"/>
          <w:szCs w:val="36"/>
        </w:rPr>
      </w:pPr>
    </w:p>
    <w:p w14:paraId="5F2B92ED">
      <w:pPr>
        <w:rPr>
          <w:rFonts w:hint="eastAsia" w:ascii="宋体" w:hAnsi="宋体" w:cs="宋体"/>
          <w:b/>
          <w:sz w:val="36"/>
          <w:szCs w:val="36"/>
        </w:rPr>
      </w:pPr>
    </w:p>
    <w:p w14:paraId="7DB89FD8">
      <w:pPr>
        <w:rPr>
          <w:rFonts w:hint="eastAsia" w:ascii="宋体" w:hAnsi="宋体" w:cs="宋体"/>
          <w:b/>
          <w:sz w:val="36"/>
          <w:szCs w:val="36"/>
        </w:rPr>
      </w:pPr>
    </w:p>
    <w:p w14:paraId="76249492">
      <w:pPr>
        <w:rPr>
          <w:rFonts w:hint="eastAsia" w:ascii="宋体" w:hAnsi="宋体" w:cs="宋体"/>
          <w:b/>
          <w:sz w:val="36"/>
          <w:szCs w:val="36"/>
        </w:rPr>
      </w:pPr>
    </w:p>
    <w:p w14:paraId="695FBAF5">
      <w:pPr>
        <w:rPr>
          <w:rFonts w:hint="eastAsia" w:ascii="宋体" w:hAnsi="宋体" w:cs="宋体"/>
          <w:b/>
          <w:sz w:val="36"/>
          <w:szCs w:val="36"/>
          <w:u w:val="single"/>
        </w:rPr>
      </w:pPr>
      <w:r>
        <w:rPr>
          <w:rFonts w:hint="eastAsia" w:ascii="宋体" w:hAnsi="宋体" w:cs="宋体"/>
          <w:b/>
          <w:sz w:val="36"/>
          <w:szCs w:val="36"/>
        </w:rPr>
        <w:t xml:space="preserve">       供应商名称 ：</w:t>
      </w:r>
      <w:r>
        <w:rPr>
          <w:rFonts w:hint="eastAsia" w:ascii="宋体" w:hAnsi="宋体" w:cs="宋体"/>
          <w:b/>
          <w:sz w:val="36"/>
          <w:szCs w:val="36"/>
          <w:u w:val="single"/>
        </w:rPr>
        <w:t xml:space="preserve">               </w:t>
      </w:r>
    </w:p>
    <w:p w14:paraId="2DD56914">
      <w:pPr>
        <w:rPr>
          <w:rFonts w:hint="eastAsia" w:ascii="宋体" w:hAnsi="宋体" w:cs="宋体"/>
          <w:b/>
          <w:sz w:val="36"/>
          <w:szCs w:val="36"/>
        </w:rPr>
      </w:pPr>
      <w:r>
        <w:rPr>
          <w:rFonts w:hint="eastAsia" w:ascii="宋体" w:hAnsi="宋体" w:cs="宋体"/>
          <w:b/>
          <w:sz w:val="36"/>
          <w:szCs w:val="36"/>
        </w:rPr>
        <w:t xml:space="preserve">       日      期 ：</w:t>
      </w:r>
      <w:r>
        <w:rPr>
          <w:rFonts w:hint="eastAsia" w:ascii="宋体" w:hAnsi="宋体" w:cs="宋体"/>
          <w:b/>
          <w:sz w:val="36"/>
          <w:szCs w:val="36"/>
          <w:u w:val="single"/>
        </w:rPr>
        <w:t xml:space="preserve">               </w:t>
      </w:r>
    </w:p>
    <w:p w14:paraId="6AF4B7BF">
      <w:pPr>
        <w:rPr>
          <w:rFonts w:hint="eastAsia"/>
        </w:rPr>
      </w:pPr>
    </w:p>
    <w:p w14:paraId="41817015">
      <w:pPr>
        <w:rPr>
          <w:rFonts w:hint="eastAsia"/>
        </w:rPr>
      </w:pPr>
      <w:r>
        <w:rPr>
          <w:rFonts w:hint="eastAsia" w:ascii="宋体" w:hAnsi="宋体" w:cs="宋体"/>
          <w:b/>
          <w:bCs/>
          <w:sz w:val="36"/>
          <w:szCs w:val="36"/>
        </w:rPr>
        <w:br w:type="page" w:clear="all"/>
      </w:r>
      <w:bookmarkStart w:id="3" w:name="_Toc489655320"/>
    </w:p>
    <w:p w14:paraId="2EC6F908">
      <w:pPr>
        <w:jc w:val="center"/>
        <w:rPr>
          <w:rFonts w:hint="eastAsia"/>
          <w:b/>
          <w:bCs/>
        </w:rPr>
      </w:pPr>
      <w:r>
        <w:rPr>
          <w:rFonts w:hint="eastAsia"/>
          <w:b/>
          <w:bCs/>
          <w:lang w:eastAsia="zh-CN"/>
        </w:rPr>
        <w:t>投标文件</w:t>
      </w:r>
      <w:r>
        <w:rPr>
          <w:rFonts w:hint="eastAsia"/>
          <w:b/>
          <w:bCs/>
        </w:rPr>
        <w:t>主要目录</w:t>
      </w:r>
      <w:bookmarkEnd w:id="3"/>
      <w:r>
        <w:rPr>
          <w:rFonts w:hint="eastAsia"/>
          <w:b/>
          <w:bCs/>
        </w:rPr>
        <w:t>及相关证明材料格式、附件</w:t>
      </w:r>
    </w:p>
    <w:p w14:paraId="28C2DA9A">
      <w:pPr>
        <w:spacing w:line="360" w:lineRule="auto"/>
        <w:rPr>
          <w:rFonts w:hint="eastAsia" w:ascii="宋体" w:hAnsi="宋体" w:cs="宋体"/>
          <w:szCs w:val="21"/>
        </w:rPr>
      </w:pPr>
    </w:p>
    <w:p w14:paraId="14EF97FF">
      <w:pPr>
        <w:spacing w:line="360" w:lineRule="auto"/>
        <w:ind w:left="1560"/>
        <w:rPr>
          <w:rFonts w:hint="eastAsia" w:ascii="宋体" w:hAnsi="宋体" w:cs="宋体"/>
          <w:szCs w:val="21"/>
        </w:rPr>
      </w:pPr>
      <w:r>
        <w:rPr>
          <w:rFonts w:hint="eastAsia" w:ascii="宋体" w:hAnsi="宋体" w:cs="宋体"/>
          <w:szCs w:val="21"/>
        </w:rPr>
        <w:t>目录一、投标申请及声明</w:t>
      </w:r>
    </w:p>
    <w:p w14:paraId="767F419E">
      <w:pPr>
        <w:spacing w:line="360" w:lineRule="auto"/>
        <w:ind w:left="1560"/>
        <w:rPr>
          <w:rFonts w:hint="eastAsia" w:ascii="宋体" w:hAnsi="宋体" w:cs="宋体"/>
          <w:szCs w:val="21"/>
        </w:rPr>
      </w:pPr>
      <w:r>
        <w:rPr>
          <w:rFonts w:hint="eastAsia" w:ascii="宋体" w:hAnsi="宋体" w:cs="宋体"/>
          <w:szCs w:val="21"/>
        </w:rPr>
        <w:t>目录二、法定代表人授权书</w:t>
      </w:r>
    </w:p>
    <w:p w14:paraId="1BA5C240">
      <w:pPr>
        <w:spacing w:line="360" w:lineRule="auto"/>
        <w:ind w:left="1560"/>
        <w:rPr>
          <w:rFonts w:hint="eastAsia" w:ascii="宋体" w:hAnsi="宋体" w:cs="宋体"/>
          <w:szCs w:val="21"/>
        </w:rPr>
      </w:pPr>
      <w:r>
        <w:rPr>
          <w:rFonts w:hint="eastAsia" w:ascii="宋体" w:hAnsi="宋体" w:cs="宋体"/>
          <w:szCs w:val="21"/>
        </w:rPr>
        <w:t>目录三、开标记录一览表</w:t>
      </w:r>
    </w:p>
    <w:p w14:paraId="393CD33D">
      <w:pPr>
        <w:spacing w:line="360" w:lineRule="auto"/>
        <w:ind w:left="1560"/>
        <w:rPr>
          <w:rFonts w:hint="eastAsia" w:ascii="宋体" w:hAnsi="宋体" w:cs="宋体"/>
          <w:szCs w:val="21"/>
        </w:rPr>
      </w:pPr>
      <w:r>
        <w:rPr>
          <w:rFonts w:hint="eastAsia" w:ascii="宋体" w:hAnsi="宋体" w:cs="宋体"/>
          <w:szCs w:val="21"/>
        </w:rPr>
        <w:t>目录四、分项报价表格式</w:t>
      </w:r>
    </w:p>
    <w:p w14:paraId="3C0A47C4">
      <w:pPr>
        <w:spacing w:line="360" w:lineRule="auto"/>
        <w:ind w:left="1560"/>
        <w:rPr>
          <w:rFonts w:hint="eastAsia" w:ascii="宋体" w:hAnsi="宋体" w:cs="宋体"/>
          <w:szCs w:val="21"/>
        </w:rPr>
      </w:pPr>
      <w:r>
        <w:rPr>
          <w:rFonts w:hint="eastAsia" w:ascii="宋体" w:hAnsi="宋体" w:cs="宋体"/>
          <w:szCs w:val="21"/>
        </w:rPr>
        <w:t>目录五、资格证明文件</w:t>
      </w:r>
    </w:p>
    <w:p w14:paraId="6FFA6869">
      <w:pPr>
        <w:spacing w:line="360" w:lineRule="auto"/>
        <w:ind w:left="1560"/>
        <w:rPr>
          <w:rFonts w:hint="eastAsia" w:ascii="宋体" w:hAnsi="宋体" w:cs="宋体"/>
          <w:szCs w:val="21"/>
        </w:rPr>
      </w:pPr>
      <w:r>
        <w:rPr>
          <w:rFonts w:hint="eastAsia" w:ascii="宋体" w:hAnsi="宋体" w:cs="宋体"/>
          <w:szCs w:val="21"/>
        </w:rPr>
        <w:t>目录六、商务条款偏离表</w:t>
      </w:r>
    </w:p>
    <w:p w14:paraId="6E2C483A">
      <w:pPr>
        <w:spacing w:line="360" w:lineRule="auto"/>
        <w:ind w:left="1560"/>
        <w:rPr>
          <w:rFonts w:hint="eastAsia" w:ascii="宋体" w:hAnsi="宋体" w:cs="宋体"/>
          <w:szCs w:val="21"/>
        </w:rPr>
      </w:pPr>
      <w:r>
        <w:rPr>
          <w:rFonts w:hint="eastAsia" w:ascii="宋体" w:hAnsi="宋体" w:cs="宋体"/>
          <w:szCs w:val="21"/>
        </w:rPr>
        <w:t>目录七、技术条款偏离表</w:t>
      </w:r>
    </w:p>
    <w:p w14:paraId="07484B6E">
      <w:pPr>
        <w:spacing w:line="360" w:lineRule="auto"/>
        <w:ind w:left="1560"/>
        <w:rPr>
          <w:rFonts w:hint="eastAsia" w:ascii="宋体" w:hAnsi="宋体" w:cs="宋体"/>
          <w:szCs w:val="21"/>
        </w:rPr>
      </w:pPr>
      <w:r>
        <w:rPr>
          <w:rFonts w:hint="eastAsia" w:ascii="宋体" w:hAnsi="宋体" w:cs="宋体"/>
          <w:szCs w:val="21"/>
        </w:rPr>
        <w:t>目录八、养护设备设施</w:t>
      </w:r>
    </w:p>
    <w:p w14:paraId="38F9DADF">
      <w:pPr>
        <w:spacing w:line="360" w:lineRule="auto"/>
        <w:ind w:left="1560"/>
        <w:rPr>
          <w:rFonts w:hint="eastAsia" w:ascii="宋体" w:hAnsi="宋体" w:cs="宋体"/>
          <w:szCs w:val="21"/>
        </w:rPr>
      </w:pPr>
      <w:r>
        <w:rPr>
          <w:rFonts w:hint="eastAsia" w:ascii="宋体" w:hAnsi="宋体" w:cs="宋体"/>
          <w:szCs w:val="21"/>
        </w:rPr>
        <w:t>目录九、</w:t>
      </w:r>
      <w:r>
        <w:rPr>
          <w:rFonts w:hint="eastAsia" w:ascii="宋体" w:hAnsi="宋体" w:cs="宋体"/>
          <w:b w:val="0"/>
          <w:sz w:val="21"/>
          <w:szCs w:val="21"/>
        </w:rPr>
        <w:t>拟参与本项目</w:t>
      </w:r>
      <w:r>
        <w:rPr>
          <w:rFonts w:hint="eastAsia" w:ascii="宋体" w:hAnsi="宋体" w:cs="宋体"/>
          <w:b w:val="0"/>
          <w:bCs w:val="0"/>
          <w:sz w:val="21"/>
          <w:szCs w:val="21"/>
        </w:rPr>
        <w:t>技术人员</w:t>
      </w:r>
    </w:p>
    <w:p w14:paraId="7CAA7270">
      <w:pPr>
        <w:spacing w:line="360" w:lineRule="auto"/>
        <w:ind w:left="1560"/>
        <w:rPr>
          <w:rFonts w:hint="eastAsia" w:ascii="宋体" w:hAnsi="宋体" w:cs="宋体"/>
          <w:b w:val="0"/>
          <w:bCs w:val="0"/>
          <w:szCs w:val="21"/>
        </w:rPr>
      </w:pPr>
      <w:r>
        <w:rPr>
          <w:rFonts w:hint="eastAsia" w:ascii="宋体" w:hAnsi="宋体" w:cs="宋体"/>
          <w:szCs w:val="21"/>
        </w:rPr>
        <w:t>目录十</w:t>
      </w:r>
      <w:r>
        <w:rPr>
          <w:rFonts w:hint="eastAsia" w:ascii="宋体" w:hAnsi="宋体" w:cs="宋体"/>
          <w:b w:val="0"/>
          <w:bCs w:val="0"/>
          <w:szCs w:val="21"/>
        </w:rPr>
        <w:t>、</w:t>
      </w:r>
      <w:r>
        <w:rPr>
          <w:rFonts w:hint="eastAsia" w:ascii="宋体" w:hAnsi="宋体" w:cs="宋体"/>
          <w:b w:val="0"/>
          <w:bCs w:val="0"/>
          <w:szCs w:val="21"/>
          <w:lang w:val="en-US" w:eastAsia="zh-CN"/>
        </w:rPr>
        <w:t>企业</w:t>
      </w:r>
      <w:r>
        <w:rPr>
          <w:rFonts w:hint="eastAsia" w:ascii="宋体" w:hAnsi="宋体" w:cs="宋体"/>
          <w:b w:val="0"/>
          <w:bCs w:val="0"/>
          <w:szCs w:val="21"/>
        </w:rPr>
        <w:t>业绩</w:t>
      </w:r>
    </w:p>
    <w:p w14:paraId="72B16374">
      <w:pPr>
        <w:spacing w:line="360" w:lineRule="auto"/>
        <w:ind w:left="1560"/>
        <w:rPr>
          <w:rFonts w:hint="eastAsia" w:ascii="宋体" w:hAnsi="宋体" w:cs="宋体"/>
          <w:b w:val="0"/>
          <w:bCs w:val="0"/>
          <w:szCs w:val="21"/>
        </w:rPr>
      </w:pPr>
      <w:r>
        <w:rPr>
          <w:rFonts w:hint="eastAsia" w:ascii="宋体" w:hAnsi="宋体" w:cs="宋体"/>
          <w:b w:val="0"/>
          <w:bCs w:val="0"/>
          <w:szCs w:val="21"/>
        </w:rPr>
        <w:t>目录十一、</w:t>
      </w:r>
      <w:r>
        <w:rPr>
          <w:rFonts w:hint="eastAsia" w:ascii="宋体" w:hAnsi="宋体" w:eastAsia="宋体" w:cs="宋体"/>
          <w:b w:val="0"/>
          <w:sz w:val="21"/>
          <w:szCs w:val="21"/>
          <w:lang w:val="zh-CN" w:bidi="en-US"/>
        </w:rPr>
        <w:t>工作实施方案</w:t>
      </w:r>
      <w:r>
        <w:rPr>
          <w:rFonts w:hint="eastAsia" w:ascii="宋体" w:hAnsi="宋体" w:cs="宋体"/>
          <w:b w:val="0"/>
          <w:bCs w:val="0"/>
          <w:szCs w:val="21"/>
        </w:rPr>
        <w:t xml:space="preserve"> </w:t>
      </w:r>
    </w:p>
    <w:p w14:paraId="6904BA64">
      <w:pPr>
        <w:spacing w:line="360" w:lineRule="auto"/>
        <w:ind w:left="1560"/>
        <w:rPr>
          <w:rFonts w:hint="eastAsia" w:ascii="宋体" w:hAnsi="宋体" w:cs="宋体"/>
          <w:b w:val="0"/>
          <w:bCs w:val="0"/>
          <w:szCs w:val="21"/>
        </w:rPr>
      </w:pPr>
      <w:r>
        <w:rPr>
          <w:rFonts w:hint="eastAsia" w:ascii="宋体" w:hAnsi="宋体" w:cs="宋体"/>
          <w:b w:val="0"/>
          <w:bCs w:val="0"/>
          <w:szCs w:val="21"/>
        </w:rPr>
        <w:t>目录十二、</w:t>
      </w:r>
      <w:r>
        <w:rPr>
          <w:rFonts w:hint="eastAsia" w:ascii="宋体" w:hAnsi="宋体" w:cs="宋体"/>
          <w:b w:val="0"/>
          <w:bCs w:val="0"/>
          <w:color w:val="000000"/>
          <w:szCs w:val="21"/>
          <w:lang w:val="en-US" w:eastAsia="zh-CN"/>
        </w:rPr>
        <w:t>承诺书</w:t>
      </w:r>
      <w:r>
        <w:rPr>
          <w:rFonts w:hint="eastAsia" w:ascii="宋体" w:hAnsi="宋体" w:cs="宋体"/>
          <w:b w:val="0"/>
          <w:bCs w:val="0"/>
          <w:szCs w:val="21"/>
        </w:rPr>
        <w:t xml:space="preserve"> </w:t>
      </w:r>
    </w:p>
    <w:p w14:paraId="2381D80B">
      <w:pPr>
        <w:spacing w:line="360" w:lineRule="auto"/>
        <w:ind w:left="1560"/>
        <w:rPr>
          <w:rFonts w:hint="eastAsia" w:ascii="宋体" w:hAnsi="宋体" w:cs="宋体"/>
          <w:b w:val="0"/>
          <w:bCs w:val="0"/>
          <w:szCs w:val="21"/>
        </w:rPr>
      </w:pPr>
      <w:r>
        <w:rPr>
          <w:rFonts w:hint="eastAsia" w:ascii="宋体" w:hAnsi="宋体" w:cs="宋体"/>
          <w:b w:val="0"/>
          <w:bCs w:val="0"/>
          <w:szCs w:val="21"/>
        </w:rPr>
        <w:t>目录十三、投标需要的其他证明文件及材料</w:t>
      </w:r>
    </w:p>
    <w:p w14:paraId="00AA425C">
      <w:pPr>
        <w:spacing w:line="360" w:lineRule="auto"/>
        <w:ind w:left="1560"/>
        <w:rPr>
          <w:rFonts w:hint="eastAsia" w:ascii="宋体" w:hAnsi="宋体" w:cs="宋体"/>
          <w:szCs w:val="21"/>
        </w:rPr>
      </w:pPr>
      <w:r>
        <w:rPr>
          <w:rFonts w:hint="eastAsia" w:ascii="宋体" w:hAnsi="宋体" w:cs="宋体"/>
          <w:b w:val="0"/>
          <w:bCs w:val="0"/>
          <w:szCs w:val="21"/>
        </w:rPr>
        <w:t>目录十四、相关附件内容</w:t>
      </w:r>
      <w:r>
        <w:rPr>
          <w:rFonts w:hint="eastAsia" w:ascii="宋体" w:hAnsi="宋体" w:cs="宋体"/>
          <w:szCs w:val="21"/>
        </w:rPr>
        <w:t xml:space="preserve"> </w:t>
      </w:r>
    </w:p>
    <w:p w14:paraId="71A8AF33">
      <w:pPr>
        <w:spacing w:line="360" w:lineRule="auto"/>
        <w:ind w:left="1560"/>
        <w:rPr>
          <w:rFonts w:hint="eastAsia" w:ascii="宋体" w:hAnsi="宋体" w:cs="宋体"/>
          <w:szCs w:val="21"/>
        </w:rPr>
      </w:pPr>
      <w:r>
        <w:rPr>
          <w:rFonts w:hint="eastAsia" w:ascii="宋体" w:hAnsi="宋体" w:cs="宋体"/>
          <w:szCs w:val="21"/>
        </w:rPr>
        <w:t xml:space="preserve">    </w:t>
      </w:r>
    </w:p>
    <w:p w14:paraId="52E23ADE">
      <w:pPr>
        <w:spacing w:line="360" w:lineRule="auto"/>
        <w:rPr>
          <w:rFonts w:hint="eastAsia" w:ascii="宋体" w:hAnsi="宋体" w:cs="宋体"/>
          <w:szCs w:val="21"/>
        </w:rPr>
      </w:pPr>
    </w:p>
    <w:p w14:paraId="722EAA3B">
      <w:pPr>
        <w:spacing w:line="360" w:lineRule="auto"/>
        <w:ind w:left="1560"/>
        <w:rPr>
          <w:rFonts w:hint="eastAsia" w:ascii="宋体" w:hAnsi="宋体" w:cs="宋体"/>
          <w:szCs w:val="21"/>
        </w:rPr>
      </w:pPr>
      <w:r>
        <w:rPr>
          <w:rFonts w:hint="eastAsia" w:ascii="宋体" w:hAnsi="宋体" w:cs="宋体"/>
          <w:szCs w:val="21"/>
        </w:rPr>
        <w:t xml:space="preserve">    </w:t>
      </w:r>
    </w:p>
    <w:p w14:paraId="6062EB1F">
      <w:pPr>
        <w:widowControl/>
        <w:spacing w:line="360" w:lineRule="auto"/>
        <w:jc w:val="left"/>
        <w:rPr>
          <w:rFonts w:hint="eastAsia" w:ascii="宋体" w:hAnsi="宋体" w:cs="宋体"/>
          <w:b/>
          <w:color w:val="000000"/>
          <w:szCs w:val="21"/>
          <w:lang w:val="zh-CN"/>
        </w:rPr>
      </w:pPr>
    </w:p>
    <w:p w14:paraId="1DB6E110">
      <w:pPr>
        <w:pStyle w:val="42"/>
        <w:ind w:firstLine="422"/>
        <w:rPr>
          <w:rFonts w:hint="eastAsia" w:ascii="宋体" w:hAnsi="宋体" w:eastAsia="宋体"/>
          <w:b/>
          <w:color w:val="000000"/>
          <w:sz w:val="21"/>
          <w:szCs w:val="21"/>
        </w:rPr>
      </w:pPr>
    </w:p>
    <w:p w14:paraId="53603C08">
      <w:pPr>
        <w:pStyle w:val="42"/>
        <w:ind w:firstLine="422"/>
        <w:rPr>
          <w:rFonts w:hint="eastAsia" w:ascii="宋体" w:hAnsi="宋体" w:eastAsia="宋体"/>
          <w:b/>
          <w:color w:val="000000"/>
          <w:sz w:val="21"/>
          <w:szCs w:val="21"/>
        </w:rPr>
      </w:pPr>
    </w:p>
    <w:p w14:paraId="450763D5">
      <w:pPr>
        <w:pStyle w:val="42"/>
        <w:ind w:firstLine="422"/>
        <w:rPr>
          <w:rFonts w:hint="eastAsia" w:ascii="宋体" w:hAnsi="宋体" w:eastAsia="宋体"/>
          <w:b/>
          <w:color w:val="000000"/>
          <w:sz w:val="21"/>
          <w:szCs w:val="21"/>
        </w:rPr>
      </w:pPr>
    </w:p>
    <w:p w14:paraId="4C3D979A">
      <w:pPr>
        <w:pStyle w:val="42"/>
        <w:ind w:firstLine="422"/>
        <w:rPr>
          <w:rFonts w:hint="eastAsia" w:ascii="宋体" w:hAnsi="宋体" w:eastAsia="宋体"/>
          <w:b/>
          <w:color w:val="000000"/>
          <w:sz w:val="21"/>
          <w:szCs w:val="21"/>
        </w:rPr>
      </w:pPr>
    </w:p>
    <w:p w14:paraId="4934B268">
      <w:pPr>
        <w:pStyle w:val="42"/>
        <w:ind w:firstLine="422"/>
        <w:rPr>
          <w:rFonts w:hint="eastAsia" w:ascii="宋体" w:hAnsi="宋体" w:eastAsia="宋体"/>
          <w:b/>
          <w:color w:val="000000"/>
          <w:sz w:val="21"/>
          <w:szCs w:val="21"/>
        </w:rPr>
      </w:pPr>
    </w:p>
    <w:p w14:paraId="0F30FE69">
      <w:pPr>
        <w:pStyle w:val="42"/>
        <w:ind w:firstLine="422"/>
        <w:rPr>
          <w:rFonts w:hint="eastAsia" w:ascii="宋体" w:hAnsi="宋体" w:eastAsia="宋体"/>
          <w:b/>
          <w:color w:val="000000"/>
          <w:sz w:val="21"/>
          <w:szCs w:val="21"/>
        </w:rPr>
      </w:pPr>
    </w:p>
    <w:p w14:paraId="7F6FBCA8">
      <w:pPr>
        <w:pStyle w:val="42"/>
        <w:ind w:firstLine="422"/>
        <w:rPr>
          <w:rFonts w:hint="eastAsia" w:ascii="宋体" w:hAnsi="宋体" w:eastAsia="宋体"/>
          <w:b/>
          <w:color w:val="000000"/>
          <w:sz w:val="21"/>
          <w:szCs w:val="21"/>
        </w:rPr>
      </w:pPr>
    </w:p>
    <w:p w14:paraId="39BD1940">
      <w:pPr>
        <w:pStyle w:val="42"/>
        <w:ind w:firstLine="422"/>
        <w:rPr>
          <w:rFonts w:hint="eastAsia" w:ascii="宋体" w:hAnsi="宋体" w:eastAsia="宋体"/>
          <w:b/>
          <w:color w:val="000000"/>
          <w:sz w:val="21"/>
          <w:szCs w:val="21"/>
        </w:rPr>
      </w:pPr>
    </w:p>
    <w:p w14:paraId="5DB83F2C">
      <w:pPr>
        <w:pStyle w:val="42"/>
        <w:ind w:firstLine="422"/>
        <w:rPr>
          <w:rFonts w:hint="eastAsia" w:ascii="宋体" w:hAnsi="宋体" w:eastAsia="宋体"/>
          <w:b/>
          <w:color w:val="000000"/>
          <w:sz w:val="21"/>
          <w:szCs w:val="21"/>
        </w:rPr>
      </w:pPr>
    </w:p>
    <w:p w14:paraId="3EB80517">
      <w:pPr>
        <w:pStyle w:val="42"/>
        <w:ind w:firstLine="422"/>
        <w:rPr>
          <w:rFonts w:hint="eastAsia" w:ascii="宋体" w:hAnsi="宋体" w:eastAsia="宋体"/>
          <w:b/>
          <w:color w:val="000000"/>
          <w:sz w:val="21"/>
          <w:szCs w:val="21"/>
        </w:rPr>
      </w:pPr>
    </w:p>
    <w:p w14:paraId="2B8D9DCD">
      <w:pPr>
        <w:pStyle w:val="42"/>
        <w:ind w:firstLine="422"/>
        <w:rPr>
          <w:rFonts w:hint="eastAsia" w:ascii="宋体" w:hAnsi="宋体" w:eastAsia="宋体"/>
          <w:b/>
          <w:color w:val="000000"/>
          <w:sz w:val="21"/>
          <w:szCs w:val="21"/>
        </w:rPr>
      </w:pPr>
    </w:p>
    <w:p w14:paraId="3C7217E2">
      <w:pPr>
        <w:pStyle w:val="42"/>
        <w:ind w:firstLine="422"/>
        <w:rPr>
          <w:rFonts w:hint="eastAsia" w:ascii="宋体" w:hAnsi="宋体" w:eastAsia="宋体"/>
          <w:b/>
          <w:color w:val="000000"/>
          <w:sz w:val="21"/>
          <w:szCs w:val="21"/>
        </w:rPr>
      </w:pPr>
    </w:p>
    <w:p w14:paraId="22BFECDF">
      <w:pPr>
        <w:pStyle w:val="42"/>
        <w:ind w:firstLine="422"/>
        <w:rPr>
          <w:rFonts w:hint="eastAsia" w:ascii="宋体" w:hAnsi="宋体" w:eastAsia="宋体"/>
          <w:b/>
          <w:color w:val="000000"/>
          <w:sz w:val="21"/>
          <w:szCs w:val="21"/>
        </w:rPr>
      </w:pPr>
    </w:p>
    <w:p w14:paraId="35ECC495">
      <w:pPr>
        <w:pStyle w:val="42"/>
        <w:ind w:firstLine="422"/>
        <w:rPr>
          <w:rFonts w:hint="eastAsia" w:ascii="宋体" w:hAnsi="宋体" w:eastAsia="宋体"/>
          <w:b/>
          <w:color w:val="000000"/>
          <w:sz w:val="21"/>
          <w:szCs w:val="21"/>
        </w:rPr>
      </w:pPr>
    </w:p>
    <w:p w14:paraId="344EDA94">
      <w:pPr>
        <w:pStyle w:val="42"/>
        <w:ind w:firstLine="422"/>
        <w:rPr>
          <w:rFonts w:hint="eastAsia" w:ascii="宋体" w:hAnsi="宋体" w:eastAsia="宋体"/>
          <w:b/>
          <w:color w:val="000000"/>
          <w:sz w:val="21"/>
          <w:szCs w:val="21"/>
        </w:rPr>
      </w:pPr>
    </w:p>
    <w:p w14:paraId="228991E2">
      <w:pPr>
        <w:pStyle w:val="42"/>
        <w:ind w:firstLine="422"/>
        <w:rPr>
          <w:rFonts w:hint="eastAsia" w:ascii="宋体" w:hAnsi="宋体" w:eastAsia="宋体"/>
          <w:b/>
          <w:color w:val="000000"/>
          <w:sz w:val="21"/>
          <w:szCs w:val="21"/>
        </w:rPr>
      </w:pPr>
    </w:p>
    <w:p w14:paraId="02189C6E">
      <w:pPr>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br w:type="page" w:clear="all"/>
      </w:r>
    </w:p>
    <w:p w14:paraId="5F3D4509">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目录一、投标申请及声明格式</w:t>
      </w:r>
    </w:p>
    <w:p w14:paraId="754A3CE3">
      <w:pPr>
        <w:jc w:val="center"/>
        <w:rPr>
          <w:rFonts w:hint="eastAsia"/>
          <w:b/>
          <w:bCs/>
          <w:sz w:val="22"/>
          <w:szCs w:val="28"/>
          <w:lang w:val="zh-CN" w:eastAsia="zh-CN"/>
        </w:rPr>
      </w:pPr>
      <w:r>
        <w:rPr>
          <w:rFonts w:hint="eastAsia"/>
          <w:b/>
          <w:bCs/>
          <w:sz w:val="22"/>
          <w:szCs w:val="28"/>
          <w:lang w:val="zh-CN" w:eastAsia="zh-CN"/>
        </w:rPr>
        <w:t>投标申请及声明</w:t>
      </w:r>
    </w:p>
    <w:p w14:paraId="085A9573">
      <w:pPr>
        <w:rPr>
          <w:rFonts w:hint="eastAsia"/>
          <w:sz w:val="22"/>
          <w:szCs w:val="28"/>
          <w:lang w:val="zh-CN"/>
        </w:rPr>
      </w:pPr>
      <w:r>
        <w:rPr>
          <w:rFonts w:hint="eastAsia"/>
          <w:b/>
          <w:bCs/>
          <w:sz w:val="22"/>
          <w:szCs w:val="28"/>
          <w:lang w:val="zh-CN"/>
        </w:rPr>
        <w:t>致南京市江宁区交通运输局：</w:t>
      </w:r>
    </w:p>
    <w:p w14:paraId="5B1D2E3C">
      <w:pPr>
        <w:keepNext w:val="0"/>
        <w:keepLines w:val="0"/>
        <w:pageBreakBefore w:val="0"/>
        <w:widowControl w:val="0"/>
        <w:spacing w:line="360" w:lineRule="auto"/>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根据贵方</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（项目名称）</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（项目编号）投标邀请，正式授权下述签字人</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(姓名和职务)代表供应商</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（供应商名称），提交投标文件。</w:t>
      </w:r>
    </w:p>
    <w:p w14:paraId="552D67DB">
      <w:pPr>
        <w:keepNext w:val="0"/>
        <w:keepLines w:val="0"/>
        <w:pageBreakBefore w:val="0"/>
        <w:widowControl w:val="0"/>
        <w:spacing w:line="360" w:lineRule="auto"/>
        <w:ind w:firstLine="440"/>
        <w:rPr>
          <w:rFonts w:hint="eastAsia" w:ascii="宋体" w:hAnsi="宋体" w:cs="宋体"/>
          <w:color w:val="000000"/>
          <w:sz w:val="22"/>
          <w:szCs w:val="22"/>
          <w:lang w:val="zh-CN"/>
        </w:rPr>
      </w:pPr>
      <w:r>
        <w:rPr>
          <w:rFonts w:hint="eastAsia" w:ascii="宋体" w:hAnsi="宋体" w:cs="宋体"/>
          <w:color w:val="000000"/>
          <w:sz w:val="22"/>
          <w:szCs w:val="22"/>
          <w:lang w:val="zh-CN"/>
        </w:rPr>
        <w:t>据此函，签字人兹宣布声明和承诺如下：</w:t>
      </w:r>
    </w:p>
    <w:p w14:paraId="02FE248C">
      <w:pPr>
        <w:spacing w:line="360" w:lineRule="auto"/>
        <w:ind w:firstLine="420"/>
        <w:rPr>
          <w:rFonts w:hint="eastAsia" w:ascii="宋体" w:hAnsi="宋体" w:cs="宋体"/>
          <w:sz w:val="22"/>
          <w:szCs w:val="22"/>
        </w:rPr>
      </w:pPr>
      <w:r>
        <w:rPr>
          <w:rFonts w:hint="eastAsia" w:ascii="宋体" w:hAnsi="宋体" w:cs="宋体"/>
          <w:color w:val="000000"/>
          <w:sz w:val="22"/>
          <w:szCs w:val="22"/>
          <w:lang w:val="zh-CN"/>
        </w:rPr>
        <w:t>1、</w:t>
      </w:r>
      <w:r>
        <w:rPr>
          <w:rFonts w:hint="eastAsia" w:ascii="宋体" w:hAnsi="宋体" w:cs="宋体"/>
          <w:b/>
          <w:color w:val="000000"/>
          <w:sz w:val="22"/>
          <w:szCs w:val="22"/>
          <w:lang w:val="zh-CN"/>
        </w:rPr>
        <w:t>我们的资格条件完全符合政府采购法和本次招标要求</w:t>
      </w:r>
      <w:r>
        <w:rPr>
          <w:rFonts w:hint="eastAsia" w:ascii="宋体" w:hAnsi="宋体" w:cs="宋体"/>
          <w:color w:val="000000"/>
          <w:sz w:val="22"/>
          <w:szCs w:val="22"/>
          <w:lang w:val="zh-CN"/>
        </w:rPr>
        <w:t>，</w:t>
      </w:r>
      <w:r>
        <w:rPr>
          <w:rFonts w:hint="eastAsia" w:ascii="宋体" w:hAnsi="宋体" w:cs="宋体"/>
          <w:color w:val="000000"/>
          <w:sz w:val="22"/>
          <w:szCs w:val="22"/>
        </w:rPr>
        <w:t>我们</w:t>
      </w:r>
      <w:r>
        <w:rPr>
          <w:rFonts w:hint="eastAsia" w:ascii="宋体" w:hAnsi="宋体" w:cs="宋体"/>
          <w:color w:val="000000"/>
          <w:sz w:val="22"/>
          <w:szCs w:val="22"/>
          <w:lang w:val="zh-CN"/>
        </w:rPr>
        <w:t>同意并向贵方提供了与投标有关的所有证据和资料。</w:t>
      </w:r>
    </w:p>
    <w:p w14:paraId="0D9AE312">
      <w:pPr>
        <w:spacing w:line="360" w:lineRule="auto"/>
        <w:ind w:firstLine="420"/>
        <w:rPr>
          <w:rFonts w:hint="eastAsia" w:ascii="宋体" w:hAnsi="宋体" w:cs="宋体"/>
          <w:sz w:val="22"/>
          <w:szCs w:val="22"/>
        </w:rPr>
      </w:pPr>
      <w:r>
        <w:rPr>
          <w:rFonts w:hint="eastAsia" w:ascii="宋体" w:hAnsi="宋体" w:cs="宋体"/>
          <w:sz w:val="22"/>
          <w:szCs w:val="22"/>
        </w:rPr>
        <w:t>2、</w:t>
      </w:r>
      <w:r>
        <w:rPr>
          <w:rFonts w:hint="eastAsia" w:ascii="宋体" w:hAnsi="宋体" w:cs="宋体"/>
          <w:sz w:val="22"/>
          <w:szCs w:val="22"/>
          <w:lang w:val="zh-CN"/>
        </w:rPr>
        <w:t>按招标要求，我们的投标报价为</w:t>
      </w:r>
      <w:r>
        <w:rPr>
          <w:rFonts w:hint="eastAsia" w:ascii="宋体" w:hAnsi="宋体" w:cs="宋体"/>
          <w:b/>
          <w:bCs/>
          <w:sz w:val="22"/>
          <w:szCs w:val="22"/>
          <w:u w:val="single"/>
          <w:lang w:val="zh-CN"/>
        </w:rPr>
        <w:t xml:space="preserve">            </w:t>
      </w:r>
      <w:r>
        <w:rPr>
          <w:rFonts w:hint="eastAsia" w:ascii="宋体" w:hAnsi="宋体" w:cs="宋体"/>
          <w:sz w:val="22"/>
          <w:szCs w:val="22"/>
          <w:lang w:val="zh-CN"/>
        </w:rPr>
        <w:t>元（大写：</w:t>
      </w:r>
      <w:r>
        <w:rPr>
          <w:rFonts w:hint="eastAsia" w:ascii="宋体" w:hAnsi="宋体" w:cs="宋体"/>
          <w:sz w:val="22"/>
          <w:szCs w:val="22"/>
          <w:u w:val="single"/>
          <w:lang w:val="en-US" w:eastAsia="zh-CN"/>
        </w:rPr>
        <w:t xml:space="preserve">            </w:t>
      </w:r>
      <w:r>
        <w:rPr>
          <w:rFonts w:hint="eastAsia" w:ascii="宋体" w:hAnsi="宋体" w:cs="宋体"/>
          <w:sz w:val="22"/>
          <w:szCs w:val="22"/>
          <w:lang w:val="zh-CN"/>
        </w:rPr>
        <w:t>）人民币</w:t>
      </w:r>
      <w:r>
        <w:rPr>
          <w:rFonts w:hint="eastAsia" w:ascii="宋体" w:hAnsi="宋体" w:cs="宋体"/>
          <w:sz w:val="22"/>
          <w:szCs w:val="22"/>
        </w:rPr>
        <w:t>。</w:t>
      </w:r>
    </w:p>
    <w:p w14:paraId="3D160920">
      <w:pPr>
        <w:keepNext w:val="0"/>
        <w:keepLines w:val="0"/>
        <w:pageBreakBefore w:val="0"/>
        <w:widowControl w:val="0"/>
        <w:spacing w:line="360" w:lineRule="auto"/>
        <w:ind w:firstLine="420"/>
        <w:rPr>
          <w:rFonts w:hint="default" w:ascii="宋体" w:hAnsi="宋体" w:eastAsia="宋体"/>
          <w:sz w:val="22"/>
          <w:szCs w:val="22"/>
          <w:highlight w:val="yellow"/>
          <w:lang w:val="en-US" w:eastAsia="zh-CN"/>
        </w:rPr>
      </w:pPr>
      <w:r>
        <w:rPr>
          <w:rFonts w:hint="eastAsia" w:ascii="宋体" w:hAnsi="宋体" w:eastAsia="宋体"/>
          <w:sz w:val="22"/>
          <w:szCs w:val="22"/>
          <w:lang w:val="en-US"/>
        </w:rPr>
        <w:t>3、</w:t>
      </w:r>
      <w:r>
        <w:rPr>
          <w:rFonts w:hint="eastAsia"/>
          <w:sz w:val="22"/>
          <w:szCs w:val="22"/>
          <w:highlight w:val="none"/>
        </w:rPr>
        <w:t>合同履行期限</w:t>
      </w:r>
      <w:r>
        <w:rPr>
          <w:rFonts w:hint="eastAsia" w:ascii="宋体" w:hAnsi="宋体" w:eastAsia="宋体"/>
          <w:sz w:val="22"/>
          <w:szCs w:val="22"/>
          <w:lang w:val="en-US"/>
        </w:rPr>
        <w:t>：</w:t>
      </w:r>
      <w:r>
        <w:rPr>
          <w:rFonts w:hint="eastAsia" w:ascii="宋体" w:hAnsi="宋体"/>
          <w:sz w:val="22"/>
          <w:szCs w:val="22"/>
          <w:u w:val="single"/>
          <w:lang w:val="en-US" w:eastAsia="zh-CN"/>
        </w:rPr>
        <w:t xml:space="preserve">                              </w:t>
      </w:r>
    </w:p>
    <w:p w14:paraId="1ADD4964">
      <w:pPr>
        <w:spacing w:line="360" w:lineRule="auto"/>
        <w:ind w:firstLine="420"/>
        <w:rPr>
          <w:rFonts w:hint="eastAsia" w:ascii="宋体" w:hAnsi="宋体" w:cs="宋体"/>
          <w:color w:val="000000"/>
          <w:sz w:val="22"/>
          <w:szCs w:val="22"/>
          <w:lang w:val="zh-CN"/>
        </w:rPr>
      </w:pPr>
      <w:r>
        <w:rPr>
          <w:rFonts w:hint="eastAsia" w:ascii="宋体" w:hAnsi="宋体" w:eastAsia="宋体"/>
          <w:sz w:val="22"/>
          <w:szCs w:val="22"/>
          <w:lang w:val="en-US"/>
        </w:rPr>
        <w:t>4、</w:t>
      </w:r>
      <w:r>
        <w:rPr>
          <w:rFonts w:hint="eastAsia" w:ascii="宋体" w:hAnsi="宋体" w:cs="宋体"/>
          <w:sz w:val="22"/>
          <w:szCs w:val="22"/>
          <w:lang w:val="zh-CN"/>
        </w:rPr>
        <w:t>我们已详细审核全部招标文件及其有效补充文件，我们放弃对招标文件任何误解的权利，提交投标文件后，</w:t>
      </w:r>
      <w:r>
        <w:rPr>
          <w:rFonts w:hint="eastAsia" w:ascii="宋体" w:hAnsi="宋体" w:cs="宋体"/>
          <w:b/>
          <w:sz w:val="22"/>
          <w:szCs w:val="22"/>
          <w:lang w:val="zh-CN"/>
        </w:rPr>
        <w:t>不对招标文件本身提出质疑</w:t>
      </w:r>
      <w:r>
        <w:rPr>
          <w:rFonts w:hint="eastAsia" w:ascii="宋体" w:hAnsi="宋体" w:cs="宋体"/>
          <w:sz w:val="22"/>
          <w:szCs w:val="22"/>
          <w:lang w:val="zh-CN"/>
        </w:rPr>
        <w:t>。否则，属于不诚信和故意扰乱政府采购活动行为，我们将无条件接受处罚。</w:t>
      </w:r>
    </w:p>
    <w:p w14:paraId="0CA9C93D">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5</w:t>
      </w:r>
      <w:r>
        <w:rPr>
          <w:rFonts w:hint="eastAsia" w:ascii="宋体" w:hAnsi="宋体" w:cs="宋体"/>
          <w:color w:val="000000"/>
          <w:sz w:val="22"/>
          <w:szCs w:val="22"/>
          <w:lang w:val="zh-CN"/>
        </w:rPr>
        <w:t>、我们同意从规定的开标日期起遵循本投标文件，并在规定的投标有效期期满之前均具有约束力。</w:t>
      </w:r>
    </w:p>
    <w:p w14:paraId="3FEEF1C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6</w:t>
      </w:r>
      <w:r>
        <w:rPr>
          <w:rFonts w:hint="eastAsia" w:ascii="宋体" w:hAnsi="宋体" w:cs="宋体"/>
          <w:color w:val="000000"/>
          <w:sz w:val="22"/>
          <w:szCs w:val="22"/>
          <w:lang w:val="zh-CN"/>
        </w:rPr>
        <w:t>、一旦我方中标，我方将根据招标文件的规定严格履行合同，并保证于承诺的时间完成服务的启动/集成、调试等服务，交付采购人验收、使用。</w:t>
      </w:r>
    </w:p>
    <w:p w14:paraId="0ECEE1E4">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7</w:t>
      </w:r>
      <w:r>
        <w:rPr>
          <w:rFonts w:hint="eastAsia" w:ascii="宋体" w:hAnsi="宋体" w:cs="宋体"/>
          <w:color w:val="000000"/>
          <w:sz w:val="22"/>
          <w:szCs w:val="22"/>
          <w:lang w:val="zh-CN"/>
        </w:rPr>
        <w:t>、我方决不提供虚假材料谋取中标、决不采取不正当手段诋毁、排挤其他供应商、决不与采购人、其它供应商恶意串通、决不向采购人工作人员和评委进行商业贿赂、决不在采购过程中与采购人进行协商、决不拒绝有关部门监督检查或提供虚假情况，如有违反，无条件接受贵方及相关管理部门的处罚。</w:t>
      </w:r>
    </w:p>
    <w:p w14:paraId="02316EA9">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en-US" w:eastAsia="zh-CN"/>
        </w:rPr>
        <w:t>8</w:t>
      </w:r>
      <w:r>
        <w:rPr>
          <w:rFonts w:hint="eastAsia" w:ascii="宋体" w:hAnsi="宋体" w:cs="宋体"/>
          <w:color w:val="000000"/>
          <w:sz w:val="22"/>
          <w:szCs w:val="22"/>
          <w:lang w:val="zh-CN"/>
        </w:rPr>
        <w:t>、与本投标有关的正式联系方式为：</w:t>
      </w:r>
    </w:p>
    <w:p w14:paraId="1A790996">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地   址：</w:t>
      </w:r>
      <w:r>
        <w:rPr>
          <w:rFonts w:hint="eastAsia" w:ascii="宋体" w:hAnsi="宋体" w:cs="宋体"/>
          <w:color w:val="000000"/>
          <w:sz w:val="22"/>
          <w:szCs w:val="22"/>
          <w:u w:val="single"/>
          <w:lang w:val="zh-CN"/>
        </w:rPr>
        <w:t xml:space="preserve">                       </w:t>
      </w:r>
    </w:p>
    <w:p w14:paraId="7AB942B8">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电   话：</w:t>
      </w:r>
      <w:r>
        <w:rPr>
          <w:rFonts w:hint="eastAsia" w:ascii="宋体" w:hAnsi="宋体" w:cs="宋体"/>
          <w:color w:val="000000"/>
          <w:sz w:val="22"/>
          <w:szCs w:val="22"/>
          <w:u w:val="single"/>
          <w:lang w:val="zh-CN"/>
        </w:rPr>
        <w:t xml:space="preserve">                       </w:t>
      </w:r>
    </w:p>
    <w:p w14:paraId="48ADFFA4">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传   真：</w:t>
      </w:r>
      <w:r>
        <w:rPr>
          <w:rFonts w:hint="eastAsia" w:ascii="宋体" w:hAnsi="宋体" w:cs="宋体"/>
          <w:color w:val="000000"/>
          <w:sz w:val="22"/>
          <w:szCs w:val="22"/>
          <w:u w:val="single"/>
          <w:lang w:val="zh-CN"/>
        </w:rPr>
        <w:t xml:space="preserve">                       </w:t>
      </w:r>
    </w:p>
    <w:p w14:paraId="36D68745">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开户银行：</w:t>
      </w:r>
    </w:p>
    <w:p w14:paraId="7C8DB536">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银行账号：</w:t>
      </w:r>
    </w:p>
    <w:p w14:paraId="170A9350">
      <w:pPr>
        <w:spacing w:line="360" w:lineRule="auto"/>
        <w:ind w:firstLine="420"/>
        <w:rPr>
          <w:rFonts w:hint="eastAsia" w:ascii="宋体" w:hAnsi="宋体" w:cs="宋体"/>
          <w:color w:val="000000"/>
          <w:sz w:val="22"/>
          <w:szCs w:val="22"/>
          <w:u w:val="single"/>
          <w:lang w:val="zh-CN"/>
        </w:rPr>
      </w:pPr>
      <w:r>
        <w:rPr>
          <w:rFonts w:hint="eastAsia" w:ascii="宋体" w:hAnsi="宋体" w:cs="宋体"/>
          <w:color w:val="000000"/>
          <w:sz w:val="22"/>
          <w:szCs w:val="22"/>
          <w:lang w:val="zh-CN"/>
        </w:rPr>
        <w:t>供应商授权代表姓名：</w:t>
      </w:r>
      <w:r>
        <w:rPr>
          <w:rFonts w:hint="eastAsia" w:ascii="宋体" w:hAnsi="宋体" w:cs="宋体"/>
          <w:color w:val="000000"/>
          <w:sz w:val="22"/>
          <w:szCs w:val="22"/>
          <w:u w:val="single"/>
          <w:lang w:val="zh-CN"/>
        </w:rPr>
        <w:t xml:space="preserve">         </w:t>
      </w:r>
    </w:p>
    <w:p w14:paraId="5151F530">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p>
    <w:p w14:paraId="535F07F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0F2AB57E">
      <w:pPr>
        <w:widowControl/>
        <w:spacing w:line="360" w:lineRule="auto"/>
        <w:jc w:val="left"/>
        <w:rPr>
          <w:rFonts w:hint="eastAsia" w:ascii="宋体" w:hAnsi="宋体" w:cs="宋体"/>
          <w:b/>
          <w:color w:val="000000"/>
          <w:sz w:val="22"/>
          <w:szCs w:val="22"/>
          <w:lang w:val="zh-CN"/>
        </w:rPr>
      </w:pPr>
    </w:p>
    <w:p w14:paraId="520C4FF9">
      <w:pPr>
        <w:widowControl/>
        <w:spacing w:line="360" w:lineRule="auto"/>
        <w:jc w:val="left"/>
        <w:rPr>
          <w:rFonts w:hint="eastAsia" w:ascii="宋体" w:hAnsi="宋体" w:cs="宋体"/>
          <w:b/>
          <w:color w:val="000000"/>
          <w:sz w:val="22"/>
          <w:szCs w:val="22"/>
          <w:lang w:val="zh-CN"/>
        </w:rPr>
      </w:pPr>
    </w:p>
    <w:p w14:paraId="6945C364">
      <w:pPr>
        <w:widowControl/>
        <w:spacing w:line="360" w:lineRule="auto"/>
        <w:jc w:val="left"/>
        <w:rPr>
          <w:rFonts w:hint="eastAsia" w:ascii="宋体" w:hAnsi="宋体" w:cs="宋体"/>
          <w:b/>
          <w:color w:val="000000"/>
          <w:sz w:val="22"/>
          <w:szCs w:val="22"/>
          <w:lang w:val="zh-CN"/>
        </w:rPr>
      </w:pPr>
    </w:p>
    <w:p w14:paraId="570E0098">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目录二、法定代表人授权书格式</w:t>
      </w:r>
    </w:p>
    <w:p w14:paraId="0B9C7850">
      <w:pPr>
        <w:keepNext w:val="0"/>
        <w:keepLines w:val="0"/>
        <w:pageBreakBefore w:val="0"/>
        <w:spacing w:line="360" w:lineRule="auto"/>
        <w:jc w:val="center"/>
        <w:rPr>
          <w:rFonts w:hint="eastAsia"/>
          <w:b/>
          <w:bCs/>
          <w:sz w:val="22"/>
          <w:szCs w:val="28"/>
          <w:lang w:val="zh-CN" w:eastAsia="zh-CN"/>
        </w:rPr>
      </w:pPr>
      <w:r>
        <w:rPr>
          <w:rFonts w:hint="eastAsia"/>
          <w:b/>
          <w:bCs/>
          <w:sz w:val="22"/>
          <w:szCs w:val="28"/>
          <w:lang w:val="zh-CN" w:eastAsia="zh-CN"/>
        </w:rPr>
        <w:t>法定代表人授权委托书</w:t>
      </w:r>
    </w:p>
    <w:p w14:paraId="1B5776B6">
      <w:pPr>
        <w:keepNext w:val="0"/>
        <w:keepLines w:val="0"/>
        <w:pageBreakBefore w:val="0"/>
        <w:widowControl/>
        <w:spacing w:line="360" w:lineRule="auto"/>
        <w:jc w:val="left"/>
        <w:rPr>
          <w:rFonts w:hint="eastAsia" w:ascii="宋体" w:hAnsi="宋体" w:cs="宋体"/>
          <w:b/>
          <w:color w:val="000000"/>
          <w:sz w:val="22"/>
          <w:szCs w:val="22"/>
          <w:lang w:bidi="ar"/>
        </w:rPr>
      </w:pPr>
      <w:r>
        <w:rPr>
          <w:rFonts w:hint="eastAsia" w:ascii="宋体" w:hAnsi="宋体" w:cs="宋体"/>
          <w:b/>
          <w:color w:val="000000"/>
          <w:sz w:val="22"/>
          <w:szCs w:val="22"/>
          <w:lang w:bidi="ar"/>
        </w:rPr>
        <w:t>致</w:t>
      </w:r>
      <w:r>
        <w:rPr>
          <w:rFonts w:hint="eastAsia" w:ascii="宋体" w:hAnsi="宋体" w:cs="宋体"/>
          <w:b/>
          <w:color w:val="000000"/>
          <w:sz w:val="22"/>
          <w:szCs w:val="22"/>
          <w:lang w:eastAsia="zh-CN" w:bidi="ar"/>
        </w:rPr>
        <w:t>：南京市江宁区交通运输局</w:t>
      </w:r>
    </w:p>
    <w:p w14:paraId="79B6441F">
      <w:pPr>
        <w:keepNext w:val="0"/>
        <w:keepLines w:val="0"/>
        <w:pageBreakBefore w:val="0"/>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本授权书声明：注册于</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（供应商住址）的</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（供应商名称）法定代表人</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（法定代表人姓名、职务）代表本公司授权在下面签字的</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（供应商代表姓名、职务）为本公司的合法代理人，就贵方组织的</w:t>
      </w:r>
      <w:r>
        <w:rPr>
          <w:rFonts w:hint="eastAsia" w:ascii="宋体" w:hAnsi="宋体" w:cs="宋体"/>
          <w:b/>
          <w:bCs/>
          <w:color w:val="000000"/>
          <w:sz w:val="22"/>
          <w:szCs w:val="22"/>
          <w:u w:val="single"/>
          <w:lang w:val="zh-CN"/>
        </w:rPr>
        <w:t xml:space="preserve">                            </w:t>
      </w:r>
      <w:r>
        <w:rPr>
          <w:rFonts w:hint="eastAsia" w:ascii="宋体" w:hAnsi="宋体" w:cs="宋体"/>
          <w:color w:val="000000"/>
          <w:sz w:val="22"/>
          <w:szCs w:val="22"/>
          <w:lang w:val="zh-CN"/>
        </w:rPr>
        <w:t>（项目名称），</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（项目编号）投标，以本公司名义处理一切与之有关的事务。</w:t>
      </w:r>
    </w:p>
    <w:p w14:paraId="4C8A750F">
      <w:pPr>
        <w:keepNext w:val="0"/>
        <w:keepLines w:val="0"/>
        <w:pageBreakBefore w:val="0"/>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本授权书于    年  月  日签字生效，特此声明。</w:t>
      </w:r>
    </w:p>
    <w:p w14:paraId="641C843F">
      <w:pPr>
        <w:pStyle w:val="225"/>
        <w:keepNext w:val="0"/>
        <w:keepLines w:val="0"/>
        <w:pageBreakBefore w:val="0"/>
        <w:spacing w:line="360" w:lineRule="auto"/>
        <w:ind w:left="1260" w:firstLine="420"/>
        <w:rPr>
          <w:rFonts w:hint="eastAsia" w:ascii="宋体" w:hAnsi="宋体" w:cs="宋体"/>
          <w:sz w:val="22"/>
          <w:szCs w:val="22"/>
          <w:lang w:val="zh-CN"/>
        </w:rPr>
      </w:pPr>
    </w:p>
    <w:p w14:paraId="4C2AB089">
      <w:pPr>
        <w:keepNext w:val="0"/>
        <w:keepLines w:val="0"/>
        <w:pageBreakBefore w:val="0"/>
        <w:spacing w:line="360" w:lineRule="auto"/>
        <w:ind w:firstLine="420"/>
        <w:rPr>
          <w:rFonts w:hint="eastAsia" w:ascii="宋体" w:hAnsi="宋体" w:eastAsia="宋体" w:cs="宋体"/>
          <w:color w:val="000000"/>
          <w:sz w:val="22"/>
          <w:szCs w:val="22"/>
          <w:lang w:val="zh-CN"/>
        </w:rPr>
      </w:pPr>
      <w:r>
        <w:rPr>
          <w:rFonts w:hint="eastAsia" w:ascii="宋体" w:hAnsi="宋体" w:eastAsia="宋体" w:cs="宋体"/>
          <w:color w:val="000000"/>
          <w:sz w:val="22"/>
          <w:szCs w:val="22"/>
          <w:lang w:val="zh-CN"/>
        </w:rPr>
        <w:t>供应商名称：                 （加盖电子公章）</w:t>
      </w:r>
    </w:p>
    <w:p w14:paraId="5CA2D1B5">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法定代表人：</w:t>
      </w:r>
    </w:p>
    <w:p w14:paraId="370D61D3">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授权委托人：</w:t>
      </w:r>
    </w:p>
    <w:p w14:paraId="5E7D0FA5">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授权委托人身份证号码：</w:t>
      </w:r>
    </w:p>
    <w:p w14:paraId="1896B191">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 xml:space="preserve">授权委托人联系电话：               </w:t>
      </w:r>
    </w:p>
    <w:p w14:paraId="2FA810FD">
      <w:pPr>
        <w:keepNext w:val="0"/>
        <w:keepLines w:val="0"/>
        <w:pageBreakBefore w:val="0"/>
        <w:spacing w:line="360" w:lineRule="auto"/>
        <w:ind w:firstLine="420"/>
        <w:rPr>
          <w:rFonts w:hint="eastAsia" w:ascii="宋体" w:hAnsi="宋体" w:eastAsia="宋体" w:cs="宋体"/>
          <w:color w:val="000000"/>
          <w:sz w:val="22"/>
          <w:szCs w:val="22"/>
          <w:lang w:val="zh-TW" w:eastAsia="zh-TW"/>
        </w:rPr>
      </w:pPr>
      <w:r>
        <w:rPr>
          <w:rFonts w:hint="eastAsia" w:ascii="宋体" w:hAnsi="宋体" w:eastAsia="宋体" w:cs="宋体"/>
          <w:color w:val="000000"/>
          <w:sz w:val="22"/>
          <w:szCs w:val="22"/>
          <w:lang w:val="zh-TW" w:eastAsia="zh-TW"/>
        </w:rPr>
        <w:t>日    期：       年    月    日</w:t>
      </w:r>
    </w:p>
    <w:p w14:paraId="57B688C6">
      <w:pPr>
        <w:widowControl/>
        <w:spacing w:line="360" w:lineRule="auto"/>
        <w:jc w:val="left"/>
        <w:rPr>
          <w:rFonts w:hint="eastAsia" w:ascii="宋体" w:hAnsi="宋体" w:cs="宋体"/>
          <w:b/>
          <w:color w:val="000000"/>
          <w:sz w:val="22"/>
          <w:szCs w:val="22"/>
          <w:lang w:val="zh-CN"/>
        </w:rPr>
      </w:pPr>
    </w:p>
    <w:p w14:paraId="356895FF">
      <w:pPr>
        <w:widowControl/>
        <w:spacing w:line="360" w:lineRule="auto"/>
        <w:ind w:firstLine="422"/>
        <w:jc w:val="left"/>
        <w:rPr>
          <w:rFonts w:hint="eastAsia" w:ascii="宋体" w:hAnsi="宋体" w:cs="宋体"/>
          <w:b/>
          <w:color w:val="000000"/>
          <w:sz w:val="22"/>
          <w:szCs w:val="22"/>
          <w:lang w:val="zh-CN"/>
        </w:rPr>
      </w:pPr>
      <w:r>
        <w:rPr>
          <w:rFonts w:hint="eastAsia" w:ascii="宋体" w:hAnsi="宋体" w:cs="宋体"/>
          <w:b/>
          <w:color w:val="000000"/>
          <w:sz w:val="22"/>
          <w:szCs w:val="22"/>
          <w:lang w:val="zh-CN"/>
        </w:rPr>
        <w:t>附营业执照、授权人和被授权人身份证复印件加盖电子公章</w:t>
      </w:r>
    </w:p>
    <w:p w14:paraId="723C4D97">
      <w:pPr>
        <w:widowControl/>
        <w:spacing w:line="360" w:lineRule="auto"/>
        <w:jc w:val="left"/>
        <w:rPr>
          <w:rFonts w:hint="eastAsia" w:ascii="宋体" w:hAnsi="宋体" w:cs="宋体"/>
          <w:color w:val="000000"/>
          <w:sz w:val="22"/>
          <w:szCs w:val="22"/>
          <w:lang w:val="zh-CN"/>
        </w:rPr>
      </w:pPr>
    </w:p>
    <w:p w14:paraId="3B96650D">
      <w:pPr>
        <w:widowControl/>
        <w:spacing w:line="360" w:lineRule="auto"/>
        <w:jc w:val="left"/>
        <w:rPr>
          <w:rFonts w:hint="eastAsia" w:ascii="宋体" w:hAnsi="宋体" w:cs="宋体"/>
          <w:color w:val="000000"/>
          <w:sz w:val="22"/>
          <w:szCs w:val="22"/>
          <w:lang w:val="zh-CN"/>
        </w:rPr>
      </w:pPr>
    </w:p>
    <w:p w14:paraId="667E5863">
      <w:pPr>
        <w:pStyle w:val="42"/>
        <w:ind w:firstLine="420"/>
        <w:rPr>
          <w:rFonts w:hint="eastAsia" w:ascii="宋体" w:hAnsi="宋体" w:eastAsia="宋体"/>
          <w:sz w:val="22"/>
          <w:szCs w:val="22"/>
        </w:rPr>
      </w:pPr>
    </w:p>
    <w:p w14:paraId="3C5CB6C2">
      <w:pPr>
        <w:pStyle w:val="42"/>
        <w:ind w:firstLine="420"/>
        <w:rPr>
          <w:rFonts w:hint="eastAsia" w:ascii="宋体" w:hAnsi="宋体" w:eastAsia="宋体"/>
          <w:sz w:val="22"/>
          <w:szCs w:val="22"/>
        </w:rPr>
      </w:pPr>
    </w:p>
    <w:p w14:paraId="11B6774C">
      <w:pPr>
        <w:pStyle w:val="42"/>
        <w:ind w:firstLine="420"/>
        <w:rPr>
          <w:rFonts w:hint="eastAsia" w:ascii="宋体" w:hAnsi="宋体" w:eastAsia="宋体"/>
          <w:sz w:val="22"/>
          <w:szCs w:val="22"/>
        </w:rPr>
      </w:pPr>
    </w:p>
    <w:p w14:paraId="3552BFB3">
      <w:pPr>
        <w:pStyle w:val="42"/>
        <w:ind w:firstLine="420"/>
        <w:rPr>
          <w:rFonts w:hint="eastAsia" w:ascii="宋体" w:hAnsi="宋体" w:eastAsia="宋体"/>
          <w:sz w:val="22"/>
          <w:szCs w:val="22"/>
        </w:rPr>
      </w:pPr>
    </w:p>
    <w:p w14:paraId="10723888">
      <w:pPr>
        <w:pStyle w:val="42"/>
        <w:ind w:firstLine="420"/>
        <w:rPr>
          <w:rFonts w:hint="eastAsia" w:ascii="宋体" w:hAnsi="宋体" w:eastAsia="宋体"/>
          <w:sz w:val="22"/>
          <w:szCs w:val="22"/>
        </w:rPr>
      </w:pPr>
    </w:p>
    <w:p w14:paraId="74CB243A">
      <w:pPr>
        <w:pStyle w:val="42"/>
        <w:ind w:firstLine="420"/>
        <w:rPr>
          <w:rFonts w:hint="eastAsia" w:ascii="宋体" w:hAnsi="宋体" w:eastAsia="宋体"/>
          <w:sz w:val="22"/>
          <w:szCs w:val="22"/>
        </w:rPr>
      </w:pPr>
    </w:p>
    <w:p w14:paraId="3ECC92F7">
      <w:pPr>
        <w:pStyle w:val="42"/>
        <w:ind w:firstLine="420"/>
        <w:rPr>
          <w:rFonts w:hint="eastAsia" w:ascii="宋体" w:hAnsi="宋体" w:eastAsia="宋体"/>
          <w:sz w:val="22"/>
          <w:szCs w:val="22"/>
        </w:rPr>
      </w:pPr>
    </w:p>
    <w:p w14:paraId="6EE71D6C">
      <w:pPr>
        <w:pStyle w:val="42"/>
        <w:ind w:firstLine="420"/>
        <w:rPr>
          <w:rFonts w:hint="eastAsia" w:ascii="宋体" w:hAnsi="宋体" w:eastAsia="宋体"/>
          <w:sz w:val="22"/>
          <w:szCs w:val="22"/>
        </w:rPr>
      </w:pPr>
    </w:p>
    <w:p w14:paraId="576B1F1C">
      <w:pPr>
        <w:pStyle w:val="42"/>
        <w:ind w:firstLine="420"/>
        <w:rPr>
          <w:rFonts w:hint="eastAsia" w:ascii="宋体" w:hAnsi="宋体" w:eastAsia="宋体"/>
          <w:sz w:val="22"/>
          <w:szCs w:val="22"/>
        </w:rPr>
      </w:pPr>
    </w:p>
    <w:p w14:paraId="34CC7380">
      <w:pPr>
        <w:pStyle w:val="42"/>
        <w:ind w:firstLine="420"/>
        <w:rPr>
          <w:rFonts w:hint="eastAsia" w:ascii="宋体" w:hAnsi="宋体" w:eastAsia="宋体"/>
          <w:sz w:val="22"/>
          <w:szCs w:val="22"/>
        </w:rPr>
      </w:pPr>
    </w:p>
    <w:p w14:paraId="17735119">
      <w:pPr>
        <w:pStyle w:val="42"/>
        <w:ind w:firstLine="420"/>
        <w:rPr>
          <w:rFonts w:hint="eastAsia" w:ascii="宋体" w:hAnsi="宋体" w:eastAsia="宋体"/>
          <w:sz w:val="22"/>
          <w:szCs w:val="22"/>
        </w:rPr>
      </w:pPr>
    </w:p>
    <w:p w14:paraId="100FF579">
      <w:pPr>
        <w:pStyle w:val="42"/>
        <w:ind w:firstLine="420"/>
        <w:rPr>
          <w:rFonts w:hint="eastAsia" w:ascii="宋体" w:hAnsi="宋体" w:eastAsia="宋体"/>
          <w:sz w:val="22"/>
          <w:szCs w:val="22"/>
        </w:rPr>
      </w:pPr>
    </w:p>
    <w:p w14:paraId="43E869EC">
      <w:pPr>
        <w:pStyle w:val="42"/>
        <w:ind w:firstLine="420"/>
        <w:rPr>
          <w:rFonts w:hint="eastAsia" w:ascii="宋体" w:hAnsi="宋体" w:eastAsia="宋体"/>
          <w:sz w:val="22"/>
          <w:szCs w:val="22"/>
        </w:rPr>
      </w:pPr>
    </w:p>
    <w:p w14:paraId="0DB41606">
      <w:pPr>
        <w:pStyle w:val="42"/>
        <w:ind w:firstLine="420"/>
        <w:rPr>
          <w:rFonts w:hint="eastAsia" w:ascii="宋体" w:hAnsi="宋体" w:eastAsia="宋体"/>
          <w:sz w:val="22"/>
          <w:szCs w:val="22"/>
        </w:rPr>
      </w:pPr>
    </w:p>
    <w:p w14:paraId="1A9B2DEE">
      <w:pPr>
        <w:pStyle w:val="42"/>
        <w:ind w:firstLine="420"/>
        <w:rPr>
          <w:rFonts w:hint="eastAsia" w:ascii="宋体" w:hAnsi="宋体" w:eastAsia="宋体"/>
          <w:sz w:val="22"/>
          <w:szCs w:val="22"/>
        </w:rPr>
      </w:pPr>
    </w:p>
    <w:p w14:paraId="10C2876E">
      <w:pPr>
        <w:pStyle w:val="42"/>
        <w:ind w:firstLine="420"/>
        <w:rPr>
          <w:rFonts w:hint="eastAsia" w:ascii="宋体" w:hAnsi="宋体" w:eastAsia="宋体"/>
          <w:sz w:val="22"/>
          <w:szCs w:val="22"/>
        </w:rPr>
      </w:pPr>
    </w:p>
    <w:p w14:paraId="63359048">
      <w:pPr>
        <w:keepNext w:val="0"/>
        <w:keepLines w:val="0"/>
        <w:pageBreakBefore w:val="0"/>
        <w:widowControl/>
        <w:spacing w:after="0" w:line="360" w:lineRule="auto"/>
        <w:ind w:firstLine="422"/>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目录三、开标记录一览表</w:t>
      </w:r>
    </w:p>
    <w:p w14:paraId="33BC3202">
      <w:pPr>
        <w:pStyle w:val="212"/>
        <w:spacing w:line="440" w:lineRule="exact"/>
        <w:ind w:firstLine="1528"/>
        <w:jc w:val="center"/>
        <w:rPr>
          <w:rFonts w:hint="eastAsia" w:ascii="宋体" w:hAnsi="宋体" w:cs="宋体"/>
          <w:sz w:val="22"/>
          <w:szCs w:val="22"/>
          <w:lang w:val="zh-CN"/>
        </w:rPr>
      </w:pPr>
      <w:r>
        <w:rPr>
          <w:rFonts w:hint="eastAsia" w:ascii="宋体" w:hAnsi="宋体" w:cs="宋体"/>
          <w:b/>
          <w:sz w:val="22"/>
          <w:szCs w:val="22"/>
        </w:rPr>
        <w:t>开标一览表</w:t>
      </w:r>
    </w:p>
    <w:p w14:paraId="10EAF9CD">
      <w:pPr>
        <w:pStyle w:val="212"/>
        <w:spacing w:line="440" w:lineRule="exact"/>
        <w:ind w:firstLine="472"/>
        <w:rPr>
          <w:rFonts w:hint="eastAsia" w:ascii="宋体" w:hAnsi="宋体" w:cs="宋体"/>
          <w:sz w:val="22"/>
          <w:szCs w:val="22"/>
        </w:rPr>
      </w:pPr>
      <w:r>
        <w:rPr>
          <w:rFonts w:hint="eastAsia" w:ascii="宋体" w:hAnsi="宋体" w:cs="宋体"/>
          <w:sz w:val="22"/>
          <w:szCs w:val="22"/>
        </w:rPr>
        <w:t>项目名称：                                           项目编号：</w:t>
      </w:r>
    </w:p>
    <w:tbl>
      <w:tblPr>
        <w:tblStyle w:val="35"/>
        <w:tblW w:w="0" w:type="auto"/>
        <w:tblInd w:w="1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80"/>
        <w:gridCol w:w="6255"/>
        <w:gridCol w:w="1485"/>
      </w:tblGrid>
      <w:tr w14:paraId="55A31A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1980" w:type="dxa"/>
            <w:vMerge w:val="restart"/>
            <w:noWrap w:val="0"/>
            <w:vAlign w:val="center"/>
          </w:tcPr>
          <w:p w14:paraId="170EFA60">
            <w:pPr>
              <w:pStyle w:val="212"/>
              <w:spacing w:line="440" w:lineRule="exact"/>
              <w:ind w:firstLine="0"/>
              <w:rPr>
                <w:rFonts w:hint="eastAsia" w:ascii="宋体" w:hAnsi="宋体" w:cs="宋体"/>
                <w:sz w:val="22"/>
                <w:szCs w:val="22"/>
              </w:rPr>
            </w:pPr>
            <w:r>
              <w:rPr>
                <w:rFonts w:hint="eastAsia" w:ascii="宋体" w:hAnsi="宋体" w:cs="宋体"/>
                <w:sz w:val="22"/>
                <w:szCs w:val="22"/>
              </w:rPr>
              <w:t>投标总价</w:t>
            </w:r>
          </w:p>
        </w:tc>
        <w:tc>
          <w:tcPr>
            <w:tcW w:w="6255" w:type="dxa"/>
            <w:noWrap w:val="0"/>
            <w:vAlign w:val="center"/>
          </w:tcPr>
          <w:p w14:paraId="4C7C7AAD">
            <w:pPr>
              <w:pStyle w:val="212"/>
              <w:spacing w:line="440" w:lineRule="exact"/>
              <w:ind w:firstLine="0"/>
              <w:rPr>
                <w:rFonts w:hint="eastAsia" w:ascii="宋体" w:hAnsi="宋体" w:cs="宋体"/>
                <w:sz w:val="22"/>
                <w:szCs w:val="22"/>
              </w:rPr>
            </w:pPr>
          </w:p>
          <w:p w14:paraId="13E41D15">
            <w:pPr>
              <w:pStyle w:val="212"/>
              <w:spacing w:line="440" w:lineRule="exact"/>
              <w:ind w:firstLine="0"/>
              <w:rPr>
                <w:rFonts w:hint="eastAsia" w:ascii="宋体" w:hAnsi="宋体" w:cs="宋体"/>
                <w:sz w:val="22"/>
                <w:szCs w:val="22"/>
              </w:rPr>
            </w:pPr>
          </w:p>
          <w:p w14:paraId="3AD40C12">
            <w:pPr>
              <w:pStyle w:val="212"/>
              <w:spacing w:line="440" w:lineRule="exact"/>
              <w:ind w:firstLine="0"/>
              <w:rPr>
                <w:rFonts w:hint="eastAsia" w:ascii="宋体" w:hAnsi="宋体" w:cs="宋体"/>
                <w:bCs/>
                <w:sz w:val="22"/>
                <w:szCs w:val="22"/>
              </w:rPr>
            </w:pPr>
            <w:r>
              <w:rPr>
                <w:rFonts w:hint="eastAsia" w:ascii="宋体" w:hAnsi="宋体" w:cs="宋体"/>
                <w:sz w:val="22"/>
                <w:szCs w:val="22"/>
              </w:rPr>
              <w:t xml:space="preserve">小写：人民币              </w:t>
            </w:r>
            <w:r>
              <w:rPr>
                <w:rFonts w:hint="eastAsia" w:ascii="宋体" w:hAnsi="宋体" w:cs="宋体"/>
                <w:bCs/>
                <w:sz w:val="22"/>
                <w:szCs w:val="22"/>
              </w:rPr>
              <w:t xml:space="preserve">    </w:t>
            </w:r>
          </w:p>
          <w:p w14:paraId="24B1BACA">
            <w:pPr>
              <w:pStyle w:val="212"/>
              <w:spacing w:line="440" w:lineRule="exact"/>
              <w:ind w:firstLine="0"/>
              <w:rPr>
                <w:rFonts w:hint="eastAsia" w:ascii="宋体" w:hAnsi="宋体" w:cs="宋体"/>
                <w:sz w:val="22"/>
                <w:szCs w:val="22"/>
              </w:rPr>
            </w:pPr>
            <w:r>
              <w:rPr>
                <w:rFonts w:hint="eastAsia" w:ascii="宋体" w:hAnsi="宋体" w:cs="宋体"/>
                <w:sz w:val="22"/>
                <w:szCs w:val="22"/>
              </w:rPr>
              <w:t xml:space="preserve">                </w:t>
            </w:r>
          </w:p>
        </w:tc>
        <w:tc>
          <w:tcPr>
            <w:tcW w:w="1485" w:type="dxa"/>
            <w:vMerge w:val="restart"/>
            <w:noWrap w:val="0"/>
            <w:vAlign w:val="center"/>
          </w:tcPr>
          <w:p w14:paraId="0495460D">
            <w:pPr>
              <w:pStyle w:val="212"/>
              <w:spacing w:line="440" w:lineRule="exact"/>
              <w:ind w:firstLine="472"/>
              <w:rPr>
                <w:rFonts w:hint="eastAsia" w:ascii="宋体" w:hAnsi="宋体" w:cs="宋体"/>
                <w:sz w:val="22"/>
                <w:szCs w:val="22"/>
              </w:rPr>
            </w:pPr>
            <w:r>
              <w:rPr>
                <w:rFonts w:hint="eastAsia" w:ascii="宋体" w:hAnsi="宋体" w:cs="宋体"/>
                <w:sz w:val="22"/>
                <w:szCs w:val="22"/>
              </w:rPr>
              <w:t>备注</w:t>
            </w:r>
          </w:p>
        </w:tc>
      </w:tr>
      <w:tr w14:paraId="2FE7D8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198" w:hRule="atLeast"/>
        </w:trPr>
        <w:tc>
          <w:tcPr>
            <w:tcW w:w="1980" w:type="dxa"/>
            <w:vMerge w:val="continue"/>
            <w:noWrap w:val="0"/>
            <w:vAlign w:val="center"/>
          </w:tcPr>
          <w:p w14:paraId="631AC134">
            <w:pPr>
              <w:pStyle w:val="212"/>
              <w:spacing w:line="440" w:lineRule="exact"/>
              <w:ind w:firstLine="0"/>
              <w:rPr>
                <w:rFonts w:hint="eastAsia" w:ascii="宋体" w:hAnsi="宋体" w:cs="宋体"/>
                <w:sz w:val="22"/>
                <w:szCs w:val="22"/>
              </w:rPr>
            </w:pPr>
          </w:p>
        </w:tc>
        <w:tc>
          <w:tcPr>
            <w:tcW w:w="6255" w:type="dxa"/>
            <w:noWrap w:val="0"/>
            <w:vAlign w:val="center"/>
          </w:tcPr>
          <w:p w14:paraId="65E1CC89">
            <w:pPr>
              <w:pStyle w:val="212"/>
              <w:spacing w:line="440" w:lineRule="exact"/>
              <w:ind w:firstLine="0"/>
              <w:rPr>
                <w:rFonts w:hint="eastAsia" w:ascii="宋体" w:hAnsi="宋体" w:cs="宋体"/>
                <w:bCs/>
                <w:sz w:val="22"/>
                <w:szCs w:val="22"/>
              </w:rPr>
            </w:pPr>
            <w:r>
              <w:rPr>
                <w:rFonts w:hint="eastAsia" w:ascii="宋体" w:hAnsi="宋体" w:cs="宋体"/>
                <w:sz w:val="22"/>
                <w:szCs w:val="22"/>
              </w:rPr>
              <w:t xml:space="preserve">           </w:t>
            </w:r>
            <w:r>
              <w:rPr>
                <w:rFonts w:hint="eastAsia" w:ascii="宋体" w:hAnsi="宋体" w:cs="宋体"/>
                <w:bCs/>
                <w:sz w:val="22"/>
                <w:szCs w:val="22"/>
              </w:rPr>
              <w:t xml:space="preserve">    </w:t>
            </w:r>
          </w:p>
          <w:p w14:paraId="5ADEA8D3">
            <w:pPr>
              <w:pStyle w:val="212"/>
              <w:spacing w:line="440" w:lineRule="exact"/>
              <w:ind w:firstLine="472"/>
              <w:rPr>
                <w:rFonts w:hint="eastAsia" w:ascii="宋体" w:hAnsi="宋体" w:cs="宋体"/>
                <w:sz w:val="22"/>
                <w:szCs w:val="22"/>
              </w:rPr>
            </w:pPr>
          </w:p>
          <w:p w14:paraId="7A784929">
            <w:pPr>
              <w:pStyle w:val="212"/>
              <w:spacing w:line="440" w:lineRule="exact"/>
              <w:ind w:firstLine="0"/>
              <w:rPr>
                <w:rFonts w:hint="eastAsia" w:ascii="宋体" w:hAnsi="宋体" w:cs="宋体"/>
                <w:sz w:val="22"/>
                <w:szCs w:val="22"/>
              </w:rPr>
            </w:pPr>
            <w:r>
              <w:rPr>
                <w:rFonts w:hint="eastAsia" w:ascii="宋体" w:hAnsi="宋体" w:cs="宋体"/>
                <w:sz w:val="22"/>
                <w:szCs w:val="22"/>
              </w:rPr>
              <w:t xml:space="preserve">大写：人民币  </w:t>
            </w:r>
          </w:p>
        </w:tc>
        <w:tc>
          <w:tcPr>
            <w:tcW w:w="1485" w:type="dxa"/>
            <w:vMerge w:val="continue"/>
            <w:noWrap w:val="0"/>
            <w:vAlign w:val="center"/>
          </w:tcPr>
          <w:p w14:paraId="733B3AA7">
            <w:pPr>
              <w:pStyle w:val="212"/>
              <w:spacing w:line="440" w:lineRule="exact"/>
              <w:ind w:firstLine="0"/>
              <w:rPr>
                <w:rFonts w:hint="eastAsia" w:ascii="宋体" w:hAnsi="宋体" w:cs="宋体"/>
                <w:sz w:val="22"/>
                <w:szCs w:val="22"/>
              </w:rPr>
            </w:pPr>
          </w:p>
        </w:tc>
      </w:tr>
      <w:tr w14:paraId="0B11FC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9" w:hRule="atLeast"/>
        </w:trPr>
        <w:tc>
          <w:tcPr>
            <w:tcW w:w="1980" w:type="dxa"/>
            <w:noWrap w:val="0"/>
            <w:vAlign w:val="center"/>
          </w:tcPr>
          <w:p w14:paraId="4D3CFC57">
            <w:pPr>
              <w:pStyle w:val="212"/>
              <w:spacing w:line="440" w:lineRule="exact"/>
              <w:ind w:firstLine="0"/>
              <w:rPr>
                <w:rFonts w:hint="eastAsia" w:ascii="宋体" w:hAnsi="宋体" w:eastAsia="宋体" w:cs="宋体"/>
                <w:sz w:val="22"/>
                <w:szCs w:val="22"/>
                <w:lang w:val="en-US" w:eastAsia="zh-CN" w:bidi="ar-SA"/>
              </w:rPr>
            </w:pPr>
            <w:r>
              <w:rPr>
                <w:rFonts w:hint="eastAsia" w:ascii="宋体" w:hAnsi="宋体" w:cs="宋体"/>
                <w:sz w:val="22"/>
                <w:szCs w:val="22"/>
                <w:lang w:val="en-US" w:eastAsia="zh-CN"/>
              </w:rPr>
              <w:t>项目负责人</w:t>
            </w:r>
          </w:p>
        </w:tc>
        <w:tc>
          <w:tcPr>
            <w:tcW w:w="6255" w:type="dxa"/>
            <w:noWrap w:val="0"/>
            <w:vAlign w:val="center"/>
          </w:tcPr>
          <w:p w14:paraId="652C1467">
            <w:pPr>
              <w:pStyle w:val="212"/>
              <w:tabs>
                <w:tab w:val="left" w:pos="3624"/>
              </w:tabs>
              <w:spacing w:line="440" w:lineRule="exact"/>
              <w:ind w:firstLine="472"/>
              <w:rPr>
                <w:rFonts w:hint="eastAsia" w:ascii="宋体" w:hAnsi="宋体" w:cs="宋体"/>
                <w:sz w:val="22"/>
                <w:szCs w:val="22"/>
                <w:u w:val="single"/>
              </w:rPr>
            </w:pPr>
          </w:p>
        </w:tc>
        <w:tc>
          <w:tcPr>
            <w:tcW w:w="1485" w:type="dxa"/>
            <w:noWrap w:val="0"/>
            <w:vAlign w:val="center"/>
          </w:tcPr>
          <w:p w14:paraId="536121BA">
            <w:pPr>
              <w:pStyle w:val="212"/>
              <w:spacing w:line="440" w:lineRule="exact"/>
              <w:ind w:firstLine="472"/>
              <w:rPr>
                <w:rFonts w:hint="eastAsia" w:ascii="宋体" w:hAnsi="宋体" w:cs="宋体"/>
                <w:sz w:val="22"/>
                <w:szCs w:val="22"/>
              </w:rPr>
            </w:pPr>
          </w:p>
          <w:p w14:paraId="6EF7E9DF">
            <w:pPr>
              <w:pStyle w:val="212"/>
              <w:spacing w:line="440" w:lineRule="exact"/>
              <w:ind w:firstLine="472"/>
              <w:rPr>
                <w:rFonts w:hint="eastAsia" w:ascii="宋体" w:hAnsi="宋体" w:cs="宋体"/>
                <w:sz w:val="22"/>
                <w:szCs w:val="22"/>
              </w:rPr>
            </w:pPr>
          </w:p>
        </w:tc>
      </w:tr>
    </w:tbl>
    <w:p w14:paraId="665BB580">
      <w:pPr>
        <w:rPr>
          <w:rFonts w:hint="eastAsia" w:ascii="宋体" w:hAnsi="宋体" w:cs="宋体"/>
          <w:b/>
          <w:color w:val="000000"/>
          <w:sz w:val="22"/>
          <w:szCs w:val="22"/>
          <w:lang w:val="zh-CN"/>
        </w:rPr>
      </w:pPr>
    </w:p>
    <w:p w14:paraId="49DC7CC0">
      <w:pPr>
        <w:widowControl/>
        <w:jc w:val="left"/>
        <w:rPr>
          <w:rFonts w:hint="eastAsia" w:ascii="宋体" w:hAnsi="宋体" w:cs="宋体"/>
          <w:b/>
          <w:sz w:val="22"/>
          <w:szCs w:val="22"/>
          <w:lang w:bidi="ar"/>
        </w:rPr>
      </w:pPr>
    </w:p>
    <w:p w14:paraId="069E2E50">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w:t>
      </w:r>
      <w:r>
        <w:rPr>
          <w:rFonts w:hint="eastAsia" w:ascii="宋体" w:hAnsi="宋体" w:eastAsia="宋体" w:cs="宋体"/>
          <w:color w:val="000000"/>
          <w:sz w:val="22"/>
          <w:szCs w:val="22"/>
          <w:lang w:val="zh-CN"/>
        </w:rPr>
        <w:t>加盖电子公章</w:t>
      </w:r>
      <w:r>
        <w:rPr>
          <w:rFonts w:hint="eastAsia" w:ascii="宋体" w:hAnsi="宋体" w:cs="宋体"/>
          <w:color w:val="000000"/>
          <w:sz w:val="22"/>
          <w:szCs w:val="22"/>
          <w:lang w:val="zh-CN"/>
        </w:rPr>
        <w:t>）</w:t>
      </w:r>
      <w:r>
        <w:rPr>
          <w:rFonts w:hint="eastAsia" w:ascii="宋体" w:hAnsi="宋体" w:cs="宋体"/>
          <w:sz w:val="22"/>
          <w:szCs w:val="22"/>
          <w:lang w:val="zh-CN"/>
        </w:rPr>
        <w:t xml:space="preserve">                 </w:t>
      </w:r>
    </w:p>
    <w:p w14:paraId="2E3B3DA3">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51E9460F">
      <w:pPr>
        <w:widowControl/>
        <w:spacing w:line="360" w:lineRule="auto"/>
        <w:jc w:val="left"/>
        <w:rPr>
          <w:rFonts w:hint="eastAsia" w:ascii="宋体" w:hAnsi="宋体" w:cs="宋体"/>
          <w:sz w:val="22"/>
          <w:szCs w:val="22"/>
        </w:rPr>
      </w:pPr>
      <w:r>
        <w:rPr>
          <w:rFonts w:hint="eastAsia" w:ascii="宋体" w:hAnsi="宋体" w:cs="宋体"/>
          <w:sz w:val="22"/>
          <w:szCs w:val="22"/>
        </w:rPr>
        <w:t>说明：</w:t>
      </w:r>
    </w:p>
    <w:p w14:paraId="030563C8">
      <w:pPr>
        <w:widowControl/>
        <w:numPr>
          <w:ilvl w:val="0"/>
          <w:numId w:val="6"/>
        </w:numPr>
        <w:spacing w:line="360" w:lineRule="auto"/>
        <w:ind w:firstLine="420"/>
        <w:jc w:val="left"/>
        <w:rPr>
          <w:rFonts w:hint="eastAsia" w:ascii="宋体" w:hAnsi="宋体" w:cs="宋体"/>
          <w:sz w:val="22"/>
          <w:szCs w:val="22"/>
        </w:rPr>
      </w:pPr>
      <w:r>
        <w:rPr>
          <w:rFonts w:hint="eastAsia" w:ascii="宋体" w:hAnsi="宋体" w:cs="宋体"/>
          <w:sz w:val="22"/>
          <w:szCs w:val="22"/>
        </w:rPr>
        <w:t>本项目仅接受一个价格，不得填报有选择性报价方案。若有优惠条款须注明，但不得影响报价，影响产品整体功能。</w:t>
      </w:r>
    </w:p>
    <w:p w14:paraId="4A5CACCA">
      <w:pPr>
        <w:widowControl/>
        <w:spacing w:line="360" w:lineRule="auto"/>
        <w:ind w:firstLine="420"/>
        <w:jc w:val="left"/>
        <w:rPr>
          <w:rFonts w:hint="eastAsia" w:ascii="宋体" w:hAnsi="宋体" w:cs="宋体"/>
          <w:b/>
          <w:color w:val="000000"/>
          <w:szCs w:val="21"/>
          <w:lang w:val="zh-CN"/>
        </w:rPr>
      </w:pPr>
    </w:p>
    <w:p w14:paraId="66ED190F">
      <w:pPr>
        <w:pStyle w:val="42"/>
        <w:ind w:firstLine="422"/>
        <w:rPr>
          <w:rFonts w:hint="eastAsia" w:ascii="宋体" w:hAnsi="宋体" w:eastAsia="宋体"/>
          <w:b/>
          <w:color w:val="000000"/>
          <w:sz w:val="21"/>
          <w:szCs w:val="21"/>
        </w:rPr>
      </w:pPr>
    </w:p>
    <w:p w14:paraId="1E10E242">
      <w:pPr>
        <w:pStyle w:val="42"/>
        <w:ind w:firstLine="422"/>
        <w:rPr>
          <w:rFonts w:hint="eastAsia" w:ascii="宋体" w:hAnsi="宋体" w:eastAsia="宋体"/>
          <w:b/>
          <w:color w:val="000000"/>
          <w:sz w:val="21"/>
          <w:szCs w:val="21"/>
          <w:highlight w:val="yellow"/>
        </w:rPr>
      </w:pPr>
    </w:p>
    <w:p w14:paraId="7815F593">
      <w:pPr>
        <w:widowControl/>
        <w:spacing w:line="360" w:lineRule="auto"/>
        <w:jc w:val="left"/>
        <w:rPr>
          <w:rFonts w:hint="eastAsia" w:ascii="宋体" w:hAnsi="宋体" w:cs="宋体"/>
          <w:b/>
          <w:color w:val="000000"/>
          <w:szCs w:val="21"/>
          <w:lang w:val="zh-CN"/>
        </w:rPr>
      </w:pPr>
    </w:p>
    <w:p w14:paraId="7CB129FE">
      <w:pPr>
        <w:widowControl/>
        <w:spacing w:line="360" w:lineRule="auto"/>
        <w:jc w:val="left"/>
        <w:rPr>
          <w:rFonts w:hint="eastAsia" w:ascii="宋体" w:hAnsi="宋体" w:cs="宋体"/>
          <w:b/>
          <w:color w:val="000000"/>
          <w:szCs w:val="21"/>
          <w:lang w:val="zh-CN"/>
        </w:rPr>
      </w:pPr>
    </w:p>
    <w:p w14:paraId="2A135E98">
      <w:pPr>
        <w:widowControl/>
        <w:spacing w:line="360" w:lineRule="auto"/>
        <w:jc w:val="left"/>
        <w:rPr>
          <w:rFonts w:hint="eastAsia" w:ascii="宋体" w:hAnsi="宋体" w:cs="宋体"/>
          <w:b/>
          <w:color w:val="000000"/>
          <w:szCs w:val="21"/>
          <w:lang w:val="zh-CN"/>
        </w:rPr>
      </w:pPr>
    </w:p>
    <w:p w14:paraId="6E91827B">
      <w:pPr>
        <w:widowControl/>
        <w:spacing w:line="360" w:lineRule="auto"/>
        <w:jc w:val="left"/>
        <w:rPr>
          <w:rFonts w:hint="eastAsia" w:ascii="宋体" w:hAnsi="宋体" w:cs="宋体"/>
          <w:b/>
          <w:color w:val="000000"/>
          <w:szCs w:val="21"/>
          <w:lang w:val="zh-CN"/>
        </w:rPr>
      </w:pPr>
    </w:p>
    <w:p w14:paraId="39EE341F">
      <w:pPr>
        <w:widowControl/>
        <w:spacing w:line="360" w:lineRule="auto"/>
        <w:jc w:val="left"/>
        <w:rPr>
          <w:rFonts w:hint="eastAsia" w:ascii="宋体" w:hAnsi="宋体" w:cs="宋体"/>
          <w:b/>
          <w:color w:val="000000"/>
          <w:szCs w:val="21"/>
          <w:lang w:val="zh-CN"/>
        </w:rPr>
      </w:pPr>
    </w:p>
    <w:p w14:paraId="07683611">
      <w:pPr>
        <w:widowControl/>
        <w:spacing w:line="360" w:lineRule="auto"/>
        <w:jc w:val="left"/>
        <w:rPr>
          <w:rFonts w:hint="eastAsia" w:ascii="宋体" w:hAnsi="宋体" w:cs="宋体"/>
          <w:b/>
          <w:color w:val="000000"/>
          <w:szCs w:val="21"/>
          <w:lang w:val="zh-CN"/>
        </w:rPr>
      </w:pPr>
    </w:p>
    <w:p w14:paraId="7C72B7BB">
      <w:pPr>
        <w:widowControl/>
        <w:spacing w:line="360" w:lineRule="auto"/>
        <w:jc w:val="left"/>
        <w:rPr>
          <w:rFonts w:hint="eastAsia" w:ascii="宋体" w:hAnsi="宋体" w:cs="宋体"/>
          <w:b/>
          <w:color w:val="000000"/>
          <w:szCs w:val="21"/>
          <w:lang w:val="zh-CN"/>
        </w:rPr>
      </w:pPr>
    </w:p>
    <w:p w14:paraId="4575B760">
      <w:pPr>
        <w:widowControl/>
        <w:spacing w:line="360" w:lineRule="auto"/>
        <w:jc w:val="left"/>
        <w:rPr>
          <w:rFonts w:hint="eastAsia" w:ascii="宋体" w:hAnsi="宋体" w:cs="宋体"/>
          <w:b/>
          <w:color w:val="000000"/>
          <w:szCs w:val="21"/>
          <w:lang w:val="zh-CN"/>
        </w:rPr>
        <w:sectPr>
          <w:headerReference r:id="rId6" w:type="default"/>
          <w:footerReference r:id="rId7" w:type="default"/>
          <w:endnotePr>
            <w:numFmt w:val="decimal"/>
          </w:endnotePr>
          <w:pgSz w:w="12240" w:h="15840"/>
          <w:pgMar w:top="1440" w:right="1134" w:bottom="1440" w:left="1134" w:header="720" w:footer="720" w:gutter="0"/>
          <w:cols w:space="1701" w:num="1"/>
          <w:docGrid w:linePitch="360" w:charSpace="0"/>
        </w:sectPr>
      </w:pPr>
    </w:p>
    <w:p w14:paraId="208925FE">
      <w:pPr>
        <w:keepNext w:val="0"/>
        <w:keepLines w:val="0"/>
        <w:pageBreakBefore w:val="0"/>
        <w:widowControl/>
        <w:spacing w:after="0" w:line="360" w:lineRule="auto"/>
        <w:ind w:firstLine="0"/>
        <w:jc w:val="both"/>
        <w:outlineLvl w:val="1"/>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t>目录四、分项报价表格式</w:t>
      </w:r>
    </w:p>
    <w:tbl>
      <w:tblPr>
        <w:tblStyle w:val="35"/>
        <w:tblW w:w="9946"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9"/>
        <w:gridCol w:w="1049"/>
        <w:gridCol w:w="1716"/>
        <w:gridCol w:w="1565"/>
        <w:gridCol w:w="1671"/>
        <w:gridCol w:w="1465"/>
        <w:gridCol w:w="2011"/>
      </w:tblGrid>
      <w:tr w14:paraId="38BDAB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7" w:hRule="atLeast"/>
        </w:trPr>
        <w:tc>
          <w:tcPr>
            <w:tcW w:w="9946" w:type="dxa"/>
            <w:gridSpan w:val="7"/>
            <w:tcBorders>
              <w:top w:val="nil"/>
              <w:left w:val="nil"/>
              <w:bottom w:val="nil"/>
              <w:right w:val="nil"/>
            </w:tcBorders>
            <w:shd w:val="clear" w:color="auto" w:fill="auto"/>
            <w:noWrap/>
            <w:vAlign w:val="center"/>
          </w:tcPr>
          <w:p w14:paraId="699FD859">
            <w:pPr>
              <w:keepNext w:val="0"/>
              <w:keepLines w:val="0"/>
              <w:widowControl/>
              <w:suppressLineNumbers w:val="0"/>
              <w:jc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sz w:val="24"/>
                <w:szCs w:val="24"/>
                <w:u w:val="none"/>
                <w:lang w:val="en-US" w:eastAsia="zh-CN" w:bidi="ar"/>
              </w:rPr>
              <w:t>投标报价汇总表</w:t>
            </w:r>
          </w:p>
        </w:tc>
      </w:tr>
      <w:tr w14:paraId="1AD695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8" w:hRule="atLeast"/>
        </w:trPr>
        <w:tc>
          <w:tcPr>
            <w:tcW w:w="4799" w:type="dxa"/>
            <w:gridSpan w:val="4"/>
            <w:tcBorders>
              <w:top w:val="nil"/>
              <w:left w:val="nil"/>
              <w:bottom w:val="nil"/>
              <w:right w:val="nil"/>
            </w:tcBorders>
            <w:shd w:val="clear" w:color="auto" w:fill="auto"/>
            <w:noWrap/>
            <w:vAlign w:val="center"/>
          </w:tcPr>
          <w:p w14:paraId="3423E6AC">
            <w:pPr>
              <w:keepNext w:val="0"/>
              <w:keepLines w:val="0"/>
              <w:widowControl/>
              <w:suppressLineNumbers w:val="0"/>
              <w:jc w:val="left"/>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2026年江宁区林荫大道示范管护带养护服务</w:t>
            </w:r>
          </w:p>
        </w:tc>
        <w:tc>
          <w:tcPr>
            <w:tcW w:w="1671" w:type="dxa"/>
            <w:tcBorders>
              <w:top w:val="nil"/>
              <w:left w:val="nil"/>
              <w:bottom w:val="nil"/>
              <w:right w:val="nil"/>
            </w:tcBorders>
            <w:shd w:val="clear" w:color="auto" w:fill="auto"/>
            <w:noWrap/>
            <w:vAlign w:val="center"/>
          </w:tcPr>
          <w:p w14:paraId="7506CD17">
            <w:pPr>
              <w:rPr>
                <w:rFonts w:hint="eastAsia" w:ascii="宋体" w:hAnsi="宋体" w:eastAsia="宋体" w:cs="宋体"/>
                <w:i w:val="0"/>
                <w:iCs w:val="0"/>
                <w:color w:val="000000"/>
                <w:sz w:val="24"/>
                <w:szCs w:val="24"/>
                <w:u w:val="none"/>
              </w:rPr>
            </w:pPr>
          </w:p>
        </w:tc>
        <w:tc>
          <w:tcPr>
            <w:tcW w:w="3476" w:type="dxa"/>
            <w:gridSpan w:val="2"/>
            <w:tcBorders>
              <w:top w:val="nil"/>
              <w:left w:val="nil"/>
              <w:bottom w:val="nil"/>
              <w:right w:val="nil"/>
            </w:tcBorders>
            <w:shd w:val="clear" w:color="auto" w:fill="auto"/>
            <w:noWrap/>
            <w:vAlign w:val="center"/>
          </w:tcPr>
          <w:p w14:paraId="3C16301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货币单位：人民币元</w:t>
            </w:r>
          </w:p>
        </w:tc>
      </w:tr>
      <w:tr w14:paraId="0B5C2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97DE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序  号</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68168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章  次</w:t>
            </w:r>
          </w:p>
        </w:tc>
        <w:tc>
          <w:tcPr>
            <w:tcW w:w="3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ABDE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科  目  名  称</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22E9EC5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金额(元)</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E6DF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9CFE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r>
      <w:tr w14:paraId="167F77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DE30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E676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AFE9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总则</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45778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4F57F0AA">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45988">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E791B">
            <w:pPr>
              <w:jc w:val="center"/>
              <w:rPr>
                <w:rFonts w:hint="eastAsia" w:ascii="宋体" w:hAnsi="宋体" w:eastAsia="宋体" w:cs="宋体"/>
                <w:i w:val="0"/>
                <w:iCs w:val="0"/>
                <w:color w:val="000000"/>
                <w:sz w:val="24"/>
                <w:szCs w:val="24"/>
                <w:u w:val="none"/>
              </w:rPr>
            </w:pPr>
          </w:p>
        </w:tc>
      </w:tr>
      <w:tr w14:paraId="3425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B988C">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551D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E45B9B">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B2C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6CC23766">
            <w:pPr>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119D4B">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A1D10">
            <w:pPr>
              <w:jc w:val="center"/>
              <w:rPr>
                <w:rFonts w:hint="eastAsia" w:ascii="宋体" w:hAnsi="宋体" w:eastAsia="宋体" w:cs="宋体"/>
                <w:i w:val="0"/>
                <w:iCs w:val="0"/>
                <w:color w:val="000000"/>
                <w:sz w:val="24"/>
                <w:szCs w:val="24"/>
                <w:u w:val="none"/>
              </w:rPr>
            </w:pPr>
          </w:p>
        </w:tc>
      </w:tr>
      <w:tr w14:paraId="46F2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9283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82054">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4A9F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路基</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0D2AC">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2C6D839D">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FFC243">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00DC54">
            <w:pPr>
              <w:jc w:val="center"/>
              <w:rPr>
                <w:rFonts w:hint="eastAsia" w:ascii="宋体" w:hAnsi="宋体" w:eastAsia="宋体" w:cs="宋体"/>
                <w:i w:val="0"/>
                <w:iCs w:val="0"/>
                <w:color w:val="000000"/>
                <w:sz w:val="24"/>
                <w:szCs w:val="24"/>
                <w:u w:val="none"/>
              </w:rPr>
            </w:pPr>
          </w:p>
        </w:tc>
      </w:tr>
      <w:tr w14:paraId="71817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C241F">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D26BC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200-2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69007">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42E8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0440FD25">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8551DB">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84E73C">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5A4525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45CC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905A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5805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路面</w:t>
            </w: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B026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535CA1B7">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24BF0">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754034">
            <w:pPr>
              <w:jc w:val="center"/>
              <w:rPr>
                <w:rFonts w:hint="eastAsia" w:ascii="宋体" w:hAnsi="宋体" w:eastAsia="宋体" w:cs="宋体"/>
                <w:i w:val="0"/>
                <w:iCs w:val="0"/>
                <w:color w:val="000000"/>
                <w:sz w:val="24"/>
                <w:szCs w:val="24"/>
                <w:u w:val="none"/>
              </w:rPr>
            </w:pPr>
          </w:p>
        </w:tc>
      </w:tr>
      <w:tr w14:paraId="64409E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07AE15">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513ADF">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300-2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96C61">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4196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nil"/>
            </w:tcBorders>
            <w:shd w:val="clear" w:color="auto" w:fill="auto"/>
            <w:noWrap/>
            <w:vAlign w:val="center"/>
          </w:tcPr>
          <w:p w14:paraId="6BA8D85B">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F620C">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EF98F0">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372A61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3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D60C0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DA01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9915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桥梁、涵洞</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757666D">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85A8FC">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33764">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C7CB1">
            <w:pPr>
              <w:jc w:val="center"/>
              <w:rPr>
                <w:rFonts w:hint="eastAsia" w:ascii="宋体" w:hAnsi="宋体" w:eastAsia="宋体" w:cs="宋体"/>
                <w:i w:val="0"/>
                <w:iCs w:val="0"/>
                <w:color w:val="000000"/>
                <w:sz w:val="24"/>
                <w:szCs w:val="24"/>
                <w:u w:val="none"/>
              </w:rPr>
            </w:pPr>
          </w:p>
        </w:tc>
      </w:tr>
      <w:tr w14:paraId="65C6CE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A36FC">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86C5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400-2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04506B">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504F924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F6317">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E9994">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982C1D">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677F13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4294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w:t>
            </w:r>
          </w:p>
        </w:tc>
        <w:tc>
          <w:tcPr>
            <w:tcW w:w="1049" w:type="dxa"/>
            <w:tcBorders>
              <w:top w:val="single" w:color="000000" w:sz="4" w:space="0"/>
              <w:left w:val="single" w:color="000000" w:sz="4" w:space="0"/>
              <w:bottom w:val="nil"/>
              <w:right w:val="single" w:color="000000" w:sz="4" w:space="0"/>
            </w:tcBorders>
            <w:shd w:val="clear" w:color="auto" w:fill="auto"/>
            <w:noWrap/>
            <w:vAlign w:val="center"/>
          </w:tcPr>
          <w:p w14:paraId="71CF0E3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898FD6">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安全设施及预埋管线</w:t>
            </w:r>
          </w:p>
        </w:tc>
        <w:tc>
          <w:tcPr>
            <w:tcW w:w="1565" w:type="dxa"/>
            <w:vMerge w:val="restart"/>
            <w:tcBorders>
              <w:top w:val="single" w:color="000000" w:sz="4" w:space="0"/>
              <w:left w:val="single" w:color="000000" w:sz="4" w:space="0"/>
              <w:bottom w:val="single" w:color="000000" w:sz="4" w:space="0"/>
              <w:right w:val="nil"/>
            </w:tcBorders>
            <w:shd w:val="clear" w:color="auto" w:fill="auto"/>
            <w:noWrap/>
            <w:vAlign w:val="center"/>
          </w:tcPr>
          <w:p w14:paraId="2586A18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514CA2">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6BEDDD">
            <w:pPr>
              <w:jc w:val="center"/>
              <w:rPr>
                <w:rFonts w:hint="eastAsia" w:ascii="宋体" w:hAnsi="宋体" w:eastAsia="宋体" w:cs="宋体"/>
                <w:i w:val="0"/>
                <w:iCs w:val="0"/>
                <w:color w:val="000000"/>
                <w:sz w:val="24"/>
                <w:szCs w:val="24"/>
                <w:u w:val="none"/>
              </w:rPr>
            </w:pPr>
          </w:p>
        </w:tc>
        <w:tc>
          <w:tcPr>
            <w:tcW w:w="2011"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5B8A">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28405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7"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D6C7B6">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nil"/>
              <w:right w:val="single" w:color="000000" w:sz="4" w:space="0"/>
            </w:tcBorders>
            <w:shd w:val="clear" w:color="auto" w:fill="auto"/>
            <w:noWrap/>
            <w:vAlign w:val="center"/>
          </w:tcPr>
          <w:p w14:paraId="2436295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500-2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86233">
            <w:pPr>
              <w:jc w:val="center"/>
              <w:rPr>
                <w:rFonts w:hint="eastAsia" w:ascii="宋体" w:hAnsi="宋体" w:eastAsia="宋体" w:cs="宋体"/>
                <w:i w:val="0"/>
                <w:iCs w:val="0"/>
                <w:color w:val="000000"/>
                <w:sz w:val="24"/>
                <w:szCs w:val="24"/>
                <w:u w:val="none"/>
              </w:rPr>
            </w:pPr>
          </w:p>
        </w:tc>
        <w:tc>
          <w:tcPr>
            <w:tcW w:w="1565" w:type="dxa"/>
            <w:vMerge w:val="continue"/>
            <w:tcBorders>
              <w:top w:val="single" w:color="000000" w:sz="4" w:space="0"/>
              <w:left w:val="single" w:color="000000" w:sz="4" w:space="0"/>
              <w:bottom w:val="single" w:color="000000" w:sz="4" w:space="0"/>
              <w:right w:val="nil"/>
            </w:tcBorders>
            <w:shd w:val="clear" w:color="auto" w:fill="auto"/>
            <w:noWrap/>
            <w:vAlign w:val="center"/>
          </w:tcPr>
          <w:p w14:paraId="430BFC20">
            <w:pPr>
              <w:jc w:val="center"/>
              <w:rPr>
                <w:rFonts w:hint="eastAsia" w:ascii="宋体" w:hAnsi="宋体" w:eastAsia="宋体" w:cs="宋体"/>
                <w:i w:val="0"/>
                <w:iCs w:val="0"/>
                <w:color w:val="000000"/>
                <w:sz w:val="24"/>
                <w:szCs w:val="24"/>
                <w:u w:val="none"/>
              </w:rPr>
            </w:pPr>
          </w:p>
        </w:tc>
        <w:tc>
          <w:tcPr>
            <w:tcW w:w="167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7AD1C">
            <w:pPr>
              <w:jc w:val="center"/>
              <w:rPr>
                <w:rFonts w:hint="eastAsia" w:ascii="宋体" w:hAnsi="宋体" w:eastAsia="宋体" w:cs="宋体"/>
                <w:i w:val="0"/>
                <w:iCs w:val="0"/>
                <w:color w:val="000000"/>
                <w:sz w:val="24"/>
                <w:szCs w:val="24"/>
                <w:u w:val="none"/>
              </w:rPr>
            </w:pPr>
          </w:p>
        </w:tc>
        <w:tc>
          <w:tcPr>
            <w:tcW w:w="146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063FC">
            <w:pPr>
              <w:jc w:val="center"/>
              <w:rPr>
                <w:rFonts w:hint="eastAsia" w:ascii="宋体" w:hAnsi="宋体" w:eastAsia="宋体" w:cs="宋体"/>
                <w:i w:val="0"/>
                <w:iCs w:val="0"/>
                <w:color w:val="000000"/>
                <w:sz w:val="24"/>
                <w:szCs w:val="24"/>
                <w:u w:val="none"/>
              </w:rPr>
            </w:pPr>
          </w:p>
        </w:tc>
        <w:tc>
          <w:tcPr>
            <w:tcW w:w="2011"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88BD">
            <w:pPr>
              <w:jc w:val="center"/>
              <w:rPr>
                <w:rFonts w:hint="eastAsia" w:ascii="宋体" w:hAnsi="宋体" w:eastAsia="宋体" w:cs="宋体"/>
                <w:i w:val="0"/>
                <w:iCs w:val="0"/>
                <w:color w:val="000000"/>
                <w:sz w:val="24"/>
                <w:szCs w:val="24"/>
                <w:u w:val="none"/>
              </w:rPr>
            </w:pPr>
          </w:p>
        </w:tc>
      </w:tr>
      <w:tr w14:paraId="08561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4" w:hRule="atLeast"/>
        </w:trPr>
        <w:tc>
          <w:tcPr>
            <w:tcW w:w="46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DC3F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346A9">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600-1</w:t>
            </w:r>
          </w:p>
        </w:tc>
        <w:tc>
          <w:tcPr>
            <w:tcW w:w="1716"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DA17A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绿化及环境保护设施</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CA21D6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基价类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CA4FDB">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444F20">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1FF7AC">
            <w:pPr>
              <w:jc w:val="center"/>
              <w:rPr>
                <w:rFonts w:hint="eastAsia" w:ascii="宋体" w:hAnsi="宋体" w:eastAsia="宋体" w:cs="宋体"/>
                <w:i w:val="0"/>
                <w:iCs w:val="0"/>
                <w:color w:val="000000"/>
                <w:sz w:val="24"/>
                <w:szCs w:val="24"/>
                <w:u w:val="none"/>
              </w:rPr>
            </w:pPr>
          </w:p>
        </w:tc>
      </w:tr>
      <w:tr w14:paraId="13153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47" w:hRule="atLeast"/>
        </w:trPr>
        <w:tc>
          <w:tcPr>
            <w:tcW w:w="46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B38A0C">
            <w:pPr>
              <w:jc w:val="center"/>
              <w:rPr>
                <w:rFonts w:hint="eastAsia" w:ascii="宋体" w:hAnsi="宋体" w:eastAsia="宋体" w:cs="宋体"/>
                <w:i w:val="0"/>
                <w:iCs w:val="0"/>
                <w:color w:val="000000"/>
                <w:sz w:val="24"/>
                <w:szCs w:val="24"/>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E05EE">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600-2</w:t>
            </w:r>
          </w:p>
        </w:tc>
        <w:tc>
          <w:tcPr>
            <w:tcW w:w="1716"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C5E995">
            <w:pPr>
              <w:jc w:val="center"/>
              <w:rPr>
                <w:rFonts w:hint="eastAsia" w:ascii="宋体" w:hAnsi="宋体" w:eastAsia="宋体" w:cs="宋体"/>
                <w:i w:val="0"/>
                <w:iCs w:val="0"/>
                <w:color w:val="000000"/>
                <w:sz w:val="24"/>
                <w:szCs w:val="24"/>
                <w:u w:val="none"/>
              </w:rPr>
            </w:pP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02D3F15">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单价类</w:t>
            </w: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B5B473">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3699CC">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A1C85">
            <w:pPr>
              <w:keepNext w:val="0"/>
              <w:keepLines w:val="0"/>
              <w:widowControl/>
              <w:suppressLineNumbers w:val="0"/>
              <w:jc w:val="center"/>
              <w:rPr>
                <w:rFonts w:hint="eastAsia" w:ascii="宋体" w:hAnsi="宋体" w:eastAsia="宋体" w:cs="宋体"/>
                <w:i w:val="0"/>
                <w:iCs w:val="0"/>
                <w:color w:val="000000"/>
                <w:sz w:val="24"/>
                <w:szCs w:val="24"/>
                <w:u w:val="none"/>
              </w:rPr>
            </w:pPr>
          </w:p>
        </w:tc>
      </w:tr>
      <w:tr w14:paraId="0C1FD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174D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7</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25711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第100章至600章清单合计</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96E4D13">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A2E1B">
            <w:pPr>
              <w:keepNext w:val="0"/>
              <w:keepLines w:val="0"/>
              <w:widowControl/>
              <w:suppressLineNumbers w:val="0"/>
              <w:jc w:val="center"/>
              <w:rPr>
                <w:rFonts w:hint="eastAsia" w:ascii="宋体" w:hAnsi="宋体" w:eastAsia="宋体" w:cs="宋体"/>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4263AE">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66E24A">
            <w:pPr>
              <w:jc w:val="center"/>
              <w:rPr>
                <w:rFonts w:hint="eastAsia" w:ascii="宋体" w:hAnsi="宋体" w:eastAsia="宋体" w:cs="宋体"/>
                <w:i w:val="0"/>
                <w:iCs w:val="0"/>
                <w:color w:val="000000"/>
                <w:sz w:val="24"/>
                <w:szCs w:val="24"/>
                <w:u w:val="none"/>
              </w:rPr>
            </w:pPr>
          </w:p>
        </w:tc>
      </w:tr>
      <w:tr w14:paraId="3C38ED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B25F7">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8</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02BB4B">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安全生产费[最高投标限价的1.5%]</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24DC68F0">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9D40A2">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60000 </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1358A">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275328">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60000</w:t>
            </w:r>
          </w:p>
        </w:tc>
      </w:tr>
      <w:tr w14:paraId="1C9D5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91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4C547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9</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2BA3F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暂列金额(不含计日工总额)</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04AD050D">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B47ACA">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 xml:space="preserve">100000 </w:t>
            </w: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FD070">
            <w:pPr>
              <w:jc w:val="center"/>
              <w:rPr>
                <w:rFonts w:hint="eastAsia" w:ascii="宋体" w:hAnsi="宋体" w:eastAsia="宋体" w:cs="宋体"/>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A8B8B0">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100000</w:t>
            </w:r>
          </w:p>
        </w:tc>
      </w:tr>
      <w:tr w14:paraId="35B27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3" w:hRule="atLeast"/>
        </w:trPr>
        <w:tc>
          <w:tcPr>
            <w:tcW w:w="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2E371">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10</w:t>
            </w:r>
          </w:p>
        </w:tc>
        <w:tc>
          <w:tcPr>
            <w:tcW w:w="276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7E3A3">
            <w:pPr>
              <w:keepNext w:val="0"/>
              <w:keepLines w:val="0"/>
              <w:widowControl/>
              <w:suppressLineNumbers w:val="0"/>
              <w:jc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val="en-US" w:eastAsia="zh-CN" w:bidi="ar"/>
              </w:rPr>
              <w:t>投标报价(8+11+12)=13</w:t>
            </w:r>
          </w:p>
        </w:tc>
        <w:tc>
          <w:tcPr>
            <w:tcW w:w="1565" w:type="dxa"/>
            <w:tcBorders>
              <w:top w:val="single" w:color="000000" w:sz="4" w:space="0"/>
              <w:left w:val="single" w:color="000000" w:sz="4" w:space="0"/>
              <w:bottom w:val="single" w:color="000000" w:sz="4" w:space="0"/>
              <w:right w:val="nil"/>
            </w:tcBorders>
            <w:shd w:val="clear" w:color="auto" w:fill="auto"/>
            <w:noWrap/>
            <w:vAlign w:val="center"/>
          </w:tcPr>
          <w:p w14:paraId="00242A76">
            <w:pPr>
              <w:jc w:val="center"/>
              <w:rPr>
                <w:rFonts w:hint="eastAsia" w:ascii="宋体" w:hAnsi="宋体" w:eastAsia="宋体" w:cs="宋体"/>
                <w:i w:val="0"/>
                <w:iCs w:val="0"/>
                <w:color w:val="000000"/>
                <w:sz w:val="24"/>
                <w:szCs w:val="24"/>
                <w:u w:val="none"/>
              </w:rPr>
            </w:pPr>
          </w:p>
        </w:tc>
        <w:tc>
          <w:tcPr>
            <w:tcW w:w="167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5A05E">
            <w:pPr>
              <w:keepNext w:val="0"/>
              <w:keepLines w:val="0"/>
              <w:widowControl/>
              <w:suppressLineNumbers w:val="0"/>
              <w:jc w:val="center"/>
              <w:rPr>
                <w:rFonts w:hint="eastAsia" w:ascii="宋体" w:hAnsi="宋体" w:eastAsia="宋体" w:cs="宋体"/>
                <w:b/>
                <w:bCs/>
                <w:i w:val="0"/>
                <w:iCs w:val="0"/>
                <w:color w:val="000000"/>
                <w:sz w:val="24"/>
                <w:szCs w:val="24"/>
                <w:u w:val="none"/>
              </w:rPr>
            </w:pPr>
          </w:p>
        </w:tc>
        <w:tc>
          <w:tcPr>
            <w:tcW w:w="146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9F83">
            <w:pPr>
              <w:keepNext w:val="0"/>
              <w:keepLines w:val="0"/>
              <w:widowControl/>
              <w:suppressLineNumbers w:val="0"/>
              <w:jc w:val="center"/>
              <w:rPr>
                <w:rFonts w:hint="eastAsia" w:ascii="宋体" w:hAnsi="宋体" w:eastAsia="宋体" w:cs="宋体"/>
                <w:b/>
                <w:bCs/>
                <w:i w:val="0"/>
                <w:iCs w:val="0"/>
                <w:color w:val="000000"/>
                <w:sz w:val="24"/>
                <w:szCs w:val="24"/>
                <w:u w:val="none"/>
              </w:rPr>
            </w:pPr>
          </w:p>
        </w:tc>
        <w:tc>
          <w:tcPr>
            <w:tcW w:w="20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19CC0">
            <w:pPr>
              <w:keepNext w:val="0"/>
              <w:keepLines w:val="0"/>
              <w:widowControl/>
              <w:suppressLineNumbers w:val="0"/>
              <w:jc w:val="center"/>
              <w:rPr>
                <w:rFonts w:hint="eastAsia" w:ascii="宋体" w:hAnsi="宋体" w:eastAsia="宋体" w:cs="宋体"/>
                <w:b/>
                <w:bCs/>
                <w:i w:val="0"/>
                <w:iCs w:val="0"/>
                <w:color w:val="000000"/>
                <w:sz w:val="24"/>
                <w:szCs w:val="24"/>
                <w:u w:val="none"/>
              </w:rPr>
            </w:pPr>
          </w:p>
        </w:tc>
      </w:tr>
    </w:tbl>
    <w:p w14:paraId="78F3A94A">
      <w:pPr>
        <w:rPr>
          <w:rFonts w:hint="default" w:ascii="Calibri" w:hAnsi="Calibri"/>
        </w:rPr>
      </w:pPr>
      <w:r>
        <w:rPr>
          <w:rFonts w:hint="default" w:ascii="Calibri" w:hAnsi="Calibri"/>
        </w:rPr>
        <w:br w:type="page" w:clear="all"/>
      </w:r>
    </w:p>
    <w:tbl>
      <w:tblPr>
        <w:tblStyle w:val="35"/>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1"/>
        <w:gridCol w:w="3999"/>
        <w:gridCol w:w="1041"/>
        <w:gridCol w:w="1049"/>
        <w:gridCol w:w="1240"/>
        <w:gridCol w:w="1250"/>
      </w:tblGrid>
      <w:tr w14:paraId="789C8C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68" w:hRule="atLeast"/>
        </w:trPr>
        <w:tc>
          <w:tcPr>
            <w:tcW w:w="9620" w:type="dxa"/>
            <w:gridSpan w:val="6"/>
            <w:tcBorders>
              <w:top w:val="nil"/>
              <w:left w:val="nil"/>
              <w:bottom w:val="nil"/>
              <w:right w:val="nil"/>
            </w:tcBorders>
            <w:shd w:val="clear" w:color="auto" w:fill="auto"/>
            <w:noWrap/>
            <w:vAlign w:val="center"/>
          </w:tcPr>
          <w:p w14:paraId="51FA1894">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第100章  工作量清单表</w:t>
            </w:r>
          </w:p>
        </w:tc>
      </w:tr>
      <w:tr w14:paraId="2BB703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9" w:hRule="atLeast"/>
        </w:trPr>
        <w:tc>
          <w:tcPr>
            <w:tcW w:w="0" w:type="auto"/>
            <w:gridSpan w:val="4"/>
            <w:tcBorders>
              <w:top w:val="nil"/>
              <w:left w:val="nil"/>
              <w:bottom w:val="nil"/>
              <w:right w:val="nil"/>
            </w:tcBorders>
            <w:shd w:val="clear" w:color="auto" w:fill="auto"/>
            <w:noWrap/>
            <w:vAlign w:val="center"/>
          </w:tcPr>
          <w:p w14:paraId="2EAD4B4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526440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货币单位：人民币元</w:t>
            </w:r>
          </w:p>
        </w:tc>
      </w:tr>
      <w:tr w14:paraId="16861F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2"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D15B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第100章</w:t>
            </w:r>
          </w:p>
        </w:tc>
      </w:tr>
      <w:tr w14:paraId="2E09A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3EA1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D1B4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A83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71C53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9B5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FB619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3504EB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B1CA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64517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保险费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225578">
            <w:pPr>
              <w:jc w:val="center"/>
              <w:rPr>
                <w:rFonts w:hint="eastAsia" w:ascii="宋体" w:hAnsi="宋体" w:eastAsia="宋体" w:cs="宋体"/>
                <w:i w:val="0"/>
                <w:iCs w:val="0"/>
                <w:color w:val="000000"/>
                <w:sz w:val="22"/>
                <w:szCs w:val="22"/>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74E137">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1C3216">
            <w:pPr>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DC8BFC">
            <w:pPr>
              <w:jc w:val="center"/>
              <w:rPr>
                <w:rFonts w:hint="eastAsia" w:ascii="宋体" w:hAnsi="宋体" w:eastAsia="宋体" w:cs="宋体"/>
                <w:i w:val="0"/>
                <w:iCs w:val="0"/>
                <w:color w:val="000000"/>
                <w:sz w:val="22"/>
                <w:szCs w:val="22"/>
                <w:u w:val="none"/>
              </w:rPr>
            </w:pPr>
          </w:p>
        </w:tc>
      </w:tr>
      <w:tr w14:paraId="56D97ED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CFA59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94B0E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建筑一切险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0E474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B4BE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6E27C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AC747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7705B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FFDA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0F083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第三者责任险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7D84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48450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9C62E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D8027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D1A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289B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15029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工伤保险费（最高投标限价的3</w:t>
            </w:r>
            <w:r>
              <w:rPr>
                <w:rFonts w:hint="eastAsia" w:ascii="宋体" w:hAnsi="宋体" w:cs="宋体"/>
                <w:color w:val="000000"/>
                <w:sz w:val="22"/>
                <w:szCs w:val="22"/>
                <w:u w:val="none"/>
                <w:lang w:val="en-US" w:eastAsia="zh-CN" w:bidi="ar"/>
              </w:rPr>
              <w:t>‰，固定值）</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A99EF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46D63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A6707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FE6231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7BA0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60D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A9FEA4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公众责任险（固定值）</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4D02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F51A9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3333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308D5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9E49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74EA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5891A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雇主责任险</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1A1D7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F5039E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ABA01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8B694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E8F5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3F734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DACD7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管理费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8B471">
            <w:pPr>
              <w:jc w:val="center"/>
              <w:rPr>
                <w:rFonts w:hint="eastAsia" w:ascii="宋体" w:hAnsi="宋体" w:eastAsia="宋体" w:cs="宋体"/>
                <w:i w:val="0"/>
                <w:iCs w:val="0"/>
                <w:color w:val="000000"/>
                <w:sz w:val="22"/>
                <w:szCs w:val="22"/>
                <w:u w:val="none"/>
              </w:rPr>
            </w:pP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921A32">
            <w:pPr>
              <w:jc w:val="center"/>
              <w:rPr>
                <w:rFonts w:hint="eastAsia" w:ascii="宋体" w:hAnsi="宋体" w:eastAsia="宋体" w:cs="宋体"/>
                <w:i w:val="0"/>
                <w:iCs w:val="0"/>
                <w:color w:val="000000"/>
                <w:sz w:val="22"/>
                <w:szCs w:val="22"/>
                <w:u w:val="none"/>
              </w:rPr>
            </w:pP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B7A28F">
            <w:pPr>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815BBE">
            <w:pPr>
              <w:jc w:val="center"/>
              <w:rPr>
                <w:rFonts w:hint="eastAsia" w:ascii="宋体" w:hAnsi="宋体" w:eastAsia="宋体" w:cs="宋体"/>
                <w:i w:val="0"/>
                <w:iCs w:val="0"/>
                <w:color w:val="000000"/>
                <w:sz w:val="22"/>
                <w:szCs w:val="22"/>
                <w:u w:val="none"/>
              </w:rPr>
            </w:pPr>
          </w:p>
        </w:tc>
      </w:tr>
      <w:tr w14:paraId="1C0F6C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1D8D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2A647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资料费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23207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E77B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F991A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67C9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110C1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E5F79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0D3E1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环保费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476D9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85594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46D4B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17073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EEE10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37" w:hRule="atLeast"/>
        </w:trPr>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DA89D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399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D9EA9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驻地建设费</w:t>
            </w:r>
          </w:p>
        </w:tc>
        <w:tc>
          <w:tcPr>
            <w:tcW w:w="104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DCAC2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总额</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BE893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914F7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25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493E6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EFA9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99"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3D48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第100 章合计   人民币（元）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6BBBCA">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248C3384">
      <w:pPr>
        <w:rPr>
          <w:rFonts w:hint="default" w:ascii="Calibri" w:hAnsi="Calibri"/>
        </w:rPr>
      </w:pPr>
      <w:r>
        <w:rPr>
          <w:rFonts w:hint="default" w:ascii="Calibri" w:hAnsi="Calibri"/>
        </w:rPr>
        <w:br w:type="page" w:clear="all"/>
      </w:r>
    </w:p>
    <w:tbl>
      <w:tblPr>
        <w:tblStyle w:val="35"/>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49"/>
        <w:gridCol w:w="4025"/>
        <w:gridCol w:w="1049"/>
        <w:gridCol w:w="1052"/>
        <w:gridCol w:w="1230"/>
        <w:gridCol w:w="1554"/>
      </w:tblGrid>
      <w:tr w14:paraId="74A0E0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6" w:hRule="atLeast"/>
        </w:trPr>
        <w:tc>
          <w:tcPr>
            <w:tcW w:w="9959" w:type="dxa"/>
            <w:gridSpan w:val="6"/>
            <w:tcBorders>
              <w:top w:val="nil"/>
              <w:left w:val="nil"/>
              <w:bottom w:val="nil"/>
              <w:right w:val="nil"/>
            </w:tcBorders>
            <w:shd w:val="clear" w:color="auto" w:fill="auto"/>
            <w:noWrap/>
            <w:vAlign w:val="center"/>
          </w:tcPr>
          <w:p w14:paraId="58C792BF">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第200章  工作量清单表</w:t>
            </w:r>
          </w:p>
        </w:tc>
      </w:tr>
      <w:tr w14:paraId="24C0AB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3" w:hRule="atLeast"/>
        </w:trPr>
        <w:tc>
          <w:tcPr>
            <w:tcW w:w="0" w:type="auto"/>
            <w:gridSpan w:val="4"/>
            <w:tcBorders>
              <w:top w:val="nil"/>
              <w:left w:val="nil"/>
              <w:bottom w:val="nil"/>
              <w:right w:val="nil"/>
            </w:tcBorders>
            <w:shd w:val="clear" w:color="auto" w:fill="auto"/>
            <w:noWrap/>
            <w:vAlign w:val="center"/>
          </w:tcPr>
          <w:p w14:paraId="2A81436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2784" w:type="dxa"/>
            <w:gridSpan w:val="2"/>
            <w:tcBorders>
              <w:top w:val="nil"/>
              <w:left w:val="nil"/>
              <w:bottom w:val="nil"/>
              <w:right w:val="nil"/>
            </w:tcBorders>
            <w:shd w:val="clear" w:color="auto" w:fill="auto"/>
            <w:noWrap/>
            <w:vAlign w:val="center"/>
          </w:tcPr>
          <w:p w14:paraId="660FC28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71F75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4E06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第200-1章  路基（基价类）</w:t>
            </w:r>
          </w:p>
        </w:tc>
      </w:tr>
      <w:tr w14:paraId="1C2EA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34104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8C4D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E1408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B6C6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0CEB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59C49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7C5FC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20428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4AEB5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清理与掘除服务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4F05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95AB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4ED53E">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D83D02">
            <w:pPr>
              <w:jc w:val="center"/>
              <w:rPr>
                <w:rFonts w:hint="eastAsia" w:ascii="宋体" w:hAnsi="宋体" w:eastAsia="宋体" w:cs="宋体"/>
                <w:i w:val="0"/>
                <w:iCs w:val="0"/>
                <w:color w:val="000000"/>
                <w:sz w:val="22"/>
                <w:szCs w:val="22"/>
                <w:u w:val="none"/>
              </w:rPr>
            </w:pPr>
          </w:p>
        </w:tc>
      </w:tr>
      <w:tr w14:paraId="095D8F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B299C8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5851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清除路肩杂物服务</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6C02B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105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C21D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23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DFDDC4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EDFB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D0DF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18CF3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85D2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人工清理道路两侧边坡杂草服务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6576E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16FA8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106A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3ECB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A9C5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77"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0AD6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9EEC6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边沟、排水沟、截水沟、盲沟清淤疏通服务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91DA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BE5D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AA12DC">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14703">
            <w:pPr>
              <w:jc w:val="center"/>
              <w:rPr>
                <w:rFonts w:hint="eastAsia" w:ascii="宋体" w:hAnsi="宋体" w:eastAsia="宋体" w:cs="宋体"/>
                <w:i w:val="0"/>
                <w:iCs w:val="0"/>
                <w:color w:val="000000"/>
                <w:sz w:val="22"/>
                <w:szCs w:val="22"/>
                <w:u w:val="none"/>
              </w:rPr>
            </w:pPr>
          </w:p>
        </w:tc>
      </w:tr>
      <w:tr w14:paraId="56E43D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77"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1C119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C350E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边沟、排水沟、截水沟清淤（无盖板）含外运服务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C25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D769F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D644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DBB58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7744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9E2F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CC326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路肩边坡整修服务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9E1F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2462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58818">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E67A72">
            <w:pPr>
              <w:jc w:val="center"/>
              <w:rPr>
                <w:rFonts w:hint="eastAsia" w:ascii="宋体" w:hAnsi="宋体" w:eastAsia="宋体" w:cs="宋体"/>
                <w:i w:val="0"/>
                <w:iCs w:val="0"/>
                <w:color w:val="000000"/>
                <w:sz w:val="22"/>
                <w:szCs w:val="22"/>
                <w:u w:val="none"/>
              </w:rPr>
            </w:pPr>
          </w:p>
        </w:tc>
      </w:tr>
      <w:tr w14:paraId="303C2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863D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B7954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平整路肩及边坡服务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4818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C41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34E3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402DA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4D17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2272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第200-1章  路基    人民币（元）</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FFF6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10028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B80FA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第200-2章  路基（单价类）</w:t>
            </w:r>
          </w:p>
        </w:tc>
      </w:tr>
      <w:tr w14:paraId="5E3875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9312D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C1EDB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AB657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02FE4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F00D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0D3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0A42FD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6E26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0B77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边沟排水沟修理筑砌服务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18323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41034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F1B92">
            <w:pPr>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05B244">
            <w:pPr>
              <w:jc w:val="center"/>
              <w:rPr>
                <w:rFonts w:hint="eastAsia" w:ascii="宋体" w:hAnsi="宋体" w:eastAsia="宋体" w:cs="宋体"/>
                <w:i w:val="0"/>
                <w:iCs w:val="0"/>
                <w:color w:val="000000"/>
                <w:sz w:val="22"/>
                <w:szCs w:val="22"/>
                <w:u w:val="none"/>
              </w:rPr>
            </w:pPr>
          </w:p>
        </w:tc>
      </w:tr>
      <w:tr w14:paraId="51583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D6353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02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0AA01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开挖土边沟、截水沟、排水沟服务</w:t>
            </w:r>
          </w:p>
        </w:tc>
        <w:tc>
          <w:tcPr>
            <w:tcW w:w="104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4EE10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r>
              <w:rPr>
                <w:rFonts w:hint="eastAsia" w:ascii="宋体" w:hAnsi="宋体" w:cs="宋体"/>
                <w:color w:val="000000"/>
                <w:sz w:val="22"/>
                <w:szCs w:val="22"/>
                <w:u w:val="none"/>
                <w:vertAlign w:val="superscript"/>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CB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DB27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E2CD5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8D79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D629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第200-2章  路基</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4631B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A5FC5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C96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第200 章合计   人民币（元）</w:t>
            </w:r>
          </w:p>
        </w:tc>
        <w:tc>
          <w:tcPr>
            <w:tcW w:w="155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38792E">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60BB2B02">
      <w:pPr>
        <w:rPr>
          <w:rFonts w:hint="default" w:ascii="Calibri" w:hAnsi="Calibri"/>
        </w:rPr>
      </w:pPr>
      <w:r>
        <w:rPr>
          <w:rFonts w:hint="default" w:ascii="Calibri" w:hAnsi="Calibri"/>
        </w:rPr>
        <w:br w:type="page" w:clear="all"/>
      </w:r>
    </w:p>
    <w:tbl>
      <w:tblPr>
        <w:tblStyle w:val="35"/>
        <w:tblW w:w="962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19"/>
        <w:gridCol w:w="4593"/>
        <w:gridCol w:w="971"/>
        <w:gridCol w:w="927"/>
        <w:gridCol w:w="1365"/>
        <w:gridCol w:w="941"/>
      </w:tblGrid>
      <w:tr w14:paraId="7B728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9" w:hRule="atLeast"/>
        </w:trPr>
        <w:tc>
          <w:tcPr>
            <w:tcW w:w="9620" w:type="dxa"/>
            <w:gridSpan w:val="6"/>
            <w:tcBorders>
              <w:top w:val="nil"/>
              <w:left w:val="nil"/>
              <w:bottom w:val="nil"/>
              <w:right w:val="nil"/>
            </w:tcBorders>
            <w:shd w:val="clear" w:color="auto" w:fill="auto"/>
            <w:noWrap/>
            <w:vAlign w:val="center"/>
          </w:tcPr>
          <w:p w14:paraId="556E97E9">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第300章  工作量清单表</w:t>
            </w:r>
          </w:p>
        </w:tc>
      </w:tr>
      <w:tr w14:paraId="5818A9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4" w:hRule="atLeast"/>
        </w:trPr>
        <w:tc>
          <w:tcPr>
            <w:tcW w:w="0" w:type="auto"/>
            <w:gridSpan w:val="4"/>
            <w:tcBorders>
              <w:top w:val="nil"/>
              <w:left w:val="nil"/>
              <w:bottom w:val="nil"/>
              <w:right w:val="nil"/>
            </w:tcBorders>
            <w:shd w:val="clear" w:color="auto" w:fill="auto"/>
            <w:noWrap/>
            <w:vAlign w:val="center"/>
          </w:tcPr>
          <w:p w14:paraId="3C2129C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59E221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35747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DA3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第300-1章  路面（基价类）</w:t>
            </w:r>
          </w:p>
        </w:tc>
      </w:tr>
      <w:tr w14:paraId="6AA53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0DC1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49FB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70D6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BAC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8A23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315F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2E40CA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6F35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C22E9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公路巡查服务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19F4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B153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26CA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025B9">
            <w:pPr>
              <w:jc w:val="center"/>
              <w:rPr>
                <w:rFonts w:hint="eastAsia" w:ascii="宋体" w:hAnsi="宋体" w:eastAsia="宋体" w:cs="宋体"/>
                <w:i w:val="0"/>
                <w:iCs w:val="0"/>
                <w:color w:val="000000"/>
                <w:sz w:val="22"/>
                <w:szCs w:val="22"/>
                <w:u w:val="none"/>
              </w:rPr>
            </w:pPr>
          </w:p>
        </w:tc>
      </w:tr>
      <w:tr w14:paraId="235A2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4EB41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6D7CB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公路巡查服务（每周全覆盖）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37A5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D0048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F7DE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46D9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3AEF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A989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CF43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路面日常保洁服务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A078C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2D58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56989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54E19D">
            <w:pPr>
              <w:jc w:val="center"/>
              <w:rPr>
                <w:rFonts w:hint="eastAsia" w:ascii="宋体" w:hAnsi="宋体" w:eastAsia="宋体" w:cs="宋体"/>
                <w:i w:val="0"/>
                <w:iCs w:val="0"/>
                <w:color w:val="000000"/>
                <w:sz w:val="22"/>
                <w:szCs w:val="22"/>
                <w:u w:val="none"/>
              </w:rPr>
            </w:pPr>
          </w:p>
        </w:tc>
      </w:tr>
      <w:tr w14:paraId="302F2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92FD43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88F9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人工清扫服务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81177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135AB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CBDD6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C6BC4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4CCD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DFF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B0C8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路面冲洗清扫服务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7B3A4">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951E0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BBD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49B49">
            <w:pPr>
              <w:jc w:val="center"/>
              <w:rPr>
                <w:rFonts w:hint="eastAsia" w:ascii="宋体" w:hAnsi="宋体" w:eastAsia="宋体" w:cs="宋体"/>
                <w:i w:val="0"/>
                <w:iCs w:val="0"/>
                <w:color w:val="000000"/>
                <w:sz w:val="22"/>
                <w:szCs w:val="22"/>
                <w:u w:val="none"/>
              </w:rPr>
            </w:pPr>
          </w:p>
        </w:tc>
      </w:tr>
      <w:tr w14:paraId="01DC4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24B94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E10E9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洒水车路面冲洗服务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9C9B4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E878D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E292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7F0FC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ED1F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4DE08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第300-1章  路面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0A474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C3DB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gridSpan w:val="6"/>
            <w:tcBorders>
              <w:top w:val="nil"/>
              <w:left w:val="single" w:color="000000" w:sz="4" w:space="0"/>
              <w:bottom w:val="single" w:color="000000" w:sz="4" w:space="0"/>
              <w:right w:val="single" w:color="000000" w:sz="4" w:space="0"/>
            </w:tcBorders>
            <w:shd w:val="clear" w:color="auto" w:fill="auto"/>
            <w:noWrap/>
            <w:vAlign w:val="center"/>
          </w:tcPr>
          <w:p w14:paraId="66EFA1C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第300-2章  路面（单价类）</w:t>
            </w:r>
          </w:p>
        </w:tc>
      </w:tr>
      <w:tr w14:paraId="59D42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645B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5972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DD89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65208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540F6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F1B4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4F7409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974F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B0DDC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沥青路面病害修复服务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C9310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93A7A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AACA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2B08F4">
            <w:pPr>
              <w:jc w:val="center"/>
              <w:rPr>
                <w:rFonts w:hint="eastAsia" w:ascii="宋体" w:hAnsi="宋体" w:eastAsia="宋体" w:cs="宋体"/>
                <w:i w:val="0"/>
                <w:iCs w:val="0"/>
                <w:color w:val="000000"/>
                <w:sz w:val="22"/>
                <w:szCs w:val="22"/>
                <w:u w:val="none"/>
              </w:rPr>
            </w:pPr>
          </w:p>
        </w:tc>
      </w:tr>
      <w:tr w14:paraId="3E5BAD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7F0BFC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62A64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沥青路面铣刨服务（含弃运）</w:t>
            </w: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75FC77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r>
              <w:rPr>
                <w:rFonts w:hint="eastAsia" w:ascii="宋体" w:hAnsi="宋体" w:eastAsia="宋体" w:cs="宋体"/>
                <w:i w:val="0"/>
                <w:iCs w:val="0"/>
                <w:color w:val="000000"/>
                <w:sz w:val="22"/>
                <w:szCs w:val="22"/>
                <w:u w:val="none"/>
                <w:vertAlign w:val="superscript"/>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4F09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9607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EBA4D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97E5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A671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62445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沥青路面坑槽、沉陷等病害修补服务（切割修补）</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49B2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7ECE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6AE9A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51FF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07CCF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4048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5A4A4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沥青路面裂缝机械扩缝填缝料修补服务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31A73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76019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22000</w:t>
            </w:r>
          </w:p>
        </w:tc>
        <w:tc>
          <w:tcPr>
            <w:tcW w:w="118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93DB7E">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FEBB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D829C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11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E9D0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5D5CC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冷补料路面坑洞修补服务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70B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4C3A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B8F30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BC22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1718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BFBF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4FFB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黏层油服务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B778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4FE61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1750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7ED9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D86F6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1FBF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46FAF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2CC55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AC-13</w:t>
            </w:r>
            <w:r>
              <w:rPr>
                <w:rFonts w:hint="eastAsia" w:ascii="宋体" w:hAnsi="宋体" w:cs="宋体"/>
                <w:color w:val="000000"/>
                <w:sz w:val="22"/>
                <w:szCs w:val="22"/>
                <w:u w:val="none"/>
                <w:lang w:val="en-US" w:eastAsia="zh-CN" w:bidi="ar"/>
              </w:rPr>
              <w:t>改性玄武岩沥青砼加铺服务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E18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C2916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74D2B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444C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5488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99A4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29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8DCC8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路缘石维修更换服务</w:t>
            </w:r>
          </w:p>
        </w:tc>
        <w:tc>
          <w:tcPr>
            <w:tcW w:w="9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A58408A">
            <w:pP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444FB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AE117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7F44C">
            <w:pPr>
              <w:jc w:val="center"/>
              <w:rPr>
                <w:rFonts w:hint="eastAsia" w:ascii="宋体" w:hAnsi="宋体" w:eastAsia="宋体" w:cs="宋体"/>
                <w:i w:val="0"/>
                <w:iCs w:val="0"/>
                <w:color w:val="000000"/>
                <w:sz w:val="22"/>
                <w:szCs w:val="22"/>
                <w:u w:val="none"/>
              </w:rPr>
            </w:pPr>
          </w:p>
        </w:tc>
      </w:tr>
      <w:tr w14:paraId="6FA14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4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E8BB3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DE8E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水泥砼路缘石更换服务</w:t>
            </w:r>
            <w:r>
              <w:rPr>
                <w:rFonts w:hint="eastAsia" w:ascii="宋体" w:hAnsi="宋体" w:cs="宋体"/>
                <w:color w:val="000000"/>
                <w:sz w:val="22"/>
                <w:szCs w:val="22"/>
                <w:u w:val="none"/>
                <w:lang w:val="en-US" w:eastAsia="zh-CN" w:bidi="ar"/>
              </w:rPr>
              <w:t>(含拆运)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0928E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140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FBF5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229BA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330F8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A2B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第300-2章  路基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516D0">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013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9"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01EF6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第300 章合计   人民币（元）</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5844D0">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0CB3310C">
      <w:pPr>
        <w:rPr>
          <w:rFonts w:hint="default" w:ascii="Calibri" w:hAnsi="Calibri"/>
        </w:rPr>
      </w:pPr>
      <w:r>
        <w:rPr>
          <w:rFonts w:hint="default" w:ascii="Calibri" w:hAnsi="Calibri"/>
        </w:rPr>
        <w:br w:type="page" w:clear="all"/>
      </w:r>
    </w:p>
    <w:tbl>
      <w:tblPr>
        <w:tblStyle w:val="35"/>
        <w:tblW w:w="995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11"/>
        <w:gridCol w:w="4636"/>
        <w:gridCol w:w="967"/>
        <w:gridCol w:w="817"/>
        <w:gridCol w:w="950"/>
        <w:gridCol w:w="1478"/>
      </w:tblGrid>
      <w:tr w14:paraId="238BE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59" w:hRule="atLeast"/>
        </w:trPr>
        <w:tc>
          <w:tcPr>
            <w:tcW w:w="9959" w:type="dxa"/>
            <w:gridSpan w:val="6"/>
            <w:tcBorders>
              <w:top w:val="nil"/>
              <w:left w:val="nil"/>
              <w:bottom w:val="nil"/>
              <w:right w:val="nil"/>
            </w:tcBorders>
            <w:shd w:val="clear" w:color="auto" w:fill="auto"/>
            <w:noWrap/>
            <w:vAlign w:val="center"/>
          </w:tcPr>
          <w:p w14:paraId="77752690">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第400章  工作量清单表</w:t>
            </w:r>
          </w:p>
        </w:tc>
      </w:tr>
      <w:tr w14:paraId="0DEC79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7531" w:type="dxa"/>
            <w:gridSpan w:val="4"/>
            <w:tcBorders>
              <w:top w:val="nil"/>
              <w:left w:val="nil"/>
              <w:bottom w:val="nil"/>
              <w:right w:val="nil"/>
            </w:tcBorders>
            <w:shd w:val="clear" w:color="auto" w:fill="auto"/>
            <w:noWrap/>
            <w:vAlign w:val="center"/>
          </w:tcPr>
          <w:p w14:paraId="5881838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2428" w:type="dxa"/>
            <w:gridSpan w:val="2"/>
            <w:tcBorders>
              <w:top w:val="nil"/>
              <w:left w:val="nil"/>
              <w:bottom w:val="nil"/>
              <w:right w:val="nil"/>
            </w:tcBorders>
            <w:shd w:val="clear" w:color="auto" w:fill="auto"/>
            <w:noWrap/>
            <w:vAlign w:val="center"/>
          </w:tcPr>
          <w:p w14:paraId="34FA812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59CEAE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9959"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8A30E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第400-1章  桥梁、涵洞（基价类）</w:t>
            </w:r>
          </w:p>
        </w:tc>
      </w:tr>
      <w:tr w14:paraId="5A719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434E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BFFFC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F40C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C84F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9898D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9481A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35DC25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6D515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D2BF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通则</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14F40F">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4C8847">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31F2A4">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ED455">
            <w:pPr>
              <w:jc w:val="center"/>
              <w:rPr>
                <w:rFonts w:hint="eastAsia" w:ascii="宋体" w:hAnsi="宋体" w:eastAsia="宋体" w:cs="宋体"/>
                <w:i w:val="0"/>
                <w:iCs w:val="0"/>
                <w:color w:val="000000"/>
                <w:sz w:val="22"/>
                <w:szCs w:val="22"/>
                <w:u w:val="none"/>
              </w:rPr>
            </w:pPr>
          </w:p>
        </w:tc>
      </w:tr>
      <w:tr w14:paraId="3B938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7477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504EC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管涵排水系统清理服务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D150A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D7E4A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270D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5BB0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7B54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8E70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AE385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疏通桥面排水系统（泄水管、排水管）服务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13674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72D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840A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4DA57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8D04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E711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BF9E8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公路桥涵一般性检查服务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F915D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3D52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E118B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C7BB9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AABD1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19117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4C96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桥梁接缝和伸缩装置清理维护服务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866D2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29D36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92B45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535CF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3F1E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F731B6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54556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桥梁栏杆系清洗服务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4698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385E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326C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1934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DF95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8A20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第400-1章  桥梁、涵洞</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AD3B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90A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9959" w:type="dxa"/>
            <w:gridSpan w:val="6"/>
            <w:tcBorders>
              <w:top w:val="nil"/>
              <w:left w:val="single" w:color="000000" w:sz="4" w:space="0"/>
              <w:bottom w:val="single" w:color="000000" w:sz="4" w:space="0"/>
              <w:right w:val="single" w:color="000000" w:sz="4" w:space="0"/>
            </w:tcBorders>
            <w:shd w:val="clear" w:color="auto" w:fill="auto"/>
            <w:noWrap/>
            <w:vAlign w:val="center"/>
          </w:tcPr>
          <w:p w14:paraId="049DECE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第400-2章  桥梁、涵洞（单价类）</w:t>
            </w:r>
          </w:p>
        </w:tc>
      </w:tr>
      <w:tr w14:paraId="000CC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D14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605BA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A406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E393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3449A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CD51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248A33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386F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967BA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桥梁护栏安装维修服务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BF19DC">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09B6B6">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7794C">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8EF017">
            <w:pPr>
              <w:jc w:val="center"/>
              <w:rPr>
                <w:rFonts w:hint="eastAsia" w:ascii="宋体" w:hAnsi="宋体" w:eastAsia="宋体" w:cs="宋体"/>
                <w:i w:val="0"/>
                <w:iCs w:val="0"/>
                <w:color w:val="000000"/>
                <w:sz w:val="22"/>
                <w:szCs w:val="22"/>
                <w:u w:val="none"/>
              </w:rPr>
            </w:pPr>
          </w:p>
        </w:tc>
      </w:tr>
      <w:tr w14:paraId="7A0C1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FFC3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48E8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桥头双波波形护栏维修服务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B76DF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3CCD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192</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F1AE5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0C97F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AF11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43C0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44243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钢管扶手更换维修服务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E52C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1057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BBF74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B1EA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19477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E976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9407F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桥梁附属结构维修服务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E5E4EF">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3E169">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83E6D">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C6905">
            <w:pPr>
              <w:jc w:val="center"/>
              <w:rPr>
                <w:rFonts w:hint="eastAsia" w:ascii="宋体" w:hAnsi="宋体" w:eastAsia="宋体" w:cs="宋体"/>
                <w:i w:val="0"/>
                <w:iCs w:val="0"/>
                <w:color w:val="000000"/>
                <w:sz w:val="22"/>
                <w:szCs w:val="22"/>
                <w:u w:val="none"/>
              </w:rPr>
            </w:pPr>
          </w:p>
        </w:tc>
      </w:tr>
      <w:tr w14:paraId="5405F5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5A00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133C0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浆砌片石护（锥）坡维修砌筑（M7.5浆切片石）维修服务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1CB2E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A903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7644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A09A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47EA3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D326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9BF16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人行道石材贴面维修服务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2C459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7EB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2A00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7C82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7638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42EF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6C40E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石质护栏维修服务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DB4F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AE85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D0CAD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951DF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B754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EC30F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D218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桥梁伸缩缝更换维修服务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AFA6BC">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D3D623">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7C12D9">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7CDA5">
            <w:pPr>
              <w:jc w:val="center"/>
              <w:rPr>
                <w:rFonts w:hint="eastAsia" w:ascii="宋体" w:hAnsi="宋体" w:eastAsia="宋体" w:cs="宋体"/>
                <w:i w:val="0"/>
                <w:iCs w:val="0"/>
                <w:color w:val="000000"/>
                <w:sz w:val="22"/>
                <w:szCs w:val="22"/>
                <w:u w:val="none"/>
              </w:rPr>
            </w:pPr>
          </w:p>
        </w:tc>
      </w:tr>
      <w:tr w14:paraId="6C9E5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333F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4EBD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伸缩缝拆除服务</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2A1F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CC97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1262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D39DA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B030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AFC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0F11F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更换伸缩缝服务（</w:t>
            </w:r>
            <w:r>
              <w:rPr>
                <w:rFonts w:hint="default" w:ascii="Times New Roman" w:hAnsi="Times New Roman" w:eastAsia="宋体" w:cs="Times New Roman"/>
                <w:i w:val="0"/>
                <w:iCs w:val="0"/>
                <w:color w:val="000000"/>
                <w:sz w:val="22"/>
                <w:szCs w:val="22"/>
                <w:u w:val="none"/>
                <w:lang w:val="en-US" w:eastAsia="zh-CN" w:bidi="ar"/>
              </w:rPr>
              <w:t>D40</w:t>
            </w:r>
            <w:r>
              <w:rPr>
                <w:rFonts w:hint="eastAsia" w:ascii="宋体" w:hAnsi="宋体" w:eastAsia="宋体" w:cs="宋体"/>
                <w:i w:val="0"/>
                <w:iCs w:val="0"/>
                <w:color w:val="000000"/>
                <w:sz w:val="22"/>
                <w:szCs w:val="22"/>
                <w:u w:val="none"/>
                <w:lang w:val="en-US" w:eastAsia="zh-CN" w:bidi="ar"/>
              </w:rPr>
              <w:t>）</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7D7E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延米</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2C59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C5A98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35D71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CAAF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759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C4D88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桥梁下检查步道</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691C31">
            <w:pPr>
              <w:jc w:val="center"/>
              <w:rPr>
                <w:rFonts w:hint="eastAsia" w:ascii="宋体" w:hAnsi="宋体" w:eastAsia="宋体" w:cs="宋体"/>
                <w:i w:val="0"/>
                <w:iCs w:val="0"/>
                <w:color w:val="000000"/>
                <w:sz w:val="22"/>
                <w:szCs w:val="22"/>
                <w:u w:val="none"/>
              </w:rPr>
            </w:pP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B5080">
            <w:pPr>
              <w:jc w:val="center"/>
              <w:rPr>
                <w:rFonts w:hint="eastAsia" w:ascii="宋体" w:hAnsi="宋体" w:eastAsia="宋体" w:cs="宋体"/>
                <w:i w:val="0"/>
                <w:iCs w:val="0"/>
                <w:color w:val="000000"/>
                <w:sz w:val="22"/>
                <w:szCs w:val="22"/>
                <w:u w:val="none"/>
              </w:rPr>
            </w:pP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91A66">
            <w:pPr>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89264">
            <w:pPr>
              <w:jc w:val="center"/>
              <w:rPr>
                <w:rFonts w:hint="eastAsia" w:ascii="宋体" w:hAnsi="宋体" w:eastAsia="宋体" w:cs="宋体"/>
                <w:i w:val="0"/>
                <w:iCs w:val="0"/>
                <w:color w:val="000000"/>
                <w:sz w:val="22"/>
                <w:szCs w:val="22"/>
                <w:u w:val="none"/>
              </w:rPr>
            </w:pPr>
          </w:p>
        </w:tc>
      </w:tr>
      <w:tr w14:paraId="0838F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9" w:hRule="atLeast"/>
        </w:trPr>
        <w:tc>
          <w:tcPr>
            <w:tcW w:w="11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83A49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63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ECBC5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步道增设服务（M10砖砌）</w:t>
            </w:r>
          </w:p>
        </w:tc>
        <w:tc>
          <w:tcPr>
            <w:tcW w:w="96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B46E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m3</w:t>
            </w:r>
          </w:p>
        </w:tc>
        <w:tc>
          <w:tcPr>
            <w:tcW w:w="81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DE045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9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9B27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62500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399F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9"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22943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第400-1章  桥梁、涵洞</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8D6C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A5035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47" w:hRule="atLeast"/>
        </w:trPr>
        <w:tc>
          <w:tcPr>
            <w:tcW w:w="8481"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596A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 400 章合计   人民币</w:t>
            </w:r>
          </w:p>
        </w:tc>
        <w:tc>
          <w:tcPr>
            <w:tcW w:w="14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3AE76">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39A5D616">
      <w:pPr>
        <w:rPr>
          <w:rFonts w:hint="default" w:ascii="Calibri" w:hAnsi="Calibri"/>
        </w:rPr>
      </w:pPr>
      <w:r>
        <w:rPr>
          <w:rFonts w:hint="default" w:ascii="Calibri" w:hAnsi="Calibri"/>
        </w:rPr>
        <w:br w:type="page" w:clear="all"/>
      </w:r>
    </w:p>
    <w:tbl>
      <w:tblPr>
        <w:tblStyle w:val="35"/>
        <w:tblW w:w="92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972"/>
        <w:gridCol w:w="5221"/>
        <w:gridCol w:w="733"/>
        <w:gridCol w:w="853"/>
        <w:gridCol w:w="1152"/>
        <w:gridCol w:w="1154"/>
      </w:tblGrid>
      <w:tr w14:paraId="06647B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2" w:hRule="atLeast"/>
        </w:trPr>
        <w:tc>
          <w:tcPr>
            <w:tcW w:w="9260" w:type="dxa"/>
            <w:gridSpan w:val="6"/>
            <w:tcBorders>
              <w:top w:val="nil"/>
              <w:left w:val="nil"/>
              <w:bottom w:val="nil"/>
              <w:right w:val="nil"/>
            </w:tcBorders>
            <w:shd w:val="clear" w:color="auto" w:fill="auto"/>
            <w:noWrap/>
            <w:vAlign w:val="center"/>
          </w:tcPr>
          <w:p w14:paraId="2F4D88FB">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第500章  工作量清单表</w:t>
            </w:r>
          </w:p>
        </w:tc>
      </w:tr>
      <w:tr w14:paraId="0A77C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1" w:hRule="atLeast"/>
        </w:trPr>
        <w:tc>
          <w:tcPr>
            <w:tcW w:w="0" w:type="auto"/>
            <w:gridSpan w:val="4"/>
            <w:tcBorders>
              <w:top w:val="nil"/>
              <w:left w:val="nil"/>
              <w:bottom w:val="nil"/>
              <w:right w:val="nil"/>
            </w:tcBorders>
            <w:shd w:val="clear" w:color="auto" w:fill="auto"/>
            <w:noWrap/>
            <w:vAlign w:val="center"/>
          </w:tcPr>
          <w:p w14:paraId="56E7484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2026年江宁区林荫大道示范管护带养护服务</w:t>
            </w:r>
          </w:p>
        </w:tc>
        <w:tc>
          <w:tcPr>
            <w:tcW w:w="0" w:type="auto"/>
            <w:gridSpan w:val="2"/>
            <w:tcBorders>
              <w:top w:val="nil"/>
              <w:left w:val="nil"/>
              <w:bottom w:val="nil"/>
              <w:right w:val="nil"/>
            </w:tcBorders>
            <w:shd w:val="clear" w:color="auto" w:fill="auto"/>
            <w:noWrap/>
            <w:vAlign w:val="center"/>
          </w:tcPr>
          <w:p w14:paraId="708C62C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5CF11E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70BD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第500章  安全设施及预埋管线（单价类）</w:t>
            </w:r>
          </w:p>
        </w:tc>
      </w:tr>
      <w:tr w14:paraId="72F3C2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41D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A52A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50EFB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04657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6F95E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E9D5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54CDC9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14FB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74F9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波形梁钢护栏服务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1039D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15A7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B949E">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9F907E">
            <w:pPr>
              <w:jc w:val="center"/>
              <w:rPr>
                <w:rFonts w:hint="eastAsia" w:ascii="宋体" w:hAnsi="宋体" w:eastAsia="宋体" w:cs="宋体"/>
                <w:i w:val="0"/>
                <w:iCs w:val="0"/>
                <w:color w:val="000000"/>
                <w:sz w:val="22"/>
                <w:szCs w:val="22"/>
                <w:u w:val="none"/>
              </w:rPr>
            </w:pPr>
          </w:p>
        </w:tc>
      </w:tr>
      <w:tr w14:paraId="1EFB55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46636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2BC68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波形护栏清洗服务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21C17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4C37E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42000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61531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E36FC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E104E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00BB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D979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波形护栏调整校正服务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C896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4F4FE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54F0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AB68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20FD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BE92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nil"/>
              <w:left w:val="nil"/>
              <w:bottom w:val="single" w:color="000000" w:sz="4" w:space="0"/>
              <w:right w:val="single" w:color="000000" w:sz="4" w:space="0"/>
            </w:tcBorders>
            <w:shd w:val="clear" w:color="auto" w:fill="auto"/>
            <w:noWrap/>
            <w:vAlign w:val="center"/>
          </w:tcPr>
          <w:p w14:paraId="0E289C2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单面波形梁钢护栏板更换服务Gr-B-2E（二波）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00A1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01469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885D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26C29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D786C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18DBF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nil"/>
              <w:left w:val="nil"/>
              <w:bottom w:val="single" w:color="000000" w:sz="4" w:space="0"/>
              <w:right w:val="single" w:color="000000" w:sz="4" w:space="0"/>
            </w:tcBorders>
            <w:shd w:val="clear" w:color="auto" w:fill="auto"/>
            <w:noWrap/>
            <w:vAlign w:val="center"/>
          </w:tcPr>
          <w:p w14:paraId="19775DF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单面波形梁钢护栏板更换服务Gr-B-4E（二波）</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35C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4474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861B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F6B82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353E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C104C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0" w:type="auto"/>
            <w:tcBorders>
              <w:top w:val="nil"/>
              <w:left w:val="nil"/>
              <w:bottom w:val="single" w:color="000000" w:sz="4" w:space="0"/>
              <w:right w:val="single" w:color="000000" w:sz="4" w:space="0"/>
            </w:tcBorders>
            <w:shd w:val="clear" w:color="auto" w:fill="auto"/>
            <w:noWrap/>
            <w:vAlign w:val="center"/>
          </w:tcPr>
          <w:p w14:paraId="482246F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单面波形梁钢护栏板更换服务Gr-A-2E（三波圆管）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51628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957B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02E8A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CD83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4AEA2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F93E5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-f</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7CB636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分设型圆头式端头服务（R160）</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CD9FCC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2970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908E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E6240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5F3F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E89B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-g</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35DD1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分设型圆头式端头服务（R250）</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2FCDDD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BECB4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3641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6973E">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0DDE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3596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EB76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护栏端头反光膜服务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624C3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55B7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88C86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1C30D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434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8DB7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-i</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0CCA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波形护栏喷漆出新服务（现场）</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8D5F7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44463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14D5B">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27B9B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08789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F1497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CA7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单柱式交通标志服务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FD218A">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E0F4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6EFB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9A8AE">
            <w:pPr>
              <w:jc w:val="center"/>
              <w:rPr>
                <w:rFonts w:hint="eastAsia" w:ascii="宋体" w:hAnsi="宋体" w:eastAsia="宋体" w:cs="宋体"/>
                <w:i w:val="0"/>
                <w:iCs w:val="0"/>
                <w:color w:val="000000"/>
                <w:sz w:val="22"/>
                <w:szCs w:val="22"/>
                <w:u w:val="none"/>
              </w:rPr>
            </w:pPr>
          </w:p>
        </w:tc>
      </w:tr>
      <w:tr w14:paraId="7C402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3FFF5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D70E08">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76单立柱杆件服务（含基础）</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ED073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9242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C7041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206B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49FF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9B63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25F7FB">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89单立柱杆件服务（含基础）</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F9E59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322E3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8C0BF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FAEB5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B0F2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B00B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04B58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正三角形服务(△A=70cm)（含杆件和基础）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F3266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9D03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A4593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1A299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7190369">
        <w:tblPrEx>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2BBF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3F47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圆形服务(D=60cm)（含杆件和基础）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C5D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BEDD5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F62DF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B09F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E81FE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873BD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4F43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八边形服务（D=0.6m)（含杆件和基础）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87EF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932F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62BB8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F6D9A7">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A40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63F3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-f</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C4EEB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组合标志牌服务（圆形D=60cm+八边形D=0.6m）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A24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1E7D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DE721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FA27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76BC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06C67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-g</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DE758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组合标志牌服务（圆形D=60cm+正三角形△A=70cm）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893C4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FCC6A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A7955">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2E2D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DC5F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3F1F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-h</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13582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矩形服务(□80×80cm)（含杆件和基础）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A2F3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E84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6404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BAFD8">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8139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C84E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-i</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F6662E">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柱式标志牌换面服务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1BCE9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86E26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94DFF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9211A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E72C4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5C13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-j</w:t>
            </w:r>
          </w:p>
        </w:tc>
        <w:tc>
          <w:tcPr>
            <w:tcW w:w="4273" w:type="dxa"/>
            <w:tcBorders>
              <w:top w:val="nil"/>
              <w:left w:val="nil"/>
              <w:bottom w:val="single" w:color="000000" w:sz="4" w:space="0"/>
              <w:right w:val="single" w:color="000000" w:sz="4" w:space="0"/>
            </w:tcBorders>
            <w:shd w:val="clear" w:color="auto" w:fill="auto"/>
            <w:noWrap w:val="0"/>
            <w:vAlign w:val="center"/>
          </w:tcPr>
          <w:p w14:paraId="7A5C2B1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柱式标志牌换膜服务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D158C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46FD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914B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2300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A85F1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F635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CA3C8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单悬臂式交通标志服务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50061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A0069F">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57489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F93AC2">
            <w:pPr>
              <w:jc w:val="center"/>
              <w:rPr>
                <w:rFonts w:hint="eastAsia" w:ascii="宋体" w:hAnsi="宋体" w:eastAsia="宋体" w:cs="宋体"/>
                <w:i w:val="0"/>
                <w:iCs w:val="0"/>
                <w:color w:val="000000"/>
                <w:sz w:val="22"/>
                <w:szCs w:val="22"/>
                <w:u w:val="none"/>
              </w:rPr>
            </w:pPr>
          </w:p>
        </w:tc>
      </w:tr>
      <w:tr w14:paraId="27E83C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A28F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nil"/>
              <w:left w:val="nil"/>
              <w:bottom w:val="single" w:color="000000" w:sz="4" w:space="0"/>
              <w:right w:val="single" w:color="000000" w:sz="4" w:space="0"/>
            </w:tcBorders>
            <w:shd w:val="clear" w:color="auto" w:fill="auto"/>
            <w:noWrap w:val="0"/>
            <w:vAlign w:val="center"/>
          </w:tcPr>
          <w:p w14:paraId="102DC389">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单悬臂式标志牌拆除服务</w:t>
            </w:r>
          </w:p>
        </w:tc>
        <w:tc>
          <w:tcPr>
            <w:tcW w:w="0" w:type="auto"/>
            <w:tcBorders>
              <w:top w:val="nil"/>
              <w:left w:val="nil"/>
              <w:bottom w:val="single" w:color="000000" w:sz="4" w:space="0"/>
              <w:right w:val="single" w:color="000000" w:sz="4" w:space="0"/>
            </w:tcBorders>
            <w:shd w:val="clear" w:color="auto" w:fill="auto"/>
            <w:noWrap/>
            <w:vAlign w:val="center"/>
          </w:tcPr>
          <w:p w14:paraId="74CF41E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C0EA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nil"/>
              <w:left w:val="nil"/>
              <w:bottom w:val="single" w:color="000000" w:sz="4" w:space="0"/>
              <w:right w:val="single" w:color="000000" w:sz="4" w:space="0"/>
            </w:tcBorders>
            <w:shd w:val="clear" w:color="auto" w:fill="auto"/>
            <w:noWrap w:val="0"/>
            <w:vAlign w:val="center"/>
          </w:tcPr>
          <w:p w14:paraId="005FBD5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DA3682">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24FF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C6386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38553">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159单悬臂杆件服务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A830E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7634D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246CF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A9BB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E801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F22F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9B2488">
            <w:pPr>
              <w:keepNext w:val="0"/>
              <w:keepLines w:val="0"/>
              <w:widowControl/>
              <w:suppressLineNumbers w:val="0"/>
              <w:jc w:val="left"/>
              <w:rPr>
                <w:rFonts w:hint="default" w:ascii="Calibri" w:hAnsi="Calibri" w:eastAsia="宋体" w:cs="Calibri"/>
                <w:i w:val="0"/>
                <w:iCs w:val="0"/>
                <w:color w:val="000000"/>
                <w:sz w:val="22"/>
                <w:szCs w:val="22"/>
                <w:u w:val="none"/>
              </w:rPr>
            </w:pPr>
            <w:r>
              <w:rPr>
                <w:rFonts w:hint="default" w:ascii="Calibri" w:hAnsi="Calibri" w:eastAsia="宋体" w:cs="Calibri"/>
                <w:i w:val="0"/>
                <w:iCs w:val="0"/>
                <w:color w:val="000000"/>
                <w:sz w:val="22"/>
                <w:szCs w:val="22"/>
                <w:u w:val="none"/>
                <w:lang w:val="en-US" w:eastAsia="zh-CN" w:bidi="ar"/>
              </w:rPr>
              <w:t>Ф</w:t>
            </w:r>
            <w:r>
              <w:rPr>
                <w:rFonts w:hint="eastAsia" w:ascii="宋体" w:hAnsi="宋体" w:eastAsia="宋体" w:cs="宋体"/>
                <w:i w:val="0"/>
                <w:iCs w:val="0"/>
                <w:color w:val="000000"/>
                <w:sz w:val="22"/>
                <w:szCs w:val="22"/>
                <w:u w:val="none"/>
                <w:lang w:val="en-US" w:eastAsia="zh-CN" w:bidi="ar"/>
              </w:rPr>
              <w:t>219单悬臂杆件服务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EBD1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EE70C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EB603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0C31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7054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AE835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-d</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A3C4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悬臂标志牌换面服务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1E790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A79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1321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F4E1F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348D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44D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-e</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E2F1C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悬臂标志牌换膜服务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9462F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E6A1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w:t>
            </w: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16796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D495A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FB48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91B29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76A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爆闪警示灯服务（含杆件和基础）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29D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E8276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29014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E8BE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CB57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99679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8E94E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里程碑（牌）安装服务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11F5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5C1D0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FE84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79B391">
            <w:pPr>
              <w:jc w:val="center"/>
              <w:rPr>
                <w:rFonts w:hint="eastAsia" w:ascii="宋体" w:hAnsi="宋体" w:eastAsia="宋体" w:cs="宋体"/>
                <w:i w:val="0"/>
                <w:iCs w:val="0"/>
                <w:color w:val="000000"/>
                <w:sz w:val="22"/>
                <w:szCs w:val="22"/>
                <w:u w:val="none"/>
              </w:rPr>
            </w:pPr>
          </w:p>
        </w:tc>
      </w:tr>
      <w:tr w14:paraId="0EA7B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7EBF2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3439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里程碑安装服务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6F08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97EF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B7CFC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12DF9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B33A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C7C61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5F461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公路界碑安装服务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4A91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EAD3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180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1B06A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9CA2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9595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8C46B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8C67C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百米桩安装服务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94F2A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068CA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840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19224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CF9D8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D13D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38FF8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5302C">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道路反光镜服务（含杆件和基础）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32FA9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EEB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7F80F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3FD29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CF15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29425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62A2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EF5BD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75AD1">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367C0">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CC501">
            <w:pPr>
              <w:jc w:val="center"/>
              <w:rPr>
                <w:rFonts w:hint="eastAsia" w:ascii="宋体" w:hAnsi="宋体" w:eastAsia="宋体" w:cs="宋体"/>
                <w:i w:val="0"/>
                <w:iCs w:val="0"/>
                <w:color w:val="000000"/>
                <w:sz w:val="22"/>
                <w:szCs w:val="22"/>
                <w:u w:val="none"/>
              </w:rPr>
            </w:pPr>
          </w:p>
        </w:tc>
      </w:tr>
      <w:tr w14:paraId="06A829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F08DC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5A12B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89*1200mm）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8A87E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B4BCE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FC249">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C8883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6695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2F097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8248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114*1200mm）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E45D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BB46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2CAB7">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DCB57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59F471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ABF3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38AF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警示桩更换服务（</w:t>
            </w:r>
            <w:r>
              <w:rPr>
                <w:rFonts w:ascii="Calibri" w:hAnsi="Calibri" w:eastAsia="宋体" w:cs="Calibri"/>
                <w:color w:val="000000"/>
                <w:sz w:val="22"/>
                <w:szCs w:val="22"/>
                <w:u w:val="none"/>
                <w:lang w:val="en-US" w:eastAsia="zh-CN" w:bidi="ar"/>
              </w:rPr>
              <w:t>φ</w:t>
            </w:r>
            <w:r>
              <w:rPr>
                <w:rFonts w:hint="eastAsia" w:ascii="宋体" w:hAnsi="宋体" w:cs="宋体"/>
                <w:color w:val="000000"/>
                <w:sz w:val="22"/>
                <w:szCs w:val="22"/>
                <w:u w:val="none"/>
                <w:lang w:val="en-US" w:eastAsia="zh-CN" w:bidi="ar"/>
              </w:rPr>
              <w:t>120*1200mm）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E8B91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C6F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EF736">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07BB51">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562F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25174">
            <w:pPr>
              <w:keepNext w:val="0"/>
              <w:keepLines w:val="0"/>
              <w:widowControl/>
              <w:suppressLineNumbers w:val="0"/>
              <w:jc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sz w:val="22"/>
                <w:szCs w:val="22"/>
                <w:u w:val="none"/>
                <w:lang w:val="en-US" w:eastAsia="zh-CN" w:bidi="ar"/>
              </w:rPr>
              <w:t>-8</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D0685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路面标志、标线服务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325A31">
            <w:pPr>
              <w:jc w:val="center"/>
              <w:rPr>
                <w:rFonts w:hint="eastAsia" w:ascii="宋体" w:hAnsi="宋体" w:eastAsia="宋体" w:cs="宋体"/>
                <w:i w:val="0"/>
                <w:iCs w:val="0"/>
                <w:color w:val="000000"/>
                <w:sz w:val="22"/>
                <w:szCs w:val="22"/>
                <w:u w:val="none"/>
              </w:rPr>
            </w:pPr>
          </w:p>
        </w:tc>
        <w:tc>
          <w:tcPr>
            <w:tcW w:w="98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ACFD18">
            <w:pPr>
              <w:jc w:val="center"/>
              <w:rPr>
                <w:rFonts w:hint="eastAsia" w:ascii="宋体" w:hAnsi="宋体" w:eastAsia="宋体" w:cs="宋体"/>
                <w:i w:val="0"/>
                <w:iCs w:val="0"/>
                <w:color w:val="000000"/>
                <w:sz w:val="22"/>
                <w:szCs w:val="22"/>
                <w:u w:val="none"/>
              </w:rPr>
            </w:pPr>
          </w:p>
        </w:tc>
        <w:tc>
          <w:tcPr>
            <w:tcW w:w="103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CF9B06">
            <w:pPr>
              <w:jc w:val="center"/>
              <w:rPr>
                <w:rFonts w:hint="default" w:ascii="Times New Roman" w:hAnsi="Times New Roman" w:eastAsia="宋体" w:cs="Times New Roman"/>
                <w:i w:val="0"/>
                <w:iCs w:val="0"/>
                <w:color w:val="000000"/>
                <w:sz w:val="22"/>
                <w:szCs w:val="22"/>
                <w:u w:val="none"/>
              </w:rPr>
            </w:pPr>
          </w:p>
        </w:tc>
        <w:tc>
          <w:tcPr>
            <w:tcW w:w="104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A6EA7A">
            <w:pPr>
              <w:jc w:val="center"/>
              <w:rPr>
                <w:rFonts w:hint="default" w:ascii="Times New Roman" w:hAnsi="Times New Roman" w:eastAsia="宋体" w:cs="Times New Roman"/>
                <w:i w:val="0"/>
                <w:iCs w:val="0"/>
                <w:color w:val="000000"/>
                <w:sz w:val="22"/>
                <w:szCs w:val="22"/>
                <w:u w:val="none"/>
              </w:rPr>
            </w:pPr>
          </w:p>
        </w:tc>
      </w:tr>
      <w:tr w14:paraId="3CB76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7D984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2F944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热熔涂料标志、标线服务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A76B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4A646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5500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4383C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42E4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6B94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A38FC3">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F1F1E5">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热熔涂料震荡标志、标线服务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3E1E0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A96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2C0CF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3033E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89151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3F6CF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-c</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054F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高压水除线服务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C2CBE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CCF9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F1734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CF946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C5A66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7BA84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-9</w:t>
            </w:r>
          </w:p>
        </w:tc>
        <w:tc>
          <w:tcPr>
            <w:tcW w:w="4273"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A21A1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附着式轮廓标服务</w:t>
            </w:r>
          </w:p>
        </w:tc>
        <w:tc>
          <w:tcPr>
            <w:tcW w:w="88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9560C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ED2D8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126F24">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73DB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5F7D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0F43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6CD52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桥梁信息牌服务530*340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EF72E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86C2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7C7C1A">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E1FDB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EA966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635B1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w:t>
            </w:r>
            <w:r>
              <w:rPr>
                <w:rFonts w:hint="eastAsia" w:ascii="宋体" w:hAnsi="宋体" w:cs="宋体"/>
                <w:i w:val="0"/>
                <w:iCs w:val="0"/>
                <w:color w:val="000000"/>
                <w:sz w:val="22"/>
                <w:szCs w:val="22"/>
                <w:u w:val="none"/>
                <w:lang w:val="en-US" w:eastAsia="zh-CN" w:bidi="ar"/>
              </w:rPr>
              <w:t>5</w:t>
            </w:r>
            <w:r>
              <w:rPr>
                <w:rFonts w:hint="eastAsia" w:ascii="宋体" w:hAnsi="宋体" w:eastAsia="宋体" w:cs="宋体"/>
                <w:i w:val="0"/>
                <w:iCs w:val="0"/>
                <w:color w:val="000000"/>
                <w:sz w:val="22"/>
                <w:szCs w:val="22"/>
                <w:u w:val="none"/>
                <w:lang w:val="en-US" w:eastAsia="zh-CN" w:bidi="ar"/>
              </w:rPr>
              <w:t>00-1章  桥梁、涵洞</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A1F95">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32B62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3C67B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w:t>
            </w:r>
            <w:r>
              <w:rPr>
                <w:rFonts w:hint="eastAsia" w:ascii="宋体" w:hAnsi="宋体" w:cs="宋体"/>
                <w:i w:val="0"/>
                <w:iCs w:val="0"/>
                <w:color w:val="000000"/>
                <w:sz w:val="22"/>
                <w:szCs w:val="22"/>
                <w:u w:val="none"/>
                <w:lang w:val="en-US" w:eastAsia="zh-CN" w:bidi="ar"/>
              </w:rPr>
              <w:t>5</w:t>
            </w:r>
            <w:r>
              <w:rPr>
                <w:rFonts w:hint="eastAsia" w:ascii="宋体" w:hAnsi="宋体" w:eastAsia="宋体" w:cs="宋体"/>
                <w:i w:val="0"/>
                <w:iCs w:val="0"/>
                <w:color w:val="000000"/>
                <w:sz w:val="22"/>
                <w:szCs w:val="22"/>
                <w:u w:val="none"/>
                <w:lang w:val="en-US" w:eastAsia="zh-CN" w:bidi="ar"/>
              </w:rPr>
              <w:t>00 章合计   人民币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511047">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17DB60EE">
      <w:pPr>
        <w:rPr>
          <w:rFonts w:hint="default" w:ascii="Calibri" w:hAnsi="Calibri"/>
        </w:rPr>
      </w:pPr>
      <w:r>
        <w:rPr>
          <w:rFonts w:hint="default" w:ascii="Calibri" w:hAnsi="Calibri"/>
        </w:rPr>
        <w:br w:type="page" w:clear="all"/>
      </w:r>
    </w:p>
    <w:tbl>
      <w:tblPr>
        <w:tblStyle w:val="35"/>
        <w:tblW w:w="936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084"/>
        <w:gridCol w:w="5028"/>
        <w:gridCol w:w="812"/>
        <w:gridCol w:w="812"/>
        <w:gridCol w:w="1153"/>
        <w:gridCol w:w="1153"/>
      </w:tblGrid>
      <w:tr w14:paraId="40552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0" w:hRule="atLeast"/>
        </w:trPr>
        <w:tc>
          <w:tcPr>
            <w:tcW w:w="9360" w:type="dxa"/>
            <w:gridSpan w:val="6"/>
            <w:tcBorders>
              <w:top w:val="nil"/>
              <w:left w:val="nil"/>
              <w:bottom w:val="nil"/>
              <w:right w:val="nil"/>
            </w:tcBorders>
            <w:shd w:val="clear" w:color="auto" w:fill="auto"/>
            <w:noWrap/>
            <w:vAlign w:val="center"/>
          </w:tcPr>
          <w:p w14:paraId="44ABBE4F">
            <w:pPr>
              <w:keepNext w:val="0"/>
              <w:keepLines w:val="0"/>
              <w:widowControl/>
              <w:suppressLineNumbers w:val="0"/>
              <w:jc w:val="center"/>
              <w:rPr>
                <w:rFonts w:hint="eastAsia" w:ascii="宋体" w:hAnsi="宋体" w:eastAsia="宋体" w:cs="宋体"/>
                <w:b/>
                <w:bCs/>
                <w:i w:val="0"/>
                <w:iCs w:val="0"/>
                <w:color w:val="000000"/>
                <w:sz w:val="36"/>
                <w:szCs w:val="36"/>
                <w:u w:val="none"/>
              </w:rPr>
            </w:pPr>
            <w:r>
              <w:rPr>
                <w:rFonts w:hint="eastAsia" w:ascii="宋体" w:hAnsi="宋体" w:eastAsia="宋体" w:cs="宋体"/>
                <w:b/>
                <w:bCs/>
                <w:i w:val="0"/>
                <w:iCs w:val="0"/>
                <w:color w:val="000000"/>
                <w:sz w:val="36"/>
                <w:szCs w:val="36"/>
                <w:u w:val="none"/>
                <w:lang w:val="en-US" w:eastAsia="zh-CN" w:bidi="ar"/>
              </w:rPr>
              <w:t>第600章  工作量清单表</w:t>
            </w:r>
          </w:p>
        </w:tc>
      </w:tr>
      <w:tr w14:paraId="34C26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2" w:hRule="atLeast"/>
        </w:trPr>
        <w:tc>
          <w:tcPr>
            <w:tcW w:w="0" w:type="auto"/>
            <w:gridSpan w:val="4"/>
            <w:tcBorders>
              <w:top w:val="nil"/>
              <w:left w:val="nil"/>
              <w:bottom w:val="nil"/>
              <w:right w:val="nil"/>
            </w:tcBorders>
            <w:shd w:val="clear" w:color="auto" w:fill="auto"/>
            <w:noWrap/>
            <w:vAlign w:val="center"/>
          </w:tcPr>
          <w:p w14:paraId="691703B3">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标段: 2026年江宁区林荫大道示范管护带养护服务</w:t>
            </w:r>
          </w:p>
        </w:tc>
        <w:tc>
          <w:tcPr>
            <w:tcW w:w="0" w:type="auto"/>
            <w:gridSpan w:val="2"/>
            <w:tcBorders>
              <w:top w:val="nil"/>
              <w:left w:val="nil"/>
              <w:bottom w:val="nil"/>
              <w:right w:val="nil"/>
            </w:tcBorders>
            <w:shd w:val="clear" w:color="auto" w:fill="auto"/>
            <w:noWrap/>
            <w:vAlign w:val="center"/>
          </w:tcPr>
          <w:p w14:paraId="5490F87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货币单位: 人民币 元</w:t>
            </w:r>
          </w:p>
        </w:tc>
      </w:tr>
      <w:tr w14:paraId="43D26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3F3AA9">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清单 第600-1章  绿化及环境保护设施（（基价类）</w:t>
            </w:r>
          </w:p>
        </w:tc>
      </w:tr>
      <w:tr w14:paraId="6A4A4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44D3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3B0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BDF52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E86A2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DA3E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A4E5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04342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234E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D952E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绿化养护服务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F264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0AF71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18E1B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F5AB9">
            <w:pPr>
              <w:jc w:val="center"/>
              <w:rPr>
                <w:rFonts w:hint="eastAsia" w:ascii="宋体" w:hAnsi="宋体" w:eastAsia="宋体" w:cs="宋体"/>
                <w:i w:val="0"/>
                <w:iCs w:val="0"/>
                <w:color w:val="000000"/>
                <w:sz w:val="22"/>
                <w:szCs w:val="22"/>
                <w:u w:val="none"/>
              </w:rPr>
            </w:pPr>
          </w:p>
        </w:tc>
      </w:tr>
      <w:tr w14:paraId="5AC2C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0DF59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D6C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病虫防治服务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EBC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E745D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97817">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55FE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29781E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AC1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E5106">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乔木刷白服务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5EA45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C4824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CCF6F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F5AD6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1307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C02C0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E6AA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绿化施肥服务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C81D0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0E4E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2F15C">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FA70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3A35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EF4AC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387AA">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绿化浇水服务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1156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05837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1545F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7BBE2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E7AF7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2A9E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D962E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乔木整枝抹芽修剪乔木服务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DEAE1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91155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2FD31F">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6FAC8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D315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16AA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DA87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灌木整枝抹芽修剪服务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39A6D9">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1EFC57">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BA5576">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F6FD49">
            <w:pPr>
              <w:jc w:val="center"/>
              <w:rPr>
                <w:rFonts w:hint="eastAsia" w:ascii="宋体" w:hAnsi="宋体" w:eastAsia="宋体" w:cs="宋体"/>
                <w:i w:val="0"/>
                <w:iCs w:val="0"/>
                <w:color w:val="000000"/>
                <w:sz w:val="22"/>
                <w:szCs w:val="22"/>
                <w:u w:val="none"/>
              </w:rPr>
            </w:pPr>
          </w:p>
        </w:tc>
      </w:tr>
      <w:tr w14:paraId="4594B3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33D7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DFA8FD">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人工修剪绿篱、花灌木服务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DAB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BF2C9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04082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8A16F">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D75735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45702F">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261E3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人工修剪球类服务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E059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D8B33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A30D9D">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C210C">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6568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3852F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第600-1章  绿化及环境保护设施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EB85DD">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C9856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1B6EA">
            <w:pPr>
              <w:keepNext w:val="0"/>
              <w:keepLines w:val="0"/>
              <w:widowControl/>
              <w:suppressLineNumbers w:val="0"/>
              <w:jc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lang w:val="en-US" w:eastAsia="zh-CN" w:bidi="ar"/>
              </w:rPr>
              <w:t>清单 第600-2章  绿化及环境保护设施（（单价类）</w:t>
            </w:r>
          </w:p>
        </w:tc>
      </w:tr>
      <w:tr w14:paraId="6AC02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F567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子目号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DD3610">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子  目  名  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37D1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单位</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AC26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数量</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F405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单价</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8A87C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合价</w:t>
            </w:r>
          </w:p>
        </w:tc>
      </w:tr>
      <w:tr w14:paraId="7BEBE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C8BFC1">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A8ADF7">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刨伐死树、树根服务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40665">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01A5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E2C1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3348B1">
            <w:pPr>
              <w:jc w:val="center"/>
              <w:rPr>
                <w:rFonts w:hint="eastAsia" w:ascii="宋体" w:hAnsi="宋体" w:eastAsia="宋体" w:cs="宋体"/>
                <w:i w:val="0"/>
                <w:iCs w:val="0"/>
                <w:color w:val="000000"/>
                <w:sz w:val="22"/>
                <w:szCs w:val="22"/>
                <w:u w:val="none"/>
              </w:rPr>
            </w:pPr>
          </w:p>
        </w:tc>
      </w:tr>
      <w:tr w14:paraId="4D0CA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A863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BD085B">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刨伐死树、树根服务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EBCA4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C361E">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C982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B03F1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47D727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A610D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7BFBD8">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绿化扶正服务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E1B48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6D55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6D0CEB">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3571F">
            <w:pPr>
              <w:jc w:val="center"/>
              <w:rPr>
                <w:rFonts w:hint="eastAsia" w:ascii="宋体" w:hAnsi="宋体" w:eastAsia="宋体" w:cs="宋体"/>
                <w:i w:val="0"/>
                <w:iCs w:val="0"/>
                <w:color w:val="000000"/>
                <w:sz w:val="22"/>
                <w:szCs w:val="22"/>
                <w:u w:val="none"/>
              </w:rPr>
            </w:pPr>
          </w:p>
        </w:tc>
      </w:tr>
      <w:tr w14:paraId="1B959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C15D8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79A2F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乔木扶正服务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CF63A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3F327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E7A78">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57BE56">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5CA00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4472A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477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DEB2EF4">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灌木扶正服务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CB43A">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株</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650AC">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FDCCD1">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357CC4">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0D7A2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76E1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A016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撒播混播草花籽服务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3C05C">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33AE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39EFC8">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BADE">
            <w:pPr>
              <w:jc w:val="center"/>
              <w:rPr>
                <w:rFonts w:hint="eastAsia" w:ascii="宋体" w:hAnsi="宋体" w:eastAsia="宋体" w:cs="宋体"/>
                <w:i w:val="0"/>
                <w:iCs w:val="0"/>
                <w:color w:val="000000"/>
                <w:sz w:val="22"/>
                <w:szCs w:val="22"/>
                <w:u w:val="none"/>
              </w:rPr>
            </w:pPr>
          </w:p>
        </w:tc>
      </w:tr>
      <w:tr w14:paraId="01638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B7443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1F142">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撒播混播花籽服务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D1AF4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m2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D7CC99">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13FC0">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2ED9">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72C35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7317A7">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542600">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苗木补植服务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A0386D">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0D623">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DA26D2">
            <w:pPr>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76795">
            <w:pPr>
              <w:jc w:val="center"/>
              <w:rPr>
                <w:rFonts w:hint="eastAsia" w:ascii="宋体" w:hAnsi="宋体" w:eastAsia="宋体" w:cs="宋体"/>
                <w:i w:val="0"/>
                <w:iCs w:val="0"/>
                <w:color w:val="000000"/>
                <w:sz w:val="22"/>
                <w:szCs w:val="22"/>
                <w:u w:val="none"/>
              </w:rPr>
            </w:pPr>
          </w:p>
        </w:tc>
      </w:tr>
      <w:tr w14:paraId="1457A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C7B48">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-a</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25AD5F">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榉树补植服务 （胸径10-12cm）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B5B9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CD03C5">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120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1B4FB3">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16C1DA">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2E207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9310B">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-b</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606811">
            <w:pPr>
              <w:keepNext w:val="0"/>
              <w:keepLines w:val="0"/>
              <w:widowControl/>
              <w:suppressLineNumbers w:val="0"/>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紫薇补植服务 （地径7-8cm）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5DE25D">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棵</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9B5BA2">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CD7DE2">
            <w:pPr>
              <w:keepNext w:val="0"/>
              <w:keepLines w:val="0"/>
              <w:widowControl/>
              <w:suppressLineNumbers w:val="0"/>
              <w:jc w:val="center"/>
              <w:rPr>
                <w:rFonts w:hint="eastAsia" w:ascii="宋体" w:hAnsi="宋体" w:eastAsia="宋体" w:cs="宋体"/>
                <w:i w:val="0"/>
                <w:iCs w:val="0"/>
                <w:color w:val="000000"/>
                <w:sz w:val="22"/>
                <w:szCs w:val="22"/>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DA2D3">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321A4E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3"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1588A4">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第600-2章  绿化及环境保护设施</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BCB72B">
            <w:pPr>
              <w:keepNext w:val="0"/>
              <w:keepLines w:val="0"/>
              <w:widowControl/>
              <w:suppressLineNumbers w:val="0"/>
              <w:jc w:val="center"/>
              <w:rPr>
                <w:rFonts w:hint="eastAsia" w:ascii="宋体" w:hAnsi="宋体" w:eastAsia="宋体" w:cs="宋体"/>
                <w:i w:val="0"/>
                <w:iCs w:val="0"/>
                <w:color w:val="000000"/>
                <w:sz w:val="22"/>
                <w:szCs w:val="22"/>
                <w:u w:val="none"/>
              </w:rPr>
            </w:pPr>
          </w:p>
        </w:tc>
      </w:tr>
      <w:tr w14:paraId="658EC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8"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09EA86">
            <w:pPr>
              <w:keepNext w:val="0"/>
              <w:keepLines w:val="0"/>
              <w:widowControl/>
              <w:suppressLineNumbers w:val="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lang w:val="en-US" w:eastAsia="zh-CN" w:bidi="ar"/>
              </w:rPr>
              <w:t>清单  第600 章合计   人民币</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4A8836">
            <w:pPr>
              <w:keepNext w:val="0"/>
              <w:keepLines w:val="0"/>
              <w:widowControl/>
              <w:suppressLineNumbers w:val="0"/>
              <w:jc w:val="center"/>
              <w:rPr>
                <w:rFonts w:hint="eastAsia" w:ascii="宋体" w:hAnsi="宋体" w:eastAsia="宋体" w:cs="宋体"/>
                <w:b/>
                <w:bCs/>
                <w:i w:val="0"/>
                <w:iCs w:val="0"/>
                <w:color w:val="000000"/>
                <w:sz w:val="22"/>
                <w:szCs w:val="22"/>
                <w:u w:val="none"/>
              </w:rPr>
            </w:pPr>
          </w:p>
        </w:tc>
      </w:tr>
    </w:tbl>
    <w:p w14:paraId="437D291E">
      <w:pPr>
        <w:rPr>
          <w:rFonts w:hint="default" w:ascii="Calibri" w:hAnsi="Calibri"/>
        </w:rPr>
      </w:pPr>
    </w:p>
    <w:p w14:paraId="0177273C">
      <w:pPr>
        <w:keepNext w:val="0"/>
        <w:keepLines w:val="0"/>
        <w:pageBreakBefore w:val="0"/>
        <w:widowControl/>
        <w:spacing w:after="0" w:line="240" w:lineRule="auto"/>
        <w:ind w:firstLine="0"/>
        <w:jc w:val="left"/>
        <w:outlineLvl w:val="9"/>
        <w:rPr>
          <w:rFonts w:hint="eastAsia" w:ascii="宋体" w:hAnsi="宋体" w:eastAsia="宋体" w:cs="Times New Roman"/>
          <w:b/>
          <w:sz w:val="21"/>
          <w:szCs w:val="21"/>
          <w:lang w:val="zh-CN" w:eastAsia="zh-CN" w:bidi="en-US"/>
        </w:rPr>
      </w:pPr>
      <w:r>
        <w:rPr>
          <w:rFonts w:hint="eastAsia" w:ascii="宋体" w:hAnsi="宋体" w:eastAsia="宋体" w:cs="Times New Roman"/>
          <w:b/>
          <w:sz w:val="21"/>
          <w:szCs w:val="21"/>
          <w:lang w:val="zh-CN" w:eastAsia="zh-CN" w:bidi="en-US"/>
        </w:rPr>
        <w:br w:type="page" w:clear="all"/>
      </w:r>
    </w:p>
    <w:p w14:paraId="22CE33DE">
      <w:pPr>
        <w:spacing w:line="360" w:lineRule="auto"/>
        <w:ind w:firstLine="420"/>
        <w:rPr>
          <w:rFonts w:hint="eastAsia" w:ascii="宋体" w:hAnsi="宋体" w:cs="宋体"/>
          <w:color w:val="000000"/>
          <w:szCs w:val="21"/>
          <w:lang w:val="zh-CN"/>
        </w:rPr>
      </w:pPr>
    </w:p>
    <w:p w14:paraId="28287E09">
      <w:pPr>
        <w:spacing w:line="360" w:lineRule="auto"/>
        <w:ind w:firstLine="420"/>
        <w:rPr>
          <w:rFonts w:hint="eastAsia" w:ascii="宋体" w:hAnsi="宋体" w:cs="宋体"/>
          <w:szCs w:val="21"/>
          <w:lang w:val="zh-CN"/>
        </w:rPr>
      </w:pPr>
      <w:r>
        <w:rPr>
          <w:rFonts w:hint="eastAsia" w:ascii="宋体" w:hAnsi="宋体" w:cs="宋体"/>
          <w:color w:val="000000"/>
          <w:szCs w:val="21"/>
          <w:lang w:val="zh-CN"/>
        </w:rPr>
        <w:t>供应商名称：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（加盖电子公章）</w:t>
      </w:r>
      <w:r>
        <w:rPr>
          <w:rFonts w:hint="eastAsia" w:ascii="宋体" w:hAnsi="宋体" w:cs="宋体"/>
          <w:szCs w:val="21"/>
          <w:lang w:val="zh-CN"/>
        </w:rPr>
        <w:t xml:space="preserve">                 </w:t>
      </w:r>
    </w:p>
    <w:p w14:paraId="7674F6E4">
      <w:pPr>
        <w:spacing w:line="360" w:lineRule="auto"/>
        <w:ind w:firstLine="420"/>
        <w:rPr>
          <w:rFonts w:hint="eastAsia" w:ascii="宋体" w:hAnsi="宋体" w:cs="宋体"/>
          <w:color w:val="000000"/>
          <w:szCs w:val="21"/>
          <w:lang w:val="zh-CN"/>
        </w:rPr>
      </w:pPr>
      <w:r>
        <w:rPr>
          <w:rFonts w:hint="eastAsia" w:ascii="宋体" w:hAnsi="宋体" w:cs="宋体"/>
          <w:color w:val="000000"/>
          <w:szCs w:val="21"/>
          <w:lang w:val="zh-CN"/>
        </w:rPr>
        <w:t>日    期：</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年</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月</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日</w:t>
      </w:r>
    </w:p>
    <w:p w14:paraId="720D901C">
      <w:pPr>
        <w:widowControl/>
        <w:spacing w:line="360" w:lineRule="auto"/>
        <w:ind w:firstLine="420"/>
        <w:jc w:val="left"/>
        <w:rPr>
          <w:rFonts w:hint="eastAsia" w:ascii="宋体" w:hAnsi="宋体" w:cs="宋体"/>
          <w:szCs w:val="21"/>
          <w:lang w:val="zh-CN"/>
        </w:rPr>
      </w:pPr>
      <w:r>
        <w:rPr>
          <w:rFonts w:hint="eastAsia" w:ascii="宋体" w:hAnsi="宋体" w:cs="宋体"/>
          <w:color w:val="000000"/>
          <w:szCs w:val="21"/>
          <w:lang w:val="zh-CN"/>
        </w:rPr>
        <w:t>说明：如果行数不够，请自行增加。</w:t>
      </w:r>
    </w:p>
    <w:p w14:paraId="063EE917">
      <w:pPr>
        <w:pStyle w:val="42"/>
        <w:ind w:firstLine="400"/>
        <w:rPr>
          <w:rFonts w:hint="eastAsia" w:eastAsia="宋体"/>
          <w:lang w:eastAsia="zh-CN"/>
        </w:rPr>
        <w:sectPr>
          <w:endnotePr>
            <w:numFmt w:val="decimal"/>
          </w:endnotePr>
          <w:pgSz w:w="12240" w:h="15840"/>
          <w:pgMar w:top="1440" w:right="1134" w:bottom="1440" w:left="1134" w:header="720" w:footer="720" w:gutter="0"/>
          <w:cols w:space="1701" w:num="1"/>
          <w:docGrid w:linePitch="360" w:charSpace="0"/>
        </w:sectPr>
      </w:pPr>
    </w:p>
    <w:p w14:paraId="187FDCBF">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目录五、资格证明文件</w:t>
      </w:r>
    </w:p>
    <w:p w14:paraId="31163E03">
      <w:pPr>
        <w:widowControl/>
        <w:spacing w:line="360" w:lineRule="auto"/>
        <w:jc w:val="center"/>
        <w:rPr>
          <w:rFonts w:hint="eastAsia" w:ascii="宋体" w:hAnsi="宋体" w:cs="宋体"/>
          <w:b/>
          <w:color w:val="000000"/>
          <w:sz w:val="22"/>
          <w:szCs w:val="22"/>
          <w:lang w:val="zh-CN"/>
        </w:rPr>
      </w:pPr>
      <w:bookmarkStart w:id="4" w:name="_Toc489655335"/>
      <w:r>
        <w:rPr>
          <w:rFonts w:hint="eastAsia" w:ascii="宋体" w:hAnsi="宋体" w:cs="宋体"/>
          <w:b/>
          <w:color w:val="000000"/>
          <w:sz w:val="22"/>
          <w:szCs w:val="22"/>
          <w:lang w:val="zh-CN"/>
        </w:rPr>
        <w:t>资格证明文件</w:t>
      </w:r>
      <w:bookmarkEnd w:id="4"/>
    </w:p>
    <w:p w14:paraId="56025BB0">
      <w:pPr>
        <w:pStyle w:val="42"/>
        <w:numPr>
          <w:ilvl w:val="0"/>
          <w:numId w:val="7"/>
        </w:numPr>
        <w:ind w:firstLine="422"/>
        <w:rPr>
          <w:rFonts w:hint="eastAsia" w:ascii="宋体" w:hAnsi="宋体" w:eastAsia="宋体"/>
          <w:b/>
          <w:color w:val="000000"/>
          <w:sz w:val="22"/>
          <w:szCs w:val="22"/>
          <w:lang w:val="en-US"/>
        </w:rPr>
      </w:pPr>
      <w:r>
        <w:rPr>
          <w:rFonts w:hint="eastAsia" w:ascii="宋体" w:hAnsi="宋体" w:eastAsia="宋体"/>
          <w:b/>
          <w:color w:val="000000"/>
          <w:sz w:val="22"/>
          <w:szCs w:val="22"/>
          <w:lang w:val="en-US"/>
        </w:rPr>
        <w:t>营业执照</w:t>
      </w:r>
    </w:p>
    <w:p w14:paraId="3B6F00C5">
      <w:pPr>
        <w:pStyle w:val="42"/>
        <w:numPr>
          <w:ilvl w:val="0"/>
          <w:numId w:val="7"/>
        </w:numPr>
        <w:ind w:firstLine="422"/>
        <w:rPr>
          <w:rFonts w:hint="eastAsia" w:ascii="宋体" w:hAnsi="宋体" w:eastAsia="宋体"/>
          <w:b/>
          <w:color w:val="000000"/>
          <w:sz w:val="22"/>
          <w:szCs w:val="22"/>
          <w:lang w:val="en-US"/>
        </w:rPr>
      </w:pPr>
      <w:r>
        <w:rPr>
          <w:rFonts w:hint="eastAsia" w:ascii="宋体" w:hAnsi="宋体" w:eastAsia="宋体"/>
          <w:b/>
          <w:color w:val="000000"/>
          <w:sz w:val="22"/>
          <w:szCs w:val="22"/>
          <w:lang w:val="en-US"/>
        </w:rPr>
        <w:t>其他相关内容</w:t>
      </w:r>
    </w:p>
    <w:p w14:paraId="6C0F9378">
      <w:pPr>
        <w:jc w:val="center"/>
        <w:rPr>
          <w:rFonts w:hint="eastAsia"/>
          <w:sz w:val="22"/>
          <w:szCs w:val="22"/>
        </w:rPr>
      </w:pPr>
      <w:r>
        <w:rPr>
          <w:rFonts w:hint="eastAsia"/>
          <w:sz w:val="22"/>
          <w:szCs w:val="22"/>
          <w:lang w:val="zh-CN"/>
        </w:rPr>
        <w:t>（按招标文件要求逐条提供）</w:t>
      </w:r>
    </w:p>
    <w:p w14:paraId="0E3A320A">
      <w:pPr>
        <w:widowControl/>
        <w:spacing w:line="360" w:lineRule="auto"/>
        <w:jc w:val="left"/>
        <w:rPr>
          <w:rFonts w:hint="eastAsia" w:ascii="宋体" w:hAnsi="宋体" w:cs="宋体"/>
          <w:sz w:val="22"/>
          <w:szCs w:val="22"/>
          <w:lang w:val="zh-CN"/>
        </w:rPr>
      </w:pPr>
    </w:p>
    <w:p w14:paraId="723FD31A">
      <w:pPr>
        <w:widowControl/>
        <w:spacing w:line="360" w:lineRule="auto"/>
        <w:jc w:val="left"/>
        <w:rPr>
          <w:rFonts w:hint="eastAsia" w:ascii="宋体" w:hAnsi="宋体" w:cs="宋体"/>
          <w:color w:val="000000"/>
          <w:sz w:val="22"/>
          <w:szCs w:val="22"/>
          <w:lang w:val="zh-CN"/>
        </w:rPr>
      </w:pPr>
    </w:p>
    <w:p w14:paraId="09F0971F">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目录六、商务条款偏离表格式</w:t>
      </w:r>
    </w:p>
    <w:p w14:paraId="77760388">
      <w:pPr>
        <w:widowControl/>
        <w:spacing w:line="360" w:lineRule="auto"/>
        <w:jc w:val="center"/>
        <w:rPr>
          <w:rFonts w:hint="eastAsia" w:ascii="宋体" w:hAnsi="宋体" w:cs="宋体"/>
          <w:b/>
          <w:color w:val="000000"/>
          <w:sz w:val="22"/>
          <w:szCs w:val="22"/>
          <w:lang w:val="zh-CN"/>
        </w:rPr>
      </w:pPr>
      <w:r>
        <w:rPr>
          <w:rFonts w:hint="eastAsia" w:ascii="宋体" w:hAnsi="宋体" w:cs="宋体"/>
          <w:b/>
          <w:color w:val="000000"/>
          <w:sz w:val="22"/>
          <w:szCs w:val="22"/>
          <w:lang w:val="zh-CN"/>
        </w:rPr>
        <w:t>商务条款偏离表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1"/>
        <w:gridCol w:w="1620"/>
        <w:gridCol w:w="2700"/>
        <w:gridCol w:w="1415"/>
        <w:gridCol w:w="1458"/>
        <w:gridCol w:w="1372"/>
      </w:tblGrid>
      <w:tr w14:paraId="08166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tblHeader/>
          <w:jc w:val="center"/>
        </w:trPr>
        <w:tc>
          <w:tcPr>
            <w:tcW w:w="6386" w:type="dxa"/>
            <w:gridSpan w:val="4"/>
            <w:noWrap w:val="0"/>
            <w:vAlign w:val="center"/>
          </w:tcPr>
          <w:p w14:paraId="3AC17A44">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项目名称：</w:t>
            </w:r>
          </w:p>
        </w:tc>
        <w:tc>
          <w:tcPr>
            <w:tcW w:w="2830" w:type="dxa"/>
            <w:gridSpan w:val="2"/>
            <w:noWrap w:val="0"/>
            <w:vAlign w:val="center"/>
          </w:tcPr>
          <w:p w14:paraId="615A710F">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项目编号：</w:t>
            </w:r>
            <w:r>
              <w:rPr>
                <w:rFonts w:hint="eastAsia" w:ascii="宋体" w:hAnsi="宋体" w:cs="宋体"/>
                <w:b/>
                <w:color w:val="000000"/>
                <w:sz w:val="22"/>
                <w:szCs w:val="22"/>
                <w:u w:val="single"/>
                <w:lang w:val="zh-CN"/>
              </w:rPr>
              <w:t xml:space="preserve">                </w:t>
            </w:r>
            <w:r>
              <w:rPr>
                <w:rFonts w:hint="eastAsia" w:ascii="宋体" w:hAnsi="宋体" w:cs="宋体"/>
                <w:color w:val="000000"/>
                <w:sz w:val="22"/>
                <w:szCs w:val="22"/>
                <w:lang w:val="zh-CN"/>
              </w:rPr>
              <w:t xml:space="preserve"> </w:t>
            </w:r>
          </w:p>
        </w:tc>
      </w:tr>
      <w:tr w14:paraId="70A27C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585B5D1">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序号</w:t>
            </w:r>
          </w:p>
        </w:tc>
        <w:tc>
          <w:tcPr>
            <w:tcW w:w="1620" w:type="dxa"/>
            <w:noWrap w:val="0"/>
            <w:vAlign w:val="center"/>
          </w:tcPr>
          <w:p w14:paraId="06FE8AF0">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招标文件条目号</w:t>
            </w:r>
          </w:p>
        </w:tc>
        <w:tc>
          <w:tcPr>
            <w:tcW w:w="2700" w:type="dxa"/>
            <w:noWrap w:val="0"/>
            <w:vAlign w:val="center"/>
          </w:tcPr>
          <w:p w14:paraId="0913B4E1">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招标文件要求的商务条款</w:t>
            </w:r>
          </w:p>
        </w:tc>
        <w:tc>
          <w:tcPr>
            <w:tcW w:w="2873" w:type="dxa"/>
            <w:gridSpan w:val="2"/>
            <w:noWrap w:val="0"/>
            <w:vAlign w:val="center"/>
          </w:tcPr>
          <w:p w14:paraId="01125AAA">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投标响应</w:t>
            </w:r>
          </w:p>
        </w:tc>
        <w:tc>
          <w:tcPr>
            <w:tcW w:w="1372" w:type="dxa"/>
            <w:noWrap w:val="0"/>
            <w:vAlign w:val="center"/>
          </w:tcPr>
          <w:p w14:paraId="11369A0A">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偏离</w:t>
            </w:r>
          </w:p>
        </w:tc>
      </w:tr>
      <w:tr w14:paraId="01AC0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03F10994">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72B0898B">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6A086307">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20703276">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5A4314C7">
            <w:pPr>
              <w:widowControl/>
              <w:spacing w:line="360" w:lineRule="auto"/>
              <w:jc w:val="center"/>
              <w:rPr>
                <w:rFonts w:hint="eastAsia" w:ascii="宋体" w:hAnsi="宋体" w:cs="宋体"/>
                <w:color w:val="000000"/>
                <w:sz w:val="22"/>
                <w:szCs w:val="22"/>
                <w:lang w:val="zh-CN"/>
              </w:rPr>
            </w:pPr>
          </w:p>
        </w:tc>
      </w:tr>
      <w:tr w14:paraId="4FEF8E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32C37D21">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722833EF">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64802B60">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2CC5CC6D">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00CD6D12">
            <w:pPr>
              <w:widowControl/>
              <w:spacing w:line="360" w:lineRule="auto"/>
              <w:jc w:val="center"/>
              <w:rPr>
                <w:rFonts w:hint="eastAsia" w:ascii="宋体" w:hAnsi="宋体" w:cs="宋体"/>
                <w:color w:val="000000"/>
                <w:sz w:val="22"/>
                <w:szCs w:val="22"/>
                <w:lang w:val="zh-CN"/>
              </w:rPr>
            </w:pPr>
          </w:p>
        </w:tc>
      </w:tr>
      <w:tr w14:paraId="007FEC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20348BF">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13206796">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4F70BDD0">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2AD9CDBA">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28C41795">
            <w:pPr>
              <w:widowControl/>
              <w:spacing w:line="360" w:lineRule="auto"/>
              <w:jc w:val="center"/>
              <w:rPr>
                <w:rFonts w:hint="eastAsia" w:ascii="宋体" w:hAnsi="宋体" w:cs="宋体"/>
                <w:color w:val="000000"/>
                <w:sz w:val="22"/>
                <w:szCs w:val="22"/>
                <w:lang w:val="zh-CN"/>
              </w:rPr>
            </w:pPr>
          </w:p>
        </w:tc>
      </w:tr>
      <w:tr w14:paraId="3B6CDC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2BBDD5A">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52BE22DA">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70A3FF60">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71643B19">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68C7E8B5">
            <w:pPr>
              <w:widowControl/>
              <w:spacing w:line="360" w:lineRule="auto"/>
              <w:jc w:val="center"/>
              <w:rPr>
                <w:rFonts w:hint="eastAsia" w:ascii="宋体" w:hAnsi="宋体" w:cs="宋体"/>
                <w:color w:val="000000"/>
                <w:sz w:val="22"/>
                <w:szCs w:val="22"/>
                <w:lang w:val="zh-CN"/>
              </w:rPr>
            </w:pPr>
          </w:p>
        </w:tc>
      </w:tr>
      <w:tr w14:paraId="04871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1FD8DD0A">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1D1B4628">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3FDFDE2F">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597EEECE">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6C2DB74A">
            <w:pPr>
              <w:widowControl/>
              <w:spacing w:line="360" w:lineRule="auto"/>
              <w:jc w:val="center"/>
              <w:rPr>
                <w:rFonts w:hint="eastAsia" w:ascii="宋体" w:hAnsi="宋体" w:cs="宋体"/>
                <w:color w:val="000000"/>
                <w:sz w:val="22"/>
                <w:szCs w:val="22"/>
                <w:lang w:val="zh-CN"/>
              </w:rPr>
            </w:pPr>
          </w:p>
        </w:tc>
      </w:tr>
      <w:tr w14:paraId="3E38E8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 w:hRule="atLeast"/>
          <w:jc w:val="center"/>
        </w:trPr>
        <w:tc>
          <w:tcPr>
            <w:tcW w:w="651" w:type="dxa"/>
            <w:noWrap w:val="0"/>
            <w:vAlign w:val="center"/>
          </w:tcPr>
          <w:p w14:paraId="712CB9D9">
            <w:pPr>
              <w:widowControl/>
              <w:spacing w:line="360" w:lineRule="auto"/>
              <w:jc w:val="center"/>
              <w:rPr>
                <w:rFonts w:hint="eastAsia" w:ascii="宋体" w:hAnsi="宋体" w:cs="宋体"/>
                <w:color w:val="000000"/>
                <w:sz w:val="22"/>
                <w:szCs w:val="22"/>
                <w:lang w:val="zh-CN"/>
              </w:rPr>
            </w:pPr>
          </w:p>
        </w:tc>
        <w:tc>
          <w:tcPr>
            <w:tcW w:w="1620" w:type="dxa"/>
            <w:noWrap w:val="0"/>
            <w:vAlign w:val="center"/>
          </w:tcPr>
          <w:p w14:paraId="5FDEF509">
            <w:pPr>
              <w:widowControl/>
              <w:spacing w:line="360" w:lineRule="auto"/>
              <w:jc w:val="center"/>
              <w:rPr>
                <w:rFonts w:hint="eastAsia" w:ascii="宋体" w:hAnsi="宋体" w:cs="宋体"/>
                <w:color w:val="000000"/>
                <w:sz w:val="22"/>
                <w:szCs w:val="22"/>
                <w:lang w:val="zh-CN"/>
              </w:rPr>
            </w:pPr>
          </w:p>
        </w:tc>
        <w:tc>
          <w:tcPr>
            <w:tcW w:w="2700" w:type="dxa"/>
            <w:noWrap w:val="0"/>
            <w:vAlign w:val="center"/>
          </w:tcPr>
          <w:p w14:paraId="5663F57A">
            <w:pPr>
              <w:widowControl/>
              <w:spacing w:line="360" w:lineRule="auto"/>
              <w:jc w:val="center"/>
              <w:rPr>
                <w:rFonts w:hint="eastAsia" w:ascii="宋体" w:hAnsi="宋体" w:cs="宋体"/>
                <w:color w:val="000000"/>
                <w:sz w:val="22"/>
                <w:szCs w:val="22"/>
                <w:lang w:val="zh-CN"/>
              </w:rPr>
            </w:pPr>
          </w:p>
        </w:tc>
        <w:tc>
          <w:tcPr>
            <w:tcW w:w="2873" w:type="dxa"/>
            <w:gridSpan w:val="2"/>
            <w:noWrap w:val="0"/>
            <w:vAlign w:val="center"/>
          </w:tcPr>
          <w:p w14:paraId="5D072196">
            <w:pPr>
              <w:widowControl/>
              <w:spacing w:line="360" w:lineRule="auto"/>
              <w:jc w:val="center"/>
              <w:rPr>
                <w:rFonts w:hint="eastAsia" w:ascii="宋体" w:hAnsi="宋体" w:cs="宋体"/>
                <w:color w:val="000000"/>
                <w:sz w:val="22"/>
                <w:szCs w:val="22"/>
                <w:lang w:val="zh-CN"/>
              </w:rPr>
            </w:pPr>
          </w:p>
        </w:tc>
        <w:tc>
          <w:tcPr>
            <w:tcW w:w="1372" w:type="dxa"/>
            <w:noWrap w:val="0"/>
            <w:vAlign w:val="center"/>
          </w:tcPr>
          <w:p w14:paraId="3E674990">
            <w:pPr>
              <w:widowControl/>
              <w:spacing w:line="360" w:lineRule="auto"/>
              <w:jc w:val="center"/>
              <w:rPr>
                <w:rFonts w:hint="eastAsia" w:ascii="宋体" w:hAnsi="宋体" w:cs="宋体"/>
                <w:color w:val="000000"/>
                <w:sz w:val="22"/>
                <w:szCs w:val="22"/>
                <w:lang w:val="zh-CN"/>
              </w:rPr>
            </w:pPr>
          </w:p>
        </w:tc>
      </w:tr>
      <w:tr w14:paraId="469191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51" w:type="dxa"/>
            <w:noWrap w:val="0"/>
            <w:vAlign w:val="center"/>
          </w:tcPr>
          <w:p w14:paraId="7F088403">
            <w:pPr>
              <w:widowControl/>
              <w:spacing w:line="360" w:lineRule="auto"/>
              <w:jc w:val="center"/>
              <w:rPr>
                <w:rFonts w:hint="eastAsia" w:ascii="宋体" w:hAnsi="宋体" w:cs="宋体"/>
                <w:color w:val="000000"/>
                <w:sz w:val="22"/>
                <w:szCs w:val="22"/>
              </w:rPr>
            </w:pPr>
          </w:p>
        </w:tc>
        <w:tc>
          <w:tcPr>
            <w:tcW w:w="1620" w:type="dxa"/>
            <w:noWrap w:val="0"/>
            <w:vAlign w:val="center"/>
          </w:tcPr>
          <w:p w14:paraId="26FCC13A">
            <w:pPr>
              <w:widowControl/>
              <w:spacing w:line="360" w:lineRule="auto"/>
              <w:jc w:val="center"/>
              <w:rPr>
                <w:rFonts w:hint="eastAsia" w:ascii="宋体" w:hAnsi="宋体" w:cs="宋体"/>
                <w:color w:val="000000"/>
                <w:sz w:val="22"/>
                <w:szCs w:val="22"/>
              </w:rPr>
            </w:pPr>
          </w:p>
        </w:tc>
        <w:tc>
          <w:tcPr>
            <w:tcW w:w="2700" w:type="dxa"/>
            <w:noWrap w:val="0"/>
            <w:vAlign w:val="center"/>
          </w:tcPr>
          <w:p w14:paraId="658A65F9">
            <w:pPr>
              <w:widowControl/>
              <w:spacing w:line="360" w:lineRule="auto"/>
              <w:jc w:val="center"/>
              <w:rPr>
                <w:rFonts w:hint="eastAsia" w:ascii="宋体" w:hAnsi="宋体" w:cs="宋体"/>
                <w:color w:val="000000"/>
                <w:sz w:val="22"/>
                <w:szCs w:val="22"/>
              </w:rPr>
            </w:pPr>
          </w:p>
        </w:tc>
        <w:tc>
          <w:tcPr>
            <w:tcW w:w="2873" w:type="dxa"/>
            <w:gridSpan w:val="2"/>
            <w:noWrap w:val="0"/>
            <w:vAlign w:val="center"/>
          </w:tcPr>
          <w:p w14:paraId="119E23F1">
            <w:pPr>
              <w:widowControl/>
              <w:spacing w:line="360" w:lineRule="auto"/>
              <w:jc w:val="center"/>
              <w:rPr>
                <w:rFonts w:hint="eastAsia" w:ascii="宋体" w:hAnsi="宋体" w:cs="宋体"/>
                <w:color w:val="000000"/>
                <w:sz w:val="22"/>
                <w:szCs w:val="22"/>
              </w:rPr>
            </w:pPr>
          </w:p>
        </w:tc>
        <w:tc>
          <w:tcPr>
            <w:tcW w:w="1372" w:type="dxa"/>
            <w:noWrap w:val="0"/>
            <w:vAlign w:val="center"/>
          </w:tcPr>
          <w:p w14:paraId="5D9E914E">
            <w:pPr>
              <w:widowControl/>
              <w:spacing w:line="360" w:lineRule="auto"/>
              <w:jc w:val="center"/>
              <w:rPr>
                <w:rFonts w:hint="eastAsia" w:ascii="宋体" w:hAnsi="宋体" w:cs="宋体"/>
                <w:color w:val="000000"/>
                <w:sz w:val="22"/>
                <w:szCs w:val="22"/>
              </w:rPr>
            </w:pPr>
          </w:p>
        </w:tc>
      </w:tr>
    </w:tbl>
    <w:p w14:paraId="277FF43D">
      <w:pPr>
        <w:widowControl/>
        <w:spacing w:line="360" w:lineRule="auto"/>
        <w:jc w:val="left"/>
        <w:rPr>
          <w:rFonts w:hint="eastAsia" w:ascii="宋体" w:hAnsi="宋体" w:cs="宋体"/>
          <w:color w:val="000000"/>
          <w:sz w:val="22"/>
          <w:szCs w:val="22"/>
          <w:lang w:val="zh-CN"/>
        </w:rPr>
      </w:pPr>
    </w:p>
    <w:p w14:paraId="53DCF1DD">
      <w:pPr>
        <w:widowControl/>
        <w:spacing w:line="360" w:lineRule="auto"/>
        <w:ind w:firstLine="420"/>
        <w:jc w:val="left"/>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3403605B">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5CEE80F4">
      <w:pPr>
        <w:widowControl/>
        <w:spacing w:line="360" w:lineRule="auto"/>
        <w:ind w:firstLine="420"/>
        <w:jc w:val="left"/>
        <w:rPr>
          <w:rFonts w:hint="eastAsia" w:ascii="宋体" w:hAnsi="宋体" w:cs="宋体"/>
          <w:sz w:val="22"/>
          <w:szCs w:val="22"/>
          <w:lang w:val="zh-CN"/>
        </w:rPr>
      </w:pPr>
      <w:r>
        <w:rPr>
          <w:rFonts w:hint="eastAsia" w:ascii="宋体" w:hAnsi="宋体" w:cs="宋体"/>
          <w:color w:val="000000"/>
          <w:sz w:val="22"/>
          <w:szCs w:val="22"/>
          <w:lang w:val="zh-CN"/>
        </w:rPr>
        <w:t>说明：如果行数不够，请自行增加。</w:t>
      </w:r>
    </w:p>
    <w:p w14:paraId="66B5A844">
      <w:pPr>
        <w:widowControl/>
        <w:spacing w:line="360" w:lineRule="auto"/>
        <w:jc w:val="left"/>
        <w:rPr>
          <w:rFonts w:hint="eastAsia" w:ascii="宋体" w:hAnsi="宋体" w:cs="宋体"/>
          <w:color w:val="000000"/>
          <w:sz w:val="22"/>
          <w:szCs w:val="22"/>
          <w:lang w:val="zh-CN"/>
        </w:rPr>
      </w:pPr>
    </w:p>
    <w:p w14:paraId="789D46E2">
      <w:pPr>
        <w:spacing w:line="360" w:lineRule="auto"/>
        <w:rPr>
          <w:rFonts w:hint="eastAsia" w:ascii="宋体" w:hAnsi="宋体" w:cs="宋体"/>
          <w:b/>
          <w:color w:val="000000"/>
          <w:sz w:val="22"/>
          <w:szCs w:val="22"/>
        </w:rPr>
      </w:pPr>
    </w:p>
    <w:p w14:paraId="3714971E">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679BF04A">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目录七、技术条款偏离表格式</w:t>
      </w:r>
    </w:p>
    <w:p w14:paraId="550BE3DA">
      <w:pPr>
        <w:spacing w:line="240" w:lineRule="atLeast"/>
        <w:jc w:val="center"/>
        <w:rPr>
          <w:rFonts w:hint="eastAsia" w:ascii="宋体" w:hAnsi="宋体" w:cs="宋体"/>
          <w:b/>
          <w:sz w:val="22"/>
          <w:szCs w:val="22"/>
          <w:lang w:val="zh-CN"/>
        </w:rPr>
      </w:pPr>
      <w:r>
        <w:rPr>
          <w:rFonts w:hint="eastAsia" w:ascii="宋体" w:hAnsi="宋体" w:cs="宋体"/>
          <w:b/>
          <w:sz w:val="22"/>
          <w:szCs w:val="22"/>
          <w:lang w:val="zh-CN"/>
        </w:rPr>
        <w:t>技术条款偏离表</w:t>
      </w:r>
    </w:p>
    <w:tbl>
      <w:tblPr>
        <w:tblStyle w:val="35"/>
        <w:tblW w:w="0" w:type="auto"/>
        <w:jc w:val="center"/>
        <w:tblLayout w:type="fixed"/>
        <w:tblCellMar>
          <w:top w:w="0" w:type="dxa"/>
          <w:left w:w="0" w:type="dxa"/>
          <w:bottom w:w="0" w:type="dxa"/>
          <w:right w:w="0" w:type="dxa"/>
        </w:tblCellMar>
      </w:tblPr>
      <w:tblGrid>
        <w:gridCol w:w="765"/>
        <w:gridCol w:w="1620"/>
        <w:gridCol w:w="2700"/>
        <w:gridCol w:w="1411"/>
        <w:gridCol w:w="1829"/>
        <w:gridCol w:w="1110"/>
      </w:tblGrid>
      <w:tr w14:paraId="6D9B6B22">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000000" w:sz="6" w:space="0"/>
              <w:right w:val="nil"/>
            </w:tcBorders>
            <w:noWrap w:val="0"/>
            <w:vAlign w:val="center"/>
          </w:tcPr>
          <w:p w14:paraId="7956D943">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项目名称：</w:t>
            </w:r>
          </w:p>
        </w:tc>
        <w:tc>
          <w:tcPr>
            <w:tcW w:w="2939" w:type="dxa"/>
            <w:gridSpan w:val="2"/>
            <w:tcBorders>
              <w:top w:val="nil"/>
              <w:left w:val="nil"/>
              <w:bottom w:val="single" w:color="000000" w:sz="6" w:space="0"/>
              <w:right w:val="nil"/>
            </w:tcBorders>
            <w:noWrap w:val="0"/>
            <w:vAlign w:val="center"/>
          </w:tcPr>
          <w:p w14:paraId="4FC5A659">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项目编号：</w:t>
            </w:r>
          </w:p>
        </w:tc>
      </w:tr>
      <w:tr w14:paraId="0D16336E">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22B300E9">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序号</w:t>
            </w: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194C5332">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招标文件条目号</w:t>
            </w: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E7B47D5">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招标要求规格</w:t>
            </w: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EE87E1C">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投标响应</w:t>
            </w: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501367C1">
            <w:pPr>
              <w:widowControl/>
              <w:spacing w:line="360" w:lineRule="auto"/>
              <w:jc w:val="center"/>
              <w:rPr>
                <w:rFonts w:hint="eastAsia" w:ascii="宋体" w:hAnsi="宋体" w:cs="宋体"/>
                <w:color w:val="000000"/>
                <w:sz w:val="22"/>
                <w:szCs w:val="22"/>
                <w:lang w:val="zh-CN"/>
              </w:rPr>
            </w:pPr>
            <w:r>
              <w:rPr>
                <w:rFonts w:hint="eastAsia" w:ascii="宋体" w:hAnsi="宋体" w:cs="宋体"/>
                <w:color w:val="000000"/>
                <w:sz w:val="22"/>
                <w:szCs w:val="22"/>
                <w:lang w:val="zh-CN"/>
              </w:rPr>
              <w:t>偏离</w:t>
            </w:r>
          </w:p>
        </w:tc>
      </w:tr>
      <w:tr w14:paraId="2C252F86">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7CAD778E">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16BDF09C">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5AA1CFB">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4A4BDEA">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353192F5">
            <w:pPr>
              <w:widowControl/>
              <w:spacing w:line="360" w:lineRule="auto"/>
              <w:jc w:val="center"/>
              <w:rPr>
                <w:rFonts w:hint="eastAsia" w:ascii="宋体" w:hAnsi="宋体" w:cs="宋体"/>
                <w:color w:val="000000"/>
                <w:sz w:val="22"/>
                <w:szCs w:val="22"/>
                <w:lang w:val="zh-CN"/>
              </w:rPr>
            </w:pPr>
          </w:p>
        </w:tc>
      </w:tr>
      <w:tr w14:paraId="1CA0C830">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09833BC6">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07EB2171">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1E0F9B1D">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1E2A1727">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465644D">
            <w:pPr>
              <w:widowControl/>
              <w:spacing w:line="360" w:lineRule="auto"/>
              <w:jc w:val="center"/>
              <w:rPr>
                <w:rFonts w:hint="eastAsia" w:ascii="宋体" w:hAnsi="宋体" w:cs="宋体"/>
                <w:color w:val="000000"/>
                <w:sz w:val="22"/>
                <w:szCs w:val="22"/>
                <w:lang w:val="zh-CN"/>
              </w:rPr>
            </w:pPr>
          </w:p>
        </w:tc>
      </w:tr>
      <w:tr w14:paraId="2F8F17A7">
        <w:tblPrEx>
          <w:tblCellMar>
            <w:top w:w="0" w:type="dxa"/>
            <w:left w:w="0" w:type="dxa"/>
            <w:bottom w:w="0" w:type="dxa"/>
            <w:right w:w="0" w:type="dxa"/>
          </w:tblCellMar>
        </w:tblPrEx>
        <w:trPr>
          <w:trHeight w:val="284" w:hRule="atLeast"/>
          <w:jc w:val="center"/>
        </w:trPr>
        <w:tc>
          <w:tcPr>
            <w:tcW w:w="765" w:type="dxa"/>
            <w:tcBorders>
              <w:top w:val="single" w:color="000000" w:sz="6" w:space="0"/>
              <w:left w:val="single" w:color="000000" w:sz="6" w:space="0"/>
              <w:bottom w:val="single" w:color="000000" w:sz="6" w:space="0"/>
              <w:right w:val="single" w:color="000000" w:sz="6" w:space="0"/>
            </w:tcBorders>
            <w:noWrap w:val="0"/>
            <w:vAlign w:val="center"/>
          </w:tcPr>
          <w:p w14:paraId="5AF05C72">
            <w:pPr>
              <w:widowControl/>
              <w:spacing w:line="360" w:lineRule="auto"/>
              <w:jc w:val="center"/>
              <w:rPr>
                <w:rFonts w:hint="eastAsia" w:ascii="宋体" w:hAnsi="宋体" w:cs="宋体"/>
                <w:color w:val="000000"/>
                <w:sz w:val="22"/>
                <w:szCs w:val="22"/>
                <w:lang w:val="zh-CN"/>
              </w:rPr>
            </w:pPr>
          </w:p>
        </w:tc>
        <w:tc>
          <w:tcPr>
            <w:tcW w:w="1620" w:type="dxa"/>
            <w:tcBorders>
              <w:top w:val="single" w:color="000000" w:sz="6" w:space="0"/>
              <w:left w:val="single" w:color="000000" w:sz="6" w:space="0"/>
              <w:bottom w:val="single" w:color="000000" w:sz="6" w:space="0"/>
              <w:right w:val="single" w:color="000000" w:sz="6" w:space="0"/>
            </w:tcBorders>
            <w:noWrap w:val="0"/>
            <w:vAlign w:val="center"/>
          </w:tcPr>
          <w:p w14:paraId="3D48C0E4">
            <w:pPr>
              <w:widowControl/>
              <w:spacing w:line="360" w:lineRule="auto"/>
              <w:jc w:val="center"/>
              <w:rPr>
                <w:rFonts w:hint="eastAsia" w:ascii="宋体" w:hAnsi="宋体" w:cs="宋体"/>
                <w:color w:val="000000"/>
                <w:sz w:val="22"/>
                <w:szCs w:val="22"/>
                <w:lang w:val="zh-CN"/>
              </w:rPr>
            </w:pPr>
          </w:p>
        </w:tc>
        <w:tc>
          <w:tcPr>
            <w:tcW w:w="2700" w:type="dxa"/>
            <w:tcBorders>
              <w:top w:val="single" w:color="000000" w:sz="6" w:space="0"/>
              <w:left w:val="single" w:color="000000" w:sz="6" w:space="0"/>
              <w:bottom w:val="single" w:color="000000" w:sz="6" w:space="0"/>
              <w:right w:val="single" w:color="000000" w:sz="6" w:space="0"/>
            </w:tcBorders>
            <w:noWrap w:val="0"/>
            <w:vAlign w:val="center"/>
          </w:tcPr>
          <w:p w14:paraId="653A422B">
            <w:pPr>
              <w:widowControl/>
              <w:spacing w:line="360" w:lineRule="auto"/>
              <w:jc w:val="center"/>
              <w:rPr>
                <w:rFonts w:hint="eastAsia" w:ascii="宋体" w:hAnsi="宋体" w:cs="宋体"/>
                <w:color w:val="000000"/>
                <w:sz w:val="22"/>
                <w:szCs w:val="22"/>
                <w:lang w:val="zh-CN"/>
              </w:rPr>
            </w:pPr>
          </w:p>
        </w:tc>
        <w:tc>
          <w:tcPr>
            <w:tcW w:w="3240" w:type="dxa"/>
            <w:gridSpan w:val="2"/>
            <w:tcBorders>
              <w:top w:val="single" w:color="000000" w:sz="6" w:space="0"/>
              <w:left w:val="single" w:color="000000" w:sz="6" w:space="0"/>
              <w:bottom w:val="single" w:color="000000" w:sz="6" w:space="0"/>
              <w:right w:val="single" w:color="000000" w:sz="6" w:space="0"/>
            </w:tcBorders>
            <w:noWrap w:val="0"/>
            <w:vAlign w:val="center"/>
          </w:tcPr>
          <w:p w14:paraId="76D2E1B3">
            <w:pPr>
              <w:widowControl/>
              <w:spacing w:line="360" w:lineRule="auto"/>
              <w:jc w:val="center"/>
              <w:rPr>
                <w:rFonts w:hint="eastAsia" w:ascii="宋体" w:hAnsi="宋体" w:cs="宋体"/>
                <w:color w:val="000000"/>
                <w:sz w:val="22"/>
                <w:szCs w:val="22"/>
                <w:lang w:val="zh-CN"/>
              </w:rPr>
            </w:pPr>
          </w:p>
        </w:tc>
        <w:tc>
          <w:tcPr>
            <w:tcW w:w="1110" w:type="dxa"/>
            <w:tcBorders>
              <w:top w:val="single" w:color="000000" w:sz="6" w:space="0"/>
              <w:left w:val="single" w:color="000000" w:sz="6" w:space="0"/>
              <w:bottom w:val="single" w:color="000000" w:sz="6" w:space="0"/>
              <w:right w:val="single" w:color="000000" w:sz="6" w:space="0"/>
            </w:tcBorders>
            <w:noWrap w:val="0"/>
            <w:vAlign w:val="center"/>
          </w:tcPr>
          <w:p w14:paraId="2B227D50">
            <w:pPr>
              <w:widowControl/>
              <w:spacing w:line="360" w:lineRule="auto"/>
              <w:jc w:val="center"/>
              <w:rPr>
                <w:rFonts w:hint="eastAsia" w:ascii="宋体" w:hAnsi="宋体" w:cs="宋体"/>
                <w:color w:val="000000"/>
                <w:sz w:val="22"/>
                <w:szCs w:val="22"/>
                <w:lang w:val="zh-CN"/>
              </w:rPr>
            </w:pPr>
          </w:p>
        </w:tc>
      </w:tr>
    </w:tbl>
    <w:p w14:paraId="0973DF44">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326D8F6B">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009A8DA2">
      <w:pPr>
        <w:widowControl/>
        <w:spacing w:line="360" w:lineRule="auto"/>
        <w:jc w:val="left"/>
        <w:rPr>
          <w:rFonts w:hint="eastAsia" w:ascii="宋体" w:hAnsi="宋体" w:cs="宋体"/>
          <w:color w:val="000000"/>
          <w:sz w:val="22"/>
          <w:szCs w:val="22"/>
          <w:lang w:val="zh-CN"/>
        </w:rPr>
      </w:pPr>
      <w:r>
        <w:rPr>
          <w:rFonts w:hint="eastAsia" w:ascii="宋体" w:hAnsi="宋体" w:cs="宋体"/>
          <w:color w:val="000000"/>
          <w:sz w:val="22"/>
          <w:szCs w:val="22"/>
          <w:lang w:val="zh-CN"/>
        </w:rPr>
        <w:t>说明：</w:t>
      </w:r>
    </w:p>
    <w:p w14:paraId="54321B9B">
      <w:pPr>
        <w:spacing w:line="360" w:lineRule="auto"/>
        <w:ind w:firstLine="422"/>
        <w:rPr>
          <w:rFonts w:hint="eastAsia" w:ascii="宋体" w:hAnsi="宋体" w:cs="宋体"/>
          <w:b/>
          <w:color w:val="000000"/>
          <w:sz w:val="22"/>
          <w:szCs w:val="22"/>
          <w:lang w:val="zh-CN"/>
        </w:rPr>
      </w:pPr>
      <w:r>
        <w:rPr>
          <w:rFonts w:hint="eastAsia" w:ascii="宋体" w:hAnsi="宋体" w:cs="宋体"/>
          <w:b/>
          <w:color w:val="000000"/>
          <w:sz w:val="22"/>
          <w:szCs w:val="22"/>
          <w:lang w:val="zh-CN"/>
        </w:rPr>
        <w:t>1、供应商应逐一说明产品和服务响应，直接拷贝招标文件技术、服务要求的按照不响应处理；</w:t>
      </w:r>
    </w:p>
    <w:p w14:paraId="65339780">
      <w:pPr>
        <w:widowControl/>
        <w:spacing w:line="360" w:lineRule="auto"/>
        <w:ind w:firstLine="420"/>
        <w:jc w:val="left"/>
        <w:rPr>
          <w:rFonts w:hint="eastAsia" w:ascii="宋体" w:hAnsi="宋体" w:cs="宋体"/>
          <w:color w:val="000000"/>
          <w:sz w:val="22"/>
          <w:szCs w:val="22"/>
          <w:lang w:val="zh-CN"/>
        </w:rPr>
      </w:pPr>
      <w:r>
        <w:rPr>
          <w:rFonts w:hint="eastAsia" w:ascii="宋体" w:hAnsi="宋体" w:cs="宋体"/>
          <w:color w:val="000000"/>
          <w:sz w:val="22"/>
          <w:szCs w:val="22"/>
          <w:lang w:val="zh-CN"/>
        </w:rPr>
        <w:t>2、如果行数不够，请自行增加。</w:t>
      </w:r>
    </w:p>
    <w:p w14:paraId="1C2B7F85">
      <w:pPr>
        <w:spacing w:line="240" w:lineRule="atLeast"/>
        <w:rPr>
          <w:rFonts w:hint="eastAsia" w:ascii="宋体" w:hAnsi="宋体" w:cs="宋体"/>
          <w:b/>
          <w:color w:val="000000"/>
          <w:sz w:val="22"/>
          <w:szCs w:val="22"/>
          <w:lang w:val="zh-CN"/>
        </w:rPr>
      </w:pPr>
    </w:p>
    <w:p w14:paraId="4050A6BA">
      <w:pPr>
        <w:widowControl/>
        <w:spacing w:line="460" w:lineRule="atLeast"/>
        <w:rPr>
          <w:rFonts w:hint="eastAsia" w:ascii="宋体" w:hAnsi="宋体" w:cs="宋体"/>
          <w:b/>
          <w:color w:val="000000"/>
          <w:sz w:val="22"/>
          <w:szCs w:val="22"/>
          <w:highlight w:val="yellow"/>
          <w:lang w:val="zh-CN"/>
        </w:rPr>
      </w:pPr>
    </w:p>
    <w:p w14:paraId="0192703D">
      <w:pPr>
        <w:widowControl/>
        <w:spacing w:line="460" w:lineRule="atLeast"/>
        <w:rPr>
          <w:rFonts w:hint="eastAsia" w:ascii="宋体" w:hAnsi="宋体" w:cs="宋体"/>
          <w:b/>
          <w:color w:val="000000"/>
          <w:sz w:val="22"/>
          <w:szCs w:val="22"/>
          <w:highlight w:val="yellow"/>
          <w:lang w:val="zh-CN"/>
        </w:rPr>
      </w:pPr>
    </w:p>
    <w:p w14:paraId="388859F9">
      <w:pPr>
        <w:pStyle w:val="42"/>
        <w:rPr>
          <w:rFonts w:hint="eastAsia" w:ascii="宋体" w:hAnsi="宋体" w:cs="宋体"/>
          <w:b/>
          <w:color w:val="000000"/>
          <w:sz w:val="22"/>
          <w:szCs w:val="22"/>
          <w:highlight w:val="yellow"/>
          <w:lang w:val="zh-CN"/>
        </w:rPr>
      </w:pPr>
    </w:p>
    <w:p w14:paraId="24FB83C3">
      <w:pPr>
        <w:pStyle w:val="42"/>
        <w:rPr>
          <w:rFonts w:hint="eastAsia" w:ascii="宋体" w:hAnsi="宋体" w:cs="宋体"/>
          <w:b/>
          <w:color w:val="000000"/>
          <w:sz w:val="22"/>
          <w:szCs w:val="22"/>
          <w:highlight w:val="yellow"/>
          <w:lang w:val="zh-CN"/>
        </w:rPr>
      </w:pPr>
    </w:p>
    <w:p w14:paraId="35AF2EEC">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16F6473E">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目录八、养护设备设施</w:t>
      </w:r>
    </w:p>
    <w:p w14:paraId="08FE2BF9">
      <w:pPr>
        <w:spacing w:line="240" w:lineRule="atLeast"/>
        <w:jc w:val="center"/>
        <w:rPr>
          <w:rFonts w:hint="eastAsia" w:ascii="宋体" w:hAnsi="宋体" w:cs="宋体"/>
          <w:b/>
          <w:sz w:val="22"/>
          <w:szCs w:val="22"/>
          <w:lang w:val="zh-CN" w:eastAsia="zh-CN"/>
        </w:rPr>
      </w:pPr>
      <w:r>
        <w:rPr>
          <w:rFonts w:hint="eastAsia" w:ascii="宋体" w:hAnsi="宋体" w:cs="宋体"/>
          <w:b/>
          <w:sz w:val="22"/>
          <w:szCs w:val="22"/>
          <w:lang w:val="zh-CN" w:eastAsia="zh-CN"/>
        </w:rPr>
        <w:t>（</w:t>
      </w:r>
      <w:r>
        <w:rPr>
          <w:rFonts w:hint="eastAsia" w:ascii="宋体" w:hAnsi="宋体" w:cs="宋体"/>
          <w:b/>
          <w:sz w:val="22"/>
          <w:szCs w:val="22"/>
          <w:lang w:val="en-US" w:eastAsia="zh-CN"/>
        </w:rPr>
        <w:t>供应商格式自拟</w:t>
      </w:r>
      <w:r>
        <w:rPr>
          <w:rFonts w:hint="eastAsia" w:ascii="宋体" w:hAnsi="宋体" w:cs="宋体"/>
          <w:b/>
          <w:sz w:val="22"/>
          <w:szCs w:val="22"/>
          <w:lang w:val="zh-CN" w:eastAsia="zh-CN"/>
        </w:rPr>
        <w:t>）</w:t>
      </w:r>
    </w:p>
    <w:p w14:paraId="44CF9C08">
      <w:pPr>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br w:type="page" w:clear="all"/>
      </w:r>
    </w:p>
    <w:p w14:paraId="5669C840">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目录九、</w:t>
      </w:r>
      <w:r>
        <w:rPr>
          <w:rFonts w:hint="eastAsia" w:ascii="宋体" w:hAnsi="宋体" w:cs="宋体"/>
          <w:b/>
          <w:sz w:val="22"/>
          <w:szCs w:val="22"/>
        </w:rPr>
        <w:t>拟参与本项目</w:t>
      </w:r>
      <w:r>
        <w:rPr>
          <w:rFonts w:hint="eastAsia" w:ascii="宋体" w:hAnsi="宋体" w:cs="宋体"/>
          <w:b/>
          <w:bCs/>
          <w:sz w:val="22"/>
          <w:szCs w:val="22"/>
        </w:rPr>
        <w:t>技术人员</w:t>
      </w:r>
    </w:p>
    <w:p w14:paraId="4A856F86">
      <w:pPr>
        <w:spacing w:line="240" w:lineRule="atLeast"/>
        <w:rPr>
          <w:rFonts w:hint="eastAsia" w:ascii="宋体" w:hAnsi="宋体" w:cs="宋体"/>
          <w:b/>
          <w:color w:val="000000"/>
          <w:sz w:val="22"/>
          <w:szCs w:val="22"/>
          <w:lang w:val="zh-CN"/>
        </w:rPr>
      </w:pPr>
    </w:p>
    <w:p w14:paraId="3B5577CB">
      <w:pPr>
        <w:widowControl/>
        <w:spacing w:line="360" w:lineRule="auto"/>
        <w:ind w:left="420"/>
        <w:jc w:val="center"/>
        <w:rPr>
          <w:rFonts w:hint="eastAsia" w:ascii="宋体" w:hAnsi="宋体" w:cs="宋体"/>
          <w:b/>
          <w:sz w:val="22"/>
          <w:szCs w:val="22"/>
        </w:rPr>
      </w:pPr>
      <w:r>
        <w:rPr>
          <w:rFonts w:hint="eastAsia" w:ascii="宋体" w:hAnsi="宋体" w:cs="宋体"/>
          <w:b/>
          <w:sz w:val="22"/>
          <w:szCs w:val="22"/>
        </w:rPr>
        <w:t>拟参与本项目</w:t>
      </w:r>
      <w:r>
        <w:rPr>
          <w:rFonts w:hint="eastAsia" w:ascii="宋体" w:hAnsi="宋体" w:cs="宋体"/>
          <w:b/>
          <w:bCs/>
          <w:sz w:val="22"/>
          <w:szCs w:val="22"/>
        </w:rPr>
        <w:t>技术人员保障</w:t>
      </w:r>
      <w:r>
        <w:rPr>
          <w:rFonts w:hint="eastAsia" w:ascii="宋体" w:hAnsi="宋体" w:cs="宋体"/>
          <w:b/>
          <w:sz w:val="22"/>
          <w:szCs w:val="22"/>
        </w:rPr>
        <w:t>一览表</w:t>
      </w:r>
    </w:p>
    <w:p w14:paraId="56A23094">
      <w:pPr>
        <w:pStyle w:val="42"/>
        <w:ind w:firstLine="400"/>
        <w:rPr>
          <w:rFonts w:hint="eastAsia"/>
          <w:sz w:val="22"/>
          <w:szCs w:val="22"/>
        </w:rPr>
      </w:pPr>
    </w:p>
    <w:p w14:paraId="078CC4F2">
      <w:pPr>
        <w:widowControl/>
        <w:ind w:firstLine="420"/>
        <w:rPr>
          <w:rFonts w:hint="eastAsia" w:ascii="宋体" w:hAnsi="宋体" w:cs="宋体"/>
          <w:b/>
          <w:bCs/>
          <w:sz w:val="22"/>
          <w:szCs w:val="22"/>
        </w:rPr>
      </w:pPr>
      <w:r>
        <w:rPr>
          <w:rFonts w:hint="eastAsia" w:ascii="宋体" w:hAnsi="宋体" w:cs="宋体"/>
          <w:sz w:val="22"/>
          <w:szCs w:val="22"/>
        </w:rPr>
        <w:t>项目名称：                                 项目编号：</w:t>
      </w:r>
    </w:p>
    <w:tbl>
      <w:tblPr>
        <w:tblStyle w:val="35"/>
        <w:tblpPr w:leftFromText="180" w:rightFromText="180" w:vertAnchor="text" w:horzAnchor="page" w:tblpX="1420" w:tblpY="259"/>
        <w:tblW w:w="0" w:type="auto"/>
        <w:tblInd w:w="-108" w:type="dxa"/>
        <w:tblLayout w:type="fixed"/>
        <w:tblCellMar>
          <w:top w:w="0" w:type="dxa"/>
          <w:left w:w="108" w:type="dxa"/>
          <w:bottom w:w="0" w:type="dxa"/>
          <w:right w:w="108" w:type="dxa"/>
        </w:tblCellMar>
      </w:tblPr>
      <w:tblGrid>
        <w:gridCol w:w="1075"/>
        <w:gridCol w:w="2347"/>
        <w:gridCol w:w="4455"/>
        <w:gridCol w:w="1785"/>
      </w:tblGrid>
      <w:tr w14:paraId="2E6B58B5">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25B978EA">
            <w:pPr>
              <w:widowControl/>
              <w:jc w:val="center"/>
              <w:rPr>
                <w:rFonts w:hint="eastAsia" w:ascii="宋体" w:hAnsi="宋体" w:cs="宋体"/>
                <w:b/>
                <w:bCs/>
                <w:sz w:val="22"/>
                <w:szCs w:val="22"/>
              </w:rPr>
            </w:pPr>
            <w:r>
              <w:rPr>
                <w:rFonts w:hint="eastAsia" w:ascii="宋体" w:hAnsi="宋体" w:cs="宋体"/>
                <w:b/>
                <w:bCs/>
                <w:sz w:val="22"/>
                <w:szCs w:val="22"/>
              </w:rPr>
              <w:t>序号</w:t>
            </w:r>
          </w:p>
        </w:tc>
        <w:tc>
          <w:tcPr>
            <w:tcW w:w="2347" w:type="dxa"/>
            <w:tcBorders>
              <w:top w:val="single" w:color="000000" w:sz="4" w:space="0"/>
              <w:left w:val="nil"/>
              <w:bottom w:val="single" w:color="000000" w:sz="4" w:space="0"/>
              <w:right w:val="single" w:color="000000" w:sz="4" w:space="0"/>
            </w:tcBorders>
            <w:noWrap w:val="0"/>
            <w:vAlign w:val="center"/>
          </w:tcPr>
          <w:p w14:paraId="16242AA2">
            <w:pPr>
              <w:widowControl/>
              <w:jc w:val="center"/>
              <w:rPr>
                <w:rFonts w:hint="eastAsia" w:ascii="宋体" w:hAnsi="宋体" w:cs="宋体"/>
                <w:b/>
                <w:bCs/>
                <w:sz w:val="22"/>
                <w:szCs w:val="22"/>
              </w:rPr>
            </w:pPr>
            <w:r>
              <w:rPr>
                <w:rFonts w:hint="eastAsia" w:ascii="宋体" w:hAnsi="宋体" w:cs="宋体"/>
                <w:b/>
                <w:bCs/>
                <w:sz w:val="22"/>
                <w:szCs w:val="22"/>
              </w:rPr>
              <w:t>姓名</w:t>
            </w:r>
          </w:p>
        </w:tc>
        <w:tc>
          <w:tcPr>
            <w:tcW w:w="4455" w:type="dxa"/>
            <w:tcBorders>
              <w:top w:val="single" w:color="000000" w:sz="4" w:space="0"/>
              <w:left w:val="nil"/>
              <w:bottom w:val="single" w:color="000000" w:sz="4" w:space="0"/>
              <w:right w:val="single" w:color="000000" w:sz="4" w:space="0"/>
            </w:tcBorders>
            <w:noWrap w:val="0"/>
            <w:vAlign w:val="center"/>
          </w:tcPr>
          <w:p w14:paraId="36EABC4C">
            <w:pPr>
              <w:widowControl/>
              <w:jc w:val="center"/>
              <w:rPr>
                <w:rFonts w:ascii="宋体" w:hAnsi="宋体" w:cs="宋体"/>
                <w:b/>
                <w:bCs/>
                <w:sz w:val="22"/>
                <w:szCs w:val="22"/>
                <w:highlight w:val="none"/>
              </w:rPr>
            </w:pPr>
            <w:r>
              <w:rPr>
                <w:rFonts w:hint="eastAsia" w:ascii="宋体" w:hAnsi="宋体" w:cs="宋体"/>
                <w:b/>
                <w:bCs/>
                <w:sz w:val="22"/>
                <w:szCs w:val="22"/>
                <w:highlight w:val="none"/>
                <w:lang w:val="en-US" w:eastAsia="zh-CN"/>
              </w:rPr>
              <w:t>证书</w:t>
            </w:r>
            <w:r>
              <w:rPr>
                <w:rFonts w:hint="eastAsia" w:ascii="宋体" w:hAnsi="宋体" w:cs="宋体"/>
                <w:b/>
                <w:bCs/>
                <w:sz w:val="22"/>
                <w:szCs w:val="22"/>
                <w:highlight w:val="none"/>
              </w:rPr>
              <w:t>类别</w:t>
            </w:r>
          </w:p>
        </w:tc>
        <w:tc>
          <w:tcPr>
            <w:tcW w:w="1785" w:type="dxa"/>
            <w:tcBorders>
              <w:top w:val="single" w:color="000000" w:sz="4" w:space="0"/>
              <w:left w:val="nil"/>
              <w:bottom w:val="single" w:color="000000" w:sz="4" w:space="0"/>
              <w:right w:val="single" w:color="000000" w:sz="4" w:space="0"/>
            </w:tcBorders>
            <w:noWrap w:val="0"/>
            <w:vAlign w:val="center"/>
          </w:tcPr>
          <w:p w14:paraId="269844B5">
            <w:pPr>
              <w:widowControl/>
              <w:jc w:val="center"/>
              <w:rPr>
                <w:rFonts w:hint="eastAsia" w:ascii="宋体" w:hAnsi="宋体" w:cs="宋体"/>
                <w:b/>
                <w:bCs/>
                <w:sz w:val="22"/>
                <w:szCs w:val="22"/>
              </w:rPr>
            </w:pPr>
            <w:r>
              <w:rPr>
                <w:rFonts w:hint="eastAsia" w:ascii="宋体" w:hAnsi="宋体" w:cs="宋体"/>
                <w:b/>
                <w:bCs/>
                <w:sz w:val="22"/>
                <w:szCs w:val="22"/>
              </w:rPr>
              <w:t>备注</w:t>
            </w:r>
          </w:p>
        </w:tc>
      </w:tr>
      <w:tr w14:paraId="029EDD04">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ED97BCF">
            <w:pPr>
              <w:widowControl/>
              <w:jc w:val="center"/>
              <w:rPr>
                <w:rFonts w:hint="eastAsia" w:ascii="宋体" w:hAnsi="宋体" w:cs="宋体"/>
                <w:sz w:val="22"/>
                <w:szCs w:val="22"/>
              </w:rPr>
            </w:pPr>
            <w:r>
              <w:rPr>
                <w:rFonts w:hint="eastAsia" w:ascii="宋体" w:hAnsi="宋体" w:cs="宋体"/>
                <w:sz w:val="22"/>
                <w:szCs w:val="22"/>
              </w:rPr>
              <w:t>1</w:t>
            </w:r>
          </w:p>
        </w:tc>
        <w:tc>
          <w:tcPr>
            <w:tcW w:w="2347" w:type="dxa"/>
            <w:tcBorders>
              <w:top w:val="single" w:color="000000" w:sz="4" w:space="0"/>
              <w:left w:val="nil"/>
              <w:bottom w:val="single" w:color="000000" w:sz="4" w:space="0"/>
              <w:right w:val="single" w:color="000000" w:sz="4" w:space="0"/>
            </w:tcBorders>
            <w:noWrap w:val="0"/>
            <w:vAlign w:val="top"/>
          </w:tcPr>
          <w:p w14:paraId="12F794FF">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4AB6C47F">
            <w:pPr>
              <w:widowControl/>
              <w:rPr>
                <w:rFonts w:hint="eastAsia" w:ascii="宋体" w:hAnsi="宋体" w:cs="宋体"/>
                <w:sz w:val="22"/>
                <w:szCs w:val="22"/>
                <w:highlight w:val="none"/>
              </w:rPr>
            </w:pPr>
          </w:p>
        </w:tc>
        <w:tc>
          <w:tcPr>
            <w:tcW w:w="1785" w:type="dxa"/>
            <w:tcBorders>
              <w:top w:val="single" w:color="000000" w:sz="4" w:space="0"/>
              <w:left w:val="nil"/>
              <w:bottom w:val="single" w:color="000000" w:sz="4" w:space="0"/>
              <w:right w:val="single" w:color="000000" w:sz="4" w:space="0"/>
            </w:tcBorders>
            <w:noWrap w:val="0"/>
            <w:vAlign w:val="top"/>
          </w:tcPr>
          <w:p w14:paraId="2A61E2C1">
            <w:pPr>
              <w:widowControl/>
              <w:rPr>
                <w:rFonts w:hint="eastAsia" w:ascii="宋体" w:hAnsi="宋体" w:cs="宋体"/>
                <w:sz w:val="22"/>
                <w:szCs w:val="22"/>
              </w:rPr>
            </w:pPr>
          </w:p>
        </w:tc>
      </w:tr>
      <w:tr w14:paraId="0C3E51F9">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44E15585">
            <w:pPr>
              <w:widowControl/>
              <w:jc w:val="center"/>
              <w:rPr>
                <w:rFonts w:hint="eastAsia" w:ascii="宋体" w:hAnsi="宋体" w:cs="宋体"/>
                <w:sz w:val="22"/>
                <w:szCs w:val="22"/>
              </w:rPr>
            </w:pPr>
            <w:r>
              <w:rPr>
                <w:rFonts w:hint="eastAsia" w:ascii="宋体" w:hAnsi="宋体" w:cs="宋体"/>
                <w:sz w:val="22"/>
                <w:szCs w:val="22"/>
              </w:rPr>
              <w:t>2</w:t>
            </w:r>
          </w:p>
        </w:tc>
        <w:tc>
          <w:tcPr>
            <w:tcW w:w="2347" w:type="dxa"/>
            <w:tcBorders>
              <w:top w:val="single" w:color="000000" w:sz="4" w:space="0"/>
              <w:left w:val="nil"/>
              <w:bottom w:val="single" w:color="000000" w:sz="4" w:space="0"/>
              <w:right w:val="single" w:color="000000" w:sz="4" w:space="0"/>
            </w:tcBorders>
            <w:noWrap w:val="0"/>
            <w:vAlign w:val="top"/>
          </w:tcPr>
          <w:p w14:paraId="64D0316F">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22801D79">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3B5190AE">
            <w:pPr>
              <w:widowControl/>
              <w:rPr>
                <w:rFonts w:hint="eastAsia" w:ascii="宋体" w:hAnsi="宋体" w:cs="宋体"/>
                <w:sz w:val="22"/>
                <w:szCs w:val="22"/>
              </w:rPr>
            </w:pPr>
          </w:p>
        </w:tc>
      </w:tr>
      <w:tr w14:paraId="5C5D3EC2">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3EB37A75">
            <w:pPr>
              <w:widowControl/>
              <w:jc w:val="center"/>
              <w:rPr>
                <w:rFonts w:hint="eastAsia" w:ascii="宋体" w:hAnsi="宋体" w:cs="宋体"/>
                <w:sz w:val="22"/>
                <w:szCs w:val="22"/>
              </w:rPr>
            </w:pPr>
            <w:r>
              <w:rPr>
                <w:rFonts w:hint="eastAsia" w:ascii="宋体" w:hAnsi="宋体" w:cs="宋体"/>
                <w:sz w:val="22"/>
                <w:szCs w:val="22"/>
              </w:rPr>
              <w:t>3</w:t>
            </w:r>
          </w:p>
        </w:tc>
        <w:tc>
          <w:tcPr>
            <w:tcW w:w="2347" w:type="dxa"/>
            <w:tcBorders>
              <w:top w:val="single" w:color="000000" w:sz="4" w:space="0"/>
              <w:left w:val="nil"/>
              <w:bottom w:val="single" w:color="000000" w:sz="4" w:space="0"/>
              <w:right w:val="single" w:color="000000" w:sz="4" w:space="0"/>
            </w:tcBorders>
            <w:noWrap w:val="0"/>
            <w:vAlign w:val="top"/>
          </w:tcPr>
          <w:p w14:paraId="175AF1D2">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476A86BE">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773AA8D6">
            <w:pPr>
              <w:widowControl/>
              <w:rPr>
                <w:rFonts w:hint="eastAsia" w:ascii="宋体" w:hAnsi="宋体" w:cs="宋体"/>
                <w:sz w:val="22"/>
                <w:szCs w:val="22"/>
              </w:rPr>
            </w:pPr>
          </w:p>
        </w:tc>
      </w:tr>
      <w:tr w14:paraId="4836D1B2">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329628F8">
            <w:pPr>
              <w:widowControl/>
              <w:jc w:val="center"/>
              <w:rPr>
                <w:rFonts w:ascii="宋体" w:hAnsi="宋体" w:cs="宋体"/>
                <w:sz w:val="22"/>
                <w:szCs w:val="22"/>
              </w:rPr>
            </w:pPr>
            <w:r>
              <w:rPr>
                <w:rFonts w:hint="eastAsia" w:ascii="宋体" w:hAnsi="宋体" w:cs="宋体"/>
                <w:sz w:val="22"/>
                <w:szCs w:val="22"/>
              </w:rPr>
              <w:t>......</w:t>
            </w:r>
          </w:p>
        </w:tc>
        <w:tc>
          <w:tcPr>
            <w:tcW w:w="2347" w:type="dxa"/>
            <w:tcBorders>
              <w:top w:val="single" w:color="000000" w:sz="4" w:space="0"/>
              <w:left w:val="nil"/>
              <w:bottom w:val="single" w:color="000000" w:sz="4" w:space="0"/>
              <w:right w:val="single" w:color="000000" w:sz="4" w:space="0"/>
            </w:tcBorders>
            <w:noWrap w:val="0"/>
            <w:vAlign w:val="top"/>
          </w:tcPr>
          <w:p w14:paraId="15DBFFDF">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0CB10F2F">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33D2CC59">
            <w:pPr>
              <w:widowControl/>
              <w:rPr>
                <w:rFonts w:hint="eastAsia" w:ascii="宋体" w:hAnsi="宋体" w:cs="宋体"/>
                <w:sz w:val="22"/>
                <w:szCs w:val="22"/>
              </w:rPr>
            </w:pPr>
          </w:p>
        </w:tc>
      </w:tr>
      <w:tr w14:paraId="2D598423">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3BB8F9EA">
            <w:pPr>
              <w:widowControl/>
              <w:jc w:val="center"/>
              <w:rPr>
                <w:rFonts w:hint="eastAsia" w:ascii="宋体" w:hAnsi="宋体" w:cs="宋体"/>
                <w:b/>
                <w:bCs/>
                <w:sz w:val="22"/>
                <w:szCs w:val="22"/>
              </w:rPr>
            </w:pPr>
            <w:r>
              <w:rPr>
                <w:rFonts w:hint="eastAsia" w:ascii="宋体" w:hAnsi="宋体" w:cs="宋体"/>
                <w:b/>
                <w:bCs/>
                <w:sz w:val="22"/>
                <w:szCs w:val="22"/>
              </w:rPr>
              <w:t>序号</w:t>
            </w:r>
          </w:p>
        </w:tc>
        <w:tc>
          <w:tcPr>
            <w:tcW w:w="2347" w:type="dxa"/>
            <w:tcBorders>
              <w:top w:val="single" w:color="000000" w:sz="4" w:space="0"/>
              <w:left w:val="nil"/>
              <w:bottom w:val="single" w:color="000000" w:sz="4" w:space="0"/>
              <w:right w:val="single" w:color="000000" w:sz="4" w:space="0"/>
            </w:tcBorders>
            <w:noWrap w:val="0"/>
            <w:vAlign w:val="center"/>
          </w:tcPr>
          <w:p w14:paraId="74F46A67">
            <w:pPr>
              <w:widowControl/>
              <w:jc w:val="center"/>
              <w:rPr>
                <w:rFonts w:hint="eastAsia" w:ascii="宋体" w:hAnsi="宋体" w:cs="宋体"/>
                <w:b/>
                <w:bCs/>
                <w:sz w:val="22"/>
                <w:szCs w:val="22"/>
              </w:rPr>
            </w:pPr>
            <w:r>
              <w:rPr>
                <w:rFonts w:hint="eastAsia" w:ascii="宋体" w:hAnsi="宋体" w:cs="宋体"/>
                <w:b/>
                <w:bCs/>
                <w:sz w:val="22"/>
                <w:szCs w:val="22"/>
              </w:rPr>
              <w:t>姓名</w:t>
            </w:r>
          </w:p>
        </w:tc>
        <w:tc>
          <w:tcPr>
            <w:tcW w:w="4455" w:type="dxa"/>
            <w:tcBorders>
              <w:top w:val="single" w:color="000000" w:sz="4" w:space="0"/>
              <w:left w:val="nil"/>
              <w:bottom w:val="single" w:color="000000" w:sz="4" w:space="0"/>
              <w:right w:val="single" w:color="000000" w:sz="4" w:space="0"/>
            </w:tcBorders>
            <w:noWrap w:val="0"/>
            <w:vAlign w:val="center"/>
          </w:tcPr>
          <w:p w14:paraId="43AAFC88">
            <w:pPr>
              <w:widowControl/>
              <w:jc w:val="center"/>
              <w:rPr>
                <w:rFonts w:hint="eastAsia" w:ascii="宋体" w:hAnsi="宋体" w:cs="宋体"/>
                <w:b/>
                <w:bCs/>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center"/>
          </w:tcPr>
          <w:p w14:paraId="08A98C66">
            <w:pPr>
              <w:widowControl/>
              <w:jc w:val="center"/>
              <w:rPr>
                <w:rFonts w:hint="eastAsia" w:ascii="宋体" w:hAnsi="宋体" w:cs="宋体"/>
                <w:b/>
                <w:bCs/>
                <w:sz w:val="22"/>
                <w:szCs w:val="22"/>
              </w:rPr>
            </w:pPr>
            <w:r>
              <w:rPr>
                <w:rFonts w:hint="eastAsia" w:ascii="宋体" w:hAnsi="宋体" w:cs="宋体"/>
                <w:b/>
                <w:bCs/>
                <w:sz w:val="22"/>
                <w:szCs w:val="22"/>
              </w:rPr>
              <w:t>备注</w:t>
            </w:r>
          </w:p>
        </w:tc>
      </w:tr>
      <w:tr w14:paraId="2E96BBEF">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18C72BD">
            <w:pPr>
              <w:widowControl/>
              <w:jc w:val="center"/>
              <w:rPr>
                <w:rFonts w:hint="eastAsia" w:ascii="宋体" w:hAnsi="宋体" w:cs="宋体"/>
                <w:sz w:val="22"/>
                <w:szCs w:val="22"/>
              </w:rPr>
            </w:pPr>
            <w:r>
              <w:rPr>
                <w:rFonts w:hint="eastAsia" w:ascii="宋体" w:hAnsi="宋体" w:cs="宋体"/>
                <w:sz w:val="22"/>
                <w:szCs w:val="22"/>
              </w:rPr>
              <w:t>1</w:t>
            </w:r>
          </w:p>
        </w:tc>
        <w:tc>
          <w:tcPr>
            <w:tcW w:w="2347" w:type="dxa"/>
            <w:tcBorders>
              <w:top w:val="single" w:color="000000" w:sz="4" w:space="0"/>
              <w:left w:val="nil"/>
              <w:bottom w:val="single" w:color="000000" w:sz="4" w:space="0"/>
              <w:right w:val="single" w:color="000000" w:sz="4" w:space="0"/>
            </w:tcBorders>
            <w:noWrap w:val="0"/>
            <w:vAlign w:val="top"/>
          </w:tcPr>
          <w:p w14:paraId="636A6098">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77BA935D">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2DB0A8F7">
            <w:pPr>
              <w:widowControl/>
              <w:rPr>
                <w:rFonts w:hint="eastAsia" w:ascii="宋体" w:hAnsi="宋体" w:cs="宋体"/>
                <w:sz w:val="22"/>
                <w:szCs w:val="22"/>
              </w:rPr>
            </w:pPr>
          </w:p>
        </w:tc>
      </w:tr>
      <w:tr w14:paraId="03E7095B">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40DA00E0">
            <w:pPr>
              <w:widowControl/>
              <w:jc w:val="center"/>
              <w:rPr>
                <w:rFonts w:hint="eastAsia" w:ascii="宋体" w:hAnsi="宋体" w:cs="宋体"/>
                <w:sz w:val="22"/>
                <w:szCs w:val="22"/>
              </w:rPr>
            </w:pPr>
            <w:r>
              <w:rPr>
                <w:rFonts w:hint="eastAsia" w:ascii="宋体" w:hAnsi="宋体" w:cs="宋体"/>
                <w:sz w:val="22"/>
                <w:szCs w:val="22"/>
              </w:rPr>
              <w:t>2</w:t>
            </w:r>
          </w:p>
        </w:tc>
        <w:tc>
          <w:tcPr>
            <w:tcW w:w="2347" w:type="dxa"/>
            <w:tcBorders>
              <w:top w:val="single" w:color="000000" w:sz="4" w:space="0"/>
              <w:left w:val="nil"/>
              <w:bottom w:val="single" w:color="000000" w:sz="4" w:space="0"/>
              <w:right w:val="single" w:color="000000" w:sz="4" w:space="0"/>
            </w:tcBorders>
            <w:noWrap w:val="0"/>
            <w:vAlign w:val="top"/>
          </w:tcPr>
          <w:p w14:paraId="54E290C8">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6BEEB70D">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2E6F2DEF">
            <w:pPr>
              <w:widowControl/>
              <w:rPr>
                <w:rFonts w:hint="eastAsia" w:ascii="宋体" w:hAnsi="宋体" w:cs="宋体"/>
                <w:sz w:val="22"/>
                <w:szCs w:val="22"/>
              </w:rPr>
            </w:pPr>
          </w:p>
        </w:tc>
      </w:tr>
      <w:tr w14:paraId="6767D22C">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012BD445">
            <w:pPr>
              <w:widowControl/>
              <w:jc w:val="center"/>
              <w:rPr>
                <w:rFonts w:hint="eastAsia" w:ascii="宋体" w:hAnsi="宋体" w:cs="宋体"/>
                <w:sz w:val="22"/>
                <w:szCs w:val="22"/>
              </w:rPr>
            </w:pPr>
            <w:r>
              <w:rPr>
                <w:rFonts w:hint="eastAsia" w:ascii="宋体" w:hAnsi="宋体" w:cs="宋体"/>
                <w:sz w:val="22"/>
                <w:szCs w:val="22"/>
              </w:rPr>
              <w:t>3</w:t>
            </w:r>
          </w:p>
        </w:tc>
        <w:tc>
          <w:tcPr>
            <w:tcW w:w="2347" w:type="dxa"/>
            <w:tcBorders>
              <w:top w:val="single" w:color="000000" w:sz="4" w:space="0"/>
              <w:left w:val="nil"/>
              <w:bottom w:val="single" w:color="000000" w:sz="4" w:space="0"/>
              <w:right w:val="single" w:color="000000" w:sz="4" w:space="0"/>
            </w:tcBorders>
            <w:noWrap w:val="0"/>
            <w:vAlign w:val="top"/>
          </w:tcPr>
          <w:p w14:paraId="59C0E5A0">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2ACC1107">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3C609538">
            <w:pPr>
              <w:widowControl/>
              <w:rPr>
                <w:rFonts w:hint="eastAsia" w:ascii="宋体" w:hAnsi="宋体" w:cs="宋体"/>
                <w:sz w:val="22"/>
                <w:szCs w:val="22"/>
              </w:rPr>
            </w:pPr>
          </w:p>
        </w:tc>
      </w:tr>
      <w:tr w14:paraId="5C65B096">
        <w:tblPrEx>
          <w:tblCellMar>
            <w:top w:w="0" w:type="dxa"/>
            <w:left w:w="108" w:type="dxa"/>
            <w:bottom w:w="0" w:type="dxa"/>
            <w:right w:w="108" w:type="dxa"/>
          </w:tblCellMar>
        </w:tblPrEx>
        <w:trPr>
          <w:trHeight w:val="567" w:hRule="atLeast"/>
        </w:trPr>
        <w:tc>
          <w:tcPr>
            <w:tcW w:w="1075" w:type="dxa"/>
            <w:tcBorders>
              <w:top w:val="single" w:color="000000" w:sz="4" w:space="0"/>
              <w:left w:val="single" w:color="000000" w:sz="4" w:space="0"/>
              <w:bottom w:val="single" w:color="000000" w:sz="4" w:space="0"/>
              <w:right w:val="single" w:color="000000" w:sz="4" w:space="0"/>
            </w:tcBorders>
            <w:noWrap w:val="0"/>
            <w:vAlign w:val="center"/>
          </w:tcPr>
          <w:p w14:paraId="19711E00">
            <w:pPr>
              <w:widowControl/>
              <w:jc w:val="center"/>
              <w:rPr>
                <w:rFonts w:ascii="宋体" w:hAnsi="宋体" w:cs="宋体"/>
                <w:sz w:val="22"/>
                <w:szCs w:val="22"/>
              </w:rPr>
            </w:pPr>
            <w:r>
              <w:rPr>
                <w:rFonts w:hint="eastAsia" w:ascii="宋体" w:hAnsi="宋体" w:cs="宋体"/>
                <w:sz w:val="22"/>
                <w:szCs w:val="22"/>
              </w:rPr>
              <w:t>......</w:t>
            </w:r>
          </w:p>
        </w:tc>
        <w:tc>
          <w:tcPr>
            <w:tcW w:w="2347" w:type="dxa"/>
            <w:tcBorders>
              <w:top w:val="single" w:color="000000" w:sz="4" w:space="0"/>
              <w:left w:val="nil"/>
              <w:bottom w:val="single" w:color="000000" w:sz="4" w:space="0"/>
              <w:right w:val="single" w:color="000000" w:sz="4" w:space="0"/>
            </w:tcBorders>
            <w:noWrap w:val="0"/>
            <w:vAlign w:val="top"/>
          </w:tcPr>
          <w:p w14:paraId="2C93B479">
            <w:pPr>
              <w:widowControl/>
              <w:rPr>
                <w:rFonts w:hint="eastAsia" w:ascii="宋体" w:hAnsi="宋体" w:cs="宋体"/>
                <w:sz w:val="22"/>
                <w:szCs w:val="22"/>
              </w:rPr>
            </w:pPr>
          </w:p>
        </w:tc>
        <w:tc>
          <w:tcPr>
            <w:tcW w:w="4455" w:type="dxa"/>
            <w:tcBorders>
              <w:top w:val="single" w:color="000000" w:sz="4" w:space="0"/>
              <w:left w:val="nil"/>
              <w:bottom w:val="single" w:color="000000" w:sz="4" w:space="0"/>
              <w:right w:val="single" w:color="000000" w:sz="4" w:space="0"/>
            </w:tcBorders>
            <w:noWrap w:val="0"/>
            <w:vAlign w:val="top"/>
          </w:tcPr>
          <w:p w14:paraId="6F98E930">
            <w:pPr>
              <w:widowControl/>
              <w:rPr>
                <w:rFonts w:hint="eastAsia" w:ascii="宋体" w:hAnsi="宋体" w:cs="宋体"/>
                <w:sz w:val="22"/>
                <w:szCs w:val="22"/>
                <w:highlight w:val="yellow"/>
              </w:rPr>
            </w:pPr>
          </w:p>
        </w:tc>
        <w:tc>
          <w:tcPr>
            <w:tcW w:w="1785" w:type="dxa"/>
            <w:tcBorders>
              <w:top w:val="single" w:color="000000" w:sz="4" w:space="0"/>
              <w:left w:val="nil"/>
              <w:bottom w:val="single" w:color="000000" w:sz="4" w:space="0"/>
              <w:right w:val="single" w:color="000000" w:sz="4" w:space="0"/>
            </w:tcBorders>
            <w:noWrap w:val="0"/>
            <w:vAlign w:val="top"/>
          </w:tcPr>
          <w:p w14:paraId="0BDD30DA">
            <w:pPr>
              <w:widowControl/>
              <w:rPr>
                <w:rFonts w:hint="eastAsia" w:ascii="宋体" w:hAnsi="宋体" w:cs="宋体"/>
                <w:sz w:val="22"/>
                <w:szCs w:val="22"/>
              </w:rPr>
            </w:pPr>
          </w:p>
        </w:tc>
      </w:tr>
    </w:tbl>
    <w:p w14:paraId="42BD75BC">
      <w:pPr>
        <w:spacing w:line="360" w:lineRule="auto"/>
        <w:ind w:firstLine="420"/>
        <w:rPr>
          <w:rFonts w:hint="eastAsia" w:ascii="宋体" w:hAnsi="宋体" w:cs="宋体"/>
          <w:b/>
          <w:bCs/>
          <w:sz w:val="22"/>
          <w:szCs w:val="22"/>
        </w:rPr>
      </w:pPr>
    </w:p>
    <w:p w14:paraId="7AB466C3">
      <w:pPr>
        <w:spacing w:line="360" w:lineRule="auto"/>
        <w:ind w:firstLine="420"/>
        <w:rPr>
          <w:rFonts w:ascii="宋体" w:hAnsi="宋体" w:eastAsia="宋体" w:cs="宋体"/>
          <w:b/>
          <w:bCs/>
          <w:sz w:val="22"/>
          <w:szCs w:val="22"/>
          <w:highlight w:val="none"/>
          <w:lang w:val="en-US" w:eastAsia="zh-CN"/>
        </w:rPr>
      </w:pPr>
      <w:r>
        <w:rPr>
          <w:rFonts w:hint="eastAsia" w:ascii="宋体" w:hAnsi="宋体" w:cs="宋体"/>
          <w:b/>
          <w:bCs/>
          <w:sz w:val="22"/>
          <w:szCs w:val="22"/>
          <w:highlight w:val="none"/>
        </w:rPr>
        <w:t>备注：</w:t>
      </w:r>
      <w:r>
        <w:rPr>
          <w:rFonts w:hint="eastAsia" w:ascii="宋体" w:hAnsi="宋体" w:cs="宋体"/>
          <w:b/>
          <w:bCs/>
          <w:sz w:val="22"/>
          <w:szCs w:val="22"/>
          <w:highlight w:val="none"/>
          <w:lang w:val="en-US" w:eastAsia="zh-CN"/>
        </w:rPr>
        <w:t>人员社保等其它材料</w:t>
      </w:r>
    </w:p>
    <w:p w14:paraId="1D728674">
      <w:pPr>
        <w:spacing w:line="360" w:lineRule="auto"/>
        <w:ind w:firstLine="420"/>
        <w:rPr>
          <w:rFonts w:hint="eastAsia" w:ascii="宋体" w:hAnsi="宋体" w:cs="宋体"/>
          <w:color w:val="000000"/>
          <w:sz w:val="22"/>
          <w:szCs w:val="22"/>
          <w:highlight w:val="yellow"/>
          <w:lang w:val="zh-CN"/>
        </w:rPr>
      </w:pPr>
    </w:p>
    <w:p w14:paraId="6E37C9C5">
      <w:pPr>
        <w:spacing w:line="360" w:lineRule="auto"/>
        <w:ind w:firstLine="420"/>
        <w:rPr>
          <w:rFonts w:hint="eastAsia" w:ascii="宋体" w:hAnsi="宋体" w:cs="宋体"/>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（加盖电子公章）</w:t>
      </w:r>
      <w:r>
        <w:rPr>
          <w:rFonts w:hint="eastAsia" w:ascii="宋体" w:hAnsi="宋体" w:cs="宋体"/>
          <w:sz w:val="22"/>
          <w:szCs w:val="22"/>
          <w:lang w:val="zh-CN"/>
        </w:rPr>
        <w:t xml:space="preserve">                </w:t>
      </w:r>
    </w:p>
    <w:p w14:paraId="09CC0C6C">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7CA3CF26">
      <w:pPr>
        <w:spacing w:line="360" w:lineRule="auto"/>
        <w:rPr>
          <w:rFonts w:hint="eastAsia" w:ascii="宋体" w:hAnsi="宋体" w:cs="宋体"/>
          <w:color w:val="000000"/>
          <w:sz w:val="22"/>
          <w:szCs w:val="22"/>
        </w:rPr>
      </w:pPr>
    </w:p>
    <w:p w14:paraId="45380E1D">
      <w:pPr>
        <w:pStyle w:val="42"/>
        <w:rPr>
          <w:rFonts w:hint="eastAsia" w:ascii="宋体" w:hAnsi="宋体" w:cs="宋体"/>
          <w:color w:val="000000"/>
          <w:sz w:val="22"/>
          <w:szCs w:val="22"/>
        </w:rPr>
      </w:pPr>
    </w:p>
    <w:p w14:paraId="672F926B">
      <w:pPr>
        <w:pStyle w:val="42"/>
        <w:rPr>
          <w:rFonts w:hint="eastAsia" w:ascii="宋体" w:hAnsi="宋体" w:cs="宋体"/>
          <w:color w:val="000000"/>
          <w:sz w:val="22"/>
          <w:szCs w:val="22"/>
        </w:rPr>
      </w:pPr>
    </w:p>
    <w:p w14:paraId="2E2A1FD6">
      <w:pPr>
        <w:pStyle w:val="42"/>
        <w:rPr>
          <w:rFonts w:hint="eastAsia" w:ascii="宋体" w:hAnsi="宋体" w:cs="宋体"/>
          <w:color w:val="000000"/>
          <w:sz w:val="22"/>
          <w:szCs w:val="22"/>
        </w:rPr>
      </w:pPr>
    </w:p>
    <w:p w14:paraId="3DD79B16">
      <w:pPr>
        <w:pStyle w:val="42"/>
        <w:rPr>
          <w:rFonts w:hint="eastAsia" w:ascii="宋体" w:hAnsi="宋体" w:cs="宋体"/>
          <w:color w:val="000000"/>
          <w:sz w:val="22"/>
          <w:szCs w:val="22"/>
        </w:rPr>
      </w:pPr>
    </w:p>
    <w:p w14:paraId="06F320DB">
      <w:pPr>
        <w:pStyle w:val="42"/>
        <w:rPr>
          <w:rFonts w:hint="eastAsia" w:ascii="宋体" w:hAnsi="宋体" w:cs="宋体"/>
          <w:color w:val="000000"/>
          <w:sz w:val="22"/>
          <w:szCs w:val="22"/>
        </w:rPr>
      </w:pPr>
    </w:p>
    <w:p w14:paraId="22B0AE17">
      <w:pPr>
        <w:pStyle w:val="42"/>
        <w:rPr>
          <w:rFonts w:hint="eastAsia" w:ascii="宋体" w:hAnsi="宋体" w:cs="宋体"/>
          <w:color w:val="000000"/>
          <w:sz w:val="22"/>
          <w:szCs w:val="22"/>
        </w:rPr>
      </w:pPr>
    </w:p>
    <w:p w14:paraId="3E3B4D8F">
      <w:pPr>
        <w:pStyle w:val="42"/>
        <w:rPr>
          <w:rFonts w:hint="eastAsia" w:ascii="宋体" w:hAnsi="宋体" w:cs="宋体"/>
          <w:color w:val="000000"/>
          <w:sz w:val="22"/>
          <w:szCs w:val="22"/>
        </w:rPr>
      </w:pPr>
    </w:p>
    <w:p w14:paraId="7775ED41">
      <w:pPr>
        <w:pStyle w:val="42"/>
        <w:rPr>
          <w:rFonts w:hint="eastAsia" w:ascii="宋体" w:hAnsi="宋体" w:cs="宋体"/>
          <w:color w:val="000000"/>
          <w:sz w:val="22"/>
          <w:szCs w:val="22"/>
        </w:rPr>
      </w:pPr>
    </w:p>
    <w:p w14:paraId="23C95014">
      <w:pPr>
        <w:pStyle w:val="42"/>
        <w:rPr>
          <w:rFonts w:hint="eastAsia" w:ascii="宋体" w:hAnsi="宋体" w:cs="宋体"/>
          <w:color w:val="000000"/>
          <w:sz w:val="22"/>
          <w:szCs w:val="22"/>
        </w:rPr>
      </w:pPr>
    </w:p>
    <w:p w14:paraId="5BA3C745">
      <w:pPr>
        <w:keepNext w:val="0"/>
        <w:keepLines w:val="0"/>
        <w:pageBreakBefore w:val="0"/>
        <w:widowControl/>
        <w:spacing w:after="0" w:line="360" w:lineRule="auto"/>
        <w:jc w:val="left"/>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目录十、</w:t>
      </w:r>
      <w:r>
        <w:rPr>
          <w:rFonts w:hint="eastAsia" w:ascii="宋体" w:hAnsi="宋体" w:cs="Times New Roman"/>
          <w:b/>
          <w:bCs w:val="0"/>
          <w:sz w:val="22"/>
          <w:szCs w:val="22"/>
          <w:lang w:val="zh-CN" w:eastAsia="zh-CN" w:bidi="en-US"/>
        </w:rPr>
        <w:t>企业</w:t>
      </w:r>
      <w:r>
        <w:rPr>
          <w:rFonts w:hint="eastAsia" w:ascii="宋体" w:hAnsi="宋体" w:cs="Times New Roman"/>
          <w:b/>
          <w:bCs w:val="0"/>
          <w:sz w:val="22"/>
          <w:szCs w:val="22"/>
          <w:lang w:val="zh-CN" w:bidi="en-US"/>
        </w:rPr>
        <w:t>业绩</w:t>
      </w:r>
    </w:p>
    <w:p w14:paraId="30B37A35">
      <w:pPr>
        <w:spacing w:line="480" w:lineRule="auto"/>
        <w:rPr>
          <w:rFonts w:hint="eastAsia" w:ascii="宋体" w:hAnsi="宋体" w:cs="宋体"/>
          <w:b/>
          <w:color w:val="000000"/>
          <w:sz w:val="22"/>
          <w:szCs w:val="22"/>
        </w:rPr>
      </w:pPr>
    </w:p>
    <w:p w14:paraId="521A9FD4">
      <w:pPr>
        <w:spacing w:line="480" w:lineRule="auto"/>
        <w:rPr>
          <w:rFonts w:hint="eastAsia" w:ascii="宋体" w:hAnsi="宋体" w:cs="宋体"/>
          <w:b/>
          <w:color w:val="000000"/>
          <w:sz w:val="22"/>
          <w:szCs w:val="22"/>
        </w:rPr>
      </w:pPr>
    </w:p>
    <w:p w14:paraId="39975609">
      <w:pPr>
        <w:widowControl/>
        <w:spacing w:line="360" w:lineRule="auto"/>
        <w:jc w:val="left"/>
        <w:outlineLvl w:val="1"/>
        <w:rPr>
          <w:rFonts w:hint="eastAsia" w:ascii="宋体" w:hAnsi="宋体" w:cs="Times New Roman"/>
          <w:b/>
          <w:sz w:val="22"/>
          <w:szCs w:val="22"/>
          <w:lang w:val="zh-CN" w:bidi="en-US"/>
        </w:rPr>
      </w:pPr>
      <w:r>
        <w:rPr>
          <w:rFonts w:hint="eastAsia" w:ascii="宋体" w:hAnsi="宋体" w:eastAsia="宋体" w:cs="Times New Roman"/>
          <w:b/>
          <w:sz w:val="22"/>
          <w:szCs w:val="22"/>
          <w:lang w:val="zh-CN" w:eastAsia="zh-CN" w:bidi="en-US"/>
        </w:rPr>
        <w:t>目录十一、</w:t>
      </w:r>
      <w:r>
        <w:rPr>
          <w:rFonts w:hint="eastAsia" w:ascii="宋体" w:hAnsi="宋体" w:cs="Times New Roman"/>
          <w:b/>
          <w:sz w:val="22"/>
          <w:szCs w:val="22"/>
          <w:lang w:val="zh-CN" w:bidi="en-US"/>
        </w:rPr>
        <w:t>工作实施方案</w:t>
      </w:r>
    </w:p>
    <w:p w14:paraId="78473908">
      <w:pPr>
        <w:spacing w:line="480" w:lineRule="auto"/>
        <w:jc w:val="left"/>
        <w:rPr>
          <w:rFonts w:hint="eastAsia" w:ascii="宋体" w:hAnsi="宋体" w:cs="宋体"/>
          <w:b/>
          <w:color w:val="000000"/>
          <w:sz w:val="22"/>
          <w:szCs w:val="22"/>
          <w:lang w:val="zh-CN"/>
        </w:rPr>
      </w:pPr>
    </w:p>
    <w:p w14:paraId="11080545">
      <w:pPr>
        <w:spacing w:line="480" w:lineRule="auto"/>
        <w:jc w:val="left"/>
        <w:rPr>
          <w:rFonts w:hint="eastAsia" w:ascii="宋体" w:hAnsi="宋体" w:cs="宋体"/>
          <w:b/>
          <w:color w:val="000000"/>
          <w:sz w:val="22"/>
          <w:szCs w:val="22"/>
          <w:lang w:val="zh-CN"/>
        </w:rPr>
      </w:pPr>
    </w:p>
    <w:p w14:paraId="7484E7C7">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zh-CN" w:eastAsia="zh-CN" w:bidi="en-US"/>
        </w:rPr>
        <w:t>目录十二、承诺书</w:t>
      </w:r>
    </w:p>
    <w:p w14:paraId="0460D618">
      <w:pPr>
        <w:pStyle w:val="42"/>
        <w:ind w:left="0" w:firstLine="0"/>
        <w:rPr>
          <w:rFonts w:eastAsia="宋体"/>
          <w:sz w:val="22"/>
          <w:szCs w:val="22"/>
          <w:highlight w:val="none"/>
        </w:rPr>
      </w:pPr>
    </w:p>
    <w:p w14:paraId="63DA389C">
      <w:pPr>
        <w:spacing w:line="480" w:lineRule="auto"/>
        <w:rPr>
          <w:rFonts w:hint="eastAsia" w:ascii="宋体" w:hAnsi="宋体" w:cs="宋体"/>
          <w:b/>
          <w:color w:val="000000"/>
          <w:sz w:val="22"/>
          <w:szCs w:val="22"/>
        </w:rPr>
      </w:pPr>
    </w:p>
    <w:p w14:paraId="531324C1">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zh-CN" w:eastAsia="zh-CN" w:bidi="en-US"/>
        </w:rPr>
        <w:t>目录十三、投标需要的其他证明文件及材料</w:t>
      </w:r>
    </w:p>
    <w:p w14:paraId="3F310E8A">
      <w:pPr>
        <w:pStyle w:val="42"/>
        <w:spacing w:line="480" w:lineRule="auto"/>
        <w:ind w:firstLine="0"/>
        <w:rPr>
          <w:rFonts w:hint="eastAsia" w:ascii="宋体" w:hAnsi="宋体" w:eastAsia="宋体"/>
          <w:b/>
          <w:color w:val="000000"/>
          <w:sz w:val="22"/>
          <w:szCs w:val="22"/>
          <w:lang w:val="en-US"/>
        </w:rPr>
      </w:pPr>
      <w:r>
        <w:rPr>
          <w:rFonts w:hint="eastAsia" w:ascii="宋体" w:hAnsi="宋体"/>
          <w:b/>
          <w:sz w:val="22"/>
          <w:szCs w:val="22"/>
        </w:rPr>
        <w:t xml:space="preserve">           </w:t>
      </w:r>
      <w:r>
        <w:rPr>
          <w:rFonts w:hint="eastAsia" w:ascii="宋体" w:hAnsi="宋体" w:eastAsia="宋体"/>
          <w:sz w:val="22"/>
          <w:szCs w:val="22"/>
          <w:lang w:val="en-US"/>
        </w:rPr>
        <w:t xml:space="preserve">        </w:t>
      </w:r>
      <w:r>
        <w:rPr>
          <w:rFonts w:hint="eastAsia" w:ascii="宋体" w:hAnsi="宋体" w:eastAsia="宋体"/>
          <w:sz w:val="22"/>
          <w:szCs w:val="22"/>
        </w:rPr>
        <w:t>投标需要的其他证明文件及材料（若有）</w:t>
      </w:r>
    </w:p>
    <w:p w14:paraId="17C4A8B7">
      <w:pPr>
        <w:pStyle w:val="42"/>
        <w:spacing w:line="480" w:lineRule="auto"/>
        <w:ind w:firstLine="0"/>
        <w:rPr>
          <w:rFonts w:hint="eastAsia" w:ascii="宋体" w:hAnsi="宋体" w:eastAsia="宋体"/>
          <w:b/>
          <w:sz w:val="22"/>
          <w:szCs w:val="22"/>
          <w:lang w:val="en-US"/>
        </w:rPr>
      </w:pPr>
    </w:p>
    <w:p w14:paraId="75F52465">
      <w:pPr>
        <w:pStyle w:val="42"/>
        <w:spacing w:line="480" w:lineRule="auto"/>
        <w:ind w:firstLine="0"/>
        <w:rPr>
          <w:rFonts w:hint="eastAsia" w:ascii="宋体" w:hAnsi="宋体" w:eastAsia="宋体"/>
          <w:b/>
          <w:sz w:val="22"/>
          <w:szCs w:val="22"/>
          <w:lang w:val="en-US"/>
        </w:rPr>
      </w:pPr>
    </w:p>
    <w:p w14:paraId="54B6A4A1">
      <w:pPr>
        <w:pStyle w:val="42"/>
        <w:spacing w:line="480" w:lineRule="auto"/>
        <w:ind w:firstLine="0"/>
        <w:rPr>
          <w:rFonts w:hint="eastAsia" w:ascii="宋体" w:hAnsi="宋体" w:eastAsia="宋体"/>
          <w:b/>
          <w:sz w:val="22"/>
          <w:szCs w:val="22"/>
          <w:lang w:val="en-US"/>
        </w:rPr>
      </w:pPr>
    </w:p>
    <w:p w14:paraId="70B3BAB5">
      <w:pPr>
        <w:pStyle w:val="42"/>
        <w:spacing w:line="480" w:lineRule="auto"/>
        <w:ind w:firstLine="0"/>
        <w:rPr>
          <w:rFonts w:hint="eastAsia" w:ascii="宋体" w:hAnsi="宋体" w:eastAsia="宋体"/>
          <w:b/>
          <w:sz w:val="22"/>
          <w:szCs w:val="22"/>
          <w:lang w:val="en-US"/>
        </w:rPr>
      </w:pPr>
    </w:p>
    <w:p w14:paraId="360C298B">
      <w:pPr>
        <w:pStyle w:val="42"/>
        <w:spacing w:line="480" w:lineRule="auto"/>
        <w:ind w:firstLine="0"/>
        <w:rPr>
          <w:rFonts w:hint="eastAsia" w:ascii="宋体" w:hAnsi="宋体" w:eastAsia="宋体"/>
          <w:b/>
          <w:sz w:val="22"/>
          <w:szCs w:val="22"/>
          <w:lang w:val="en-US"/>
        </w:rPr>
      </w:pPr>
    </w:p>
    <w:p w14:paraId="4E00B2AB">
      <w:pPr>
        <w:pStyle w:val="42"/>
        <w:spacing w:line="480" w:lineRule="auto"/>
        <w:ind w:firstLine="0"/>
        <w:rPr>
          <w:rFonts w:hint="eastAsia" w:ascii="宋体" w:hAnsi="宋体" w:eastAsia="宋体"/>
          <w:b/>
          <w:sz w:val="22"/>
          <w:szCs w:val="22"/>
          <w:lang w:val="en-US"/>
        </w:rPr>
      </w:pPr>
    </w:p>
    <w:p w14:paraId="6881B9D6">
      <w:pPr>
        <w:pStyle w:val="42"/>
        <w:spacing w:line="480" w:lineRule="auto"/>
        <w:ind w:firstLine="0"/>
        <w:rPr>
          <w:rFonts w:hint="eastAsia" w:ascii="宋体" w:hAnsi="宋体" w:eastAsia="宋体"/>
          <w:b/>
          <w:sz w:val="22"/>
          <w:szCs w:val="22"/>
          <w:lang w:val="en-US"/>
        </w:rPr>
      </w:pPr>
    </w:p>
    <w:p w14:paraId="589EB6E1">
      <w:pPr>
        <w:pStyle w:val="42"/>
        <w:spacing w:line="480" w:lineRule="auto"/>
        <w:ind w:firstLine="0"/>
        <w:rPr>
          <w:rFonts w:hint="eastAsia" w:ascii="宋体" w:hAnsi="宋体" w:eastAsia="宋体"/>
          <w:b/>
          <w:sz w:val="22"/>
          <w:szCs w:val="22"/>
          <w:lang w:val="en-US"/>
        </w:rPr>
      </w:pPr>
    </w:p>
    <w:p w14:paraId="74003B24">
      <w:pPr>
        <w:pStyle w:val="42"/>
        <w:spacing w:line="480" w:lineRule="auto"/>
        <w:ind w:firstLine="0"/>
        <w:rPr>
          <w:rFonts w:hint="eastAsia" w:ascii="宋体" w:hAnsi="宋体" w:eastAsia="宋体"/>
          <w:b/>
          <w:sz w:val="22"/>
          <w:szCs w:val="22"/>
          <w:lang w:val="en-US"/>
        </w:rPr>
      </w:pPr>
    </w:p>
    <w:p w14:paraId="57263A54">
      <w:pPr>
        <w:pStyle w:val="42"/>
        <w:spacing w:line="480" w:lineRule="auto"/>
        <w:ind w:firstLine="0"/>
        <w:rPr>
          <w:rFonts w:hint="eastAsia" w:ascii="宋体" w:hAnsi="宋体" w:eastAsia="宋体"/>
          <w:b/>
          <w:sz w:val="22"/>
          <w:szCs w:val="22"/>
          <w:lang w:val="en-US"/>
        </w:rPr>
      </w:pPr>
    </w:p>
    <w:p w14:paraId="48429F77">
      <w:pPr>
        <w:pStyle w:val="42"/>
        <w:spacing w:line="480" w:lineRule="auto"/>
        <w:ind w:firstLine="0"/>
        <w:rPr>
          <w:rFonts w:hint="eastAsia" w:ascii="宋体" w:hAnsi="宋体" w:eastAsia="宋体"/>
          <w:b/>
          <w:sz w:val="22"/>
          <w:szCs w:val="22"/>
          <w:lang w:val="en-US"/>
        </w:rPr>
      </w:pPr>
    </w:p>
    <w:p w14:paraId="269EE274">
      <w:pPr>
        <w:pStyle w:val="42"/>
        <w:spacing w:line="480" w:lineRule="auto"/>
        <w:ind w:firstLine="0"/>
        <w:rPr>
          <w:rFonts w:hint="eastAsia" w:ascii="宋体" w:hAnsi="宋体" w:eastAsia="宋体"/>
          <w:b/>
          <w:sz w:val="22"/>
          <w:szCs w:val="22"/>
          <w:lang w:val="en-US"/>
        </w:rPr>
      </w:pPr>
    </w:p>
    <w:p w14:paraId="552A9A1B">
      <w:pPr>
        <w:pStyle w:val="42"/>
        <w:spacing w:line="480" w:lineRule="auto"/>
        <w:ind w:firstLine="0"/>
        <w:rPr>
          <w:rFonts w:hint="eastAsia" w:ascii="宋体" w:hAnsi="宋体" w:eastAsia="宋体"/>
          <w:b/>
          <w:sz w:val="22"/>
          <w:szCs w:val="22"/>
          <w:lang w:val="en-US"/>
        </w:rPr>
      </w:pPr>
    </w:p>
    <w:p w14:paraId="2E20898B">
      <w:pPr>
        <w:keepNext w:val="0"/>
        <w:keepLines w:val="0"/>
        <w:pageBreakBefore w:val="0"/>
        <w:widowControl/>
        <w:spacing w:after="0" w:line="360" w:lineRule="auto"/>
        <w:jc w:val="both"/>
        <w:outlineLvl w:val="1"/>
        <w:rPr>
          <w:rFonts w:hint="eastAsia" w:ascii="宋体" w:hAnsi="宋体" w:eastAsia="宋体" w:cs="Times New Roman"/>
          <w:b/>
          <w:sz w:val="22"/>
          <w:szCs w:val="22"/>
          <w:lang w:val="zh-CN" w:eastAsia="zh-CN" w:bidi="en-US"/>
        </w:rPr>
      </w:pPr>
      <w:r>
        <w:rPr>
          <w:rFonts w:hint="eastAsia" w:ascii="宋体" w:hAnsi="宋体" w:eastAsia="宋体" w:cs="Times New Roman"/>
          <w:b/>
          <w:sz w:val="22"/>
          <w:szCs w:val="22"/>
          <w:lang w:val="en-US" w:eastAsia="zh-CN" w:bidi="en-US"/>
        </w:rPr>
        <w:t xml:space="preserve">目录十四、相关附件内容  </w:t>
      </w:r>
      <w:r>
        <w:rPr>
          <w:rFonts w:hint="eastAsia" w:ascii="宋体" w:hAnsi="宋体" w:eastAsia="宋体" w:cs="Times New Roman"/>
          <w:b/>
          <w:sz w:val="22"/>
          <w:szCs w:val="22"/>
          <w:lang w:val="zh-CN" w:eastAsia="zh-CN" w:bidi="en-US"/>
        </w:rPr>
        <w:t xml:space="preserve">   </w:t>
      </w:r>
    </w:p>
    <w:p w14:paraId="161EE522">
      <w:pPr>
        <w:rPr>
          <w:rFonts w:hint="eastAsia" w:ascii="宋体" w:hAnsi="宋体" w:cs="宋体"/>
          <w:b/>
          <w:sz w:val="22"/>
          <w:szCs w:val="22"/>
        </w:rPr>
      </w:pPr>
      <w:r>
        <w:rPr>
          <w:rFonts w:hint="eastAsia" w:ascii="宋体" w:hAnsi="宋体" w:cs="宋体"/>
          <w:b/>
          <w:sz w:val="22"/>
          <w:szCs w:val="22"/>
        </w:rPr>
        <w:br w:type="page" w:clear="all"/>
      </w:r>
    </w:p>
    <w:p w14:paraId="51982721">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附件一、相关政策声明函格式</w:t>
      </w:r>
    </w:p>
    <w:p w14:paraId="7A238DAA">
      <w:pPr>
        <w:rPr>
          <w:rFonts w:hint="eastAsia"/>
          <w:sz w:val="22"/>
          <w:szCs w:val="22"/>
          <w:lang w:val="en-US" w:eastAsia="zh-CN"/>
        </w:rPr>
      </w:pPr>
    </w:p>
    <w:p w14:paraId="05D6CA41">
      <w:pPr>
        <w:widowControl/>
        <w:spacing w:line="360" w:lineRule="auto"/>
        <w:jc w:val="center"/>
        <w:rPr>
          <w:rFonts w:hint="eastAsia" w:ascii="宋体" w:hAnsi="宋体" w:cs="宋体"/>
          <w:b/>
          <w:color w:val="000000"/>
          <w:sz w:val="22"/>
          <w:szCs w:val="22"/>
          <w:lang w:val="en-US" w:eastAsia="zh-CN"/>
        </w:rPr>
      </w:pPr>
      <w:r>
        <w:rPr>
          <w:rFonts w:hint="eastAsia" w:ascii="宋体" w:hAnsi="宋体" w:cs="宋体"/>
          <w:b/>
          <w:color w:val="000000"/>
          <w:sz w:val="22"/>
          <w:szCs w:val="22"/>
          <w:lang w:val="en-US" w:eastAsia="zh-CN"/>
        </w:rPr>
        <w:t>中小企业声明函（服务）</w:t>
      </w:r>
    </w:p>
    <w:p w14:paraId="40EF0C11">
      <w:pPr>
        <w:pStyle w:val="694"/>
        <w:spacing w:line="494" w:lineRule="exact"/>
        <w:ind w:firstLine="640"/>
        <w:jc w:val="both"/>
        <w:rPr>
          <w:sz w:val="22"/>
          <w:szCs w:val="22"/>
          <w:lang w:val="en-US" w:eastAsia="zh-CN" w:bidi="ar-SA"/>
        </w:rPr>
      </w:pPr>
      <w:r>
        <w:rPr>
          <w:rFonts w:hint="eastAsia"/>
          <w:sz w:val="22"/>
          <w:szCs w:val="22"/>
          <w:lang w:val="en-US" w:eastAsia="zh-CN" w:bidi="ar-SA"/>
        </w:rPr>
        <w:t xml:space="preserve">本公司郑重声明，根据《政府采购促进中小企业发展管理办法》（财库〔2020）46号）的规定，本公司参加 </w:t>
      </w:r>
      <w:r>
        <w:rPr>
          <w:rFonts w:hint="eastAsia"/>
          <w:sz w:val="22"/>
          <w:szCs w:val="22"/>
          <w:u w:val="single"/>
          <w:lang w:val="en-US" w:eastAsia="zh-CN" w:bidi="ar-SA"/>
        </w:rPr>
        <w:t xml:space="preserve">            </w:t>
      </w:r>
      <w:r>
        <w:rPr>
          <w:rFonts w:hint="eastAsia"/>
          <w:sz w:val="22"/>
          <w:szCs w:val="22"/>
          <w:lang w:val="en-US" w:eastAsia="zh-CN" w:bidi="ar-SA"/>
        </w:rPr>
        <w:t xml:space="preserve">（单位名称）的 </w:t>
      </w:r>
      <w:r>
        <w:rPr>
          <w:rFonts w:hint="eastAsia"/>
          <w:sz w:val="22"/>
          <w:szCs w:val="22"/>
          <w:u w:val="single"/>
          <w:lang w:val="en-US" w:eastAsia="zh-CN" w:bidi="ar-SA"/>
        </w:rPr>
        <w:t xml:space="preserve">        </w:t>
      </w:r>
      <w:r>
        <w:rPr>
          <w:rFonts w:hint="eastAsia"/>
          <w:sz w:val="22"/>
          <w:szCs w:val="22"/>
          <w:lang w:val="en-US" w:eastAsia="zh-CN" w:bidi="ar-SA"/>
        </w:rPr>
        <w:t>（项目名称）釆购活动，服务全部由符合政策要求的中小企业承接。相关企业的具体情况如下：</w:t>
      </w:r>
    </w:p>
    <w:p w14:paraId="37D21868">
      <w:pPr>
        <w:pStyle w:val="694"/>
        <w:numPr>
          <w:ilvl w:val="0"/>
          <w:numId w:val="8"/>
        </w:numPr>
        <w:tabs>
          <w:tab w:val="left" w:pos="1166"/>
          <w:tab w:val="left" w:pos="6653"/>
        </w:tabs>
        <w:spacing w:line="494" w:lineRule="exact"/>
        <w:ind w:firstLine="420"/>
        <w:jc w:val="both"/>
        <w:rPr>
          <w:rFonts w:hint="eastAsia"/>
          <w:sz w:val="22"/>
          <w:szCs w:val="22"/>
          <w:highlight w:val="none"/>
          <w:lang w:val="zh-CN" w:eastAsia="zh-CN" w:bidi="ar-SA"/>
        </w:rPr>
      </w:pPr>
      <w:bookmarkStart w:id="5" w:name="bookmark26"/>
      <w:bookmarkEnd w:id="5"/>
      <w:r>
        <w:rPr>
          <w:rFonts w:hint="eastAsia"/>
          <w:sz w:val="22"/>
          <w:szCs w:val="22"/>
          <w:u w:val="single"/>
          <w:lang w:val="en-US" w:eastAsia="zh-CN" w:bidi="ar-SA"/>
        </w:rPr>
        <w:t xml:space="preserve">        </w:t>
      </w:r>
      <w:r>
        <w:rPr>
          <w:rFonts w:hint="eastAsia"/>
          <w:sz w:val="22"/>
          <w:szCs w:val="22"/>
          <w:lang w:val="en-US" w:eastAsia="zh-CN" w:bidi="ar-SA"/>
        </w:rPr>
        <w:t>（标的名称）,</w:t>
      </w:r>
      <w:r>
        <w:rPr>
          <w:rFonts w:hint="eastAsia"/>
          <w:sz w:val="22"/>
          <w:szCs w:val="22"/>
          <w:highlight w:val="none"/>
          <w:lang w:val="en-US" w:eastAsia="zh-CN" w:bidi="ar-SA"/>
        </w:rPr>
        <w:t>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（采购文件中明确的所属行业）； 承接（承建）企业为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（企业名称）,从业人员</w:t>
      </w:r>
      <w:r>
        <w:rPr>
          <w:rFonts w:hint="eastAsia"/>
          <w:sz w:val="22"/>
          <w:szCs w:val="22"/>
          <w:highlight w:val="none"/>
          <w:u w:val="single"/>
          <w:lang w:val="en-US" w:eastAsia="zh-CN" w:bidi="ar-SA"/>
        </w:rPr>
        <w:t xml:space="preserve"> </w:t>
      </w:r>
      <w:r>
        <w:rPr>
          <w:rFonts w:hint="eastAsia"/>
          <w:sz w:val="22"/>
          <w:szCs w:val="22"/>
          <w:highlight w:val="none"/>
          <w:u w:val="single"/>
          <w:lang w:val="en-US" w:eastAsia="zh-CN" w:bidi="ar-SA"/>
        </w:rPr>
        <w:tab/>
      </w:r>
      <w:r>
        <w:rPr>
          <w:rFonts w:hint="eastAsia"/>
          <w:sz w:val="22"/>
          <w:szCs w:val="22"/>
          <w:highlight w:val="none"/>
          <w:lang w:val="en-US" w:eastAsia="zh-CN" w:bidi="ar-SA"/>
        </w:rPr>
        <w:t>人，营业收入为</w:t>
      </w:r>
      <w:r>
        <w:rPr>
          <w:rFonts w:hint="eastAsia"/>
          <w:sz w:val="22"/>
          <w:szCs w:val="22"/>
          <w:highlight w:val="none"/>
          <w:u w:val="single"/>
          <w:lang w:val="en-US" w:eastAsia="zh-CN" w:bidi="ar-SA"/>
        </w:rPr>
        <w:tab/>
      </w:r>
      <w:r>
        <w:rPr>
          <w:rFonts w:hint="eastAsia"/>
          <w:sz w:val="22"/>
          <w:szCs w:val="22"/>
          <w:highlight w:val="none"/>
          <w:lang w:val="en-US" w:eastAsia="zh-CN" w:bidi="ar-SA"/>
        </w:rPr>
        <w:t>万元，资产总额为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万元，属于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（中型企业、 小型企业、微型企</w:t>
      </w:r>
      <w:r>
        <w:rPr>
          <w:rFonts w:hint="eastAsia"/>
          <w:sz w:val="22"/>
          <w:szCs w:val="22"/>
          <w:highlight w:val="none"/>
          <w:lang w:val="zh-CN" w:eastAsia="zh-CN" w:bidi="ar-SA"/>
        </w:rPr>
        <w:t>业）；</w:t>
      </w:r>
    </w:p>
    <w:p w14:paraId="7F0B9013">
      <w:pPr>
        <w:pStyle w:val="694"/>
        <w:numPr>
          <w:ilvl w:val="0"/>
          <w:numId w:val="0"/>
        </w:numPr>
        <w:tabs>
          <w:tab w:val="left" w:pos="1166"/>
          <w:tab w:val="left" w:pos="6653"/>
        </w:tabs>
        <w:spacing w:line="494" w:lineRule="exact"/>
        <w:ind w:firstLine="420"/>
        <w:jc w:val="both"/>
        <w:rPr>
          <w:sz w:val="22"/>
          <w:szCs w:val="22"/>
          <w:lang w:val="en-US" w:eastAsia="zh-CN" w:bidi="ar-SA"/>
        </w:rPr>
      </w:pPr>
      <w:r>
        <w:rPr>
          <w:rFonts w:hint="eastAsia"/>
          <w:sz w:val="22"/>
          <w:szCs w:val="22"/>
          <w:highlight w:val="none"/>
          <w:u w:val="none"/>
          <w:lang w:val="en-US" w:eastAsia="zh-CN" w:bidi="ar-SA"/>
        </w:rPr>
        <w:t>2、</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（标的名称）,属于</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（采购文件中明确的所属行业）； 承接（承建）企业为</w:t>
      </w:r>
      <w:r>
        <w:rPr>
          <w:rFonts w:hint="eastAsia"/>
          <w:sz w:val="22"/>
          <w:szCs w:val="22"/>
          <w:highlight w:val="none"/>
          <w:u w:val="single"/>
          <w:lang w:val="en-US" w:eastAsia="zh-CN" w:bidi="ar-SA"/>
        </w:rPr>
        <w:t xml:space="preserve">              </w:t>
      </w:r>
      <w:r>
        <w:rPr>
          <w:rFonts w:hint="eastAsia"/>
          <w:sz w:val="22"/>
          <w:szCs w:val="22"/>
          <w:highlight w:val="none"/>
          <w:lang w:val="en-US" w:eastAsia="zh-CN" w:bidi="ar-SA"/>
        </w:rPr>
        <w:t>（企业名称）,从业人员</w:t>
      </w:r>
      <w:r>
        <w:rPr>
          <w:rFonts w:hint="eastAsia"/>
          <w:sz w:val="22"/>
          <w:szCs w:val="22"/>
          <w:highlight w:val="none"/>
          <w:u w:val="single"/>
          <w:lang w:val="en-US" w:eastAsia="zh-CN" w:bidi="ar-SA"/>
        </w:rPr>
        <w:t xml:space="preserve"> </w:t>
      </w:r>
      <w:r>
        <w:rPr>
          <w:rFonts w:hint="eastAsia"/>
          <w:sz w:val="22"/>
          <w:szCs w:val="22"/>
          <w:highlight w:val="none"/>
          <w:u w:val="single"/>
          <w:lang w:val="en-US" w:eastAsia="zh-CN" w:bidi="ar-SA"/>
        </w:rPr>
        <w:tab/>
      </w:r>
      <w:r>
        <w:rPr>
          <w:rFonts w:hint="eastAsia"/>
          <w:sz w:val="22"/>
          <w:szCs w:val="22"/>
          <w:highlight w:val="none"/>
          <w:lang w:val="en-US" w:eastAsia="zh-CN" w:bidi="ar-SA"/>
        </w:rPr>
        <w:t>人，营业收入为</w:t>
      </w:r>
      <w:r>
        <w:rPr>
          <w:rFonts w:hint="eastAsia"/>
          <w:sz w:val="22"/>
          <w:szCs w:val="22"/>
          <w:highlight w:val="none"/>
          <w:u w:val="single"/>
          <w:lang w:val="en-US" w:eastAsia="zh-CN" w:bidi="ar-SA"/>
        </w:rPr>
        <w:tab/>
      </w:r>
      <w:r>
        <w:rPr>
          <w:rFonts w:hint="eastAsia"/>
          <w:sz w:val="22"/>
          <w:szCs w:val="22"/>
          <w:highlight w:val="none"/>
          <w:lang w:val="en-US" w:eastAsia="zh-CN" w:bidi="ar-SA"/>
        </w:rPr>
        <w:t>万</w:t>
      </w:r>
      <w:r>
        <w:rPr>
          <w:rFonts w:hint="eastAsia"/>
          <w:sz w:val="22"/>
          <w:szCs w:val="22"/>
          <w:lang w:val="en-US" w:eastAsia="zh-CN" w:bidi="ar-SA"/>
        </w:rPr>
        <w:t>元，资产总额为</w:t>
      </w:r>
      <w:r>
        <w:rPr>
          <w:rFonts w:hint="eastAsia"/>
          <w:sz w:val="22"/>
          <w:szCs w:val="22"/>
          <w:u w:val="single"/>
          <w:lang w:val="en-US" w:eastAsia="zh-CN" w:bidi="ar-SA"/>
        </w:rPr>
        <w:t xml:space="preserve">         </w:t>
      </w:r>
      <w:r>
        <w:rPr>
          <w:rFonts w:hint="eastAsia"/>
          <w:sz w:val="22"/>
          <w:szCs w:val="22"/>
          <w:lang w:val="en-US" w:eastAsia="zh-CN" w:bidi="ar-SA"/>
        </w:rPr>
        <w:t>万元，属于</w:t>
      </w:r>
      <w:r>
        <w:rPr>
          <w:rFonts w:hint="eastAsia"/>
          <w:sz w:val="22"/>
          <w:szCs w:val="22"/>
          <w:u w:val="single"/>
          <w:lang w:val="en-US" w:eastAsia="zh-CN" w:bidi="ar-SA"/>
        </w:rPr>
        <w:t xml:space="preserve">                </w:t>
      </w:r>
      <w:r>
        <w:rPr>
          <w:rFonts w:hint="eastAsia"/>
          <w:sz w:val="22"/>
          <w:szCs w:val="22"/>
          <w:lang w:val="en-US" w:eastAsia="zh-CN" w:bidi="ar-SA"/>
        </w:rPr>
        <w:t>（中型企业、 小型企业、微型企</w:t>
      </w:r>
      <w:r>
        <w:rPr>
          <w:rFonts w:hint="eastAsia"/>
          <w:sz w:val="22"/>
          <w:szCs w:val="22"/>
          <w:lang w:val="zh-CN" w:eastAsia="zh-CN" w:bidi="ar-SA"/>
        </w:rPr>
        <w:t>业）；</w:t>
      </w:r>
    </w:p>
    <w:p w14:paraId="21D193A0">
      <w:pPr>
        <w:pStyle w:val="694"/>
        <w:numPr>
          <w:ilvl w:val="0"/>
          <w:numId w:val="0"/>
        </w:numPr>
        <w:tabs>
          <w:tab w:val="left" w:pos="1166"/>
          <w:tab w:val="left" w:pos="6653"/>
        </w:tabs>
        <w:spacing w:line="494" w:lineRule="exact"/>
        <w:jc w:val="both"/>
        <w:rPr>
          <w:rFonts w:hint="eastAsia"/>
          <w:sz w:val="22"/>
          <w:szCs w:val="22"/>
          <w:lang w:val="en-US" w:eastAsia="zh-CN" w:bidi="ar-SA"/>
        </w:rPr>
      </w:pPr>
    </w:p>
    <w:p w14:paraId="6FB7CDF2">
      <w:pPr>
        <w:pStyle w:val="694"/>
        <w:spacing w:line="499" w:lineRule="exact"/>
        <w:ind w:firstLine="640"/>
        <w:jc w:val="both"/>
        <w:rPr>
          <w:b/>
          <w:bCs/>
          <w:sz w:val="22"/>
          <w:szCs w:val="22"/>
          <w:lang w:val="en-US" w:eastAsia="zh-CN" w:bidi="ar-SA"/>
        </w:rPr>
      </w:pPr>
      <w:bookmarkStart w:id="6" w:name="bookmark27"/>
      <w:bookmarkEnd w:id="6"/>
      <w:r>
        <w:rPr>
          <w:rFonts w:hint="eastAsia"/>
          <w:b/>
          <w:bCs/>
          <w:sz w:val="22"/>
          <w:szCs w:val="22"/>
          <w:lang w:val="en-US" w:eastAsia="zh-CN" w:bidi="ar-SA"/>
        </w:rPr>
        <w:t>以上企业，不属于大企业的分支机构，不存在控股股东为大企业的情形，也不存在与大企业的负责人为同一人的情形。</w:t>
      </w:r>
    </w:p>
    <w:p w14:paraId="6935AC5D">
      <w:pPr>
        <w:pStyle w:val="694"/>
        <w:spacing w:line="499" w:lineRule="exact"/>
        <w:ind w:firstLine="640"/>
        <w:jc w:val="both"/>
        <w:rPr>
          <w:b/>
          <w:bCs/>
          <w:sz w:val="22"/>
          <w:szCs w:val="22"/>
          <w:lang w:val="en-US" w:eastAsia="zh-CN" w:bidi="ar-SA"/>
        </w:rPr>
      </w:pPr>
      <w:r>
        <w:rPr>
          <w:rFonts w:hint="eastAsia"/>
          <w:b/>
          <w:bCs/>
          <w:sz w:val="22"/>
          <w:szCs w:val="22"/>
          <w:lang w:val="en-US" w:eastAsia="zh-CN" w:bidi="ar-SA"/>
        </w:rPr>
        <w:t>本企业对上述声明内容的真实性负责。如有虚假，将依法承担相应责任。</w:t>
      </w:r>
    </w:p>
    <w:p w14:paraId="6333F81A">
      <w:pPr>
        <w:spacing w:line="360" w:lineRule="auto"/>
        <w:ind w:firstLine="420"/>
        <w:rPr>
          <w:rFonts w:ascii="宋体" w:hAnsi="宋体" w:cs="宋体"/>
          <w:sz w:val="22"/>
          <w:szCs w:val="22"/>
          <w:lang w:val="zh-CN"/>
        </w:rPr>
      </w:pPr>
      <w:r>
        <w:rPr>
          <w:rFonts w:hint="eastAsia" w:ascii="宋体" w:hAnsi="宋体" w:cs="宋体"/>
          <w:sz w:val="22"/>
          <w:szCs w:val="22"/>
          <w:lang w:val="zh-CN"/>
        </w:rPr>
        <w:t>供应商名称：</w:t>
      </w:r>
      <w:r>
        <w:rPr>
          <w:rFonts w:hint="eastAsia" w:ascii="宋体" w:hAnsi="宋体" w:cs="宋体"/>
          <w:sz w:val="22"/>
          <w:szCs w:val="22"/>
          <w:u w:val="single"/>
          <w:lang w:val="zh-CN"/>
        </w:rPr>
        <w:t xml:space="preserve">                 </w:t>
      </w:r>
      <w:r>
        <w:rPr>
          <w:rFonts w:hint="eastAsia" w:ascii="宋体" w:hAnsi="宋体" w:cs="宋体"/>
          <w:sz w:val="22"/>
          <w:szCs w:val="22"/>
          <w:lang w:val="zh-CN"/>
        </w:rPr>
        <w:t>（盖章）</w:t>
      </w:r>
    </w:p>
    <w:p w14:paraId="17AE9C25">
      <w:pPr>
        <w:widowControl/>
        <w:spacing w:line="360" w:lineRule="auto"/>
        <w:jc w:val="left"/>
        <w:rPr>
          <w:rFonts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46B662AF">
      <w:pPr>
        <w:spacing w:line="360" w:lineRule="auto"/>
        <w:ind w:firstLine="420"/>
        <w:rPr>
          <w:rFonts w:ascii="宋体" w:hAnsi="宋体" w:cs="宋体"/>
          <w:sz w:val="22"/>
          <w:szCs w:val="22"/>
          <w:lang w:val="zh-CN"/>
        </w:rPr>
      </w:pPr>
      <w:r>
        <w:rPr>
          <w:rFonts w:hint="eastAsia" w:ascii="宋体" w:hAnsi="宋体" w:cs="宋体"/>
          <w:sz w:val="22"/>
          <w:szCs w:val="22"/>
          <w:lang w:val="zh-CN"/>
        </w:rPr>
        <w:t>日    期：</w:t>
      </w:r>
      <w:r>
        <w:rPr>
          <w:rFonts w:hint="eastAsia" w:ascii="宋体" w:hAnsi="宋体" w:cs="宋体"/>
          <w:sz w:val="22"/>
          <w:szCs w:val="22"/>
          <w:u w:val="single"/>
          <w:lang w:val="zh-CN"/>
        </w:rPr>
        <w:t xml:space="preserve">       </w:t>
      </w:r>
      <w:r>
        <w:rPr>
          <w:rFonts w:hint="eastAsia" w:ascii="宋体" w:hAnsi="宋体" w:cs="宋体"/>
          <w:sz w:val="22"/>
          <w:szCs w:val="22"/>
          <w:lang w:val="zh-CN"/>
        </w:rPr>
        <w:t>年</w:t>
      </w:r>
      <w:r>
        <w:rPr>
          <w:rFonts w:hint="eastAsia" w:ascii="宋体" w:hAnsi="宋体" w:cs="宋体"/>
          <w:sz w:val="22"/>
          <w:szCs w:val="22"/>
          <w:u w:val="single"/>
          <w:lang w:val="zh-CN"/>
        </w:rPr>
        <w:t xml:space="preserve">    </w:t>
      </w:r>
      <w:r>
        <w:rPr>
          <w:rFonts w:hint="eastAsia" w:ascii="宋体" w:hAnsi="宋体" w:cs="宋体"/>
          <w:sz w:val="22"/>
          <w:szCs w:val="22"/>
          <w:lang w:val="zh-CN"/>
        </w:rPr>
        <w:t>月</w:t>
      </w:r>
      <w:r>
        <w:rPr>
          <w:rFonts w:hint="eastAsia" w:ascii="宋体" w:hAnsi="宋体" w:cs="宋体"/>
          <w:sz w:val="22"/>
          <w:szCs w:val="22"/>
          <w:u w:val="single"/>
          <w:lang w:val="zh-CN"/>
        </w:rPr>
        <w:t xml:space="preserve">    </w:t>
      </w:r>
      <w:r>
        <w:rPr>
          <w:rFonts w:hint="eastAsia" w:ascii="宋体" w:hAnsi="宋体" w:cs="宋体"/>
          <w:sz w:val="22"/>
          <w:szCs w:val="22"/>
          <w:lang w:val="zh-CN"/>
        </w:rPr>
        <w:t>日</w:t>
      </w:r>
    </w:p>
    <w:p w14:paraId="47E8925C">
      <w:pPr>
        <w:rPr>
          <w:sz w:val="22"/>
          <w:szCs w:val="22"/>
        </w:rPr>
      </w:pPr>
    </w:p>
    <w:p w14:paraId="242768F6">
      <w:pPr>
        <w:pStyle w:val="42"/>
        <w:rPr>
          <w:sz w:val="22"/>
          <w:szCs w:val="22"/>
        </w:rPr>
      </w:pPr>
    </w:p>
    <w:p w14:paraId="3B21E844">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备注：1.从业人员、营业收入、资产总额填报上一年度数据，无上一年度数据的新成立企业可不填报。</w:t>
      </w:r>
    </w:p>
    <w:p w14:paraId="6D2492E5">
      <w:pPr>
        <w:spacing w:line="360" w:lineRule="auto"/>
        <w:ind w:firstLine="843"/>
        <w:rPr>
          <w:rFonts w:hint="eastAsia" w:ascii="宋体" w:hAnsi="宋体" w:eastAsia="宋体" w:cs="宋体"/>
          <w:b/>
          <w:bCs/>
          <w:sz w:val="22"/>
          <w:szCs w:val="22"/>
        </w:rPr>
      </w:pPr>
      <w:r>
        <w:rPr>
          <w:rFonts w:hint="eastAsia" w:ascii="宋体" w:hAnsi="宋体" w:eastAsia="宋体" w:cs="宋体"/>
          <w:b/>
          <w:bCs/>
          <w:sz w:val="22"/>
          <w:szCs w:val="22"/>
        </w:rPr>
        <w:t>2.在政府采购活动中，供应商提供的货物、工程或者服务符合下列情形的，享受本办法规定的中小企业扶持政策：</w:t>
      </w:r>
    </w:p>
    <w:p w14:paraId="074761F9">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（一）在货物采购项目中，货物由中小企业制造，即货物由中小企业生产且使用该中小企业商号或者注册商标；</w:t>
      </w:r>
    </w:p>
    <w:p w14:paraId="2107338F">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（二）在工程采购项目中，工程由中小企业承建，即工程施工单位为中小企业；</w:t>
      </w:r>
    </w:p>
    <w:p w14:paraId="49B75B58">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（三）在服务采购项目中，服务由中小企业承接，即提供服务的人员为中小企业依照《中华人民共和国劳动合同法》 订立劳动合同的从业人员。</w:t>
      </w:r>
    </w:p>
    <w:p w14:paraId="05695C48">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在货物采购项目中，供应商提供的货物既有中小企业制造货物，也有大型企业制造货物的，不享受本办法规定的中小企业扶持政策。</w:t>
      </w:r>
    </w:p>
    <w:p w14:paraId="5957DA5B">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以联合体形式参加政府采购活动，联合体各方均为中小企业的，联合体视同中小企业。其中，联合体各方均为小微企业的，联合体视同小微企业。</w:t>
      </w:r>
    </w:p>
    <w:p w14:paraId="21D4BC83">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3.《中小企业声明函》中所填的行业应与本采购标的对应的中小企业划分标准所属行业一致，不一致的不可享受相应政策优惠。本采购标的对应的中小企业划分标准所属行业，以采购文件第四章《招标书》规定为准。</w:t>
      </w:r>
    </w:p>
    <w:p w14:paraId="58F4634E">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4.如未对（中型企业、小型企业、微型企业）进行勾选，视同非小微企业，不可享受相应扶持政策。</w:t>
      </w:r>
    </w:p>
    <w:p w14:paraId="07A5317F">
      <w:pPr>
        <w:spacing w:line="360" w:lineRule="auto"/>
        <w:ind w:firstLine="422"/>
        <w:rPr>
          <w:rFonts w:hint="eastAsia" w:ascii="宋体" w:hAnsi="宋体" w:eastAsia="宋体" w:cs="宋体"/>
          <w:b/>
          <w:bCs/>
          <w:sz w:val="22"/>
          <w:szCs w:val="22"/>
        </w:rPr>
      </w:pPr>
      <w:r>
        <w:rPr>
          <w:rFonts w:hint="eastAsia" w:ascii="宋体" w:hAnsi="宋体" w:eastAsia="宋体" w:cs="宋体"/>
          <w:b/>
          <w:bCs/>
          <w:sz w:val="22"/>
          <w:szCs w:val="22"/>
        </w:rPr>
        <w:t>5.中标单位为中小企业的，《中小企业声明函》将随中标结果同时公告。</w:t>
      </w:r>
    </w:p>
    <w:p w14:paraId="7992C5D0">
      <w:pPr>
        <w:spacing w:line="360" w:lineRule="auto"/>
        <w:ind w:left="0"/>
        <w:rPr>
          <w:rFonts w:hint="eastAsia" w:ascii="宋体" w:hAnsi="宋体" w:eastAsia="宋体" w:cs="宋体"/>
          <w:b/>
          <w:sz w:val="22"/>
          <w:szCs w:val="22"/>
        </w:rPr>
      </w:pPr>
    </w:p>
    <w:p w14:paraId="0B4B4DB7">
      <w:pPr>
        <w:spacing w:line="360" w:lineRule="auto"/>
        <w:ind w:left="0"/>
        <w:rPr>
          <w:rFonts w:hint="eastAsia" w:ascii="宋体" w:hAnsi="宋体" w:eastAsia="宋体" w:cs="宋体"/>
          <w:b/>
          <w:sz w:val="22"/>
          <w:szCs w:val="22"/>
        </w:rPr>
      </w:pPr>
      <w:r>
        <w:rPr>
          <w:rFonts w:hint="eastAsia" w:ascii="宋体" w:hAnsi="宋体" w:eastAsia="宋体" w:cs="宋体"/>
          <w:b/>
          <w:sz w:val="22"/>
          <w:szCs w:val="22"/>
        </w:rPr>
        <w:t>附：中小企业划型标准规定</w:t>
      </w:r>
    </w:p>
    <w:p w14:paraId="0D76C628">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（一）农、林、牧、渔业。</w:t>
      </w:r>
      <w:r>
        <w:rPr>
          <w:rFonts w:hint="eastAsia" w:ascii="宋体" w:hAnsi="宋体" w:eastAsia="宋体" w:cs="宋体"/>
          <w:sz w:val="22"/>
          <w:szCs w:val="22"/>
        </w:rPr>
        <w:t>营业收入20000万元以下的为中小微型企业。其中，营业收入500万元及以上的为中型企业，营业收入50万元及以上的为小型企业，营业收入50万元以下的为微型企业。</w:t>
      </w:r>
    </w:p>
    <w:p w14:paraId="1C2209B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（二）工业。</w:t>
      </w:r>
      <w:r>
        <w:rPr>
          <w:rFonts w:hint="eastAsia" w:ascii="宋体" w:hAnsi="宋体" w:eastAsia="宋体" w:cs="宋体"/>
          <w:sz w:val="22"/>
          <w:szCs w:val="22"/>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F01456C">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（三）建筑业。</w:t>
      </w:r>
      <w:r>
        <w:rPr>
          <w:rFonts w:hint="eastAsia" w:ascii="宋体" w:hAnsi="宋体" w:eastAsia="宋体" w:cs="宋体"/>
          <w:sz w:val="22"/>
          <w:szCs w:val="22"/>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B16E425">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（四）批发业。</w:t>
      </w:r>
      <w:r>
        <w:rPr>
          <w:rFonts w:hint="eastAsia" w:ascii="宋体" w:hAnsi="宋体" w:eastAsia="宋体" w:cs="宋体"/>
          <w:sz w:val="22"/>
          <w:szCs w:val="22"/>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13FCF45">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（五）零售业。</w:t>
      </w:r>
      <w:r>
        <w:rPr>
          <w:rFonts w:hint="eastAsia" w:ascii="宋体" w:hAnsi="宋体" w:eastAsia="宋体" w:cs="宋体"/>
          <w:sz w:val="22"/>
          <w:szCs w:val="22"/>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8B08488">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（六）交通运输业。</w:t>
      </w:r>
      <w:r>
        <w:rPr>
          <w:rFonts w:hint="eastAsia" w:ascii="宋体" w:hAnsi="宋体" w:eastAsia="宋体" w:cs="宋体"/>
          <w:sz w:val="22"/>
          <w:szCs w:val="22"/>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BFFECCF">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（七）仓储业。</w:t>
      </w:r>
      <w:r>
        <w:rPr>
          <w:rFonts w:hint="eastAsia" w:ascii="宋体" w:hAnsi="宋体" w:eastAsia="宋体" w:cs="宋体"/>
          <w:sz w:val="22"/>
          <w:szCs w:val="22"/>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B5854A4">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（八）邮政业。</w:t>
      </w:r>
      <w:r>
        <w:rPr>
          <w:rFonts w:hint="eastAsia" w:ascii="宋体" w:hAnsi="宋体" w:eastAsia="宋体" w:cs="宋体"/>
          <w:sz w:val="22"/>
          <w:szCs w:val="22"/>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7E52DF5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（九）住宿业。</w:t>
      </w:r>
      <w:r>
        <w:rPr>
          <w:rFonts w:hint="eastAsia" w:ascii="宋体" w:hAnsi="宋体" w:eastAsia="宋体" w:cs="宋体"/>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F11D9D3">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（十）餐饮业。</w:t>
      </w:r>
      <w:r>
        <w:rPr>
          <w:rFonts w:hint="eastAsia" w:ascii="宋体" w:hAnsi="宋体" w:eastAsia="宋体" w:cs="宋体"/>
          <w:sz w:val="22"/>
          <w:szCs w:val="22"/>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34D3AA1">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（十一）信息传输业。</w:t>
      </w:r>
      <w:r>
        <w:rPr>
          <w:rFonts w:hint="eastAsia" w:ascii="宋体" w:hAnsi="宋体" w:eastAsia="宋体" w:cs="宋体"/>
          <w:sz w:val="22"/>
          <w:szCs w:val="22"/>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3668612">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（十二）软件和信息技术服务业。</w:t>
      </w:r>
      <w:r>
        <w:rPr>
          <w:rFonts w:hint="eastAsia" w:ascii="宋体" w:hAnsi="宋体" w:eastAsia="宋体" w:cs="宋体"/>
          <w:sz w:val="22"/>
          <w:szCs w:val="22"/>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7DDD688">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（十三）房地产开发经营。</w:t>
      </w:r>
      <w:r>
        <w:rPr>
          <w:rFonts w:hint="eastAsia" w:ascii="宋体" w:hAnsi="宋体" w:eastAsia="宋体" w:cs="宋体"/>
          <w:sz w:val="22"/>
          <w:szCs w:val="22"/>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9AE5BEC">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（十四）物业管理。</w:t>
      </w:r>
      <w:r>
        <w:rPr>
          <w:rFonts w:hint="eastAsia" w:ascii="宋体" w:hAnsi="宋体" w:eastAsia="宋体" w:cs="宋体"/>
          <w:sz w:val="22"/>
          <w:szCs w:val="22"/>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03C5EAF">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（十五）租赁和商务服务业。</w:t>
      </w:r>
      <w:r>
        <w:rPr>
          <w:rFonts w:hint="eastAsia" w:ascii="宋体" w:hAnsi="宋体" w:eastAsia="宋体" w:cs="宋体"/>
          <w:sz w:val="22"/>
          <w:szCs w:val="22"/>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52735461">
      <w:pPr>
        <w:spacing w:line="360" w:lineRule="auto"/>
        <w:ind w:left="0" w:firstLine="422"/>
        <w:rPr>
          <w:rFonts w:hint="eastAsia" w:ascii="宋体" w:hAnsi="宋体" w:eastAsia="宋体" w:cs="宋体"/>
          <w:sz w:val="22"/>
          <w:szCs w:val="22"/>
        </w:rPr>
      </w:pPr>
      <w:r>
        <w:rPr>
          <w:rFonts w:hint="eastAsia" w:ascii="宋体" w:hAnsi="宋体" w:eastAsia="宋体" w:cs="宋体"/>
          <w:b/>
          <w:sz w:val="22"/>
          <w:szCs w:val="22"/>
        </w:rPr>
        <w:t>（十六）其他未列明行业。</w:t>
      </w:r>
      <w:r>
        <w:rPr>
          <w:rFonts w:hint="eastAsia" w:ascii="宋体" w:hAnsi="宋体" w:eastAsia="宋体" w:cs="宋体"/>
          <w:sz w:val="22"/>
          <w:szCs w:val="22"/>
        </w:rPr>
        <w:t>从业人员300人以下的为中小微型企业。其中，从业人员100人及以上的为中型企业；从业人员10人及以上的为小型企业；从业人员10人以下的为微型企业。</w:t>
      </w:r>
    </w:p>
    <w:p w14:paraId="3CBDECDC">
      <w:pPr>
        <w:spacing w:line="360" w:lineRule="auto"/>
        <w:ind w:firstLine="4200"/>
        <w:rPr>
          <w:rFonts w:hint="eastAsia" w:ascii="宋体" w:hAnsi="宋体" w:eastAsia="宋体" w:cs="宋体"/>
          <w:color w:val="000000"/>
          <w:sz w:val="22"/>
          <w:szCs w:val="22"/>
        </w:rPr>
      </w:pPr>
    </w:p>
    <w:p w14:paraId="013DBEC8">
      <w:pPr>
        <w:spacing w:before="120" w:after="48" w:line="360" w:lineRule="auto"/>
        <w:jc w:val="center"/>
        <w:rPr>
          <w:rFonts w:hint="eastAsia" w:ascii="宋体" w:hAnsi="宋体" w:cs="宋体"/>
          <w:b/>
          <w:sz w:val="22"/>
          <w:szCs w:val="22"/>
        </w:rPr>
      </w:pPr>
      <w:r>
        <w:rPr>
          <w:rFonts w:hint="eastAsia" w:ascii="宋体" w:hAnsi="宋体" w:cs="宋体"/>
          <w:b/>
          <w:sz w:val="22"/>
          <w:szCs w:val="22"/>
        </w:rPr>
        <w:t>残疾人福利性单位声明函声明</w:t>
      </w:r>
    </w:p>
    <w:p w14:paraId="13F94A18">
      <w:pPr>
        <w:spacing w:line="360" w:lineRule="auto"/>
        <w:rPr>
          <w:rFonts w:hint="eastAsia" w:ascii="宋体" w:hAnsi="宋体" w:cs="宋体"/>
          <w:sz w:val="22"/>
          <w:szCs w:val="22"/>
        </w:rPr>
      </w:pPr>
      <w:r>
        <w:rPr>
          <w:rFonts w:hint="eastAsia" w:ascii="宋体" w:hAnsi="宋体" w:cs="宋体"/>
          <w:sz w:val="22"/>
          <w:szCs w:val="22"/>
          <w:lang w:val="zh-CN"/>
        </w:rPr>
        <w:t>南京市江宁区交通运输局</w:t>
      </w:r>
      <w:r>
        <w:rPr>
          <w:rFonts w:hint="eastAsia" w:ascii="宋体" w:hAnsi="宋体" w:cs="宋体"/>
          <w:sz w:val="22"/>
          <w:szCs w:val="22"/>
        </w:rPr>
        <w:t>：</w:t>
      </w:r>
    </w:p>
    <w:p w14:paraId="33D98542">
      <w:pPr>
        <w:spacing w:line="360" w:lineRule="auto"/>
        <w:ind w:firstLine="420"/>
        <w:rPr>
          <w:rFonts w:hint="eastAsia" w:ascii="宋体" w:hAnsi="宋体" w:cs="宋体"/>
          <w:sz w:val="22"/>
          <w:szCs w:val="22"/>
        </w:rPr>
      </w:pPr>
      <w:r>
        <w:rPr>
          <w:rFonts w:hint="eastAsia" w:ascii="宋体" w:hAnsi="宋体" w:cs="宋体"/>
          <w:sz w:val="22"/>
          <w:szCs w:val="22"/>
        </w:rPr>
        <w:t>我单位</w:t>
      </w:r>
      <w:r>
        <w:rPr>
          <w:rFonts w:hint="eastAsia" w:ascii="宋体" w:hAnsi="宋体" w:cs="宋体"/>
          <w:sz w:val="22"/>
          <w:szCs w:val="22"/>
          <w:u w:val="single"/>
        </w:rPr>
        <w:t xml:space="preserve"> （供应商名称）</w:t>
      </w:r>
      <w:r>
        <w:rPr>
          <w:rFonts w:hint="eastAsia" w:ascii="宋体" w:hAnsi="宋体" w:cs="宋体"/>
          <w:sz w:val="22"/>
          <w:szCs w:val="22"/>
        </w:rPr>
        <w:t>郑重声明，本公司为残疾人福利性单位。即，本单位同时满足以下条件：</w:t>
      </w:r>
    </w:p>
    <w:p w14:paraId="2B1012C3">
      <w:pPr>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1、安置的残疾人占本单位在职职工人数的比例不低于25%（含25%），并且安置的残疾人人数不少于10人（含10人）；</w:t>
      </w:r>
    </w:p>
    <w:p w14:paraId="4D22BF4B">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2、依法与安置的每位残疾人签订了一年以上（含一年）的劳动合同或服务协议；</w:t>
      </w:r>
    </w:p>
    <w:p w14:paraId="16429338">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3、为安置的每位残疾人按月足额缴纳了基本养老保险、基本医疗保险、失业保险、工伤保险和生育保险等社会保险费；</w:t>
      </w:r>
    </w:p>
    <w:p w14:paraId="04CBD2C7">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4、通过银行等金融机构向安置的每位残疾人，按月支付了不低于单位所在区县适用的经省级人民政府批准的月最低工资标准的工资；</w:t>
      </w:r>
    </w:p>
    <w:p w14:paraId="2B367320">
      <w:pPr>
        <w:widowControl/>
        <w:shd w:val="clear" w:color="auto" w:fill="FFFFFF"/>
        <w:spacing w:line="360" w:lineRule="auto"/>
        <w:ind w:firstLine="420"/>
        <w:rPr>
          <w:rFonts w:hint="eastAsia" w:ascii="宋体" w:hAnsi="宋体" w:cs="宋体"/>
          <w:sz w:val="22"/>
          <w:szCs w:val="22"/>
        </w:rPr>
      </w:pPr>
      <w:r>
        <w:rPr>
          <w:rFonts w:hint="eastAsia" w:ascii="宋体" w:hAnsi="宋体" w:cs="宋体"/>
          <w:sz w:val="22"/>
          <w:szCs w:val="22"/>
        </w:rPr>
        <w:t>5、本单位参加______（项目编号）_______________（项目名称）采购活动提供本单位制造的货物、承担的工程或者服务（以下简称产品），或者提供其他残疾人福利性单位制造的货物（不包括使用非残疾人福利性单位注册商标的货物）。</w:t>
      </w:r>
    </w:p>
    <w:p w14:paraId="2C6A6CCB">
      <w:pPr>
        <w:spacing w:line="360" w:lineRule="auto"/>
        <w:ind w:firstLine="420"/>
        <w:rPr>
          <w:rFonts w:hint="eastAsia" w:ascii="宋体" w:hAnsi="宋体" w:cs="宋体"/>
          <w:color w:val="000000"/>
          <w:sz w:val="22"/>
          <w:szCs w:val="22"/>
        </w:rPr>
      </w:pPr>
      <w:r>
        <w:rPr>
          <w:rFonts w:hint="eastAsia" w:ascii="宋体" w:hAnsi="宋体" w:cs="宋体"/>
          <w:sz w:val="22"/>
          <w:szCs w:val="22"/>
        </w:rPr>
        <w:t>本单位对上述声明的真实性负责。如有虚假，将依法承担相应责任。</w:t>
      </w:r>
    </w:p>
    <w:p w14:paraId="505A9B99">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7810EBEF">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7B30FAA8">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19D3B756">
      <w:pPr>
        <w:jc w:val="left"/>
        <w:rPr>
          <w:rFonts w:hint="eastAsia" w:ascii="宋体" w:hAnsi="宋体" w:cs="宋体"/>
          <w:sz w:val="22"/>
          <w:szCs w:val="22"/>
        </w:rPr>
      </w:pPr>
    </w:p>
    <w:p w14:paraId="339D7F5E">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属于监狱企业的证明文件</w:t>
      </w:r>
    </w:p>
    <w:p w14:paraId="7F098204">
      <w:pPr>
        <w:jc w:val="left"/>
        <w:rPr>
          <w:rFonts w:hint="eastAsia" w:ascii="宋体" w:hAnsi="宋体" w:cs="宋体"/>
          <w:sz w:val="22"/>
          <w:szCs w:val="22"/>
        </w:rPr>
      </w:pPr>
      <w:r>
        <w:rPr>
          <w:rFonts w:hint="eastAsia" w:ascii="宋体" w:hAnsi="宋体" w:cs="宋体"/>
          <w:sz w:val="22"/>
          <w:szCs w:val="22"/>
        </w:rPr>
        <w:t>（提供由省级以上监狱管理局、戒毒管理局(含新疆生产建设兵团)出具的属于监狱企业的证明</w:t>
      </w:r>
    </w:p>
    <w:p w14:paraId="447FAA50">
      <w:pPr>
        <w:jc w:val="left"/>
        <w:rPr>
          <w:rFonts w:hint="eastAsia" w:ascii="宋体" w:hAnsi="宋体" w:cs="宋体"/>
          <w:sz w:val="22"/>
          <w:szCs w:val="22"/>
        </w:rPr>
      </w:pPr>
      <w:r>
        <w:rPr>
          <w:rFonts w:hint="eastAsia" w:ascii="宋体" w:hAnsi="宋体" w:cs="宋体"/>
          <w:sz w:val="22"/>
          <w:szCs w:val="22"/>
        </w:rPr>
        <w:t>文件）</w:t>
      </w:r>
    </w:p>
    <w:p w14:paraId="19E50E7A">
      <w:pPr>
        <w:jc w:val="center"/>
        <w:rPr>
          <w:rFonts w:hint="eastAsia" w:ascii="宋体" w:hAnsi="宋体" w:cs="宋体"/>
          <w:color w:val="000000"/>
          <w:sz w:val="22"/>
          <w:szCs w:val="22"/>
        </w:rPr>
      </w:pPr>
    </w:p>
    <w:p w14:paraId="5EED4C12">
      <w:pPr>
        <w:spacing w:line="360" w:lineRule="auto"/>
        <w:jc w:val="center"/>
        <w:rPr>
          <w:rFonts w:hint="eastAsia" w:ascii="宋体" w:hAnsi="宋体" w:cs="宋体"/>
          <w:color w:val="000000"/>
          <w:sz w:val="22"/>
          <w:szCs w:val="22"/>
        </w:rPr>
      </w:pPr>
    </w:p>
    <w:p w14:paraId="7D6027D7">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节能产品认证证书</w:t>
      </w:r>
    </w:p>
    <w:p w14:paraId="139BFB9A">
      <w:pPr>
        <w:jc w:val="left"/>
        <w:rPr>
          <w:rFonts w:hint="eastAsia" w:ascii="宋体" w:hAnsi="宋体" w:cs="宋体"/>
          <w:sz w:val="22"/>
          <w:szCs w:val="22"/>
        </w:rPr>
      </w:pPr>
      <w:r>
        <w:rPr>
          <w:rFonts w:hint="eastAsia" w:ascii="宋体" w:hAnsi="宋体" w:cs="宋体"/>
          <w:sz w:val="22"/>
          <w:szCs w:val="22"/>
        </w:rPr>
        <w:t>（提供国家确定的认证机构出具的、处于有效期之内的产品认证证书）</w:t>
      </w:r>
    </w:p>
    <w:p w14:paraId="2F31165B">
      <w:pPr>
        <w:jc w:val="left"/>
        <w:rPr>
          <w:rFonts w:hint="eastAsia" w:ascii="宋体" w:hAnsi="宋体" w:cs="宋体"/>
          <w:sz w:val="22"/>
          <w:szCs w:val="22"/>
        </w:rPr>
      </w:pPr>
    </w:p>
    <w:p w14:paraId="39C15211">
      <w:pPr>
        <w:jc w:val="center"/>
        <w:rPr>
          <w:rFonts w:hint="eastAsia" w:ascii="宋体" w:hAnsi="宋体" w:cs="宋体"/>
          <w:color w:val="000000"/>
          <w:sz w:val="22"/>
          <w:szCs w:val="22"/>
        </w:rPr>
      </w:pPr>
    </w:p>
    <w:p w14:paraId="2E13668A">
      <w:pPr>
        <w:jc w:val="center"/>
        <w:rPr>
          <w:rFonts w:hint="eastAsia" w:ascii="宋体" w:hAnsi="宋体" w:cs="宋体"/>
          <w:color w:val="000000"/>
          <w:sz w:val="22"/>
          <w:szCs w:val="22"/>
        </w:rPr>
      </w:pPr>
    </w:p>
    <w:p w14:paraId="102EC0BA">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环境标志产品认证证书</w:t>
      </w:r>
    </w:p>
    <w:p w14:paraId="3E7A3A5D">
      <w:pPr>
        <w:spacing w:line="240" w:lineRule="atLeast"/>
        <w:rPr>
          <w:rFonts w:hint="eastAsia" w:ascii="宋体" w:hAnsi="宋体" w:cs="宋体"/>
          <w:sz w:val="22"/>
          <w:szCs w:val="22"/>
        </w:rPr>
      </w:pPr>
      <w:r>
        <w:rPr>
          <w:rFonts w:hint="eastAsia" w:ascii="宋体" w:hAnsi="宋体" w:cs="宋体"/>
          <w:sz w:val="22"/>
          <w:szCs w:val="22"/>
        </w:rPr>
        <w:t>（提供国家确定的认证机构出具的、处于有效期之内的产品认证证书）</w:t>
      </w:r>
    </w:p>
    <w:p w14:paraId="0C134798">
      <w:pPr>
        <w:widowControl/>
        <w:spacing w:line="240" w:lineRule="atLeast"/>
        <w:rPr>
          <w:rFonts w:hint="eastAsia" w:ascii="宋体" w:hAnsi="宋体" w:cs="宋体"/>
          <w:b/>
          <w:color w:val="000000"/>
          <w:sz w:val="22"/>
          <w:szCs w:val="22"/>
        </w:rPr>
      </w:pPr>
    </w:p>
    <w:p w14:paraId="74C702FC">
      <w:pPr>
        <w:widowControl/>
        <w:spacing w:line="240" w:lineRule="atLeast"/>
        <w:rPr>
          <w:rFonts w:hint="eastAsia" w:ascii="宋体" w:hAnsi="宋体" w:cs="宋体"/>
          <w:b/>
          <w:color w:val="000000"/>
          <w:sz w:val="22"/>
          <w:szCs w:val="22"/>
        </w:rPr>
      </w:pPr>
    </w:p>
    <w:p w14:paraId="518C7192">
      <w:pPr>
        <w:widowControl/>
        <w:spacing w:line="240" w:lineRule="atLeast"/>
        <w:rPr>
          <w:rFonts w:hint="eastAsia" w:ascii="宋体" w:hAnsi="宋体" w:cs="宋体"/>
          <w:b/>
          <w:color w:val="000000"/>
          <w:sz w:val="22"/>
          <w:szCs w:val="22"/>
        </w:rPr>
      </w:pPr>
    </w:p>
    <w:p w14:paraId="053BCE08">
      <w:pPr>
        <w:widowControl/>
        <w:spacing w:line="240" w:lineRule="atLeast"/>
        <w:rPr>
          <w:rFonts w:hint="eastAsia" w:ascii="宋体" w:hAnsi="宋体" w:cs="宋体"/>
          <w:b/>
          <w:color w:val="000000"/>
          <w:sz w:val="22"/>
          <w:szCs w:val="22"/>
        </w:rPr>
      </w:pPr>
    </w:p>
    <w:p w14:paraId="044D8D17">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附件二、无重大违法记录声明格式</w:t>
      </w:r>
    </w:p>
    <w:p w14:paraId="5EC91E43">
      <w:pPr>
        <w:widowControl/>
        <w:spacing w:line="240" w:lineRule="atLeast"/>
        <w:rPr>
          <w:rFonts w:hint="eastAsia" w:ascii="宋体" w:hAnsi="宋体" w:cs="宋体"/>
          <w:b/>
          <w:color w:val="000000"/>
          <w:sz w:val="22"/>
          <w:szCs w:val="22"/>
        </w:rPr>
      </w:pPr>
    </w:p>
    <w:p w14:paraId="5BF0D513">
      <w:pPr>
        <w:jc w:val="center"/>
        <w:rPr>
          <w:rFonts w:hint="eastAsia" w:ascii="宋体" w:hAnsi="宋体" w:cs="宋体"/>
          <w:color w:val="000000"/>
          <w:sz w:val="22"/>
          <w:szCs w:val="22"/>
        </w:rPr>
      </w:pPr>
      <w:r>
        <w:rPr>
          <w:rFonts w:hint="eastAsia" w:ascii="宋体" w:hAnsi="宋体" w:cs="宋体"/>
          <w:color w:val="000000"/>
          <w:sz w:val="22"/>
          <w:szCs w:val="22"/>
        </w:rPr>
        <w:t>无重大违法记录声明</w:t>
      </w:r>
    </w:p>
    <w:p w14:paraId="638BD665">
      <w:pPr>
        <w:spacing w:line="360" w:lineRule="auto"/>
        <w:rPr>
          <w:rFonts w:hint="eastAsia" w:ascii="宋体" w:hAnsi="宋体" w:cs="宋体"/>
          <w:color w:val="000000"/>
          <w:sz w:val="22"/>
          <w:szCs w:val="22"/>
        </w:rPr>
      </w:pPr>
    </w:p>
    <w:p w14:paraId="7D819A35">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lang w:eastAsia="zh-CN"/>
        </w:rPr>
        <w:t>南京市江宁区交通运输局</w:t>
      </w:r>
      <w:r>
        <w:rPr>
          <w:rFonts w:hint="eastAsia" w:ascii="宋体" w:hAnsi="宋体" w:cs="宋体"/>
          <w:color w:val="000000"/>
          <w:sz w:val="22"/>
          <w:szCs w:val="22"/>
        </w:rPr>
        <w:t xml:space="preserve"> ：</w:t>
      </w:r>
    </w:p>
    <w:p w14:paraId="18578F92">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我单位</w:t>
      </w:r>
      <w:r>
        <w:rPr>
          <w:rFonts w:hint="eastAsia" w:ascii="宋体" w:hAnsi="宋体" w:cs="宋体"/>
          <w:color w:val="000000"/>
          <w:sz w:val="22"/>
          <w:szCs w:val="22"/>
          <w:u w:val="single"/>
        </w:rPr>
        <w:t xml:space="preserve">                                       </w:t>
      </w:r>
      <w:r>
        <w:rPr>
          <w:rFonts w:hint="eastAsia" w:ascii="宋体" w:hAnsi="宋体" w:cs="宋体"/>
          <w:color w:val="000000"/>
          <w:sz w:val="22"/>
          <w:szCs w:val="22"/>
        </w:rPr>
        <w:t>（供应商名称）郑重声明：</w:t>
      </w:r>
    </w:p>
    <w:p w14:paraId="103A100F">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参加政府采购活动前3年内在经营活动中</w:t>
      </w:r>
      <w:r>
        <w:rPr>
          <w:rFonts w:hint="eastAsia" w:ascii="宋体" w:hAnsi="宋体" w:cs="宋体"/>
          <w:color w:val="000000"/>
          <w:sz w:val="22"/>
          <w:szCs w:val="22"/>
          <w:u w:val="single"/>
        </w:rPr>
        <w:t xml:space="preserve">        </w:t>
      </w:r>
      <w:r>
        <w:rPr>
          <w:rFonts w:hint="eastAsia" w:ascii="宋体" w:hAnsi="宋体" w:cs="宋体"/>
          <w:color w:val="000000"/>
          <w:sz w:val="22"/>
          <w:szCs w:val="22"/>
        </w:rPr>
        <w:t>（在下划线上如实填写：有或没有）重大违法记录。</w:t>
      </w:r>
    </w:p>
    <w:p w14:paraId="285798FD">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（说明：政府采购法第二十二条第一款第五项所称重大违法记录，是指供应商因违法经营受到刑事处罚或者责令停产停业、吊销许可证或者执照、较大数额罚款等行政处罚。）</w:t>
      </w:r>
    </w:p>
    <w:p w14:paraId="661CD866">
      <w:pPr>
        <w:spacing w:line="360" w:lineRule="auto"/>
        <w:ind w:firstLine="420"/>
        <w:rPr>
          <w:rFonts w:hint="eastAsia" w:ascii="宋体" w:hAnsi="宋体" w:cs="宋体"/>
          <w:color w:val="000000"/>
          <w:sz w:val="22"/>
          <w:szCs w:val="22"/>
        </w:rPr>
      </w:pPr>
    </w:p>
    <w:p w14:paraId="2961EC9D">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35CCD2C5">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0D8F1827">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3D807BDF">
      <w:pPr>
        <w:spacing w:line="360" w:lineRule="auto"/>
        <w:rPr>
          <w:rFonts w:hint="eastAsia" w:ascii="宋体" w:hAnsi="宋体" w:cs="宋体"/>
          <w:b/>
          <w:color w:val="000000"/>
          <w:sz w:val="22"/>
          <w:szCs w:val="22"/>
        </w:rPr>
      </w:pPr>
    </w:p>
    <w:p w14:paraId="6FA4007C">
      <w:pPr>
        <w:spacing w:line="360" w:lineRule="auto"/>
        <w:rPr>
          <w:rFonts w:hint="eastAsia" w:ascii="宋体" w:hAnsi="宋体" w:cs="宋体"/>
          <w:b/>
          <w:color w:val="000000"/>
          <w:sz w:val="22"/>
          <w:szCs w:val="22"/>
        </w:rPr>
      </w:pPr>
    </w:p>
    <w:p w14:paraId="102A878B">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附件三、具备履行合同所必需的设备和专业技术能力的声明格式及证明材料</w:t>
      </w:r>
    </w:p>
    <w:p w14:paraId="276B6DCB">
      <w:pPr>
        <w:spacing w:line="360" w:lineRule="auto"/>
        <w:jc w:val="center"/>
        <w:rPr>
          <w:rFonts w:hint="eastAsia" w:ascii="宋体" w:hAnsi="宋体" w:cs="宋体"/>
          <w:color w:val="000000"/>
          <w:sz w:val="22"/>
          <w:szCs w:val="22"/>
        </w:rPr>
      </w:pPr>
      <w:r>
        <w:rPr>
          <w:rFonts w:hint="eastAsia" w:ascii="宋体" w:hAnsi="宋体" w:cs="宋体"/>
          <w:color w:val="000000"/>
          <w:sz w:val="22"/>
          <w:szCs w:val="22"/>
        </w:rPr>
        <w:t>具备履行合同所必需的设备和专业技术能力的声明格式</w:t>
      </w:r>
    </w:p>
    <w:p w14:paraId="4BCFBBFB">
      <w:pPr>
        <w:spacing w:line="360" w:lineRule="auto"/>
        <w:rPr>
          <w:rFonts w:hint="eastAsia" w:ascii="宋体" w:hAnsi="宋体" w:cs="宋体"/>
          <w:color w:val="000000"/>
          <w:sz w:val="22"/>
          <w:szCs w:val="22"/>
        </w:rPr>
      </w:pPr>
      <w:r>
        <w:rPr>
          <w:rFonts w:hint="eastAsia" w:ascii="宋体" w:hAnsi="宋体" w:cs="宋体"/>
          <w:color w:val="000000"/>
          <w:sz w:val="22"/>
          <w:szCs w:val="22"/>
          <w:lang w:eastAsia="zh-CN"/>
        </w:rPr>
        <w:t>南京市江宁区交通运输局</w:t>
      </w:r>
      <w:r>
        <w:rPr>
          <w:rFonts w:hint="eastAsia" w:ascii="宋体" w:hAnsi="宋体" w:cs="宋体"/>
          <w:color w:val="000000"/>
          <w:sz w:val="22"/>
          <w:szCs w:val="22"/>
        </w:rPr>
        <w:t xml:space="preserve"> ：</w:t>
      </w:r>
    </w:p>
    <w:p w14:paraId="04749D8A">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我单位</w:t>
      </w:r>
      <w:r>
        <w:rPr>
          <w:rFonts w:hint="eastAsia" w:ascii="宋体" w:hAnsi="宋体" w:cs="宋体"/>
          <w:color w:val="000000"/>
          <w:sz w:val="22"/>
          <w:szCs w:val="22"/>
          <w:u w:val="single"/>
        </w:rPr>
        <w:t xml:space="preserve">                            </w:t>
      </w:r>
      <w:r>
        <w:rPr>
          <w:rFonts w:hint="eastAsia" w:ascii="宋体" w:hAnsi="宋体" w:cs="宋体"/>
          <w:color w:val="000000"/>
          <w:sz w:val="22"/>
          <w:szCs w:val="22"/>
        </w:rPr>
        <w:t xml:space="preserve"> （供应商名称）郑重声明：我公司具备履行本项采购合同所必需的设备和专业技术能力，为履行本项采购合同我单位具备如下主要设备和主要专业技术能力：</w:t>
      </w:r>
    </w:p>
    <w:p w14:paraId="3C0292AF">
      <w:pPr>
        <w:spacing w:line="360" w:lineRule="auto"/>
        <w:ind w:firstLine="422"/>
        <w:rPr>
          <w:rFonts w:hint="eastAsia" w:ascii="宋体" w:hAnsi="宋体" w:cs="宋体"/>
          <w:b/>
          <w:bCs/>
          <w:color w:val="000000"/>
          <w:sz w:val="22"/>
          <w:szCs w:val="22"/>
        </w:rPr>
      </w:pPr>
      <w:r>
        <w:rPr>
          <w:rFonts w:hint="eastAsia" w:ascii="宋体" w:hAnsi="宋体" w:cs="宋体"/>
          <w:b/>
          <w:bCs/>
          <w:color w:val="000000"/>
          <w:sz w:val="22"/>
          <w:szCs w:val="22"/>
        </w:rPr>
        <w:t xml:space="preserve">主要设备有：                       </w:t>
      </w:r>
      <w:r>
        <w:rPr>
          <w:rFonts w:hint="eastAsia" w:ascii="宋体" w:hAnsi="宋体" w:cs="宋体"/>
          <w:color w:val="000000"/>
          <w:sz w:val="22"/>
          <w:szCs w:val="22"/>
        </w:rPr>
        <w:t xml:space="preserve">   。</w:t>
      </w:r>
    </w:p>
    <w:p w14:paraId="4640F012">
      <w:pPr>
        <w:spacing w:line="360" w:lineRule="auto"/>
        <w:ind w:firstLine="422"/>
        <w:rPr>
          <w:rFonts w:hint="eastAsia" w:ascii="宋体" w:hAnsi="宋体" w:cs="宋体"/>
          <w:color w:val="000000"/>
          <w:sz w:val="22"/>
          <w:szCs w:val="22"/>
        </w:rPr>
      </w:pPr>
      <w:r>
        <w:rPr>
          <w:rFonts w:hint="eastAsia" w:ascii="宋体" w:hAnsi="宋体" w:cs="宋体"/>
          <w:b/>
          <w:bCs/>
          <w:color w:val="000000"/>
          <w:sz w:val="22"/>
          <w:szCs w:val="22"/>
        </w:rPr>
        <w:t>主要专业技术能力有：</w:t>
      </w:r>
      <w:r>
        <w:rPr>
          <w:rFonts w:hint="eastAsia" w:ascii="宋体" w:hAnsi="宋体" w:cs="宋体"/>
          <w:color w:val="000000"/>
          <w:sz w:val="22"/>
          <w:szCs w:val="22"/>
        </w:rPr>
        <w:t xml:space="preserve">                  。</w:t>
      </w:r>
    </w:p>
    <w:p w14:paraId="37DB13FA">
      <w:pPr>
        <w:spacing w:line="360" w:lineRule="auto"/>
        <w:ind w:firstLine="420"/>
        <w:rPr>
          <w:rFonts w:hint="eastAsia" w:ascii="宋体" w:hAnsi="宋体" w:cs="宋体"/>
          <w:color w:val="000000"/>
          <w:sz w:val="22"/>
          <w:szCs w:val="22"/>
        </w:rPr>
      </w:pPr>
      <w:r>
        <w:rPr>
          <w:rFonts w:hint="eastAsia" w:ascii="宋体" w:hAnsi="宋体" w:cs="宋体"/>
          <w:color w:val="000000"/>
          <w:sz w:val="22"/>
          <w:szCs w:val="22"/>
        </w:rPr>
        <w:t xml:space="preserve">                                      </w:t>
      </w:r>
    </w:p>
    <w:p w14:paraId="1C581332">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3679F7EB">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04F1CAB9">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63494B29">
      <w:pPr>
        <w:spacing w:line="360" w:lineRule="auto"/>
        <w:rPr>
          <w:rFonts w:hint="eastAsia" w:ascii="宋体" w:hAnsi="宋体" w:cs="宋体"/>
          <w:b/>
          <w:color w:val="000000"/>
          <w:sz w:val="22"/>
          <w:szCs w:val="22"/>
        </w:rPr>
      </w:pPr>
    </w:p>
    <w:p w14:paraId="19727F7F">
      <w:pPr>
        <w:pStyle w:val="42"/>
        <w:ind w:firstLine="420"/>
        <w:rPr>
          <w:rFonts w:hint="eastAsia" w:ascii="宋体" w:hAnsi="宋体" w:eastAsia="宋体"/>
          <w:sz w:val="22"/>
          <w:szCs w:val="22"/>
        </w:rPr>
      </w:pPr>
    </w:p>
    <w:p w14:paraId="5D84BA5B">
      <w:pPr>
        <w:spacing w:line="360" w:lineRule="auto"/>
        <w:rPr>
          <w:rFonts w:hint="eastAsia" w:ascii="宋体" w:hAnsi="宋体" w:cs="宋体"/>
          <w:b/>
          <w:color w:val="000000"/>
          <w:sz w:val="22"/>
          <w:szCs w:val="22"/>
        </w:rPr>
      </w:pPr>
    </w:p>
    <w:p w14:paraId="76AFA3E0">
      <w:pPr>
        <w:spacing w:line="360" w:lineRule="auto"/>
        <w:rPr>
          <w:rFonts w:hint="eastAsia" w:ascii="宋体" w:hAnsi="宋体" w:cs="宋体"/>
          <w:b/>
          <w:color w:val="000000"/>
          <w:sz w:val="22"/>
          <w:szCs w:val="22"/>
        </w:rPr>
      </w:pPr>
    </w:p>
    <w:p w14:paraId="75D2F78B">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附件四、承诺书</w:t>
      </w:r>
    </w:p>
    <w:p w14:paraId="09F29C85">
      <w:pPr>
        <w:pStyle w:val="42"/>
        <w:ind w:firstLine="422"/>
        <w:jc w:val="center"/>
        <w:rPr>
          <w:rFonts w:hint="eastAsia" w:ascii="宋体" w:hAnsi="宋体" w:eastAsia="宋体"/>
          <w:b/>
          <w:color w:val="000000"/>
          <w:sz w:val="22"/>
          <w:szCs w:val="22"/>
        </w:rPr>
      </w:pPr>
      <w:r>
        <w:rPr>
          <w:rFonts w:hint="eastAsia" w:ascii="宋体" w:hAnsi="宋体" w:eastAsia="宋体"/>
          <w:b/>
          <w:color w:val="000000"/>
          <w:sz w:val="22"/>
          <w:szCs w:val="22"/>
        </w:rPr>
        <w:t>承诺书</w:t>
      </w:r>
    </w:p>
    <w:p w14:paraId="005AC6D6">
      <w:pPr>
        <w:spacing w:line="360" w:lineRule="auto"/>
        <w:rPr>
          <w:rFonts w:hint="eastAsia" w:ascii="宋体" w:hAnsi="宋体" w:cs="宋体"/>
          <w:b/>
          <w:bCs/>
          <w:sz w:val="22"/>
          <w:szCs w:val="22"/>
        </w:rPr>
      </w:pPr>
      <w:r>
        <w:rPr>
          <w:rFonts w:hint="eastAsia" w:ascii="宋体" w:hAnsi="宋体" w:cs="宋体"/>
          <w:b/>
          <w:bCs/>
          <w:sz w:val="22"/>
          <w:szCs w:val="22"/>
          <w:lang w:eastAsia="zh-CN"/>
        </w:rPr>
        <w:t>南京市江宁区交通运输局</w:t>
      </w:r>
      <w:r>
        <w:rPr>
          <w:rFonts w:hint="eastAsia" w:ascii="宋体" w:hAnsi="宋体" w:cs="宋体"/>
          <w:b/>
          <w:bCs/>
          <w:sz w:val="22"/>
          <w:szCs w:val="22"/>
        </w:rPr>
        <w:t>：</w:t>
      </w:r>
    </w:p>
    <w:p w14:paraId="71BBBD6E">
      <w:pPr>
        <w:spacing w:line="360" w:lineRule="auto"/>
        <w:ind w:firstLine="420"/>
        <w:rPr>
          <w:rFonts w:hint="eastAsia" w:ascii="宋体" w:hAnsi="宋体" w:cs="宋体"/>
          <w:b/>
          <w:color w:val="000000"/>
          <w:sz w:val="22"/>
          <w:szCs w:val="22"/>
        </w:rPr>
      </w:pPr>
      <w:r>
        <w:rPr>
          <w:rFonts w:hint="eastAsia" w:ascii="宋体" w:hAnsi="宋体" w:cs="宋体"/>
          <w:bCs/>
          <w:sz w:val="22"/>
          <w:szCs w:val="22"/>
        </w:rPr>
        <w:t>根据贵方组织的</w:t>
      </w:r>
      <w:r>
        <w:rPr>
          <w:rFonts w:hint="eastAsia" w:ascii="宋体" w:hAnsi="宋体" w:cs="宋体"/>
          <w:bCs/>
          <w:sz w:val="22"/>
          <w:szCs w:val="22"/>
          <w:u w:val="single"/>
        </w:rPr>
        <w:t xml:space="preserve">                            </w:t>
      </w:r>
      <w:r>
        <w:rPr>
          <w:rFonts w:hint="eastAsia" w:ascii="宋体" w:hAnsi="宋体" w:cs="宋体"/>
          <w:bCs/>
          <w:sz w:val="22"/>
          <w:szCs w:val="22"/>
        </w:rPr>
        <w:t>项目（项目名称）</w:t>
      </w:r>
      <w:r>
        <w:rPr>
          <w:rFonts w:hint="eastAsia" w:ascii="宋体" w:hAnsi="宋体" w:cs="宋体"/>
          <w:bCs/>
          <w:sz w:val="22"/>
          <w:szCs w:val="22"/>
          <w:u w:val="single"/>
        </w:rPr>
        <w:t xml:space="preserve">          </w:t>
      </w:r>
      <w:r>
        <w:rPr>
          <w:rFonts w:hint="eastAsia" w:ascii="宋体" w:hAnsi="宋体" w:cs="宋体"/>
          <w:bCs/>
          <w:sz w:val="22"/>
          <w:szCs w:val="22"/>
        </w:rPr>
        <w:t>（项目编号）的要求，我方承诺</w:t>
      </w:r>
      <w:r>
        <w:rPr>
          <w:rFonts w:hint="eastAsia" w:ascii="宋体" w:hAnsi="宋体" w:cs="宋体"/>
          <w:sz w:val="22"/>
          <w:szCs w:val="22"/>
          <w:shd w:val="clear" w:color="auto" w:fill="FFFFFF"/>
        </w:rPr>
        <w:t>对信用承诺内容的真实性、合法性、有效性负责。如作出虚假信用承诺，视同为“提供虚假材料谋取中标、成交”的违法行为。经调查核实后，按照《政府采购法》第七十七条规定，接受处以采购金额千分之五以上千分之十</w:t>
      </w:r>
      <w:r>
        <w:rPr>
          <w:rFonts w:hint="eastAsia" w:ascii="宋体" w:hAnsi="宋体" w:cs="宋体"/>
          <w:sz w:val="22"/>
          <w:szCs w:val="22"/>
          <w:shd w:val="clear" w:color="auto" w:fill="FFFFFF"/>
          <w:lang w:eastAsia="zh-CN"/>
        </w:rPr>
        <w:t>以</w:t>
      </w:r>
      <w:r>
        <w:rPr>
          <w:rFonts w:hint="eastAsia" w:ascii="宋体" w:hAnsi="宋体" w:cs="宋体"/>
          <w:sz w:val="22"/>
          <w:szCs w:val="22"/>
          <w:shd w:val="clear" w:color="auto" w:fill="FFFFFF"/>
        </w:rPr>
        <w:t>下的罚款，列入不良行为记录名单，在一年至三年内禁止参加政府采购活动；有违法所得的，并没收违法所得，情节严重的，由市场监管部门吊销营业执照；构成犯罪的，依法追究刑事责任。</w:t>
      </w:r>
    </w:p>
    <w:p w14:paraId="5392BE88">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23841E67">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7E54AD42">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0D0B8264">
      <w:pPr>
        <w:spacing w:line="360" w:lineRule="auto"/>
        <w:rPr>
          <w:rFonts w:hint="eastAsia" w:ascii="宋体" w:hAnsi="宋体" w:cs="宋体"/>
          <w:b/>
          <w:color w:val="000000"/>
          <w:sz w:val="22"/>
          <w:szCs w:val="22"/>
        </w:rPr>
      </w:pPr>
    </w:p>
    <w:p w14:paraId="4215B030">
      <w:pPr>
        <w:spacing w:line="360" w:lineRule="auto"/>
        <w:rPr>
          <w:rFonts w:hint="eastAsia" w:ascii="宋体" w:hAnsi="宋体" w:cs="宋体"/>
          <w:b/>
          <w:color w:val="000000"/>
          <w:sz w:val="22"/>
          <w:szCs w:val="22"/>
        </w:rPr>
      </w:pPr>
    </w:p>
    <w:p w14:paraId="008082C6">
      <w:pPr>
        <w:spacing w:line="360" w:lineRule="auto"/>
        <w:rPr>
          <w:rFonts w:hint="eastAsia" w:ascii="宋体" w:hAnsi="宋体" w:cs="宋体"/>
          <w:b/>
          <w:color w:val="000000"/>
          <w:sz w:val="22"/>
          <w:szCs w:val="22"/>
        </w:rPr>
      </w:pPr>
    </w:p>
    <w:p w14:paraId="6AECD61D">
      <w:pPr>
        <w:spacing w:line="360" w:lineRule="auto"/>
        <w:rPr>
          <w:rFonts w:hint="eastAsia" w:ascii="宋体" w:hAnsi="宋体" w:cs="宋体"/>
          <w:b/>
          <w:color w:val="000000"/>
          <w:sz w:val="22"/>
          <w:szCs w:val="22"/>
        </w:rPr>
      </w:pPr>
    </w:p>
    <w:p w14:paraId="0E8255E4">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253FF275">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附件五、承诺书</w:t>
      </w:r>
    </w:p>
    <w:p w14:paraId="66858144">
      <w:pPr>
        <w:pStyle w:val="42"/>
        <w:spacing w:line="360" w:lineRule="auto"/>
        <w:ind w:firstLine="422"/>
        <w:jc w:val="center"/>
        <w:rPr>
          <w:rFonts w:hint="eastAsia" w:ascii="宋体" w:hAnsi="宋体" w:eastAsia="宋体"/>
          <w:b/>
          <w:color w:val="000000"/>
          <w:sz w:val="22"/>
          <w:szCs w:val="22"/>
        </w:rPr>
      </w:pPr>
      <w:r>
        <w:rPr>
          <w:rFonts w:hint="eastAsia" w:ascii="宋体" w:hAnsi="宋体" w:eastAsia="宋体"/>
          <w:b/>
          <w:color w:val="000000"/>
          <w:sz w:val="22"/>
          <w:szCs w:val="22"/>
        </w:rPr>
        <w:t>承诺书</w:t>
      </w:r>
    </w:p>
    <w:p w14:paraId="1FEF433C">
      <w:pPr>
        <w:spacing w:line="360" w:lineRule="auto"/>
        <w:rPr>
          <w:rFonts w:hint="eastAsia" w:ascii="宋体" w:hAnsi="宋体" w:cs="宋体"/>
          <w:b/>
          <w:bCs/>
          <w:sz w:val="22"/>
          <w:szCs w:val="22"/>
        </w:rPr>
      </w:pPr>
      <w:r>
        <w:rPr>
          <w:rFonts w:hint="eastAsia" w:ascii="宋体" w:hAnsi="宋体" w:cs="宋体"/>
          <w:b/>
          <w:bCs/>
          <w:sz w:val="22"/>
          <w:szCs w:val="22"/>
          <w:lang w:eastAsia="zh-CN"/>
        </w:rPr>
        <w:t>南京市江宁区交通运输局</w:t>
      </w:r>
      <w:r>
        <w:rPr>
          <w:rFonts w:hint="eastAsia" w:ascii="宋体" w:hAnsi="宋体" w:cs="宋体"/>
          <w:b/>
          <w:bCs/>
          <w:sz w:val="22"/>
          <w:szCs w:val="22"/>
        </w:rPr>
        <w:t>：</w:t>
      </w:r>
    </w:p>
    <w:p w14:paraId="15F2A6D6">
      <w:pPr>
        <w:spacing w:line="360" w:lineRule="auto"/>
        <w:ind w:firstLine="420"/>
        <w:rPr>
          <w:rFonts w:hint="eastAsia" w:ascii="宋体" w:hAnsi="宋体" w:cs="宋体"/>
          <w:bCs/>
          <w:sz w:val="22"/>
          <w:szCs w:val="22"/>
        </w:rPr>
      </w:pPr>
      <w:r>
        <w:rPr>
          <w:rFonts w:hint="eastAsia" w:ascii="宋体" w:hAnsi="宋体" w:cs="宋体"/>
          <w:bCs/>
          <w:sz w:val="22"/>
          <w:szCs w:val="22"/>
        </w:rPr>
        <w:t>根据贵方组织的</w:t>
      </w:r>
      <w:r>
        <w:rPr>
          <w:rFonts w:hint="eastAsia" w:ascii="宋体" w:hAnsi="宋体" w:cs="宋体"/>
          <w:bCs/>
          <w:sz w:val="22"/>
          <w:szCs w:val="22"/>
          <w:u w:val="single"/>
        </w:rPr>
        <w:t xml:space="preserve">                            </w:t>
      </w:r>
      <w:r>
        <w:rPr>
          <w:rFonts w:hint="eastAsia" w:ascii="宋体" w:hAnsi="宋体" w:cs="宋体"/>
          <w:bCs/>
          <w:sz w:val="22"/>
          <w:szCs w:val="22"/>
        </w:rPr>
        <w:t>项目（项目名称）</w:t>
      </w:r>
      <w:r>
        <w:rPr>
          <w:rFonts w:hint="eastAsia" w:ascii="宋体" w:hAnsi="宋体" w:cs="宋体"/>
          <w:bCs/>
          <w:sz w:val="22"/>
          <w:szCs w:val="22"/>
          <w:u w:val="single"/>
        </w:rPr>
        <w:t xml:space="preserve">          </w:t>
      </w:r>
      <w:r>
        <w:rPr>
          <w:rFonts w:hint="eastAsia" w:ascii="宋体" w:hAnsi="宋体" w:cs="宋体"/>
          <w:bCs/>
          <w:sz w:val="22"/>
          <w:szCs w:val="22"/>
        </w:rPr>
        <w:t xml:space="preserve">（项目编号）的要求，我方 </w:t>
      </w:r>
      <w:r>
        <w:rPr>
          <w:rFonts w:hint="eastAsia" w:ascii="宋体" w:hAnsi="宋体" w:cs="宋体"/>
          <w:bCs/>
          <w:sz w:val="22"/>
          <w:szCs w:val="22"/>
          <w:u w:val="single"/>
        </w:rPr>
        <w:t xml:space="preserve">              </w:t>
      </w:r>
      <w:r>
        <w:rPr>
          <w:rFonts w:hint="eastAsia" w:ascii="宋体" w:hAnsi="宋体" w:cs="宋体"/>
          <w:bCs/>
          <w:sz w:val="22"/>
          <w:szCs w:val="22"/>
        </w:rPr>
        <w:t>（投标供应商名称）作为供应商承诺</w:t>
      </w:r>
      <w:r>
        <w:rPr>
          <w:rFonts w:hint="eastAsia" w:ascii="宋体" w:hAnsi="宋体" w:cs="宋体"/>
          <w:b/>
          <w:sz w:val="22"/>
          <w:szCs w:val="22"/>
        </w:rPr>
        <w:t>不存在以下情况</w:t>
      </w:r>
      <w:r>
        <w:rPr>
          <w:rFonts w:hint="eastAsia" w:ascii="宋体" w:hAnsi="宋体" w:cs="宋体"/>
          <w:bCs/>
          <w:sz w:val="22"/>
          <w:szCs w:val="22"/>
        </w:rPr>
        <w:t>：</w:t>
      </w:r>
    </w:p>
    <w:p w14:paraId="5F220A42">
      <w:pPr>
        <w:spacing w:line="360" w:lineRule="auto"/>
        <w:ind w:firstLine="420"/>
        <w:rPr>
          <w:rFonts w:hint="eastAsia" w:ascii="宋体" w:hAnsi="宋体" w:cs="宋体"/>
          <w:bCs/>
          <w:sz w:val="22"/>
          <w:szCs w:val="22"/>
        </w:rPr>
      </w:pPr>
      <w:r>
        <w:rPr>
          <w:rFonts w:hint="eastAsia" w:ascii="宋体" w:hAnsi="宋体" w:cs="宋体"/>
          <w:bCs/>
          <w:sz w:val="22"/>
          <w:szCs w:val="22"/>
        </w:rPr>
        <w:t xml:space="preserve"> </w:t>
      </w:r>
    </w:p>
    <w:p w14:paraId="1F8E16EB">
      <w:pPr>
        <w:spacing w:line="360" w:lineRule="auto"/>
        <w:ind w:firstLine="420"/>
        <w:rPr>
          <w:rFonts w:hint="eastAsia" w:ascii="宋体" w:hAnsi="宋体" w:cs="宋体"/>
          <w:bCs/>
          <w:sz w:val="22"/>
          <w:szCs w:val="22"/>
        </w:rPr>
      </w:pPr>
      <w:r>
        <w:rPr>
          <w:rFonts w:hint="eastAsia" w:ascii="宋体" w:hAnsi="宋体" w:cs="宋体"/>
          <w:bCs/>
          <w:sz w:val="22"/>
          <w:szCs w:val="22"/>
        </w:rPr>
        <w:t>（1）供应商单位负责人为同一人或者存在直接控股、管理关系的不同供应商，不得参加同一合同项下的政府采购活动。</w:t>
      </w:r>
    </w:p>
    <w:p w14:paraId="24BF495E">
      <w:pPr>
        <w:spacing w:line="360" w:lineRule="auto"/>
        <w:ind w:firstLine="420"/>
        <w:rPr>
          <w:rFonts w:hint="eastAsia" w:ascii="宋体" w:hAnsi="宋体" w:cs="宋体"/>
          <w:bCs/>
          <w:sz w:val="22"/>
          <w:szCs w:val="22"/>
        </w:rPr>
      </w:pPr>
      <w:r>
        <w:rPr>
          <w:rFonts w:hint="eastAsia" w:ascii="宋体" w:hAnsi="宋体" w:cs="宋体"/>
          <w:bCs/>
          <w:sz w:val="22"/>
          <w:szCs w:val="22"/>
        </w:rPr>
        <w:t>（2）凡为采购项目提供整体设计、规范编制或者项目管理、监理、检测等服务的供应商，不得再参加本项目的采购活动。</w:t>
      </w:r>
    </w:p>
    <w:p w14:paraId="4E87B4BA">
      <w:pPr>
        <w:spacing w:line="360" w:lineRule="auto"/>
        <w:ind w:firstLine="420"/>
        <w:rPr>
          <w:rFonts w:hint="eastAsia" w:ascii="宋体" w:hAnsi="宋体" w:cs="宋体"/>
          <w:bCs/>
          <w:sz w:val="22"/>
          <w:szCs w:val="22"/>
        </w:rPr>
      </w:pPr>
      <w:r>
        <w:rPr>
          <w:rFonts w:hint="eastAsia" w:ascii="宋体" w:hAnsi="宋体" w:cs="宋体"/>
          <w:bCs/>
          <w:sz w:val="22"/>
          <w:szCs w:val="22"/>
        </w:rPr>
        <w:t>（3）供应商被“信用中国”网站（www、creditchina、gov、cn）、“中国政府采购网"(www、ccgp、gov、cn)列入失信被执行人、重大税收违法案件当事人名单、政府采购严重违法失信行为记录名单。</w:t>
      </w:r>
    </w:p>
    <w:p w14:paraId="3B9528B0">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供应商名称：</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（盖章）</w:t>
      </w:r>
    </w:p>
    <w:p w14:paraId="23B4F932">
      <w:pPr>
        <w:widowControl/>
        <w:spacing w:line="360" w:lineRule="auto"/>
        <w:ind w:firstLine="420"/>
        <w:jc w:val="left"/>
        <w:rPr>
          <w:rFonts w:hint="eastAsia" w:ascii="宋体" w:hAnsi="宋体" w:cs="宋体"/>
          <w:sz w:val="22"/>
          <w:szCs w:val="22"/>
          <w:lang w:val="zh-CN"/>
        </w:rPr>
      </w:pPr>
      <w:r>
        <w:rPr>
          <w:rFonts w:hint="eastAsia" w:ascii="宋体" w:hAnsi="宋体" w:cs="宋体"/>
          <w:sz w:val="22"/>
          <w:szCs w:val="22"/>
          <w:lang w:val="zh-CN"/>
        </w:rPr>
        <w:t xml:space="preserve">    法定代表人或授权委托人签字：</w:t>
      </w:r>
      <w:r>
        <w:rPr>
          <w:rFonts w:hint="eastAsia" w:ascii="宋体" w:hAnsi="宋体" w:cs="宋体"/>
          <w:sz w:val="22"/>
          <w:szCs w:val="22"/>
          <w:u w:val="single"/>
        </w:rPr>
        <w:t xml:space="preserve">         </w:t>
      </w:r>
      <w:r>
        <w:rPr>
          <w:rFonts w:hint="eastAsia" w:ascii="宋体" w:hAnsi="宋体" w:cs="宋体"/>
          <w:sz w:val="22"/>
          <w:szCs w:val="22"/>
          <w:u w:val="single"/>
          <w:lang w:val="zh-CN"/>
        </w:rPr>
        <w:t xml:space="preserve">  </w:t>
      </w:r>
      <w:r>
        <w:rPr>
          <w:rFonts w:hint="eastAsia" w:ascii="宋体" w:hAnsi="宋体" w:cs="宋体"/>
          <w:sz w:val="22"/>
          <w:szCs w:val="22"/>
          <w:lang w:val="zh-CN"/>
        </w:rPr>
        <w:t xml:space="preserve">                  </w:t>
      </w:r>
    </w:p>
    <w:p w14:paraId="137DD3DE">
      <w:pPr>
        <w:spacing w:line="360" w:lineRule="auto"/>
        <w:ind w:firstLine="420"/>
        <w:rPr>
          <w:rFonts w:hint="eastAsia" w:ascii="宋体" w:hAnsi="宋体" w:cs="宋体"/>
          <w:color w:val="000000"/>
          <w:sz w:val="22"/>
          <w:szCs w:val="22"/>
          <w:lang w:val="zh-CN"/>
        </w:rPr>
      </w:pPr>
      <w:r>
        <w:rPr>
          <w:rFonts w:hint="eastAsia" w:ascii="宋体" w:hAnsi="宋体" w:cs="宋体"/>
          <w:color w:val="000000"/>
          <w:sz w:val="22"/>
          <w:szCs w:val="22"/>
          <w:lang w:val="zh-CN"/>
        </w:rPr>
        <w:t>日    期：</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年</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月</w:t>
      </w:r>
      <w:r>
        <w:rPr>
          <w:rFonts w:hint="eastAsia" w:ascii="宋体" w:hAnsi="宋体" w:cs="宋体"/>
          <w:color w:val="000000"/>
          <w:sz w:val="22"/>
          <w:szCs w:val="22"/>
          <w:u w:val="single"/>
          <w:lang w:val="zh-CN"/>
        </w:rPr>
        <w:t xml:space="preserve">    </w:t>
      </w:r>
      <w:r>
        <w:rPr>
          <w:rFonts w:hint="eastAsia" w:ascii="宋体" w:hAnsi="宋体" w:cs="宋体"/>
          <w:color w:val="000000"/>
          <w:sz w:val="22"/>
          <w:szCs w:val="22"/>
          <w:lang w:val="zh-CN"/>
        </w:rPr>
        <w:t>日</w:t>
      </w:r>
    </w:p>
    <w:p w14:paraId="2B8A442A">
      <w:pPr>
        <w:spacing w:line="360" w:lineRule="auto"/>
        <w:ind w:firstLine="420"/>
        <w:rPr>
          <w:rFonts w:hint="eastAsia" w:ascii="宋体" w:hAnsi="宋体" w:cs="宋体"/>
          <w:color w:val="000000"/>
          <w:sz w:val="22"/>
          <w:szCs w:val="22"/>
        </w:rPr>
      </w:pPr>
    </w:p>
    <w:p w14:paraId="60C6680F">
      <w:pPr>
        <w:widowControl/>
        <w:spacing w:line="240" w:lineRule="atLeast"/>
        <w:jc w:val="left"/>
        <w:rPr>
          <w:rFonts w:hint="eastAsia" w:ascii="宋体" w:hAnsi="宋体" w:cs="宋体"/>
          <w:color w:val="000000"/>
          <w:sz w:val="22"/>
          <w:szCs w:val="22"/>
          <w:lang w:val="zh-CN"/>
        </w:rPr>
      </w:pPr>
    </w:p>
    <w:p w14:paraId="551FD666">
      <w:pPr>
        <w:widowControl/>
        <w:spacing w:line="360" w:lineRule="auto"/>
        <w:outlineLvl w:val="1"/>
        <w:rPr>
          <w:rFonts w:hint="eastAsia" w:ascii="宋体" w:hAnsi="宋体" w:cs="Times New Roman"/>
          <w:b/>
          <w:color w:val="auto"/>
          <w:sz w:val="22"/>
          <w:szCs w:val="22"/>
          <w:lang w:bidi="en-US"/>
        </w:rPr>
      </w:pPr>
      <w:r>
        <w:rPr>
          <w:rFonts w:hint="eastAsia" w:ascii="宋体" w:hAnsi="宋体" w:cs="Times New Roman"/>
          <w:b/>
          <w:color w:val="auto"/>
          <w:sz w:val="22"/>
          <w:szCs w:val="22"/>
          <w:lang w:bidi="en-US"/>
        </w:rPr>
        <w:t>附件六、信用中国”（www、creditchina、gov、cn）、“中国政府采购网"(www、ccgp、gov、cn)网站截图</w:t>
      </w:r>
    </w:p>
    <w:p w14:paraId="1A5C3217">
      <w:pPr>
        <w:widowControl/>
        <w:spacing w:line="360" w:lineRule="auto"/>
        <w:jc w:val="left"/>
        <w:rPr>
          <w:rFonts w:hint="eastAsia" w:ascii="宋体" w:hAnsi="宋体" w:cs="宋体"/>
          <w:b/>
          <w:color w:val="000000"/>
          <w:sz w:val="22"/>
          <w:szCs w:val="22"/>
        </w:rPr>
      </w:pPr>
    </w:p>
    <w:p w14:paraId="2DBF4074">
      <w:pPr>
        <w:pStyle w:val="42"/>
        <w:rPr>
          <w:rFonts w:hint="eastAsia"/>
          <w:sz w:val="22"/>
          <w:szCs w:val="22"/>
        </w:rPr>
      </w:pPr>
    </w:p>
    <w:p w14:paraId="2203F557">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22052FFD">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附件七、服务承诺书</w:t>
      </w:r>
    </w:p>
    <w:p w14:paraId="5D8257CD">
      <w:pPr>
        <w:pStyle w:val="42"/>
        <w:ind w:firstLine="422"/>
        <w:rPr>
          <w:rFonts w:hint="eastAsia" w:ascii="宋体" w:hAnsi="宋体" w:eastAsia="宋体"/>
          <w:b/>
          <w:color w:val="000000"/>
          <w:sz w:val="22"/>
          <w:szCs w:val="22"/>
        </w:rPr>
      </w:pPr>
    </w:p>
    <w:p w14:paraId="25B24D5F">
      <w:pPr>
        <w:pStyle w:val="42"/>
        <w:ind w:firstLine="422"/>
        <w:jc w:val="center"/>
        <w:rPr>
          <w:rFonts w:hint="eastAsia" w:ascii="宋体" w:hAnsi="宋体" w:eastAsia="宋体"/>
          <w:b/>
          <w:color w:val="000000"/>
          <w:sz w:val="22"/>
          <w:szCs w:val="22"/>
          <w:highlight w:val="none"/>
        </w:rPr>
      </w:pPr>
      <w:r>
        <w:rPr>
          <w:rFonts w:hint="eastAsia" w:ascii="宋体" w:hAnsi="宋体" w:eastAsia="宋体"/>
          <w:b/>
          <w:color w:val="000000"/>
          <w:sz w:val="22"/>
          <w:szCs w:val="22"/>
          <w:highlight w:val="none"/>
        </w:rPr>
        <w:t>服务承诺书</w:t>
      </w:r>
    </w:p>
    <w:p w14:paraId="4403EC66">
      <w:pPr>
        <w:pStyle w:val="42"/>
        <w:ind w:firstLine="422"/>
        <w:rPr>
          <w:rFonts w:hint="eastAsia" w:ascii="宋体" w:hAnsi="宋体" w:eastAsia="宋体"/>
          <w:b/>
          <w:color w:val="000000"/>
          <w:sz w:val="22"/>
          <w:szCs w:val="22"/>
          <w:highlight w:val="none"/>
        </w:rPr>
      </w:pPr>
    </w:p>
    <w:p w14:paraId="55EF5F13">
      <w:pP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南京市江宁区交通运输局</w:t>
      </w:r>
      <w:r>
        <w:rPr>
          <w:rFonts w:hint="eastAsia" w:ascii="宋体" w:hAnsi="宋体" w:cs="宋体"/>
          <w:color w:val="000000"/>
          <w:sz w:val="22"/>
          <w:szCs w:val="22"/>
          <w:highlight w:val="none"/>
        </w:rPr>
        <w:t xml:space="preserve"> ：</w:t>
      </w:r>
    </w:p>
    <w:p w14:paraId="60EE0B8B">
      <w:pPr>
        <w:spacing w:line="360" w:lineRule="auto"/>
        <w:ind w:firstLine="420"/>
        <w:rPr>
          <w:rFonts w:hint="eastAsia" w:ascii="宋体" w:hAnsi="宋体" w:cs="宋体"/>
          <w:b/>
          <w:color w:val="000000"/>
          <w:sz w:val="22"/>
          <w:szCs w:val="22"/>
          <w:highlight w:val="none"/>
        </w:rPr>
      </w:pPr>
      <w:r>
        <w:rPr>
          <w:rFonts w:hint="eastAsia" w:ascii="宋体" w:hAnsi="宋体" w:cs="宋体"/>
          <w:color w:val="000000"/>
          <w:sz w:val="22"/>
          <w:szCs w:val="22"/>
          <w:highlight w:val="none"/>
        </w:rPr>
        <w:t>我单位</w:t>
      </w:r>
      <w:r>
        <w:rPr>
          <w:rFonts w:hint="eastAsia" w:ascii="宋体" w:hAnsi="宋体" w:cs="宋体"/>
          <w:color w:val="000000"/>
          <w:sz w:val="22"/>
          <w:szCs w:val="22"/>
          <w:highlight w:val="none"/>
          <w:u w:val="single"/>
        </w:rPr>
        <w:t xml:space="preserve">                            </w:t>
      </w:r>
      <w:r>
        <w:rPr>
          <w:rFonts w:hint="eastAsia" w:ascii="宋体" w:hAnsi="宋体" w:cs="宋体"/>
          <w:color w:val="000000"/>
          <w:sz w:val="22"/>
          <w:szCs w:val="22"/>
          <w:highlight w:val="none"/>
        </w:rPr>
        <w:t xml:space="preserve"> （供应商名称）郑重声明求：我单位本次投标。若中标会积极响应采购人以下要求：</w:t>
      </w:r>
    </w:p>
    <w:p w14:paraId="2E8A8DDC">
      <w:pPr>
        <w:spacing w:line="360" w:lineRule="auto"/>
        <w:ind w:firstLine="420"/>
        <w:rPr>
          <w:rFonts w:hint="eastAsia" w:ascii="宋体" w:hAnsi="宋体" w:eastAsia="宋体" w:cs="Times New Roman"/>
          <w:sz w:val="22"/>
          <w:szCs w:val="22"/>
          <w:highlight w:val="none"/>
        </w:rPr>
      </w:pPr>
      <w:r>
        <w:rPr>
          <w:rFonts w:hint="eastAsia" w:ascii="宋体" w:hAnsi="宋体" w:eastAsia="宋体" w:cs="Times New Roman"/>
          <w:sz w:val="22"/>
          <w:szCs w:val="22"/>
          <w:highlight w:val="none"/>
          <w:lang w:eastAsia="zh-CN"/>
        </w:rPr>
        <w:t>我</w:t>
      </w:r>
      <w:r>
        <w:rPr>
          <w:rFonts w:hint="eastAsia" w:ascii="宋体" w:hAnsi="宋体" w:eastAsia="宋体" w:cs="Times New Roman"/>
          <w:sz w:val="22"/>
          <w:szCs w:val="22"/>
          <w:highlight w:val="none"/>
          <w:lang w:val="en-US" w:eastAsia="zh-CN"/>
        </w:rPr>
        <w:t>单位</w:t>
      </w:r>
      <w:r>
        <w:rPr>
          <w:rFonts w:hint="eastAsia" w:ascii="宋体" w:hAnsi="宋体" w:eastAsia="宋体" w:cs="Times New Roman"/>
          <w:sz w:val="22"/>
          <w:szCs w:val="22"/>
          <w:highlight w:val="none"/>
        </w:rPr>
        <w:t>承诺自主协调设施养护有关事宜（包含但不限于：交通违法处理、环卫、城管执法、环保等），遇应急抢险任务一个小时内到达现场的。</w:t>
      </w:r>
    </w:p>
    <w:p w14:paraId="69CBA92A">
      <w:pPr>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供应商名称：</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（盖章）</w:t>
      </w:r>
    </w:p>
    <w:p w14:paraId="773A6735">
      <w:pPr>
        <w:widowControl/>
        <w:spacing w:line="360" w:lineRule="auto"/>
        <w:ind w:firstLine="420"/>
        <w:jc w:val="left"/>
        <w:rPr>
          <w:rFonts w:hint="eastAsia" w:ascii="宋体" w:hAnsi="宋体" w:cs="宋体"/>
          <w:sz w:val="22"/>
          <w:szCs w:val="22"/>
          <w:highlight w:val="none"/>
          <w:lang w:val="zh-CN"/>
        </w:rPr>
      </w:pPr>
      <w:r>
        <w:rPr>
          <w:rFonts w:hint="eastAsia" w:ascii="宋体" w:hAnsi="宋体" w:cs="宋体"/>
          <w:sz w:val="22"/>
          <w:szCs w:val="22"/>
          <w:highlight w:val="none"/>
          <w:lang w:val="zh-CN"/>
        </w:rPr>
        <w:t xml:space="preserve">    法定代表人或授权委托人签字：</w:t>
      </w:r>
      <w:r>
        <w:rPr>
          <w:rFonts w:hint="eastAsia" w:ascii="宋体" w:hAnsi="宋体" w:cs="宋体"/>
          <w:sz w:val="22"/>
          <w:szCs w:val="22"/>
          <w:highlight w:val="none"/>
          <w:u w:val="single"/>
        </w:rPr>
        <w:t xml:space="preserve">         </w:t>
      </w:r>
      <w:r>
        <w:rPr>
          <w:rFonts w:hint="eastAsia" w:ascii="宋体" w:hAnsi="宋体" w:cs="宋体"/>
          <w:sz w:val="22"/>
          <w:szCs w:val="22"/>
          <w:highlight w:val="none"/>
          <w:u w:val="single"/>
          <w:lang w:val="zh-CN"/>
        </w:rPr>
        <w:t xml:space="preserve">  </w:t>
      </w:r>
      <w:r>
        <w:rPr>
          <w:rFonts w:hint="eastAsia" w:ascii="宋体" w:hAnsi="宋体" w:cs="宋体"/>
          <w:sz w:val="22"/>
          <w:szCs w:val="22"/>
          <w:highlight w:val="none"/>
          <w:lang w:val="zh-CN"/>
        </w:rPr>
        <w:t xml:space="preserve">                  </w:t>
      </w:r>
    </w:p>
    <w:p w14:paraId="14EEE106">
      <w:pPr>
        <w:spacing w:line="360" w:lineRule="auto"/>
        <w:ind w:firstLine="420"/>
        <w:rPr>
          <w:rFonts w:hint="eastAsia" w:ascii="宋体" w:hAnsi="宋体" w:cs="宋体"/>
          <w:color w:val="000000"/>
          <w:sz w:val="22"/>
          <w:szCs w:val="22"/>
          <w:highlight w:val="none"/>
          <w:lang w:val="zh-CN"/>
        </w:rPr>
      </w:pPr>
      <w:r>
        <w:rPr>
          <w:rFonts w:hint="eastAsia" w:ascii="宋体" w:hAnsi="宋体" w:cs="宋体"/>
          <w:color w:val="000000"/>
          <w:sz w:val="22"/>
          <w:szCs w:val="22"/>
          <w:highlight w:val="none"/>
          <w:lang w:val="zh-CN"/>
        </w:rPr>
        <w:t>日    期：</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年</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月</w:t>
      </w:r>
      <w:r>
        <w:rPr>
          <w:rFonts w:hint="eastAsia" w:ascii="宋体" w:hAnsi="宋体" w:cs="宋体"/>
          <w:color w:val="000000"/>
          <w:sz w:val="22"/>
          <w:szCs w:val="22"/>
          <w:highlight w:val="none"/>
          <w:u w:val="single"/>
          <w:lang w:val="zh-CN"/>
        </w:rPr>
        <w:t xml:space="preserve">    </w:t>
      </w:r>
      <w:r>
        <w:rPr>
          <w:rFonts w:hint="eastAsia" w:ascii="宋体" w:hAnsi="宋体" w:cs="宋体"/>
          <w:color w:val="000000"/>
          <w:sz w:val="22"/>
          <w:szCs w:val="22"/>
          <w:highlight w:val="none"/>
          <w:lang w:val="zh-CN"/>
        </w:rPr>
        <w:t>日</w:t>
      </w:r>
    </w:p>
    <w:p w14:paraId="2347B973">
      <w:pPr>
        <w:spacing w:line="360" w:lineRule="auto"/>
        <w:jc w:val="left"/>
        <w:rPr>
          <w:rFonts w:hint="eastAsia" w:ascii="宋体" w:hAnsi="宋体" w:cs="宋体"/>
          <w:b/>
          <w:color w:val="000000"/>
          <w:sz w:val="22"/>
          <w:szCs w:val="22"/>
        </w:rPr>
      </w:pPr>
    </w:p>
    <w:p w14:paraId="56573801">
      <w:pPr>
        <w:pStyle w:val="42"/>
        <w:ind w:firstLine="422"/>
        <w:rPr>
          <w:rFonts w:hint="eastAsia" w:ascii="宋体" w:hAnsi="宋体" w:eastAsia="宋体"/>
          <w:b/>
          <w:color w:val="000000"/>
          <w:sz w:val="22"/>
          <w:szCs w:val="22"/>
        </w:rPr>
      </w:pPr>
    </w:p>
    <w:p w14:paraId="33FBAB4E">
      <w:pPr>
        <w:spacing w:line="360" w:lineRule="auto"/>
        <w:rPr>
          <w:rFonts w:hint="eastAsia" w:ascii="宋体" w:hAnsi="宋体" w:cs="宋体"/>
          <w:b/>
          <w:color w:val="000000"/>
          <w:sz w:val="22"/>
          <w:szCs w:val="22"/>
        </w:rPr>
      </w:pPr>
    </w:p>
    <w:p w14:paraId="493E461A">
      <w:pPr>
        <w:spacing w:line="360" w:lineRule="auto"/>
        <w:rPr>
          <w:rFonts w:hint="eastAsia" w:ascii="宋体" w:hAnsi="宋体" w:cs="宋体"/>
          <w:b/>
          <w:color w:val="000000"/>
          <w:sz w:val="22"/>
          <w:szCs w:val="22"/>
        </w:rPr>
      </w:pPr>
    </w:p>
    <w:p w14:paraId="6E868B08">
      <w:pPr>
        <w:spacing w:line="360" w:lineRule="auto"/>
        <w:rPr>
          <w:rFonts w:hint="eastAsia" w:ascii="宋体" w:hAnsi="宋体" w:cs="宋体"/>
          <w:b/>
          <w:color w:val="000000"/>
          <w:sz w:val="22"/>
          <w:szCs w:val="22"/>
        </w:rPr>
      </w:pPr>
    </w:p>
    <w:p w14:paraId="7A9AACFA">
      <w:pPr>
        <w:spacing w:line="360" w:lineRule="auto"/>
        <w:rPr>
          <w:rFonts w:hint="eastAsia" w:ascii="宋体" w:hAnsi="宋体" w:cs="宋体"/>
          <w:b/>
          <w:color w:val="000000"/>
          <w:sz w:val="22"/>
          <w:szCs w:val="22"/>
        </w:rPr>
      </w:pPr>
    </w:p>
    <w:p w14:paraId="3EC096A0">
      <w:pPr>
        <w:spacing w:line="360" w:lineRule="auto"/>
        <w:rPr>
          <w:rFonts w:hint="eastAsia" w:ascii="宋体" w:hAnsi="宋体" w:cs="宋体"/>
          <w:b/>
          <w:color w:val="000000"/>
          <w:sz w:val="22"/>
          <w:szCs w:val="22"/>
        </w:rPr>
      </w:pPr>
    </w:p>
    <w:p w14:paraId="36F0C888">
      <w:pPr>
        <w:spacing w:line="360" w:lineRule="auto"/>
        <w:rPr>
          <w:rFonts w:hint="eastAsia" w:ascii="宋体" w:hAnsi="宋体" w:cs="宋体"/>
          <w:b/>
          <w:color w:val="000000"/>
          <w:sz w:val="22"/>
          <w:szCs w:val="22"/>
        </w:rPr>
      </w:pPr>
    </w:p>
    <w:p w14:paraId="2DC5B778">
      <w:pPr>
        <w:spacing w:line="360" w:lineRule="auto"/>
        <w:rPr>
          <w:rFonts w:hint="eastAsia" w:ascii="宋体" w:hAnsi="宋体" w:cs="宋体"/>
          <w:b/>
          <w:color w:val="000000"/>
          <w:sz w:val="22"/>
          <w:szCs w:val="22"/>
        </w:rPr>
      </w:pPr>
    </w:p>
    <w:p w14:paraId="2F128EB4">
      <w:pPr>
        <w:spacing w:line="360" w:lineRule="auto"/>
        <w:rPr>
          <w:rFonts w:hint="eastAsia" w:ascii="宋体" w:hAnsi="宋体" w:cs="宋体"/>
          <w:b/>
          <w:color w:val="000000"/>
          <w:sz w:val="22"/>
          <w:szCs w:val="22"/>
        </w:rPr>
      </w:pPr>
    </w:p>
    <w:p w14:paraId="0BA4C059">
      <w:pPr>
        <w:spacing w:line="360" w:lineRule="auto"/>
        <w:rPr>
          <w:rFonts w:hint="eastAsia" w:ascii="宋体" w:hAnsi="宋体" w:cs="宋体"/>
          <w:b/>
          <w:color w:val="000000"/>
          <w:sz w:val="22"/>
          <w:szCs w:val="22"/>
        </w:rPr>
      </w:pPr>
    </w:p>
    <w:p w14:paraId="6271FC98">
      <w:pPr>
        <w:spacing w:line="360" w:lineRule="auto"/>
        <w:rPr>
          <w:rFonts w:hint="eastAsia" w:ascii="宋体" w:hAnsi="宋体" w:cs="宋体"/>
          <w:b/>
          <w:color w:val="000000"/>
          <w:sz w:val="22"/>
          <w:szCs w:val="22"/>
        </w:rPr>
      </w:pPr>
    </w:p>
    <w:p w14:paraId="744010B5">
      <w:pPr>
        <w:spacing w:line="360" w:lineRule="auto"/>
        <w:rPr>
          <w:rFonts w:hint="eastAsia" w:ascii="宋体" w:hAnsi="宋体" w:cs="宋体"/>
          <w:b/>
          <w:color w:val="000000"/>
          <w:sz w:val="22"/>
          <w:szCs w:val="22"/>
        </w:rPr>
      </w:pPr>
    </w:p>
    <w:p w14:paraId="67D86A9D">
      <w:pPr>
        <w:spacing w:line="360" w:lineRule="auto"/>
        <w:rPr>
          <w:rFonts w:hint="eastAsia" w:ascii="宋体" w:hAnsi="宋体" w:cs="宋体"/>
          <w:b/>
          <w:color w:val="000000"/>
          <w:sz w:val="22"/>
          <w:szCs w:val="22"/>
        </w:rPr>
      </w:pPr>
    </w:p>
    <w:p w14:paraId="22E72A2C">
      <w:pPr>
        <w:spacing w:line="360" w:lineRule="auto"/>
        <w:rPr>
          <w:rFonts w:hint="eastAsia" w:ascii="宋体" w:hAnsi="宋体" w:cs="宋体"/>
          <w:b/>
          <w:color w:val="000000"/>
          <w:sz w:val="22"/>
          <w:szCs w:val="22"/>
        </w:rPr>
      </w:pPr>
    </w:p>
    <w:p w14:paraId="005B32E4">
      <w:pPr>
        <w:spacing w:line="360" w:lineRule="auto"/>
        <w:rPr>
          <w:rFonts w:hint="eastAsia" w:ascii="宋体" w:hAnsi="宋体" w:cs="宋体"/>
          <w:b/>
          <w:color w:val="000000"/>
          <w:sz w:val="22"/>
          <w:szCs w:val="22"/>
        </w:rPr>
      </w:pPr>
    </w:p>
    <w:p w14:paraId="72DB64B4">
      <w:pPr>
        <w:spacing w:line="360" w:lineRule="auto"/>
        <w:rPr>
          <w:rFonts w:hint="eastAsia" w:ascii="宋体" w:hAnsi="宋体" w:cs="宋体"/>
          <w:b/>
          <w:color w:val="000000"/>
          <w:sz w:val="22"/>
          <w:szCs w:val="22"/>
        </w:rPr>
      </w:pPr>
    </w:p>
    <w:p w14:paraId="707066B3">
      <w:pPr>
        <w:spacing w:line="360" w:lineRule="auto"/>
        <w:rPr>
          <w:rFonts w:hint="eastAsia" w:ascii="宋体" w:hAnsi="宋体" w:cs="宋体"/>
          <w:b/>
          <w:color w:val="000000"/>
          <w:sz w:val="22"/>
          <w:szCs w:val="22"/>
        </w:rPr>
      </w:pPr>
    </w:p>
    <w:p w14:paraId="0F6A278F">
      <w:pPr>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br w:type="page" w:clear="all"/>
      </w:r>
    </w:p>
    <w:p w14:paraId="04328096">
      <w:pPr>
        <w:keepNext w:val="0"/>
        <w:keepLines w:val="0"/>
        <w:pageBreakBefore w:val="0"/>
        <w:widowControl/>
        <w:spacing w:after="0" w:line="360" w:lineRule="auto"/>
        <w:jc w:val="both"/>
        <w:outlineLvl w:val="1"/>
        <w:rPr>
          <w:rFonts w:hint="eastAsia" w:ascii="宋体" w:hAnsi="宋体" w:eastAsia="宋体" w:cs="Times New Roman"/>
          <w:b/>
          <w:sz w:val="22"/>
          <w:szCs w:val="22"/>
          <w:lang w:val="en-US" w:eastAsia="zh-CN" w:bidi="en-US"/>
        </w:rPr>
      </w:pPr>
      <w:r>
        <w:rPr>
          <w:rFonts w:hint="eastAsia" w:ascii="宋体" w:hAnsi="宋体" w:eastAsia="宋体" w:cs="Times New Roman"/>
          <w:b/>
          <w:sz w:val="22"/>
          <w:szCs w:val="22"/>
          <w:lang w:val="en-US" w:eastAsia="zh-CN" w:bidi="en-US"/>
        </w:rPr>
        <w:t>附件八、南京市政府采购供应商信用记录表</w:t>
      </w:r>
    </w:p>
    <w:p w14:paraId="6F5E608A">
      <w:pPr>
        <w:spacing w:line="360" w:lineRule="auto"/>
        <w:jc w:val="center"/>
        <w:rPr>
          <w:rFonts w:ascii="宋体" w:hAnsi="宋体" w:cs="宋体"/>
          <w:color w:val="000000"/>
          <w:sz w:val="22"/>
          <w:szCs w:val="22"/>
        </w:rPr>
      </w:pPr>
      <w:r>
        <w:rPr>
          <w:rFonts w:hint="eastAsia" w:ascii="宋体" w:hAnsi="宋体" w:cs="宋体"/>
          <w:color w:val="000000"/>
          <w:sz w:val="22"/>
          <w:szCs w:val="22"/>
        </w:rPr>
        <w:t>南京市政府采购供应商信用记录表</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405"/>
        <w:gridCol w:w="2405"/>
        <w:gridCol w:w="2405"/>
        <w:gridCol w:w="2405"/>
      </w:tblGrid>
      <w:tr w14:paraId="5EAEA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6" w:hRule="atLeast"/>
          <w:jc w:val="center"/>
        </w:trPr>
        <w:tc>
          <w:tcPr>
            <w:tcW w:w="2405" w:type="dxa"/>
            <w:noWrap w:val="0"/>
            <w:vAlign w:val="center"/>
          </w:tcPr>
          <w:p w14:paraId="682365FA">
            <w:pPr>
              <w:spacing w:line="360" w:lineRule="auto"/>
              <w:rPr>
                <w:rFonts w:ascii="宋体" w:hAnsi="宋体" w:cs="宋体"/>
                <w:color w:val="000000"/>
                <w:sz w:val="22"/>
                <w:szCs w:val="22"/>
              </w:rPr>
            </w:pPr>
            <w:r>
              <w:rPr>
                <w:rFonts w:hint="eastAsia" w:ascii="宋体" w:hAnsi="宋体" w:cs="宋体"/>
                <w:color w:val="000000"/>
                <w:sz w:val="22"/>
                <w:szCs w:val="22"/>
              </w:rPr>
              <w:t>单位名称</w:t>
            </w:r>
          </w:p>
        </w:tc>
        <w:tc>
          <w:tcPr>
            <w:tcW w:w="2405" w:type="dxa"/>
            <w:noWrap w:val="0"/>
            <w:vAlign w:val="center"/>
          </w:tcPr>
          <w:p w14:paraId="483C85C4">
            <w:pPr>
              <w:spacing w:line="360" w:lineRule="auto"/>
              <w:rPr>
                <w:rFonts w:ascii="宋体" w:hAnsi="宋体" w:cs="宋体"/>
                <w:color w:val="000000"/>
                <w:sz w:val="22"/>
                <w:szCs w:val="22"/>
              </w:rPr>
            </w:pPr>
          </w:p>
        </w:tc>
        <w:tc>
          <w:tcPr>
            <w:tcW w:w="2405" w:type="dxa"/>
            <w:noWrap w:val="0"/>
            <w:vAlign w:val="center"/>
          </w:tcPr>
          <w:p w14:paraId="7EDCC25A">
            <w:pPr>
              <w:spacing w:line="360" w:lineRule="auto"/>
              <w:rPr>
                <w:rFonts w:ascii="宋体" w:hAnsi="宋体" w:cs="宋体"/>
                <w:color w:val="000000"/>
                <w:sz w:val="22"/>
                <w:szCs w:val="22"/>
              </w:rPr>
            </w:pPr>
            <w:r>
              <w:rPr>
                <w:rFonts w:hint="eastAsia" w:ascii="宋体" w:hAnsi="宋体" w:cs="宋体"/>
                <w:color w:val="000000"/>
                <w:sz w:val="22"/>
                <w:szCs w:val="22"/>
              </w:rPr>
              <w:t>统一社会信用代码</w:t>
            </w:r>
          </w:p>
        </w:tc>
        <w:tc>
          <w:tcPr>
            <w:tcW w:w="2405" w:type="dxa"/>
            <w:noWrap w:val="0"/>
            <w:vAlign w:val="top"/>
          </w:tcPr>
          <w:p w14:paraId="632C7D46">
            <w:pPr>
              <w:spacing w:line="360" w:lineRule="auto"/>
              <w:rPr>
                <w:rFonts w:ascii="宋体" w:hAnsi="宋体" w:cs="宋体"/>
                <w:color w:val="000000"/>
                <w:sz w:val="22"/>
                <w:szCs w:val="22"/>
              </w:rPr>
            </w:pPr>
          </w:p>
        </w:tc>
      </w:tr>
      <w:tr w14:paraId="1F00F8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6" w:hRule="atLeast"/>
          <w:jc w:val="center"/>
        </w:trPr>
        <w:tc>
          <w:tcPr>
            <w:tcW w:w="2405" w:type="dxa"/>
            <w:noWrap w:val="0"/>
            <w:vAlign w:val="center"/>
          </w:tcPr>
          <w:p w14:paraId="587CD7E6">
            <w:pPr>
              <w:spacing w:line="360" w:lineRule="auto"/>
              <w:rPr>
                <w:rFonts w:ascii="宋体" w:hAnsi="宋体" w:cs="宋体"/>
                <w:color w:val="000000"/>
                <w:sz w:val="22"/>
                <w:szCs w:val="22"/>
              </w:rPr>
            </w:pPr>
            <w:r>
              <w:rPr>
                <w:rFonts w:hint="eastAsia" w:ascii="宋体" w:hAnsi="宋体" w:cs="宋体"/>
                <w:color w:val="000000"/>
                <w:sz w:val="22"/>
                <w:szCs w:val="22"/>
              </w:rPr>
              <w:t>法定代表人</w:t>
            </w:r>
          </w:p>
        </w:tc>
        <w:tc>
          <w:tcPr>
            <w:tcW w:w="2405" w:type="dxa"/>
            <w:noWrap w:val="0"/>
            <w:vAlign w:val="center"/>
          </w:tcPr>
          <w:p w14:paraId="1021CBFC">
            <w:pPr>
              <w:spacing w:line="360" w:lineRule="auto"/>
              <w:rPr>
                <w:rFonts w:ascii="宋体" w:hAnsi="宋体" w:cs="宋体"/>
                <w:color w:val="000000"/>
                <w:sz w:val="22"/>
                <w:szCs w:val="22"/>
              </w:rPr>
            </w:pPr>
          </w:p>
        </w:tc>
        <w:tc>
          <w:tcPr>
            <w:tcW w:w="2405" w:type="dxa"/>
            <w:noWrap w:val="0"/>
            <w:vAlign w:val="center"/>
          </w:tcPr>
          <w:p w14:paraId="51A3DC37">
            <w:pPr>
              <w:spacing w:line="360" w:lineRule="auto"/>
              <w:rPr>
                <w:rFonts w:ascii="宋体" w:hAnsi="宋体" w:cs="宋体"/>
                <w:color w:val="000000"/>
                <w:sz w:val="22"/>
                <w:szCs w:val="22"/>
              </w:rPr>
            </w:pPr>
            <w:r>
              <w:rPr>
                <w:rFonts w:hint="eastAsia" w:ascii="宋体" w:hAnsi="宋体" w:cs="宋体"/>
                <w:color w:val="000000"/>
                <w:sz w:val="22"/>
                <w:szCs w:val="22"/>
              </w:rPr>
              <w:t>联系人</w:t>
            </w:r>
          </w:p>
        </w:tc>
        <w:tc>
          <w:tcPr>
            <w:tcW w:w="2405" w:type="dxa"/>
            <w:noWrap w:val="0"/>
            <w:vAlign w:val="top"/>
          </w:tcPr>
          <w:p w14:paraId="71062F51">
            <w:pPr>
              <w:spacing w:line="360" w:lineRule="auto"/>
              <w:rPr>
                <w:rFonts w:ascii="宋体" w:hAnsi="宋体" w:cs="宋体"/>
                <w:color w:val="000000"/>
                <w:sz w:val="22"/>
                <w:szCs w:val="22"/>
              </w:rPr>
            </w:pPr>
          </w:p>
        </w:tc>
      </w:tr>
      <w:tr w14:paraId="382A87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jc w:val="center"/>
        </w:trPr>
        <w:tc>
          <w:tcPr>
            <w:tcW w:w="2405" w:type="dxa"/>
            <w:noWrap w:val="0"/>
            <w:vAlign w:val="center"/>
          </w:tcPr>
          <w:p w14:paraId="563E28DB">
            <w:pPr>
              <w:spacing w:line="360" w:lineRule="auto"/>
              <w:rPr>
                <w:rFonts w:ascii="宋体" w:hAnsi="宋体" w:cs="宋体"/>
                <w:color w:val="000000"/>
                <w:sz w:val="22"/>
                <w:szCs w:val="22"/>
              </w:rPr>
            </w:pPr>
            <w:r>
              <w:rPr>
                <w:rFonts w:hint="eastAsia" w:ascii="宋体" w:hAnsi="宋体" w:cs="宋体"/>
                <w:color w:val="000000"/>
                <w:sz w:val="22"/>
                <w:szCs w:val="22"/>
              </w:rPr>
              <w:t>联系地址</w:t>
            </w:r>
          </w:p>
        </w:tc>
        <w:tc>
          <w:tcPr>
            <w:tcW w:w="2405" w:type="dxa"/>
            <w:noWrap w:val="0"/>
            <w:vAlign w:val="center"/>
          </w:tcPr>
          <w:p w14:paraId="2FFA0F82">
            <w:pPr>
              <w:spacing w:line="360" w:lineRule="auto"/>
              <w:rPr>
                <w:rFonts w:ascii="宋体" w:hAnsi="宋体" w:cs="宋体"/>
                <w:color w:val="000000"/>
                <w:sz w:val="22"/>
                <w:szCs w:val="22"/>
              </w:rPr>
            </w:pPr>
          </w:p>
        </w:tc>
        <w:tc>
          <w:tcPr>
            <w:tcW w:w="2405" w:type="dxa"/>
            <w:noWrap w:val="0"/>
            <w:vAlign w:val="center"/>
          </w:tcPr>
          <w:p w14:paraId="573DD625">
            <w:pPr>
              <w:spacing w:line="360" w:lineRule="auto"/>
              <w:rPr>
                <w:rFonts w:ascii="宋体" w:hAnsi="宋体" w:cs="宋体"/>
                <w:color w:val="000000"/>
                <w:sz w:val="22"/>
                <w:szCs w:val="22"/>
              </w:rPr>
            </w:pPr>
            <w:r>
              <w:rPr>
                <w:rFonts w:hint="eastAsia" w:ascii="宋体" w:hAnsi="宋体" w:cs="宋体"/>
                <w:color w:val="000000"/>
                <w:sz w:val="22"/>
                <w:szCs w:val="22"/>
              </w:rPr>
              <w:t>联系电话</w:t>
            </w:r>
          </w:p>
        </w:tc>
        <w:tc>
          <w:tcPr>
            <w:tcW w:w="2405" w:type="dxa"/>
            <w:noWrap w:val="0"/>
            <w:vAlign w:val="top"/>
          </w:tcPr>
          <w:p w14:paraId="7665483B">
            <w:pPr>
              <w:spacing w:line="360" w:lineRule="auto"/>
              <w:rPr>
                <w:rFonts w:ascii="宋体" w:hAnsi="宋体" w:cs="宋体"/>
                <w:color w:val="000000"/>
                <w:sz w:val="22"/>
                <w:szCs w:val="22"/>
              </w:rPr>
            </w:pPr>
          </w:p>
        </w:tc>
      </w:tr>
      <w:tr w14:paraId="20210A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18" w:hRule="atLeast"/>
          <w:jc w:val="center"/>
        </w:trPr>
        <w:tc>
          <w:tcPr>
            <w:tcW w:w="2405" w:type="dxa"/>
            <w:noWrap w:val="0"/>
            <w:vAlign w:val="center"/>
          </w:tcPr>
          <w:p w14:paraId="26A1066E">
            <w:pPr>
              <w:spacing w:line="360" w:lineRule="auto"/>
              <w:rPr>
                <w:rFonts w:ascii="宋体" w:hAnsi="宋体" w:cs="宋体"/>
                <w:color w:val="000000"/>
                <w:sz w:val="22"/>
                <w:szCs w:val="22"/>
              </w:rPr>
            </w:pPr>
            <w:r>
              <w:rPr>
                <w:rFonts w:hint="eastAsia" w:ascii="宋体" w:hAnsi="宋体" w:cs="宋体"/>
                <w:color w:val="000000"/>
                <w:sz w:val="22"/>
                <w:szCs w:val="22"/>
              </w:rPr>
              <w:t>诚信档案记录情况</w:t>
            </w:r>
          </w:p>
        </w:tc>
        <w:tc>
          <w:tcPr>
            <w:tcW w:w="7215" w:type="dxa"/>
            <w:gridSpan w:val="3"/>
            <w:noWrap w:val="0"/>
            <w:vAlign w:val="top"/>
          </w:tcPr>
          <w:p w14:paraId="5D0D8EF9">
            <w:pPr>
              <w:spacing w:line="360" w:lineRule="auto"/>
              <w:rPr>
                <w:rFonts w:ascii="宋体" w:hAnsi="宋体" w:cs="宋体"/>
                <w:color w:val="000000"/>
                <w:sz w:val="22"/>
                <w:szCs w:val="22"/>
              </w:rPr>
            </w:pPr>
          </w:p>
        </w:tc>
      </w:tr>
      <w:tr w14:paraId="72BCF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405" w:type="dxa"/>
            <w:noWrap w:val="0"/>
            <w:vAlign w:val="center"/>
          </w:tcPr>
          <w:p w14:paraId="0759F25F">
            <w:pPr>
              <w:spacing w:line="360" w:lineRule="auto"/>
              <w:rPr>
                <w:rFonts w:ascii="宋体" w:hAnsi="宋体" w:cs="宋体"/>
                <w:color w:val="000000"/>
                <w:sz w:val="22"/>
                <w:szCs w:val="22"/>
              </w:rPr>
            </w:pPr>
            <w:r>
              <w:rPr>
                <w:rFonts w:hint="eastAsia" w:ascii="宋体" w:hAnsi="宋体" w:cs="宋体"/>
                <w:color w:val="000000"/>
                <w:sz w:val="22"/>
                <w:szCs w:val="22"/>
              </w:rPr>
              <w:t>信用承诺</w:t>
            </w:r>
          </w:p>
        </w:tc>
        <w:tc>
          <w:tcPr>
            <w:tcW w:w="7215" w:type="dxa"/>
            <w:gridSpan w:val="3"/>
            <w:noWrap w:val="0"/>
            <w:vAlign w:val="top"/>
          </w:tcPr>
          <w:p w14:paraId="3AE90CEC">
            <w:pPr>
              <w:spacing w:line="360" w:lineRule="auto"/>
              <w:ind w:firstLine="420"/>
              <w:rPr>
                <w:rFonts w:ascii="宋体" w:hAnsi="宋体" w:cs="宋体"/>
                <w:sz w:val="22"/>
                <w:szCs w:val="22"/>
              </w:rPr>
            </w:pPr>
            <w:r>
              <w:rPr>
                <w:rFonts w:hint="eastAsia" w:ascii="宋体" w:hAnsi="宋体" w:cs="宋体"/>
                <w:sz w:val="22"/>
                <w:szCs w:val="22"/>
              </w:rPr>
              <w:t>我公司自愿参加贵中心（公司）组织的本次政府采购活动，严格遵守《中华人民</w:t>
            </w:r>
            <w:r>
              <w:rPr>
                <w:rFonts w:hint="eastAsia" w:ascii="宋体" w:hAnsi="宋体" w:cs="宋体"/>
                <w:sz w:val="22"/>
                <w:szCs w:val="22"/>
                <w:lang w:val="en-US" w:eastAsia="zh-CN"/>
              </w:rPr>
              <w:t>共和国</w:t>
            </w:r>
            <w:bookmarkStart w:id="7" w:name="_GoBack"/>
            <w:bookmarkEnd w:id="7"/>
            <w:r>
              <w:rPr>
                <w:rFonts w:hint="eastAsia" w:ascii="宋体" w:hAnsi="宋体" w:cs="宋体"/>
                <w:sz w:val="22"/>
                <w:szCs w:val="22"/>
              </w:rPr>
              <w:t>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和采购文件规定的其他条件。</w:t>
            </w:r>
          </w:p>
          <w:p w14:paraId="246813F9">
            <w:pPr>
              <w:spacing w:line="360" w:lineRule="auto"/>
              <w:rPr>
                <w:rFonts w:ascii="宋体" w:hAnsi="宋体" w:cs="宋体"/>
                <w:sz w:val="22"/>
                <w:szCs w:val="22"/>
              </w:rPr>
            </w:pPr>
            <w:r>
              <w:rPr>
                <w:rFonts w:hint="eastAsia" w:ascii="宋体" w:hAnsi="宋体" w:cs="宋体"/>
                <w:sz w:val="22"/>
                <w:szCs w:val="22"/>
              </w:rPr>
              <w:t>如有弄虚作假或其他违法违规行为，愿承担一切法律责任，接受各级政府采购监管部门和有权机关的审查和处罚。</w:t>
            </w:r>
          </w:p>
          <w:p w14:paraId="78CED9B1">
            <w:pPr>
              <w:spacing w:line="360" w:lineRule="auto"/>
              <w:rPr>
                <w:rFonts w:ascii="宋体" w:hAnsi="宋体" w:cs="宋体"/>
                <w:sz w:val="22"/>
                <w:szCs w:val="22"/>
              </w:rPr>
            </w:pPr>
            <w:r>
              <w:rPr>
                <w:rFonts w:hint="eastAsia" w:ascii="宋体" w:hAnsi="宋体" w:cs="宋体"/>
                <w:sz w:val="22"/>
                <w:szCs w:val="22"/>
              </w:rPr>
              <w:t xml:space="preserve">              </w:t>
            </w:r>
          </w:p>
          <w:p w14:paraId="20FC1455">
            <w:pPr>
              <w:spacing w:line="360" w:lineRule="auto"/>
              <w:rPr>
                <w:rFonts w:ascii="宋体" w:hAnsi="宋体" w:cs="宋体"/>
                <w:sz w:val="22"/>
                <w:szCs w:val="22"/>
              </w:rPr>
            </w:pPr>
            <w:r>
              <w:rPr>
                <w:rFonts w:hint="eastAsia" w:ascii="宋体" w:hAnsi="宋体" w:cs="宋体"/>
                <w:sz w:val="22"/>
                <w:szCs w:val="22"/>
              </w:rPr>
              <w:t xml:space="preserve">                      供应商名称（盖章）：</w:t>
            </w:r>
          </w:p>
          <w:p w14:paraId="2F9F9E08">
            <w:pPr>
              <w:spacing w:line="360" w:lineRule="auto"/>
              <w:rPr>
                <w:rFonts w:ascii="宋体" w:hAnsi="宋体" w:cs="宋体"/>
                <w:color w:val="000000"/>
                <w:sz w:val="22"/>
                <w:szCs w:val="22"/>
              </w:rPr>
            </w:pPr>
            <w:r>
              <w:rPr>
                <w:rFonts w:hint="eastAsia" w:ascii="宋体" w:hAnsi="宋体" w:cs="宋体"/>
                <w:color w:val="000000"/>
                <w:sz w:val="22"/>
                <w:szCs w:val="22"/>
              </w:rPr>
              <w:t xml:space="preserve">                      法定代表人（签字）：</w:t>
            </w:r>
          </w:p>
          <w:p w14:paraId="4F2B9147">
            <w:pPr>
              <w:spacing w:line="360" w:lineRule="auto"/>
              <w:rPr>
                <w:rFonts w:ascii="宋体" w:hAnsi="宋体" w:cs="宋体"/>
                <w:color w:val="000000"/>
                <w:sz w:val="22"/>
                <w:szCs w:val="22"/>
              </w:rPr>
            </w:pPr>
            <w:r>
              <w:rPr>
                <w:rFonts w:hint="eastAsia" w:ascii="宋体" w:hAnsi="宋体" w:cs="宋体"/>
                <w:color w:val="000000"/>
                <w:sz w:val="22"/>
                <w:szCs w:val="22"/>
              </w:rPr>
              <w:t xml:space="preserve">                      二〇    年  月    日</w:t>
            </w:r>
          </w:p>
        </w:tc>
      </w:tr>
    </w:tbl>
    <w:p w14:paraId="7CF71B8D">
      <w:pPr>
        <w:spacing w:line="360" w:lineRule="auto"/>
        <w:rPr>
          <w:rFonts w:ascii="宋体" w:hAnsi="宋体" w:cs="宋体"/>
          <w:color w:val="000000"/>
          <w:sz w:val="22"/>
          <w:szCs w:val="22"/>
          <w:shd w:val="clear" w:color="auto" w:fill="FFFFFF"/>
        </w:rPr>
      </w:pPr>
      <w:r>
        <w:rPr>
          <w:rFonts w:hint="eastAsia" w:ascii="宋体" w:hAnsi="宋体" w:cs="宋体"/>
          <w:color w:val="000000"/>
          <w:sz w:val="22"/>
          <w:szCs w:val="22"/>
          <w:shd w:val="clear" w:color="auto" w:fill="FFFFFF"/>
        </w:rPr>
        <w:t>说明：供应商需每次参加政府采购活动时，在采购文件发布之日起至递交投标（响应）文件截止日前，应先登录“信用南京”</w:t>
      </w:r>
      <w:r>
        <w:rPr>
          <w:rFonts w:hint="eastAsia" w:ascii="宋体" w:hAnsi="宋体" w:cs="宋体"/>
          <w:b/>
          <w:bCs/>
          <w:color w:val="000000"/>
          <w:sz w:val="22"/>
          <w:szCs w:val="22"/>
          <w:shd w:val="clear" w:color="auto" w:fill="FFFFFF"/>
        </w:rPr>
        <w:t>在线打印</w:t>
      </w:r>
      <w:r>
        <w:rPr>
          <w:rFonts w:hint="eastAsia" w:ascii="宋体" w:hAnsi="宋体" w:cs="宋体"/>
          <w:color w:val="000000"/>
          <w:sz w:val="22"/>
          <w:szCs w:val="22"/>
          <w:shd w:val="clear" w:color="auto" w:fill="FFFFFF"/>
        </w:rPr>
        <w:t>其“南京市政府采购供应商信用记录表”，经</w:t>
      </w:r>
      <w:r>
        <w:rPr>
          <w:rFonts w:hint="eastAsia" w:ascii="宋体" w:hAnsi="宋体" w:cs="宋体"/>
          <w:b/>
          <w:bCs/>
          <w:color w:val="000000"/>
          <w:sz w:val="22"/>
          <w:szCs w:val="22"/>
          <w:shd w:val="clear" w:color="auto" w:fill="FFFFFF"/>
        </w:rPr>
        <w:t>法定代表人签名盖章</w:t>
      </w:r>
      <w:r>
        <w:rPr>
          <w:rFonts w:hint="eastAsia" w:ascii="宋体" w:hAnsi="宋体" w:cs="宋体"/>
          <w:b w:val="0"/>
          <w:bCs w:val="0"/>
          <w:color w:val="000000"/>
          <w:sz w:val="22"/>
          <w:szCs w:val="22"/>
          <w:shd w:val="clear" w:color="auto" w:fill="FFFFFF"/>
        </w:rPr>
        <w:t>后</w:t>
      </w:r>
      <w:r>
        <w:rPr>
          <w:rFonts w:hint="eastAsia" w:ascii="宋体" w:hAnsi="宋体" w:cs="宋体"/>
          <w:color w:val="000000"/>
          <w:sz w:val="22"/>
          <w:szCs w:val="22"/>
          <w:shd w:val="clear" w:color="auto" w:fill="FFFFFF"/>
        </w:rPr>
        <w:t>作为投标（响应）文件的组成部分提交给采购代理机构或采购人。</w:t>
      </w:r>
    </w:p>
    <w:p w14:paraId="6D90B7C6">
      <w:pPr>
        <w:jc w:val="left"/>
        <w:rPr>
          <w:rFonts w:ascii="宋体" w:hAnsi="宋体" w:cs="宋体"/>
          <w:sz w:val="22"/>
          <w:szCs w:val="22"/>
        </w:rPr>
      </w:pPr>
    </w:p>
    <w:p w14:paraId="21DA99A7">
      <w:pPr>
        <w:spacing w:line="360" w:lineRule="auto"/>
        <w:rPr>
          <w:rFonts w:hint="eastAsia" w:ascii="宋体" w:hAnsi="宋体" w:cs="宋体"/>
          <w:b/>
          <w:color w:val="000000"/>
          <w:sz w:val="22"/>
          <w:szCs w:val="22"/>
        </w:rPr>
      </w:pPr>
    </w:p>
    <w:sectPr>
      <w:endnotePr>
        <w:numFmt w:val="decimal"/>
      </w:endnotePr>
      <w:pgSz w:w="12240" w:h="15840"/>
      <w:pgMar w:top="1440" w:right="1134" w:bottom="1440" w:left="1134" w:header="720" w:footer="720"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Arial Unicode MS">
    <w:altName w:val="Arial"/>
    <w:panose1 w:val="020B0604020202020204"/>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Courier New">
    <w:panose1 w:val="02070309020205020404"/>
    <w:charset w:val="00"/>
    <w:family w:val="auto"/>
    <w:pitch w:val="default"/>
    <w:sig w:usb0="E0002EFF" w:usb1="C0007843" w:usb2="00000009" w:usb3="00000000" w:csb0="400001FF" w:csb1="FFFF0000"/>
  </w:font>
  <w:font w:name="Cambria">
    <w:panose1 w:val="02040503050406030204"/>
    <w:charset w:val="00"/>
    <w:family w:val="auto"/>
    <w:pitch w:val="default"/>
    <w:sig w:usb0="E00006FF" w:usb1="420024FF" w:usb2="02000000" w:usb3="00000000" w:csb0="2000019F" w:csb1="00000000"/>
  </w:font>
  <w:font w:name="monospace">
    <w:altName w:val="DejaVu Math TeX Gyre"/>
    <w:panose1 w:val="020B0503020202020204"/>
    <w:charset w:val="00"/>
    <w:family w:val="auto"/>
    <w:pitch w:val="default"/>
    <w:sig w:usb0="00000000" w:usb1="00000000" w:usb2="00000000" w:usb3="00000000" w:csb0="00000000" w:csb1="00000000"/>
  </w:font>
  <w:font w:name="方正大黑简体">
    <w:altName w:val="黑体"/>
    <w:panose1 w:val="020B0503020202020204"/>
    <w:charset w:val="00"/>
    <w:family w:val="auto"/>
    <w:pitch w:val="default"/>
    <w:sig w:usb0="00000000" w:usb1="00000000" w:usb2="00000000" w:usb3="00000000" w:csb0="00000000" w:csb1="00000000"/>
  </w:font>
  <w:font w:name="??">
    <w:altName w:val="DejaVu Math TeX Gyre"/>
    <w:panose1 w:val="020B0503020202020204"/>
    <w:charset w:val="00"/>
    <w:family w:val="auto"/>
    <w:pitch w:val="default"/>
    <w:sig w:usb0="00000000" w:usb1="00000000" w:usb2="00000000" w:usb3="00000000" w:csb0="00000000" w:csb1="00000000"/>
  </w:font>
  <w:font w:name="Georgia">
    <w:panose1 w:val="02040502050405020303"/>
    <w:charset w:val="00"/>
    <w:family w:val="auto"/>
    <w:pitch w:val="default"/>
    <w:sig w:usb0="00000287" w:usb1="00000000" w:usb2="00000000" w:usb3="00000000" w:csb0="2000009F" w:csb1="00000000"/>
  </w:font>
  <w:font w:name="KNLe">
    <w:altName w:val="DejaVu Math TeX Gyre"/>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Tahoma">
    <w:panose1 w:val="020B0604030504040204"/>
    <w:charset w:val="00"/>
    <w:family w:val="auto"/>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60101010101"/>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HYDaHeiJ">
    <w:altName w:val="DejaVu Math TeX Gyre"/>
    <w:panose1 w:val="020B0503020202020204"/>
    <w:charset w:val="00"/>
    <w:family w:val="auto"/>
    <w:pitch w:val="default"/>
    <w:sig w:usb0="00000000" w:usb1="00000000" w:usb2="00000000" w:usb3="00000000" w:csb0="00000000" w:csb1="00000000"/>
  </w:font>
  <w:font w:name="Trebuchet MS">
    <w:panose1 w:val="020B0603020202020204"/>
    <w:charset w:val="00"/>
    <w:family w:val="auto"/>
    <w:pitch w:val="default"/>
    <w:sig w:usb0="00000687" w:usb1="00000000" w:usb2="00000000" w:usb3="00000000" w:csb0="2000009F" w:csb1="00000000"/>
  </w:font>
  <w:font w:name="SimSong Bold">
    <w:altName w:val="DejaVu Math TeX Gyre"/>
    <w:panose1 w:val="020B0503020202020204"/>
    <w:charset w:val="00"/>
    <w:family w:val="auto"/>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DejaVu Math TeX Gyre">
    <w:panose1 w:val="02000503000000000000"/>
    <w:charset w:val="00"/>
    <w:family w:val="auto"/>
    <w:pitch w:val="default"/>
    <w:sig w:usb0="A10000EF" w:usb1="4201F9EE" w:usb2="02000000" w:usb3="00000000" w:csb0="60000193" w:csb1="0DD40000"/>
  </w:font>
  <w:font w:name="KSOF8080F95D">
    <w:panose1 w:val="020B0503020204020204"/>
    <w:charset w:val="86"/>
    <w:family w:val="auto"/>
    <w:pitch w:val="default"/>
    <w:sig w:usb0="00000001"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8B140">
    <w:pPr>
      <w:pStyle w:val="21"/>
      <w:tabs>
        <w:tab w:val="center" w:pos="4819"/>
        <w:tab w:val="clear" w:pos="7143"/>
      </w:tabs>
    </w:pPr>
    <w:r>
      <w:rPr>
        <w:rFonts w:hint="eastAsia"/>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E319B">
    <w:pPr>
      <w:pStyle w:val="21"/>
      <w:tabs>
        <w:tab w:val="center" w:pos="4819"/>
        <w:tab w:val="clear" w:pos="7143"/>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AEFD747">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CzSVju0AAAAAUBAAAPAAAAAAAAAAEAIAAAACIAAABkcnMvZG93&#10;bnJldi54bWxQSwECFAAUAAAACACHTuJAtLazG0ECAAB9BAAADgAAAAAAAAABACAAAAAfAQAAZHJz&#10;L2Uyb0RvYy54bWxQSwUGAAAAAAYABgBZAQAA0gUAAAAA&#10;">
              <v:fill on="f" focussize="0,0"/>
              <v:stroke on="f" weight="0.5pt"/>
              <v:imagedata o:title=""/>
              <o:lock v:ext="edit" aspectratio="f"/>
              <v:textbox inset="0mm,0mm,0mm,0mm" style="mso-fit-shape-to-text:t;">
                <w:txbxContent>
                  <w:p w14:paraId="7AEFD747">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eastAsia="zh-CN"/>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21F29">
    <w:pPr>
      <w:pStyle w:val="21"/>
      <w:tabs>
        <w:tab w:val="center" w:pos="4819"/>
        <w:tab w:val="clear" w:pos="7143"/>
      </w:tabs>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E991672">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s0lY7tAAAAAFAQAADwAAAAAAAAABACAAAAAiAAAAZHJzL2Rv&#10;d25yZXYueG1sUEsBAhQAFAAAAAgAh07iQCHQWYlCAgAAfQQAAA4AAAAAAAAAAQAgAAAAHwEAAGRy&#10;cy9lMm9Eb2MueG1sUEsFBgAAAAAGAAYAWQEAANMFAAAAAA==&#10;">
              <v:fill on="f" focussize="0,0"/>
              <v:stroke on="f" weight="0.5pt"/>
              <v:imagedata o:title=""/>
              <o:lock v:ext="edit" aspectratio="f"/>
              <v:textbox inset="0mm,0mm,0mm,0mm" style="mso-fit-shape-to-text:t;">
                <w:txbxContent>
                  <w:p w14:paraId="2E991672">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C9B1D">
    <w:pPr>
      <w:pStyle w:val="24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1EE476">
                          <w:pPr>
                            <w:pStyle w:val="21"/>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文本框 9"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gfe+Y9AgAAbwQAAA4AAABkcnMvZTJvRG9jLnhtbK1UwY7TMBC9I/EP&#10;lu806a5Yla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qyhPa32BUVuLcaF7DR0OzXjv4+WufQcVvmOHAEmDrnY6aoHsCEaj1KeL1KILhEeI2dVslqOL&#10;o2/8wGwZK8bn1vnwRoAm0Sipw14meHbc+NCHjiExm4G1VCr1UxnSlvTm+m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YH3vmPQIAAG8EAAAOAAAAAAAAAAEAIAAAAB8BAABkcnMvZTJv&#10;RG9jLnhtbFBLBQYAAAAABgAGAFkBAADOBQAAAAA=&#10;">
              <v:fill on="f" focussize="0,0"/>
              <v:stroke on="f" weight="0.5pt"/>
              <v:imagedata o:title=""/>
              <o:lock v:ext="edit" aspectratio="f"/>
              <v:textbox inset="0mm,0mm,0mm,0mm" style="mso-fit-shape-to-text:t;">
                <w:txbxContent>
                  <w:p w14:paraId="541EE476">
                    <w:pPr>
                      <w:pStyle w:val="21"/>
                    </w:pPr>
                    <w:r>
                      <w:fldChar w:fldCharType="begin"/>
                    </w:r>
                    <w:r>
                      <w:instrText xml:space="preserve"> PAGE  \* MERGEFORMAT </w:instrText>
                    </w:r>
                    <w:r>
                      <w:fldChar w:fldCharType="separate"/>
                    </w:r>
                    <w:r>
                      <w:t>41</w:t>
                    </w:r>
                    <w:r>
                      <w:fldChar w:fldCharType="end"/>
                    </w:r>
                  </w:p>
                </w:txbxContent>
              </v:textbox>
            </v:shape>
          </w:pict>
        </mc:Fallback>
      </mc:AlternateContent>
    </w:r>
  </w:p>
  <w:p w14:paraId="23AA6B20"/>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8E178B">
    <w:pPr>
      <w:tabs>
        <w:tab w:val="center" w:pos="4153"/>
        <w:tab w:val="right" w:pos="8306"/>
      </w:tabs>
      <w:jc w:val="center"/>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japaneseCounting"/>
      <w:pStyle w:val="649"/>
      <w:lvlText w:val="%1、"/>
      <w:lvlJc w:val="left"/>
      <w:pPr>
        <w:tabs>
          <w:tab w:val="left" w:pos="2280"/>
        </w:tabs>
        <w:ind w:left="2280" w:hanging="720"/>
      </w:pPr>
      <w:rPr>
        <w:rFonts w:hint="eastAsia" w:ascii="宋体" w:hAnsi="宋体" w:eastAsia="宋体"/>
      </w:rPr>
    </w:lvl>
    <w:lvl w:ilvl="1" w:tentative="0">
      <w:start w:val="1"/>
      <w:numFmt w:val="lowerLetter"/>
      <w:lvlText w:val="%2)"/>
      <w:lvlJc w:val="left"/>
      <w:pPr>
        <w:tabs>
          <w:tab w:val="left" w:pos="2400"/>
        </w:tabs>
        <w:ind w:left="2400" w:hanging="420"/>
      </w:pPr>
      <w:rPr>
        <w:rFonts w:ascii="Times New Roman" w:hAnsi="Times New Roman" w:cs="Times New Roman"/>
      </w:rPr>
    </w:lvl>
    <w:lvl w:ilvl="2" w:tentative="0">
      <w:start w:val="1"/>
      <w:numFmt w:val="lowerRoman"/>
      <w:pStyle w:val="675"/>
      <w:lvlText w:val="%3."/>
      <w:lvlJc w:val="right"/>
      <w:pPr>
        <w:tabs>
          <w:tab w:val="left" w:pos="2820"/>
        </w:tabs>
        <w:ind w:left="2820" w:hanging="420"/>
      </w:pPr>
      <w:rPr>
        <w:rFonts w:ascii="Times New Roman" w:hAnsi="Times New Roman" w:cs="Times New Roman"/>
      </w:rPr>
    </w:lvl>
    <w:lvl w:ilvl="3" w:tentative="0">
      <w:start w:val="1"/>
      <w:numFmt w:val="decimal"/>
      <w:lvlText w:val="%4."/>
      <w:lvlJc w:val="left"/>
      <w:pPr>
        <w:tabs>
          <w:tab w:val="left" w:pos="3240"/>
        </w:tabs>
        <w:ind w:left="3240" w:hanging="420"/>
      </w:pPr>
      <w:rPr>
        <w:rFonts w:ascii="Times New Roman" w:hAnsi="Times New Roman" w:cs="Times New Roman"/>
      </w:rPr>
    </w:lvl>
    <w:lvl w:ilvl="4" w:tentative="0">
      <w:start w:val="1"/>
      <w:numFmt w:val="lowerLetter"/>
      <w:lvlText w:val="%5)"/>
      <w:lvlJc w:val="left"/>
      <w:pPr>
        <w:tabs>
          <w:tab w:val="left" w:pos="3660"/>
        </w:tabs>
        <w:ind w:left="3660" w:hanging="420"/>
      </w:pPr>
      <w:rPr>
        <w:rFonts w:ascii="Times New Roman" w:hAnsi="Times New Roman" w:cs="Times New Roman"/>
      </w:rPr>
    </w:lvl>
    <w:lvl w:ilvl="5" w:tentative="0">
      <w:start w:val="1"/>
      <w:numFmt w:val="lowerRoman"/>
      <w:lvlText w:val="%6."/>
      <w:lvlJc w:val="right"/>
      <w:pPr>
        <w:tabs>
          <w:tab w:val="left" w:pos="4080"/>
        </w:tabs>
        <w:ind w:left="4080" w:hanging="420"/>
      </w:pPr>
      <w:rPr>
        <w:rFonts w:ascii="Times New Roman" w:hAnsi="Times New Roman" w:cs="Times New Roman"/>
      </w:rPr>
    </w:lvl>
    <w:lvl w:ilvl="6" w:tentative="0">
      <w:start w:val="1"/>
      <w:numFmt w:val="decimal"/>
      <w:lvlText w:val="%7."/>
      <w:lvlJc w:val="left"/>
      <w:pPr>
        <w:tabs>
          <w:tab w:val="left" w:pos="4500"/>
        </w:tabs>
        <w:ind w:left="4500" w:hanging="420"/>
      </w:pPr>
      <w:rPr>
        <w:rFonts w:ascii="Times New Roman" w:hAnsi="Times New Roman" w:cs="Times New Roman"/>
      </w:rPr>
    </w:lvl>
    <w:lvl w:ilvl="7" w:tentative="0">
      <w:start w:val="1"/>
      <w:numFmt w:val="lowerLetter"/>
      <w:lvlText w:val="%8)"/>
      <w:lvlJc w:val="left"/>
      <w:pPr>
        <w:tabs>
          <w:tab w:val="left" w:pos="4920"/>
        </w:tabs>
        <w:ind w:left="4920" w:hanging="420"/>
      </w:pPr>
      <w:rPr>
        <w:rFonts w:ascii="Times New Roman" w:hAnsi="Times New Roman" w:cs="Times New Roman"/>
      </w:rPr>
    </w:lvl>
    <w:lvl w:ilvl="8" w:tentative="0">
      <w:start w:val="1"/>
      <w:numFmt w:val="lowerRoman"/>
      <w:lvlText w:val="%9."/>
      <w:lvlJc w:val="right"/>
      <w:pPr>
        <w:tabs>
          <w:tab w:val="left" w:pos="5340"/>
        </w:tabs>
        <w:ind w:left="5340" w:hanging="420"/>
      </w:pPr>
      <w:rPr>
        <w:rFonts w:ascii="Times New Roman" w:hAnsi="Times New Roman" w:cs="Times New Roman"/>
      </w:rPr>
    </w:lvl>
  </w:abstractNum>
  <w:abstractNum w:abstractNumId="1">
    <w:nsid w:val="CF092B84"/>
    <w:multiLevelType w:val="multilevel"/>
    <w:tmpl w:val="CF092B84"/>
    <w:lvl w:ilvl="0" w:tentative="0">
      <w:start w:val="1"/>
      <w:numFmt w:val="decimal"/>
      <w:pStyle w:val="496"/>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53208E"/>
    <w:multiLevelType w:val="multilevel"/>
    <w:tmpl w:val="0053208E"/>
    <w:lvl w:ilvl="0" w:tentative="0">
      <w:start w:val="1"/>
      <w:numFmt w:val="decimal"/>
      <w:pStyle w:val="470"/>
      <w:lvlText w:val="(%1)"/>
      <w:lvlJc w:val="left"/>
      <w:pPr>
        <w:ind w:left="-1290" w:hanging="855"/>
      </w:p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0248C179"/>
    <w:multiLevelType w:val="multilevel"/>
    <w:tmpl w:val="0248C179"/>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3D62ECE"/>
    <w:multiLevelType w:val="multilevel"/>
    <w:tmpl w:val="03D62ECE"/>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25B654F3"/>
    <w:multiLevelType w:val="multilevel"/>
    <w:tmpl w:val="25B654F3"/>
    <w:lvl w:ilvl="0" w:tentative="0">
      <w:start w:val="1"/>
      <w:numFmt w:val="decimal"/>
      <w:suff w:val="nothing"/>
      <w:lvlText w:val="%1、"/>
      <w:lvlJc w:val="left"/>
      <w:rPr>
        <w:rFonts w:cs="Times New Roman"/>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decimal"/>
      <w:pStyle w:val="642"/>
      <w:lvlText w:val="%1."/>
      <w:lvlJc w:val="left"/>
      <w:pPr>
        <w:ind w:left="360" w:hanging="36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2183CF9"/>
    <w:multiLevelType w:val="multilevel"/>
    <w:tmpl w:val="72183CF9"/>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5"/>
  </w:num>
  <w:num w:numId="7">
    <w:abstractNumId w:val="7"/>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9"/>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E0A357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696"/>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44"/>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next w:val="1"/>
    <w:qFormat/>
    <w:uiPriority w:val="0"/>
    <w:pPr>
      <w:spacing w:after="120" w:line="480" w:lineRule="auto"/>
      <w:ind w:left="420"/>
    </w:pPr>
  </w:style>
  <w:style w:type="paragraph" w:styleId="12">
    <w:name w:val="toc 7"/>
    <w:basedOn w:val="1"/>
    <w:next w:val="1"/>
    <w:unhideWhenUsed/>
    <w:qFormat/>
    <w:uiPriority w:val="39"/>
    <w:pPr>
      <w:spacing w:after="57"/>
      <w:ind w:left="1701" w:right="0" w:firstLine="0"/>
    </w:pPr>
  </w:style>
  <w:style w:type="paragraph" w:styleId="13">
    <w:name w:val="Normal Indent"/>
    <w:basedOn w:val="1"/>
    <w:link w:val="295"/>
    <w:qFormat/>
    <w:uiPriority w:val="0"/>
    <w:pPr>
      <w:ind w:firstLine="420"/>
    </w:pPr>
    <w:rPr>
      <w:sz w:val="20"/>
      <w:szCs w:val="20"/>
    </w:r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semiHidden/>
    <w:unhideWhenUsed/>
    <w:qFormat/>
    <w:uiPriority w:val="99"/>
    <w:pPr>
      <w:jc w:val="left"/>
    </w:pPr>
  </w:style>
  <w:style w:type="paragraph" w:styleId="16">
    <w:name w:val="Body Text"/>
    <w:basedOn w:val="1"/>
    <w:qFormat/>
    <w:uiPriority w:val="0"/>
    <w:pPr>
      <w:spacing w:before="133"/>
      <w:ind w:left="118"/>
    </w:pPr>
    <w:rPr>
      <w:rFonts w:ascii="宋体" w:hAnsi="宋体" w:eastAsia="宋体"/>
      <w:sz w:val="21"/>
      <w:szCs w:val="21"/>
    </w:rPr>
  </w:style>
  <w:style w:type="paragraph" w:styleId="17">
    <w:name w:val="toc 5"/>
    <w:basedOn w:val="1"/>
    <w:next w:val="1"/>
    <w:unhideWhenUsed/>
    <w:qFormat/>
    <w:uiPriority w:val="39"/>
    <w:pPr>
      <w:spacing w:after="57"/>
      <w:ind w:left="1134" w:right="0" w:firstLine="0"/>
    </w:pPr>
  </w:style>
  <w:style w:type="paragraph" w:styleId="18">
    <w:name w:val="toc 3"/>
    <w:basedOn w:val="1"/>
    <w:next w:val="1"/>
    <w:unhideWhenUsed/>
    <w:qFormat/>
    <w:uiPriority w:val="39"/>
    <w:pPr>
      <w:spacing w:after="57"/>
      <w:ind w:left="567" w:right="0" w:firstLine="0"/>
    </w:pPr>
  </w:style>
  <w:style w:type="paragraph" w:styleId="19">
    <w:name w:val="toc 8"/>
    <w:basedOn w:val="1"/>
    <w:next w:val="1"/>
    <w:unhideWhenUsed/>
    <w:qFormat/>
    <w:uiPriority w:val="39"/>
    <w:pPr>
      <w:spacing w:after="57"/>
      <w:ind w:left="1984" w:right="0" w:firstLine="0"/>
    </w:pPr>
  </w:style>
  <w:style w:type="paragraph" w:styleId="20">
    <w:name w:val="endnote text"/>
    <w:basedOn w:val="1"/>
    <w:link w:val="183"/>
    <w:semiHidden/>
    <w:unhideWhenUsed/>
    <w:qFormat/>
    <w:uiPriority w:val="99"/>
    <w:pPr>
      <w:spacing w:after="0" w:line="240" w:lineRule="auto"/>
    </w:pPr>
    <w:rPr>
      <w:sz w:val="20"/>
    </w:rPr>
  </w:style>
  <w:style w:type="paragraph" w:styleId="21">
    <w:name w:val="footer"/>
    <w:basedOn w:val="1"/>
    <w:link w:val="56"/>
    <w:unhideWhenUsed/>
    <w:qFormat/>
    <w:uiPriority w:val="99"/>
    <w:pPr>
      <w:tabs>
        <w:tab w:val="center" w:pos="7143"/>
        <w:tab w:val="right" w:pos="14287"/>
      </w:tabs>
      <w:spacing w:after="0" w:line="240" w:lineRule="auto"/>
    </w:pPr>
  </w:style>
  <w:style w:type="paragraph" w:styleId="22">
    <w:name w:val="header"/>
    <w:basedOn w:val="1"/>
    <w:link w:val="54"/>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3"/>
    <w:qFormat/>
    <w:uiPriority w:val="11"/>
    <w:pPr>
      <w:spacing w:before="200" w:after="200"/>
    </w:pPr>
    <w:rPr>
      <w:sz w:val="24"/>
      <w:szCs w:val="24"/>
    </w:rPr>
  </w:style>
  <w:style w:type="paragraph" w:styleId="26">
    <w:name w:val="footnote text"/>
    <w:basedOn w:val="1"/>
    <w:link w:val="182"/>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Body Text Indent 3"/>
    <w:basedOn w:val="1"/>
    <w:qFormat/>
    <w:uiPriority w:val="0"/>
    <w:pPr>
      <w:tabs>
        <w:tab w:val="left" w:pos="0"/>
      </w:tabs>
      <w:spacing w:line="360" w:lineRule="auto"/>
      <w:ind w:firstLine="504"/>
    </w:pPr>
    <w:rPr>
      <w:rFonts w:ascii="宋体" w:hAnsi="Calibri" w:eastAsia="Calibri" w:cs="宋体"/>
      <w:b/>
      <w:bCs/>
      <w:sz w:val="24"/>
      <w:lang w:val="zh-CN"/>
    </w:r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Body Text 2"/>
    <w:basedOn w:val="1"/>
    <w:qFormat/>
    <w:uiPriority w:val="0"/>
    <w:pPr>
      <w:widowControl/>
      <w:ind w:left="720" w:hanging="720"/>
    </w:pPr>
    <w:rPr>
      <w:rFonts w:ascii="Calibri" w:hAnsi="Calibri" w:eastAsia="Calibri" w:cs="宋体"/>
      <w:sz w:val="24"/>
      <w:szCs w:val="20"/>
      <w:lang w:val="en-GB"/>
    </w:rPr>
  </w:style>
  <w:style w:type="paragraph" w:styleId="33">
    <w:name w:val="Normal (Web)"/>
    <w:basedOn w:val="1"/>
    <w:qFormat/>
    <w:uiPriority w:val="99"/>
    <w:pPr>
      <w:widowControl/>
      <w:spacing w:before="100" w:beforeAutospacing="1" w:after="100" w:afterAutospacing="1"/>
      <w:jc w:val="left"/>
    </w:pPr>
    <w:rPr>
      <w:rFonts w:ascii="宋体" w:hAnsi="宋体" w:cs="宋体"/>
      <w:sz w:val="24"/>
    </w:rPr>
  </w:style>
  <w:style w:type="paragraph" w:styleId="34">
    <w:name w:val="Title"/>
    <w:basedOn w:val="1"/>
    <w:next w:val="1"/>
    <w:link w:val="52"/>
    <w:qFormat/>
    <w:uiPriority w:val="10"/>
    <w:pPr>
      <w:spacing w:before="300" w:after="200"/>
      <w:contextualSpacing/>
    </w:pPr>
    <w:rPr>
      <w:sz w:val="48"/>
      <w:szCs w:val="48"/>
    </w:rPr>
  </w:style>
  <w:style w:type="table" w:styleId="36">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semiHidden/>
    <w:unhideWhenUsed/>
    <w:qFormat/>
    <w:uiPriority w:val="99"/>
    <w:rPr>
      <w:vertAlign w:val="superscript"/>
    </w:rPr>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styleId="41">
    <w:name w:val="List Paragraph"/>
    <w:basedOn w:val="1"/>
    <w:qFormat/>
    <w:uiPriority w:val="0"/>
    <w:pPr>
      <w:ind w:firstLine="420"/>
    </w:pPr>
    <w:rPr>
      <w:rFonts w:ascii="Calibri" w:hAnsi="Calibri"/>
      <w:szCs w:val="22"/>
    </w:rPr>
  </w:style>
  <w:style w:type="paragraph" w:customStyle="1" w:styleId="42">
    <w:name w:val="首行缩进"/>
    <w:basedOn w:val="1"/>
    <w:qFormat/>
    <w:uiPriority w:val="0"/>
    <w:pPr>
      <w:ind w:firstLine="480"/>
    </w:pPr>
    <w:rPr>
      <w:rFonts w:ascii="Calibri" w:hAnsi="Calibri" w:eastAsia="Calibri" w:cs="宋体"/>
      <w:sz w:val="20"/>
      <w:szCs w:val="20"/>
      <w:lang w:val="zh-CN"/>
    </w:rPr>
  </w:style>
  <w:style w:type="character" w:customStyle="1" w:styleId="43">
    <w:name w:val="Heading 1 Char"/>
    <w:link w:val="3"/>
    <w:qFormat/>
    <w:uiPriority w:val="9"/>
    <w:rPr>
      <w:rFonts w:ascii="Arial" w:hAnsi="Arial" w:eastAsia="Arial" w:cs="Arial"/>
      <w:sz w:val="40"/>
      <w:szCs w:val="40"/>
    </w:rPr>
  </w:style>
  <w:style w:type="character" w:customStyle="1" w:styleId="44">
    <w:name w:val="Heading 2 Char"/>
    <w:link w:val="4"/>
    <w:qFormat/>
    <w:uiPriority w:val="9"/>
    <w:rPr>
      <w:rFonts w:ascii="Arial" w:hAnsi="Arial" w:eastAsia="Arial" w:cs="Arial"/>
      <w:sz w:val="34"/>
    </w:rPr>
  </w:style>
  <w:style w:type="character" w:customStyle="1" w:styleId="45">
    <w:name w:val="Heading 3 Char"/>
    <w:link w:val="5"/>
    <w:qFormat/>
    <w:uiPriority w:val="9"/>
    <w:rPr>
      <w:rFonts w:ascii="Arial" w:hAnsi="Arial" w:eastAsia="Arial" w:cs="Arial"/>
      <w:sz w:val="30"/>
      <w:szCs w:val="30"/>
    </w:rPr>
  </w:style>
  <w:style w:type="character" w:customStyle="1" w:styleId="46">
    <w:name w:val="Heading 4 Char"/>
    <w:link w:val="6"/>
    <w:qFormat/>
    <w:uiPriority w:val="9"/>
    <w:rPr>
      <w:rFonts w:ascii="Arial" w:hAnsi="Arial" w:eastAsia="Arial" w:cs="Arial"/>
      <w:b/>
      <w:bCs/>
      <w:sz w:val="26"/>
      <w:szCs w:val="26"/>
    </w:rPr>
  </w:style>
  <w:style w:type="character" w:customStyle="1" w:styleId="47">
    <w:name w:val="Heading 5 Char"/>
    <w:link w:val="7"/>
    <w:qFormat/>
    <w:uiPriority w:val="9"/>
    <w:rPr>
      <w:rFonts w:ascii="Arial" w:hAnsi="Arial" w:eastAsia="Arial" w:cs="Arial"/>
      <w:b/>
      <w:bCs/>
      <w:sz w:val="24"/>
      <w:szCs w:val="24"/>
    </w:rPr>
  </w:style>
  <w:style w:type="character" w:customStyle="1" w:styleId="48">
    <w:name w:val="Heading 6 Char"/>
    <w:link w:val="8"/>
    <w:qFormat/>
    <w:uiPriority w:val="9"/>
    <w:rPr>
      <w:rFonts w:ascii="Arial" w:hAnsi="Arial" w:eastAsia="Arial" w:cs="Arial"/>
      <w:b/>
      <w:bCs/>
      <w:sz w:val="22"/>
      <w:szCs w:val="22"/>
    </w:rPr>
  </w:style>
  <w:style w:type="character" w:customStyle="1" w:styleId="49">
    <w:name w:val="Heading 7 Char"/>
    <w:link w:val="9"/>
    <w:qFormat/>
    <w:uiPriority w:val="9"/>
    <w:rPr>
      <w:rFonts w:ascii="Arial" w:hAnsi="Arial" w:eastAsia="Arial" w:cs="Arial"/>
      <w:b/>
      <w:bCs/>
      <w:i/>
      <w:iCs/>
      <w:sz w:val="22"/>
      <w:szCs w:val="22"/>
    </w:rPr>
  </w:style>
  <w:style w:type="character" w:customStyle="1" w:styleId="50">
    <w:name w:val="Heading 8 Char"/>
    <w:link w:val="10"/>
    <w:qFormat/>
    <w:uiPriority w:val="9"/>
    <w:rPr>
      <w:rFonts w:ascii="Arial" w:hAnsi="Arial" w:eastAsia="Arial" w:cs="Arial"/>
      <w:i/>
      <w:iCs/>
      <w:sz w:val="22"/>
      <w:szCs w:val="22"/>
    </w:rPr>
  </w:style>
  <w:style w:type="character" w:customStyle="1" w:styleId="51">
    <w:name w:val="Heading 9 Char"/>
    <w:link w:val="11"/>
    <w:qFormat/>
    <w:uiPriority w:val="9"/>
    <w:rPr>
      <w:rFonts w:ascii="Arial" w:hAnsi="Arial" w:eastAsia="Arial" w:cs="Arial"/>
      <w:i/>
      <w:iCs/>
      <w:sz w:val="21"/>
      <w:szCs w:val="21"/>
    </w:rPr>
  </w:style>
  <w:style w:type="character" w:customStyle="1" w:styleId="52">
    <w:name w:val="Title Char"/>
    <w:link w:val="34"/>
    <w:qFormat/>
    <w:uiPriority w:val="10"/>
    <w:rPr>
      <w:sz w:val="48"/>
      <w:szCs w:val="48"/>
    </w:rPr>
  </w:style>
  <w:style w:type="character" w:customStyle="1" w:styleId="53">
    <w:name w:val="Subtitle Char"/>
    <w:link w:val="25"/>
    <w:qFormat/>
    <w:uiPriority w:val="11"/>
    <w:rPr>
      <w:sz w:val="24"/>
      <w:szCs w:val="24"/>
    </w:rPr>
  </w:style>
  <w:style w:type="character" w:customStyle="1" w:styleId="54">
    <w:name w:val="Header Char"/>
    <w:link w:val="22"/>
    <w:qFormat/>
    <w:uiPriority w:val="99"/>
  </w:style>
  <w:style w:type="character" w:customStyle="1" w:styleId="55">
    <w:name w:val="Footer Char"/>
    <w:link w:val="21"/>
    <w:qFormat/>
    <w:uiPriority w:val="99"/>
  </w:style>
  <w:style w:type="character" w:customStyle="1" w:styleId="56">
    <w:name w:val="Caption Char"/>
    <w:link w:val="21"/>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9">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6"/>
    <w:qFormat/>
    <w:uiPriority w:val="99"/>
    <w:rPr>
      <w:sz w:val="18"/>
    </w:rPr>
  </w:style>
  <w:style w:type="character" w:customStyle="1" w:styleId="183">
    <w:name w:val="Endnote Text Char"/>
    <w:link w:val="20"/>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86"/>
    <w:next w:val="1"/>
    <w:link w:val="199"/>
    <w:qFormat/>
    <w:uiPriority w:val="0"/>
    <w:pPr>
      <w:keepNext/>
      <w:keepLines/>
      <w:spacing w:before="340" w:after="330" w:line="576" w:lineRule="auto"/>
      <w:outlineLvl w:val="0"/>
    </w:pPr>
    <w:rPr>
      <w:b w:val="0"/>
      <w:bCs w:val="0"/>
      <w:sz w:val="44"/>
      <w:szCs w:val="44"/>
    </w:rPr>
  </w:style>
  <w:style w:type="paragraph" w:customStyle="1" w:styleId="186">
    <w:name w:val="标题 21"/>
    <w:basedOn w:val="1"/>
    <w:next w:val="1"/>
    <w:link w:val="198"/>
    <w:qFormat/>
    <w:uiPriority w:val="0"/>
    <w:pPr>
      <w:keepNext/>
      <w:keepLines/>
      <w:spacing w:before="260" w:after="260" w:line="413" w:lineRule="auto"/>
      <w:outlineLvl w:val="1"/>
    </w:pPr>
    <w:rPr>
      <w:rFonts w:ascii="Arial" w:hAnsi="Arial" w:eastAsia="黑体"/>
      <w:b/>
      <w:bCs/>
      <w:sz w:val="32"/>
      <w:szCs w:val="32"/>
    </w:rPr>
  </w:style>
  <w:style w:type="paragraph" w:customStyle="1" w:styleId="187">
    <w:name w:val="标题 31"/>
    <w:basedOn w:val="1"/>
    <w:next w:val="1"/>
    <w:link w:val="200"/>
    <w:qFormat/>
    <w:uiPriority w:val="0"/>
    <w:pPr>
      <w:keepNext/>
      <w:keepLines/>
      <w:spacing w:before="260" w:after="260" w:line="413" w:lineRule="auto"/>
      <w:outlineLvl w:val="2"/>
    </w:pPr>
    <w:rPr>
      <w:b/>
      <w:bCs/>
      <w:sz w:val="32"/>
      <w:szCs w:val="32"/>
    </w:rPr>
  </w:style>
  <w:style w:type="paragraph" w:customStyle="1" w:styleId="188">
    <w:name w:val="标题 41"/>
    <w:basedOn w:val="1"/>
    <w:next w:val="189"/>
    <w:link w:val="201"/>
    <w:qFormat/>
    <w:uiPriority w:val="0"/>
    <w:pPr>
      <w:keepNext/>
      <w:keepLines/>
      <w:spacing w:before="120" w:after="120"/>
      <w:outlineLvl w:val="3"/>
    </w:pPr>
    <w:rPr>
      <w:rFonts w:ascii="Arial" w:hAnsi="Arial" w:eastAsia="黑体"/>
      <w:b/>
      <w:sz w:val="20"/>
      <w:szCs w:val="20"/>
    </w:rPr>
  </w:style>
  <w:style w:type="paragraph" w:customStyle="1" w:styleId="189">
    <w:name w:val="正文 A"/>
    <w:next w:val="190"/>
    <w:qFormat/>
    <w:uiPriority w:val="0"/>
    <w:pPr>
      <w:widowControl w:val="0"/>
      <w:jc w:val="both"/>
    </w:pPr>
    <w:rPr>
      <w:rFonts w:hint="default" w:ascii="Times New Roman" w:hAnsi="Times New Roman" w:eastAsia="Arial Unicode MS" w:cs="Arial Unicode MS"/>
      <w:color w:val="000000"/>
      <w:sz w:val="21"/>
      <w:szCs w:val="21"/>
      <w:lang w:val="en-US" w:eastAsia="zh-CN" w:bidi="ar-SA"/>
    </w:rPr>
  </w:style>
  <w:style w:type="paragraph" w:customStyle="1" w:styleId="190">
    <w:name w:val="正文文本1"/>
    <w:basedOn w:val="1"/>
    <w:link w:val="202"/>
    <w:unhideWhenUsed/>
    <w:qFormat/>
    <w:uiPriority w:val="0"/>
    <w:pPr>
      <w:spacing w:after="120"/>
    </w:pPr>
    <w:rPr>
      <w:sz w:val="24"/>
    </w:rPr>
  </w:style>
  <w:style w:type="paragraph" w:customStyle="1" w:styleId="191">
    <w:name w:val="标题 51"/>
    <w:basedOn w:val="1"/>
    <w:next w:val="1"/>
    <w:link w:val="203"/>
    <w:qFormat/>
    <w:uiPriority w:val="0"/>
    <w:pPr>
      <w:keepNext/>
      <w:keepLines/>
      <w:tabs>
        <w:tab w:val="left" w:pos="1008"/>
      </w:tabs>
      <w:spacing w:before="280" w:after="290" w:line="372" w:lineRule="auto"/>
      <w:ind w:left="1008" w:hanging="1008"/>
      <w:outlineLvl w:val="4"/>
    </w:pPr>
    <w:rPr>
      <w:b/>
      <w:bCs/>
      <w:sz w:val="28"/>
      <w:szCs w:val="28"/>
    </w:rPr>
  </w:style>
  <w:style w:type="paragraph" w:customStyle="1" w:styleId="192">
    <w:name w:val="标题 61"/>
    <w:basedOn w:val="1"/>
    <w:next w:val="1"/>
    <w:link w:val="204"/>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customStyle="1" w:styleId="193">
    <w:name w:val="标题 71"/>
    <w:basedOn w:val="1"/>
    <w:next w:val="1"/>
    <w:link w:val="205"/>
    <w:qFormat/>
    <w:uiPriority w:val="0"/>
    <w:pPr>
      <w:keepNext/>
      <w:keepLines/>
      <w:tabs>
        <w:tab w:val="left" w:pos="1296"/>
      </w:tabs>
      <w:spacing w:before="240" w:after="64" w:line="317" w:lineRule="auto"/>
      <w:ind w:left="1296" w:hanging="1296"/>
      <w:outlineLvl w:val="6"/>
    </w:pPr>
    <w:rPr>
      <w:b/>
      <w:bCs/>
      <w:sz w:val="24"/>
    </w:rPr>
  </w:style>
  <w:style w:type="paragraph" w:customStyle="1" w:styleId="194">
    <w:name w:val="标题 81"/>
    <w:basedOn w:val="1"/>
    <w:next w:val="1"/>
    <w:link w:val="206"/>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customStyle="1" w:styleId="195">
    <w:name w:val="标题 91"/>
    <w:basedOn w:val="1"/>
    <w:next w:val="1"/>
    <w:link w:val="207"/>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customStyle="1" w:styleId="196">
    <w:name w:val="默认段落字体1"/>
    <w:link w:val="1"/>
    <w:unhideWhenUsed/>
    <w:qFormat/>
    <w:uiPriority w:val="1"/>
  </w:style>
  <w:style w:type="table" w:customStyle="1" w:styleId="197">
    <w:name w:val="普通表格1"/>
    <w:unhideWhenUsed/>
    <w:qFormat/>
    <w:uiPriority w:val="99"/>
    <w:pPr>
      <w:keepNext w:val="0"/>
      <w:keepLines w:val="0"/>
      <w:widowControl/>
      <w:suppressLineNumbers w:val="0"/>
      <w:spacing w:before="0" w:beforeAutospacing="0" w:after="0" w:afterAutospacing="0"/>
      <w:ind w:left="0" w:right="0"/>
    </w:pPr>
    <w:rPr>
      <w:rFonts w:ascii="Calibri" w:hAnsi="Calibri" w:cs="Times New Roman"/>
      <w:sz w:val="21"/>
      <w:szCs w:val="22"/>
    </w:rPr>
  </w:style>
  <w:style w:type="character" w:customStyle="1" w:styleId="198">
    <w:name w:val="标题 2 Char"/>
    <w:link w:val="186"/>
    <w:qFormat/>
    <w:uiPriority w:val="0"/>
    <w:rPr>
      <w:rFonts w:ascii="Arial" w:hAnsi="Arial" w:eastAsia="黑体" w:cs="Times New Roman"/>
      <w:b/>
      <w:bCs/>
      <w:sz w:val="32"/>
      <w:szCs w:val="32"/>
    </w:rPr>
  </w:style>
  <w:style w:type="character" w:customStyle="1" w:styleId="199">
    <w:name w:val="标题 1 Char"/>
    <w:link w:val="185"/>
    <w:qFormat/>
    <w:uiPriority w:val="0"/>
    <w:rPr>
      <w:rFonts w:ascii="Times New Roman" w:hAnsi="Times New Roman" w:eastAsia="宋体" w:cs="Times New Roman"/>
      <w:b/>
      <w:bCs/>
      <w:sz w:val="44"/>
      <w:szCs w:val="44"/>
    </w:rPr>
  </w:style>
  <w:style w:type="character" w:customStyle="1" w:styleId="200">
    <w:name w:val="标题 3 Char"/>
    <w:link w:val="187"/>
    <w:qFormat/>
    <w:uiPriority w:val="0"/>
    <w:rPr>
      <w:rFonts w:ascii="Times New Roman" w:hAnsi="Times New Roman" w:eastAsia="宋体" w:cs="Times New Roman"/>
      <w:b/>
      <w:bCs/>
      <w:sz w:val="32"/>
      <w:szCs w:val="32"/>
    </w:rPr>
  </w:style>
  <w:style w:type="character" w:customStyle="1" w:styleId="201">
    <w:name w:val="标题 4 Char"/>
    <w:link w:val="188"/>
    <w:qFormat/>
    <w:uiPriority w:val="0"/>
    <w:rPr>
      <w:rFonts w:ascii="Arial" w:hAnsi="Arial" w:eastAsia="黑体" w:cs="Times New Roman"/>
      <w:b/>
      <w:sz w:val="20"/>
      <w:szCs w:val="20"/>
    </w:rPr>
  </w:style>
  <w:style w:type="character" w:customStyle="1" w:styleId="202">
    <w:name w:val="正文文本 Char"/>
    <w:link w:val="190"/>
    <w:qFormat/>
    <w:uiPriority w:val="0"/>
    <w:rPr>
      <w:rFonts w:ascii="Times New Roman" w:hAnsi="Times New Roman" w:eastAsia="宋体" w:cs="Times New Roman"/>
      <w:sz w:val="24"/>
      <w:szCs w:val="24"/>
    </w:rPr>
  </w:style>
  <w:style w:type="character" w:customStyle="1" w:styleId="203">
    <w:name w:val="标题 5 Char"/>
    <w:link w:val="191"/>
    <w:qFormat/>
    <w:uiPriority w:val="0"/>
    <w:rPr>
      <w:rFonts w:ascii="Times New Roman" w:hAnsi="Times New Roman" w:eastAsia="宋体" w:cs="Times New Roman"/>
      <w:b/>
      <w:bCs/>
      <w:sz w:val="28"/>
      <w:szCs w:val="28"/>
    </w:rPr>
  </w:style>
  <w:style w:type="character" w:customStyle="1" w:styleId="204">
    <w:name w:val="标题 6 Char"/>
    <w:link w:val="192"/>
    <w:qFormat/>
    <w:uiPriority w:val="0"/>
    <w:rPr>
      <w:rFonts w:ascii="Arial" w:hAnsi="Arial" w:eastAsia="黑体" w:cs="Times New Roman"/>
      <w:b/>
      <w:bCs/>
      <w:sz w:val="24"/>
      <w:szCs w:val="24"/>
    </w:rPr>
  </w:style>
  <w:style w:type="character" w:customStyle="1" w:styleId="205">
    <w:name w:val="标题 7 Char"/>
    <w:link w:val="193"/>
    <w:qFormat/>
    <w:uiPriority w:val="0"/>
    <w:rPr>
      <w:rFonts w:ascii="Times New Roman" w:hAnsi="Times New Roman" w:eastAsia="宋体" w:cs="Times New Roman"/>
      <w:b/>
      <w:bCs/>
      <w:sz w:val="24"/>
      <w:szCs w:val="24"/>
    </w:rPr>
  </w:style>
  <w:style w:type="character" w:customStyle="1" w:styleId="206">
    <w:name w:val="标题 8 Char"/>
    <w:link w:val="194"/>
    <w:qFormat/>
    <w:uiPriority w:val="0"/>
    <w:rPr>
      <w:rFonts w:ascii="Arial" w:hAnsi="Arial" w:eastAsia="黑体" w:cs="Times New Roman"/>
      <w:sz w:val="24"/>
      <w:szCs w:val="24"/>
    </w:rPr>
  </w:style>
  <w:style w:type="character" w:customStyle="1" w:styleId="207">
    <w:name w:val="标题 9 Char"/>
    <w:link w:val="195"/>
    <w:qFormat/>
    <w:uiPriority w:val="0"/>
    <w:rPr>
      <w:rFonts w:ascii="Arial" w:hAnsi="Arial" w:eastAsia="黑体" w:cs="Times New Roman"/>
      <w:sz w:val="21"/>
      <w:szCs w:val="21"/>
    </w:rPr>
  </w:style>
  <w:style w:type="paragraph" w:customStyle="1" w:styleId="208">
    <w:name w:val="列表 31"/>
    <w:basedOn w:val="1"/>
    <w:qFormat/>
    <w:uiPriority w:val="0"/>
    <w:pPr>
      <w:ind w:left="1260" w:hanging="420"/>
    </w:pPr>
    <w:rPr>
      <w:szCs w:val="20"/>
    </w:rPr>
  </w:style>
  <w:style w:type="paragraph" w:customStyle="1" w:styleId="209">
    <w:name w:val="目录 71"/>
    <w:basedOn w:val="1"/>
    <w:next w:val="1"/>
    <w:semiHidden/>
    <w:qFormat/>
    <w:uiPriority w:val="39"/>
    <w:pPr>
      <w:ind w:left="1260"/>
      <w:jc w:val="left"/>
    </w:pPr>
    <w:rPr>
      <w:szCs w:val="21"/>
    </w:rPr>
  </w:style>
  <w:style w:type="paragraph" w:customStyle="1" w:styleId="210">
    <w:name w:val="列表编号 21"/>
    <w:basedOn w:val="1"/>
    <w:qFormat/>
    <w:uiPriority w:val="0"/>
    <w:pPr>
      <w:tabs>
        <w:tab w:val="left" w:pos="1440"/>
      </w:tabs>
      <w:spacing w:line="360" w:lineRule="auto"/>
      <w:ind w:left="1440" w:hanging="1440"/>
    </w:pPr>
    <w:rPr>
      <w:sz w:val="24"/>
    </w:rPr>
  </w:style>
  <w:style w:type="paragraph" w:customStyle="1" w:styleId="211">
    <w:name w:val="列表编号1"/>
    <w:basedOn w:val="1"/>
    <w:qFormat/>
    <w:uiPriority w:val="0"/>
    <w:pPr>
      <w:tabs>
        <w:tab w:val="left" w:pos="2952"/>
      </w:tabs>
      <w:ind w:left="2952" w:hanging="432"/>
    </w:pPr>
  </w:style>
  <w:style w:type="paragraph" w:customStyle="1" w:styleId="212">
    <w:name w:val="正文缩进1"/>
    <w:basedOn w:val="1"/>
    <w:qFormat/>
    <w:uiPriority w:val="0"/>
    <w:pPr>
      <w:ind w:firstLine="420"/>
    </w:pPr>
    <w:rPr>
      <w:szCs w:val="20"/>
    </w:rPr>
  </w:style>
  <w:style w:type="paragraph" w:customStyle="1" w:styleId="213">
    <w:name w:val="文档结构图1"/>
    <w:basedOn w:val="1"/>
    <w:link w:val="214"/>
    <w:semiHidden/>
    <w:qFormat/>
    <w:uiPriority w:val="0"/>
    <w:pPr>
      <w:shd w:val="clear" w:color="auto" w:fill="000080"/>
    </w:pPr>
    <w:rPr>
      <w:sz w:val="24"/>
    </w:rPr>
  </w:style>
  <w:style w:type="character" w:customStyle="1" w:styleId="214">
    <w:name w:val="文档结构图 Char"/>
    <w:link w:val="213"/>
    <w:semiHidden/>
    <w:qFormat/>
    <w:uiPriority w:val="0"/>
    <w:rPr>
      <w:rFonts w:ascii="Times New Roman" w:hAnsi="Times New Roman" w:eastAsia="宋体" w:cs="Times New Roman"/>
      <w:sz w:val="24"/>
      <w:szCs w:val="24"/>
      <w:shd w:val="clear" w:color="auto" w:fill="000080"/>
    </w:rPr>
  </w:style>
  <w:style w:type="paragraph" w:customStyle="1" w:styleId="215">
    <w:name w:val="批注文字1"/>
    <w:basedOn w:val="1"/>
    <w:link w:val="216"/>
    <w:qFormat/>
    <w:uiPriority w:val="99"/>
    <w:pPr>
      <w:jc w:val="left"/>
    </w:pPr>
    <w:rPr>
      <w:sz w:val="20"/>
      <w:szCs w:val="20"/>
    </w:rPr>
  </w:style>
  <w:style w:type="character" w:customStyle="1" w:styleId="216">
    <w:name w:val="批注文字 Char"/>
    <w:link w:val="215"/>
    <w:qFormat/>
    <w:uiPriority w:val="99"/>
    <w:rPr>
      <w:rFonts w:ascii="Times New Roman" w:hAnsi="Times New Roman" w:eastAsia="宋体" w:cs="Times New Roman"/>
      <w:sz w:val="20"/>
      <w:szCs w:val="20"/>
    </w:rPr>
  </w:style>
  <w:style w:type="paragraph" w:customStyle="1" w:styleId="217">
    <w:name w:val="称呼1"/>
    <w:basedOn w:val="1"/>
    <w:next w:val="1"/>
    <w:link w:val="218"/>
    <w:qFormat/>
    <w:uiPriority w:val="0"/>
    <w:rPr>
      <w:rFonts w:ascii="仿宋_GB2312" w:eastAsia="仿宋_GB2312"/>
      <w:sz w:val="20"/>
      <w:szCs w:val="20"/>
    </w:rPr>
  </w:style>
  <w:style w:type="character" w:customStyle="1" w:styleId="218">
    <w:name w:val="称呼 Char"/>
    <w:link w:val="217"/>
    <w:qFormat/>
    <w:uiPriority w:val="0"/>
    <w:rPr>
      <w:rFonts w:ascii="仿宋_GB2312" w:hAnsi="Times New Roman" w:eastAsia="仿宋_GB2312" w:cs="Times New Roman"/>
      <w:sz w:val="20"/>
      <w:szCs w:val="20"/>
    </w:rPr>
  </w:style>
  <w:style w:type="paragraph" w:customStyle="1" w:styleId="219">
    <w:name w:val="正文文本 31"/>
    <w:basedOn w:val="1"/>
    <w:link w:val="220"/>
    <w:qFormat/>
    <w:uiPriority w:val="0"/>
    <w:pPr>
      <w:spacing w:after="120"/>
    </w:pPr>
    <w:rPr>
      <w:sz w:val="16"/>
      <w:szCs w:val="16"/>
    </w:rPr>
  </w:style>
  <w:style w:type="character" w:customStyle="1" w:styleId="220">
    <w:name w:val="正文文本 3 Char"/>
    <w:link w:val="219"/>
    <w:qFormat/>
    <w:uiPriority w:val="0"/>
    <w:rPr>
      <w:rFonts w:ascii="Times New Roman" w:hAnsi="Times New Roman" w:eastAsia="宋体" w:cs="Times New Roman"/>
      <w:sz w:val="16"/>
      <w:szCs w:val="16"/>
    </w:rPr>
  </w:style>
  <w:style w:type="paragraph" w:customStyle="1" w:styleId="221">
    <w:name w:val="正文文本缩进11"/>
    <w:basedOn w:val="1"/>
    <w:link w:val="222"/>
    <w:qFormat/>
    <w:uiPriority w:val="0"/>
    <w:pPr>
      <w:spacing w:after="120"/>
      <w:ind w:left="420"/>
    </w:pPr>
    <w:rPr>
      <w:sz w:val="24"/>
    </w:rPr>
  </w:style>
  <w:style w:type="character" w:customStyle="1" w:styleId="222">
    <w:name w:val="正文文本缩进 Char"/>
    <w:link w:val="221"/>
    <w:qFormat/>
    <w:uiPriority w:val="0"/>
    <w:rPr>
      <w:rFonts w:ascii="Times New Roman" w:hAnsi="Times New Roman" w:eastAsia="宋体" w:cs="Times New Roman"/>
      <w:sz w:val="24"/>
      <w:szCs w:val="24"/>
    </w:rPr>
  </w:style>
  <w:style w:type="paragraph" w:customStyle="1" w:styleId="223">
    <w:name w:val="列表 21"/>
    <w:basedOn w:val="1"/>
    <w:qFormat/>
    <w:uiPriority w:val="99"/>
    <w:pPr>
      <w:ind w:left="100" w:hanging="200"/>
    </w:pPr>
    <w:rPr>
      <w:szCs w:val="21"/>
    </w:rPr>
  </w:style>
  <w:style w:type="paragraph" w:customStyle="1" w:styleId="224">
    <w:name w:val="文本块1"/>
    <w:basedOn w:val="185"/>
    <w:next w:val="1"/>
    <w:qFormat/>
    <w:uiPriority w:val="0"/>
    <w:pPr>
      <w:spacing w:after="120"/>
      <w:ind w:left="1440" w:right="1440"/>
    </w:pPr>
    <w:rPr>
      <w:szCs w:val="20"/>
    </w:rPr>
  </w:style>
  <w:style w:type="paragraph" w:customStyle="1" w:styleId="225">
    <w:name w:val="索引 41"/>
    <w:basedOn w:val="1"/>
    <w:next w:val="1"/>
    <w:unhideWhenUsed/>
    <w:qFormat/>
    <w:uiPriority w:val="0"/>
    <w:pPr>
      <w:ind w:left="600"/>
    </w:pPr>
    <w:rPr>
      <w:szCs w:val="24"/>
    </w:rPr>
  </w:style>
  <w:style w:type="paragraph" w:customStyle="1" w:styleId="226">
    <w:name w:val="目录 51"/>
    <w:basedOn w:val="1"/>
    <w:next w:val="1"/>
    <w:semiHidden/>
    <w:qFormat/>
    <w:uiPriority w:val="39"/>
    <w:pPr>
      <w:ind w:left="840"/>
      <w:jc w:val="left"/>
    </w:pPr>
    <w:rPr>
      <w:szCs w:val="21"/>
    </w:rPr>
  </w:style>
  <w:style w:type="paragraph" w:customStyle="1" w:styleId="227">
    <w:name w:val="目录 31"/>
    <w:basedOn w:val="1"/>
    <w:next w:val="1"/>
    <w:semiHidden/>
    <w:qFormat/>
    <w:uiPriority w:val="39"/>
    <w:pPr>
      <w:ind w:left="840"/>
    </w:pPr>
  </w:style>
  <w:style w:type="paragraph" w:customStyle="1" w:styleId="228">
    <w:name w:val="纯文本11"/>
    <w:basedOn w:val="1"/>
    <w:link w:val="229"/>
    <w:qFormat/>
    <w:uiPriority w:val="0"/>
    <w:rPr>
      <w:rFonts w:ascii="宋体" w:hAnsi="Courier New"/>
      <w:szCs w:val="21"/>
    </w:rPr>
  </w:style>
  <w:style w:type="character" w:customStyle="1" w:styleId="229">
    <w:name w:val="纯文本 Char"/>
    <w:link w:val="228"/>
    <w:qFormat/>
    <w:uiPriority w:val="0"/>
    <w:rPr>
      <w:rFonts w:ascii="宋体" w:hAnsi="Courier New" w:eastAsia="宋体" w:cs="Times New Roman"/>
      <w:sz w:val="21"/>
      <w:szCs w:val="21"/>
    </w:rPr>
  </w:style>
  <w:style w:type="paragraph" w:customStyle="1" w:styleId="230">
    <w:name w:val="目录 81"/>
    <w:basedOn w:val="1"/>
    <w:next w:val="1"/>
    <w:semiHidden/>
    <w:qFormat/>
    <w:uiPriority w:val="39"/>
    <w:pPr>
      <w:ind w:left="1470"/>
      <w:jc w:val="left"/>
    </w:pPr>
    <w:rPr>
      <w:szCs w:val="21"/>
    </w:rPr>
  </w:style>
  <w:style w:type="paragraph" w:customStyle="1" w:styleId="231">
    <w:name w:val="索引 31"/>
    <w:basedOn w:val="1"/>
    <w:next w:val="1"/>
    <w:semiHidden/>
    <w:qFormat/>
    <w:uiPriority w:val="99"/>
    <w:pPr>
      <w:ind w:left="840"/>
    </w:pPr>
    <w:rPr>
      <w:szCs w:val="20"/>
    </w:rPr>
  </w:style>
  <w:style w:type="paragraph" w:customStyle="1" w:styleId="232">
    <w:name w:val="日期1"/>
    <w:basedOn w:val="1"/>
    <w:next w:val="1"/>
    <w:link w:val="233"/>
    <w:qFormat/>
    <w:uiPriority w:val="0"/>
    <w:pPr>
      <w:ind w:left="100"/>
    </w:pPr>
    <w:rPr>
      <w:sz w:val="20"/>
      <w:szCs w:val="20"/>
    </w:rPr>
  </w:style>
  <w:style w:type="character" w:customStyle="1" w:styleId="233">
    <w:name w:val="日期 Char"/>
    <w:link w:val="232"/>
    <w:qFormat/>
    <w:uiPriority w:val="0"/>
    <w:rPr>
      <w:rFonts w:ascii="Times New Roman" w:hAnsi="Times New Roman" w:eastAsia="宋体" w:cs="Times New Roman"/>
      <w:sz w:val="20"/>
      <w:szCs w:val="20"/>
    </w:rPr>
  </w:style>
  <w:style w:type="paragraph" w:customStyle="1" w:styleId="234">
    <w:name w:val="正文文本缩进 21"/>
    <w:basedOn w:val="1"/>
    <w:link w:val="235"/>
    <w:qFormat/>
    <w:uiPriority w:val="0"/>
    <w:pPr>
      <w:spacing w:line="400" w:lineRule="exact"/>
      <w:ind w:firstLine="480"/>
    </w:pPr>
    <w:rPr>
      <w:rFonts w:ascii="宋体" w:hAnsi="宋体"/>
      <w:sz w:val="24"/>
    </w:rPr>
  </w:style>
  <w:style w:type="character" w:customStyle="1" w:styleId="235">
    <w:name w:val="正文文本缩进 2 Char"/>
    <w:link w:val="234"/>
    <w:qFormat/>
    <w:uiPriority w:val="0"/>
    <w:rPr>
      <w:rFonts w:ascii="宋体" w:hAnsi="宋体" w:eastAsia="宋体" w:cs="Times New Roman"/>
      <w:sz w:val="24"/>
      <w:szCs w:val="24"/>
    </w:rPr>
  </w:style>
  <w:style w:type="paragraph" w:customStyle="1" w:styleId="236">
    <w:name w:val="尾注文本1"/>
    <w:basedOn w:val="1"/>
    <w:link w:val="237"/>
    <w:qFormat/>
    <w:uiPriority w:val="0"/>
    <w:pPr>
      <w:jc w:val="left"/>
    </w:pPr>
    <w:rPr>
      <w:sz w:val="24"/>
    </w:rPr>
  </w:style>
  <w:style w:type="character" w:customStyle="1" w:styleId="237">
    <w:name w:val="尾注文本 Char"/>
    <w:link w:val="236"/>
    <w:qFormat/>
    <w:uiPriority w:val="0"/>
    <w:rPr>
      <w:rFonts w:ascii="Times New Roman" w:hAnsi="Times New Roman" w:eastAsia="宋体" w:cs="Times New Roman"/>
      <w:sz w:val="24"/>
      <w:szCs w:val="24"/>
    </w:rPr>
  </w:style>
  <w:style w:type="paragraph" w:customStyle="1" w:styleId="238">
    <w:name w:val="批注框文本11"/>
    <w:basedOn w:val="1"/>
    <w:link w:val="239"/>
    <w:semiHidden/>
    <w:qFormat/>
    <w:uiPriority w:val="0"/>
    <w:rPr>
      <w:sz w:val="18"/>
      <w:szCs w:val="18"/>
    </w:rPr>
  </w:style>
  <w:style w:type="character" w:customStyle="1" w:styleId="239">
    <w:name w:val="批注框文本 Char"/>
    <w:link w:val="238"/>
    <w:semiHidden/>
    <w:qFormat/>
    <w:uiPriority w:val="0"/>
    <w:rPr>
      <w:rFonts w:ascii="Times New Roman" w:hAnsi="Times New Roman" w:eastAsia="宋体" w:cs="Times New Roman"/>
      <w:sz w:val="18"/>
      <w:szCs w:val="18"/>
    </w:rPr>
  </w:style>
  <w:style w:type="paragraph" w:customStyle="1" w:styleId="240">
    <w:name w:val="页脚1"/>
    <w:basedOn w:val="1"/>
    <w:link w:val="241"/>
    <w:unhideWhenUsed/>
    <w:qFormat/>
    <w:uiPriority w:val="0"/>
    <w:pPr>
      <w:tabs>
        <w:tab w:val="center" w:pos="4153"/>
        <w:tab w:val="right" w:pos="8306"/>
      </w:tabs>
      <w:jc w:val="left"/>
    </w:pPr>
    <w:rPr>
      <w:sz w:val="18"/>
      <w:szCs w:val="18"/>
    </w:rPr>
  </w:style>
  <w:style w:type="character" w:customStyle="1" w:styleId="241">
    <w:name w:val="页脚 Char"/>
    <w:link w:val="240"/>
    <w:qFormat/>
    <w:uiPriority w:val="0"/>
    <w:rPr>
      <w:rFonts w:cs="Times New Roman"/>
      <w:sz w:val="18"/>
      <w:szCs w:val="18"/>
    </w:rPr>
  </w:style>
  <w:style w:type="paragraph" w:customStyle="1" w:styleId="242">
    <w:name w:val="寄信人地址1"/>
    <w:basedOn w:val="1"/>
    <w:qFormat/>
    <w:uiPriority w:val="0"/>
    <w:rPr>
      <w:rFonts w:ascii="Arial" w:hAnsi="Arial"/>
    </w:rPr>
  </w:style>
  <w:style w:type="paragraph" w:customStyle="1" w:styleId="243">
    <w:name w:val="页眉1"/>
    <w:basedOn w:val="1"/>
    <w:link w:val="244"/>
    <w:unhideWhenUsed/>
    <w:qFormat/>
    <w:uiPriority w:val="0"/>
    <w:pPr>
      <w:pBdr>
        <w:bottom w:val="single" w:color="000000" w:sz="6" w:space="1"/>
      </w:pBdr>
      <w:tabs>
        <w:tab w:val="center" w:pos="4153"/>
        <w:tab w:val="right" w:pos="8306"/>
      </w:tabs>
      <w:jc w:val="center"/>
    </w:pPr>
    <w:rPr>
      <w:sz w:val="18"/>
      <w:szCs w:val="18"/>
    </w:rPr>
  </w:style>
  <w:style w:type="character" w:customStyle="1" w:styleId="244">
    <w:name w:val="页眉 Char"/>
    <w:link w:val="243"/>
    <w:qFormat/>
    <w:uiPriority w:val="0"/>
    <w:rPr>
      <w:rFonts w:cs="Times New Roman"/>
      <w:sz w:val="18"/>
      <w:szCs w:val="18"/>
    </w:rPr>
  </w:style>
  <w:style w:type="paragraph" w:customStyle="1" w:styleId="245">
    <w:name w:val="签名1"/>
    <w:basedOn w:val="1"/>
    <w:link w:val="246"/>
    <w:qFormat/>
    <w:uiPriority w:val="0"/>
    <w:pPr>
      <w:spacing w:after="600" w:line="312" w:lineRule="atLeast"/>
      <w:jc w:val="center"/>
    </w:pPr>
    <w:rPr>
      <w:rFonts w:eastAsia="仿宋_GB2312"/>
      <w:sz w:val="20"/>
      <w:szCs w:val="20"/>
    </w:rPr>
  </w:style>
  <w:style w:type="character" w:customStyle="1" w:styleId="246">
    <w:name w:val="签名 Char"/>
    <w:link w:val="245"/>
    <w:qFormat/>
    <w:uiPriority w:val="0"/>
    <w:rPr>
      <w:rFonts w:ascii="Times New Roman" w:hAnsi="Times New Roman" w:eastAsia="仿宋_GB2312" w:cs="Times New Roman"/>
      <w:sz w:val="20"/>
      <w:szCs w:val="20"/>
    </w:rPr>
  </w:style>
  <w:style w:type="paragraph" w:customStyle="1" w:styleId="247">
    <w:name w:val="目录 11"/>
    <w:basedOn w:val="1"/>
    <w:next w:val="1"/>
    <w:semiHidden/>
    <w:qFormat/>
    <w:uiPriority w:val="39"/>
  </w:style>
  <w:style w:type="paragraph" w:customStyle="1" w:styleId="248">
    <w:name w:val="目录 41"/>
    <w:basedOn w:val="1"/>
    <w:next w:val="1"/>
    <w:semiHidden/>
    <w:qFormat/>
    <w:uiPriority w:val="39"/>
    <w:pPr>
      <w:ind w:left="630"/>
      <w:jc w:val="left"/>
    </w:pPr>
    <w:rPr>
      <w:szCs w:val="21"/>
    </w:rPr>
  </w:style>
  <w:style w:type="paragraph" w:customStyle="1" w:styleId="249">
    <w:name w:val="索引标题1"/>
    <w:basedOn w:val="1"/>
    <w:next w:val="250"/>
    <w:semiHidden/>
    <w:qFormat/>
    <w:uiPriority w:val="99"/>
    <w:rPr>
      <w:szCs w:val="20"/>
    </w:rPr>
  </w:style>
  <w:style w:type="paragraph" w:customStyle="1" w:styleId="250">
    <w:name w:val="索引 11"/>
    <w:basedOn w:val="1"/>
    <w:next w:val="1"/>
    <w:semiHidden/>
    <w:qFormat/>
    <w:uiPriority w:val="99"/>
    <w:pPr>
      <w:tabs>
        <w:tab w:val="left" w:pos="1260"/>
      </w:tabs>
      <w:jc w:val="center"/>
    </w:pPr>
    <w:rPr>
      <w:rFonts w:ascii="仿宋_GB2312" w:hAnsi="宋体" w:eastAsia="仿宋_GB2312"/>
      <w:sz w:val="30"/>
      <w:szCs w:val="20"/>
    </w:rPr>
  </w:style>
  <w:style w:type="paragraph" w:customStyle="1" w:styleId="251">
    <w:name w:val="副标题1"/>
    <w:basedOn w:val="1"/>
    <w:next w:val="1"/>
    <w:link w:val="252"/>
    <w:qFormat/>
    <w:uiPriority w:val="0"/>
    <w:pPr>
      <w:widowControl/>
      <w:spacing w:after="600" w:line="276" w:lineRule="auto"/>
      <w:jc w:val="left"/>
    </w:pPr>
    <w:rPr>
      <w:rFonts w:ascii="Cambria" w:hAnsi="Cambria"/>
      <w:i/>
      <w:iCs/>
      <w:spacing w:val="13"/>
      <w:sz w:val="24"/>
      <w:lang w:eastAsia="en-US"/>
    </w:rPr>
  </w:style>
  <w:style w:type="character" w:customStyle="1" w:styleId="252">
    <w:name w:val="副标题 Char"/>
    <w:link w:val="251"/>
    <w:qFormat/>
    <w:uiPriority w:val="0"/>
    <w:rPr>
      <w:rFonts w:ascii="Cambria" w:hAnsi="Cambria" w:eastAsia="宋体" w:cs="Times New Roman"/>
      <w:i/>
      <w:iCs/>
      <w:spacing w:val="13"/>
      <w:sz w:val="24"/>
      <w:szCs w:val="24"/>
      <w:lang w:eastAsia="en-US"/>
    </w:rPr>
  </w:style>
  <w:style w:type="paragraph" w:customStyle="1" w:styleId="253">
    <w:name w:val="列表1"/>
    <w:basedOn w:val="1"/>
    <w:qFormat/>
    <w:uiPriority w:val="99"/>
    <w:pPr>
      <w:ind w:left="200" w:hanging="200"/>
    </w:pPr>
    <w:rPr>
      <w:szCs w:val="21"/>
    </w:rPr>
  </w:style>
  <w:style w:type="paragraph" w:customStyle="1" w:styleId="254">
    <w:name w:val="脚注文本1"/>
    <w:basedOn w:val="185"/>
    <w:next w:val="224"/>
    <w:link w:val="255"/>
    <w:qFormat/>
    <w:uiPriority w:val="0"/>
    <w:pPr>
      <w:jc w:val="left"/>
    </w:pPr>
    <w:rPr>
      <w:sz w:val="18"/>
      <w:szCs w:val="18"/>
    </w:rPr>
  </w:style>
  <w:style w:type="character" w:customStyle="1" w:styleId="255">
    <w:name w:val="脚注文本 Char"/>
    <w:link w:val="254"/>
    <w:qFormat/>
    <w:uiPriority w:val="0"/>
    <w:rPr>
      <w:rFonts w:ascii="Times New Roman" w:hAnsi="Times New Roman" w:eastAsia="宋体" w:cs="Times New Roman"/>
      <w:sz w:val="18"/>
      <w:szCs w:val="18"/>
    </w:rPr>
  </w:style>
  <w:style w:type="paragraph" w:customStyle="1" w:styleId="256">
    <w:name w:val="目录 61"/>
    <w:basedOn w:val="1"/>
    <w:next w:val="1"/>
    <w:semiHidden/>
    <w:qFormat/>
    <w:uiPriority w:val="39"/>
    <w:pPr>
      <w:ind w:left="1050"/>
      <w:jc w:val="left"/>
    </w:pPr>
    <w:rPr>
      <w:szCs w:val="21"/>
    </w:rPr>
  </w:style>
  <w:style w:type="paragraph" w:customStyle="1" w:styleId="257">
    <w:name w:val="正文文本缩进 31"/>
    <w:basedOn w:val="1"/>
    <w:link w:val="258"/>
    <w:qFormat/>
    <w:uiPriority w:val="0"/>
    <w:pPr>
      <w:spacing w:before="120" w:after="120" w:line="264" w:lineRule="auto"/>
      <w:ind w:left="480"/>
    </w:pPr>
    <w:rPr>
      <w:b/>
      <w:bCs/>
      <w:sz w:val="20"/>
      <w:szCs w:val="20"/>
    </w:rPr>
  </w:style>
  <w:style w:type="character" w:customStyle="1" w:styleId="258">
    <w:name w:val="正文文本缩进 3 Char"/>
    <w:link w:val="257"/>
    <w:qFormat/>
    <w:uiPriority w:val="0"/>
    <w:rPr>
      <w:rFonts w:ascii="Times New Roman" w:hAnsi="Times New Roman" w:eastAsia="宋体" w:cs="Times New Roman"/>
      <w:b/>
      <w:bCs/>
      <w:sz w:val="20"/>
      <w:szCs w:val="20"/>
    </w:rPr>
  </w:style>
  <w:style w:type="paragraph" w:customStyle="1" w:styleId="259">
    <w:name w:val="图表目录1"/>
    <w:basedOn w:val="1"/>
    <w:next w:val="1"/>
    <w:semiHidden/>
    <w:qFormat/>
    <w:uiPriority w:val="99"/>
    <w:pPr>
      <w:ind w:left="840" w:hanging="420"/>
    </w:pPr>
    <w:rPr>
      <w:szCs w:val="21"/>
    </w:rPr>
  </w:style>
  <w:style w:type="paragraph" w:customStyle="1" w:styleId="260">
    <w:name w:val="目录 21"/>
    <w:basedOn w:val="1"/>
    <w:next w:val="1"/>
    <w:semiHidden/>
    <w:qFormat/>
    <w:uiPriority w:val="39"/>
    <w:pPr>
      <w:ind w:left="420"/>
    </w:pPr>
  </w:style>
  <w:style w:type="paragraph" w:customStyle="1" w:styleId="261">
    <w:name w:val="目录 91"/>
    <w:basedOn w:val="1"/>
    <w:next w:val="1"/>
    <w:semiHidden/>
    <w:qFormat/>
    <w:uiPriority w:val="39"/>
    <w:pPr>
      <w:ind w:left="1680"/>
      <w:jc w:val="left"/>
    </w:pPr>
    <w:rPr>
      <w:szCs w:val="21"/>
    </w:rPr>
  </w:style>
  <w:style w:type="paragraph" w:customStyle="1" w:styleId="262">
    <w:name w:val="正文文本 211"/>
    <w:basedOn w:val="1"/>
    <w:link w:val="263"/>
    <w:qFormat/>
    <w:uiPriority w:val="0"/>
    <w:pPr>
      <w:jc w:val="center"/>
    </w:pPr>
    <w:rPr>
      <w:b/>
      <w:bCs/>
      <w:sz w:val="20"/>
      <w:szCs w:val="20"/>
    </w:rPr>
  </w:style>
  <w:style w:type="character" w:customStyle="1" w:styleId="263">
    <w:name w:val="正文文本 2 Char"/>
    <w:link w:val="262"/>
    <w:qFormat/>
    <w:uiPriority w:val="0"/>
    <w:rPr>
      <w:rFonts w:ascii="Times New Roman" w:hAnsi="Times New Roman" w:eastAsia="宋体" w:cs="Times New Roman"/>
      <w:b/>
      <w:bCs/>
      <w:sz w:val="20"/>
      <w:szCs w:val="20"/>
    </w:rPr>
  </w:style>
  <w:style w:type="paragraph" w:customStyle="1" w:styleId="264">
    <w:name w:val="HTML 预设格式1"/>
    <w:basedOn w:val="1"/>
    <w:link w:val="26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character" w:customStyle="1" w:styleId="265">
    <w:name w:val="HTML 预设格式 Char"/>
    <w:link w:val="264"/>
    <w:qFormat/>
    <w:uiPriority w:val="0"/>
    <w:rPr>
      <w:rFonts w:ascii="宋体" w:hAnsi="宋体" w:eastAsia="宋体" w:cs="宋体"/>
      <w:sz w:val="24"/>
      <w:szCs w:val="24"/>
    </w:rPr>
  </w:style>
  <w:style w:type="paragraph" w:customStyle="1" w:styleId="266">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267">
    <w:name w:val="索引 21"/>
    <w:basedOn w:val="1"/>
    <w:next w:val="1"/>
    <w:semiHidden/>
    <w:qFormat/>
    <w:uiPriority w:val="99"/>
    <w:pPr>
      <w:ind w:left="420"/>
      <w:jc w:val="center"/>
    </w:pPr>
    <w:rPr>
      <w:rFonts w:ascii="宋体" w:hAnsi="宋体"/>
      <w:b/>
      <w:sz w:val="32"/>
      <w:szCs w:val="20"/>
    </w:rPr>
  </w:style>
  <w:style w:type="paragraph" w:customStyle="1" w:styleId="268">
    <w:name w:val="标题11"/>
    <w:basedOn w:val="1"/>
    <w:link w:val="269"/>
    <w:qFormat/>
    <w:uiPriority w:val="0"/>
    <w:pPr>
      <w:widowControl/>
      <w:spacing w:line="420" w:lineRule="exact"/>
      <w:jc w:val="center"/>
    </w:pPr>
    <w:rPr>
      <w:rFonts w:eastAsia="黑体"/>
      <w:b/>
      <w:sz w:val="20"/>
      <w:szCs w:val="20"/>
      <w:lang w:val="en-GB"/>
    </w:rPr>
  </w:style>
  <w:style w:type="character" w:customStyle="1" w:styleId="269">
    <w:name w:val="标题 Char"/>
    <w:link w:val="268"/>
    <w:qFormat/>
    <w:uiPriority w:val="0"/>
    <w:rPr>
      <w:rFonts w:ascii="Times New Roman" w:hAnsi="Times New Roman" w:eastAsia="黑体" w:cs="Times New Roman"/>
      <w:b/>
      <w:sz w:val="20"/>
      <w:szCs w:val="20"/>
      <w:lang w:val="en-GB"/>
    </w:rPr>
  </w:style>
  <w:style w:type="paragraph" w:customStyle="1" w:styleId="270">
    <w:name w:val="批注主题11"/>
    <w:basedOn w:val="215"/>
    <w:next w:val="215"/>
    <w:link w:val="271"/>
    <w:semiHidden/>
    <w:qFormat/>
    <w:uiPriority w:val="0"/>
    <w:rPr>
      <w:b/>
      <w:bCs/>
      <w:sz w:val="24"/>
      <w:szCs w:val="24"/>
    </w:rPr>
  </w:style>
  <w:style w:type="character" w:customStyle="1" w:styleId="271">
    <w:name w:val="批注主题 Char"/>
    <w:link w:val="270"/>
    <w:semiHidden/>
    <w:qFormat/>
    <w:uiPriority w:val="0"/>
    <w:rPr>
      <w:rFonts w:ascii="Times New Roman" w:hAnsi="Times New Roman" w:eastAsia="宋体" w:cs="Times New Roman"/>
      <w:b/>
      <w:bCs/>
      <w:sz w:val="24"/>
      <w:szCs w:val="24"/>
    </w:rPr>
  </w:style>
  <w:style w:type="paragraph" w:customStyle="1" w:styleId="272">
    <w:name w:val="正文首行缩进1"/>
    <w:basedOn w:val="190"/>
    <w:link w:val="273"/>
    <w:qFormat/>
    <w:uiPriority w:val="0"/>
    <w:pPr>
      <w:ind w:firstLine="420"/>
    </w:pPr>
  </w:style>
  <w:style w:type="character" w:customStyle="1" w:styleId="273">
    <w:name w:val="正文首行缩进 Char"/>
    <w:link w:val="272"/>
    <w:qFormat/>
    <w:uiPriority w:val="0"/>
  </w:style>
  <w:style w:type="paragraph" w:customStyle="1" w:styleId="274">
    <w:name w:val="正文首行缩进 21"/>
    <w:basedOn w:val="221"/>
    <w:next w:val="1"/>
    <w:link w:val="275"/>
    <w:qFormat/>
    <w:uiPriority w:val="99"/>
    <w:pPr>
      <w:spacing w:after="0" w:line="360" w:lineRule="auto"/>
      <w:ind w:left="0" w:firstLine="420"/>
    </w:pPr>
    <w:rPr>
      <w:rFonts w:ascii="宋体" w:hAnsi="宋体"/>
      <w:sz w:val="20"/>
      <w:szCs w:val="20"/>
    </w:rPr>
  </w:style>
  <w:style w:type="character" w:customStyle="1" w:styleId="275">
    <w:name w:val="正文首行缩进 2 Char"/>
    <w:link w:val="274"/>
    <w:qFormat/>
    <w:uiPriority w:val="99"/>
    <w:rPr>
      <w:rFonts w:ascii="宋体" w:hAnsi="宋体" w:eastAsia="宋体" w:cs="Times New Roman"/>
      <w:sz w:val="20"/>
      <w:szCs w:val="20"/>
    </w:rPr>
  </w:style>
  <w:style w:type="table" w:customStyle="1" w:styleId="276">
    <w:name w:val="网格型1"/>
    <w:basedOn w:val="197"/>
    <w:unhideWhenUsed/>
    <w:qFormat/>
    <w:uiPriority w:val="0"/>
    <w:pPr>
      <w:widowControl w:val="0"/>
      <w:jc w:val="both"/>
    </w:pPr>
    <w:rPr>
      <w:rFonts w:ascii="Times New Roman" w:hAnsi="Times New Roman" w:eastAsia="Times New Roman"/>
      <w:sz w:val="20"/>
      <w:szCs w:val="20"/>
    </w:rPr>
  </w:style>
  <w:style w:type="character" w:customStyle="1" w:styleId="277">
    <w:name w:val="要点1"/>
    <w:basedOn w:val="196"/>
    <w:link w:val="1"/>
    <w:qFormat/>
    <w:uiPriority w:val="0"/>
    <w:rPr>
      <w:b/>
    </w:rPr>
  </w:style>
  <w:style w:type="character" w:customStyle="1" w:styleId="278">
    <w:name w:val="尾注引用1"/>
    <w:link w:val="1"/>
    <w:qFormat/>
    <w:uiPriority w:val="0"/>
    <w:rPr>
      <w:vertAlign w:val="superscript"/>
    </w:rPr>
  </w:style>
  <w:style w:type="character" w:customStyle="1" w:styleId="279">
    <w:name w:val="页码1"/>
    <w:basedOn w:val="196"/>
    <w:link w:val="1"/>
    <w:qFormat/>
    <w:uiPriority w:val="0"/>
    <w:rPr>
      <w:rFonts w:cs="Times New Roman"/>
    </w:rPr>
  </w:style>
  <w:style w:type="character" w:customStyle="1" w:styleId="280">
    <w:name w:val="已访问的超链接11"/>
    <w:link w:val="1"/>
    <w:qFormat/>
    <w:uiPriority w:val="99"/>
    <w:rPr>
      <w:color w:val="800080"/>
      <w:u w:val="none"/>
    </w:rPr>
  </w:style>
  <w:style w:type="character" w:customStyle="1" w:styleId="281">
    <w:name w:val="强调1"/>
    <w:link w:val="1"/>
    <w:qFormat/>
    <w:uiPriority w:val="0"/>
    <w:rPr>
      <w:b/>
      <w:i/>
      <w:spacing w:val="10"/>
      <w:shd w:val="clear" w:color="auto" w:fill="auto"/>
    </w:rPr>
  </w:style>
  <w:style w:type="character" w:customStyle="1" w:styleId="282">
    <w:name w:val="行号1"/>
    <w:link w:val="1"/>
    <w:qFormat/>
    <w:uiPriority w:val="0"/>
    <w:rPr>
      <w:rFonts w:cs="Times New Roman"/>
    </w:rPr>
  </w:style>
  <w:style w:type="character" w:customStyle="1" w:styleId="283">
    <w:name w:val="HTML 打字机1"/>
    <w:link w:val="1"/>
    <w:qFormat/>
    <w:uiPriority w:val="0"/>
    <w:rPr>
      <w:rFonts w:ascii="宋体" w:hAnsi="宋体" w:eastAsia="宋体"/>
      <w:sz w:val="24"/>
    </w:rPr>
  </w:style>
  <w:style w:type="character" w:customStyle="1" w:styleId="284">
    <w:name w:val="HTML 缩写1"/>
    <w:basedOn w:val="196"/>
    <w:link w:val="1"/>
    <w:unhideWhenUsed/>
    <w:qFormat/>
    <w:uiPriority w:val="99"/>
  </w:style>
  <w:style w:type="character" w:customStyle="1" w:styleId="285">
    <w:name w:val="超链接1"/>
    <w:link w:val="1"/>
    <w:qFormat/>
    <w:uiPriority w:val="0"/>
    <w:rPr>
      <w:color w:val="0000FF"/>
      <w:u w:val="none"/>
    </w:rPr>
  </w:style>
  <w:style w:type="character" w:customStyle="1" w:styleId="286">
    <w:name w:val="HTML 代码1"/>
    <w:link w:val="1"/>
    <w:unhideWhenUsed/>
    <w:qFormat/>
    <w:uiPriority w:val="99"/>
    <w:rPr>
      <w:rFonts w:ascii="monospace" w:hAnsi="monospace" w:eastAsia="monospace" w:cs="monospace"/>
      <w:sz w:val="20"/>
    </w:rPr>
  </w:style>
  <w:style w:type="character" w:customStyle="1" w:styleId="287">
    <w:name w:val="批注引用1"/>
    <w:link w:val="1"/>
    <w:qFormat/>
    <w:uiPriority w:val="0"/>
    <w:rPr>
      <w:sz w:val="21"/>
    </w:rPr>
  </w:style>
  <w:style w:type="character" w:customStyle="1" w:styleId="288">
    <w:name w:val="脚注引用1"/>
    <w:link w:val="1"/>
    <w:qFormat/>
    <w:uiPriority w:val="0"/>
    <w:rPr>
      <w:vertAlign w:val="superscript"/>
    </w:rPr>
  </w:style>
  <w:style w:type="character" w:customStyle="1" w:styleId="289">
    <w:name w:val="HTML 键盘1"/>
    <w:link w:val="1"/>
    <w:unhideWhenUsed/>
    <w:qFormat/>
    <w:uiPriority w:val="99"/>
    <w:rPr>
      <w:rFonts w:ascii="monospace" w:hAnsi="monospace" w:eastAsia="monospace" w:cs="monospace"/>
      <w:sz w:val="20"/>
    </w:rPr>
  </w:style>
  <w:style w:type="character" w:customStyle="1" w:styleId="290">
    <w:name w:val="HTML 样本1"/>
    <w:link w:val="1"/>
    <w:qFormat/>
    <w:uiPriority w:val="0"/>
    <w:rPr>
      <w:rFonts w:ascii="Courier New" w:hAnsi="宋体" w:eastAsia="宋体"/>
    </w:rPr>
  </w:style>
  <w:style w:type="character" w:customStyle="1" w:styleId="291">
    <w:name w:val="Intense Quote Char"/>
    <w:link w:val="292"/>
    <w:qFormat/>
    <w:uiPriority w:val="30"/>
    <w:rPr>
      <w:rFonts w:ascii="Calibri" w:hAnsi="Calibri" w:eastAsia="宋体" w:cs="Times New Roman"/>
      <w:b/>
      <w:bCs/>
      <w:i/>
      <w:iCs/>
      <w:sz w:val="22"/>
      <w:lang w:eastAsia="en-US"/>
    </w:rPr>
  </w:style>
  <w:style w:type="paragraph" w:styleId="292">
    <w:name w:val="Intense Quote"/>
    <w:basedOn w:val="1"/>
    <w:next w:val="1"/>
    <w:link w:val="291"/>
    <w:qFormat/>
    <w:uiPriority w:val="30"/>
    <w:pPr>
      <w:widowControl/>
      <w:pBdr>
        <w:bottom w:val="single" w:color="000000" w:sz="4" w:space="1"/>
      </w:pBdr>
      <w:spacing w:before="200" w:after="280" w:line="276" w:lineRule="auto"/>
      <w:ind w:left="1008" w:right="1152"/>
    </w:pPr>
    <w:rPr>
      <w:rFonts w:ascii="Calibri" w:hAnsi="Calibri"/>
      <w:b/>
      <w:bCs/>
      <w:i/>
      <w:iCs/>
      <w:sz w:val="22"/>
      <w:szCs w:val="20"/>
      <w:lang w:eastAsia="en-US"/>
    </w:rPr>
  </w:style>
  <w:style w:type="character" w:customStyle="1" w:styleId="293">
    <w:name w:val="纯文本 Char1"/>
    <w:link w:val="1"/>
    <w:qFormat/>
    <w:uiPriority w:val="0"/>
    <w:rPr>
      <w:rFonts w:ascii="宋体" w:hAnsi="Courier New"/>
      <w:sz w:val="21"/>
    </w:rPr>
  </w:style>
  <w:style w:type="character" w:customStyle="1" w:styleId="294">
    <w:name w:val="Char Char4"/>
    <w:link w:val="1"/>
    <w:qFormat/>
    <w:uiPriority w:val="0"/>
    <w:rPr>
      <w:rFonts w:ascii="方正大黑简体" w:eastAsia="方正大黑简体"/>
      <w:position w:val="6"/>
      <w:sz w:val="30"/>
      <w:lang w:val="en-US" w:eastAsia="zh-CN"/>
    </w:rPr>
  </w:style>
  <w:style w:type="character" w:customStyle="1" w:styleId="295">
    <w:name w:val="正文缩进 Char1"/>
    <w:link w:val="13"/>
    <w:qFormat/>
    <w:uiPriority w:val="0"/>
    <w:rPr>
      <w:rFonts w:eastAsia="宋体"/>
    </w:rPr>
  </w:style>
  <w:style w:type="character" w:customStyle="1" w:styleId="296">
    <w:name w:val=" Char Char17"/>
    <w:link w:val="1"/>
    <w:qFormat/>
    <w:uiPriority w:val="0"/>
    <w:rPr>
      <w:rFonts w:ascii="宋体" w:hAnsi="Courier New"/>
      <w:sz w:val="21"/>
      <w:szCs w:val="21"/>
    </w:rPr>
  </w:style>
  <w:style w:type="character" w:customStyle="1" w:styleId="297">
    <w:name w:val="apple-style-span"/>
    <w:link w:val="1"/>
    <w:qFormat/>
    <w:uiPriority w:val="0"/>
    <w:rPr>
      <w:rFonts w:cs="Times New Roman"/>
    </w:rPr>
  </w:style>
  <w:style w:type="character" w:customStyle="1" w:styleId="298">
    <w:name w:val="Subtle Reference"/>
    <w:link w:val="1"/>
    <w:qFormat/>
    <w:uiPriority w:val="31"/>
    <w:rPr>
      <w:smallCaps/>
    </w:rPr>
  </w:style>
  <w:style w:type="character" w:customStyle="1" w:styleId="299">
    <w:name w:val="Char Char8"/>
    <w:link w:val="1"/>
    <w:qFormat/>
    <w:uiPriority w:val="0"/>
    <w:rPr>
      <w:rFonts w:eastAsia="宋体"/>
      <w:sz w:val="18"/>
      <w:lang w:val="en-US" w:eastAsia="zh-CN"/>
    </w:rPr>
  </w:style>
  <w:style w:type="character" w:customStyle="1" w:styleId="300">
    <w:name w:val="normalfont1"/>
    <w:link w:val="1"/>
    <w:qFormat/>
    <w:uiPriority w:val="0"/>
    <w:rPr>
      <w:rFonts w:ascii="??" w:hAnsi="??"/>
      <w:sz w:val="18"/>
      <w:u w:val="none"/>
    </w:rPr>
  </w:style>
  <w:style w:type="character" w:customStyle="1" w:styleId="301">
    <w:name w:val="subtitle1"/>
    <w:link w:val="1"/>
    <w:qFormat/>
    <w:uiPriority w:val="0"/>
    <w:rPr>
      <w:rFonts w:ascii="Georgia" w:hAnsi="Georgia"/>
      <w:b/>
      <w:color w:val="666666"/>
      <w:sz w:val="18"/>
    </w:rPr>
  </w:style>
  <w:style w:type="character" w:customStyle="1" w:styleId="302">
    <w:name w:val="Book Title"/>
    <w:link w:val="1"/>
    <w:qFormat/>
    <w:uiPriority w:val="33"/>
    <w:rPr>
      <w:i/>
      <w:smallCaps/>
      <w:spacing w:val="5"/>
    </w:rPr>
  </w:style>
  <w:style w:type="character" w:customStyle="1" w:styleId="303">
    <w:name w:val="rvts19"/>
    <w:link w:val="1"/>
    <w:qFormat/>
    <w:uiPriority w:val="0"/>
    <w:rPr>
      <w:rFonts w:ascii="KNLe" w:hAnsi="KNLe"/>
      <w:color w:val="000000"/>
      <w:sz w:val="24"/>
      <w:szCs w:val="24"/>
    </w:rPr>
  </w:style>
  <w:style w:type="character" w:customStyle="1" w:styleId="304">
    <w:name w:val="标准文本 Char"/>
    <w:link w:val="1"/>
    <w:qFormat/>
    <w:uiPriority w:val="0"/>
    <w:rPr>
      <w:rFonts w:eastAsia="宋体"/>
      <w:sz w:val="24"/>
      <w:lang w:val="en-US" w:eastAsia="zh-CN"/>
    </w:rPr>
  </w:style>
  <w:style w:type="character" w:customStyle="1" w:styleId="305">
    <w:name w:val="3zw"/>
    <w:link w:val="1"/>
    <w:qFormat/>
    <w:uiPriority w:val="0"/>
    <w:rPr>
      <w:rFonts w:cs="Times New Roman"/>
    </w:rPr>
  </w:style>
  <w:style w:type="character" w:customStyle="1" w:styleId="306">
    <w:name w:val="Char Char7"/>
    <w:link w:val="1"/>
    <w:qFormat/>
    <w:uiPriority w:val="0"/>
    <w:rPr>
      <w:rFonts w:eastAsia="宋体"/>
      <w:b/>
      <w:sz w:val="24"/>
      <w:lang w:val="en-US" w:eastAsia="zh-CN"/>
    </w:rPr>
  </w:style>
  <w:style w:type="character" w:customStyle="1" w:styleId="307">
    <w:name w:val="引用 Char1"/>
    <w:link w:val="1"/>
    <w:qFormat/>
    <w:uiPriority w:val="29"/>
    <w:rPr>
      <w:i/>
      <w:iCs/>
      <w:color w:val="000000"/>
      <w:sz w:val="21"/>
      <w:szCs w:val="24"/>
    </w:rPr>
  </w:style>
  <w:style w:type="character" w:customStyle="1" w:styleId="308">
    <w:name w:val="Default 字符"/>
    <w:link w:val="309"/>
    <w:qFormat/>
    <w:uiPriority w:val="0"/>
    <w:rPr>
      <w:rFonts w:ascii="宋体"/>
      <w:color w:val="000000"/>
      <w:sz w:val="24"/>
      <w:szCs w:val="24"/>
      <w:lang w:val="en-US" w:eastAsia="zh-CN" w:bidi="ar-SA"/>
    </w:rPr>
  </w:style>
  <w:style w:type="paragraph" w:customStyle="1" w:styleId="309">
    <w:name w:val="Default"/>
    <w:link w:val="308"/>
    <w:qFormat/>
    <w:uiPriority w:val="0"/>
    <w:pPr>
      <w:widowControl w:val="0"/>
    </w:pPr>
    <w:rPr>
      <w:rFonts w:hint="default" w:ascii="宋体" w:hAnsi="Times New Roman" w:eastAsia="宋体" w:cs="Times New Roman"/>
      <w:color w:val="000000"/>
      <w:sz w:val="24"/>
      <w:szCs w:val="24"/>
      <w:lang w:val="en-US" w:eastAsia="zh-CN" w:bidi="ar-SA"/>
    </w:rPr>
  </w:style>
  <w:style w:type="character" w:customStyle="1" w:styleId="310">
    <w:name w:val="Char Char9"/>
    <w:link w:val="1"/>
    <w:qFormat/>
    <w:uiPriority w:val="0"/>
    <w:rPr>
      <w:rFonts w:eastAsia="宋体"/>
      <w:sz w:val="21"/>
      <w:lang w:val="en-US" w:eastAsia="zh-CN"/>
    </w:rPr>
  </w:style>
  <w:style w:type="character" w:customStyle="1" w:styleId="311">
    <w:name w:val="不明显参考"/>
    <w:link w:val="1"/>
    <w:qFormat/>
    <w:uiPriority w:val="0"/>
    <w:rPr>
      <w:color w:val="000000"/>
      <w:sz w:val="21"/>
    </w:rPr>
  </w:style>
  <w:style w:type="character" w:customStyle="1" w:styleId="312">
    <w:name w:val="批注文字 字符"/>
    <w:link w:val="1"/>
    <w:qFormat/>
    <w:uiPriority w:val="99"/>
    <w:rPr>
      <w:rFonts w:ascii="Times New Roman" w:hAnsi="Times New Roman" w:cs="Times New Roman"/>
    </w:rPr>
  </w:style>
  <w:style w:type="character" w:customStyle="1" w:styleId="313">
    <w:name w:val="Char Char34"/>
    <w:link w:val="1"/>
    <w:qFormat/>
    <w:uiPriority w:val="0"/>
    <w:rPr>
      <w:rFonts w:eastAsia="宋体"/>
      <w:b/>
      <w:sz w:val="44"/>
      <w:lang w:val="en-US" w:eastAsia="zh-CN"/>
    </w:rPr>
  </w:style>
  <w:style w:type="character" w:customStyle="1" w:styleId="314">
    <w:name w:val="111111 Char Char"/>
    <w:link w:val="1"/>
    <w:qFormat/>
    <w:uiPriority w:val="0"/>
    <w:rPr>
      <w:rFonts w:ascii="宋体" w:hAnsi="宋体" w:eastAsia="黑体"/>
      <w:b/>
      <w:sz w:val="21"/>
      <w:lang w:val="en-US" w:eastAsia="zh-CN"/>
    </w:rPr>
  </w:style>
  <w:style w:type="character" w:customStyle="1" w:styleId="315">
    <w:name w:val="小四 段落 宋体 Char Char Char Char Char Char Char Char"/>
    <w:link w:val="1"/>
    <w:qFormat/>
    <w:uiPriority w:val="0"/>
    <w:rPr>
      <w:rFonts w:eastAsia="宋体"/>
      <w:sz w:val="24"/>
      <w:lang w:val="en-US" w:eastAsia="zh-CN"/>
    </w:rPr>
  </w:style>
  <w:style w:type="character" w:customStyle="1" w:styleId="316">
    <w:name w:val="style13"/>
    <w:link w:val="1"/>
    <w:qFormat/>
    <w:uiPriority w:val="0"/>
    <w:rPr>
      <w:sz w:val="18"/>
      <w:szCs w:val="18"/>
    </w:rPr>
  </w:style>
  <w:style w:type="character" w:customStyle="1" w:styleId="317">
    <w:name w:val="纯文本 Char Char Char"/>
    <w:link w:val="1"/>
    <w:qFormat/>
    <w:uiPriority w:val="0"/>
    <w:rPr>
      <w:rFonts w:ascii="宋体" w:hAnsi="Courier New" w:eastAsia="宋体"/>
      <w:sz w:val="21"/>
      <w:lang w:val="en-US" w:eastAsia="zh-CN"/>
    </w:rPr>
  </w:style>
  <w:style w:type="character" w:customStyle="1" w:styleId="318">
    <w:name w:val="样式 宋体 小四"/>
    <w:link w:val="1"/>
    <w:qFormat/>
    <w:uiPriority w:val="0"/>
    <w:rPr>
      <w:rFonts w:ascii="宋体" w:eastAsia="宋体"/>
      <w:sz w:val="24"/>
    </w:rPr>
  </w:style>
  <w:style w:type="character" w:customStyle="1" w:styleId="319">
    <w:name w:val="小四 段落 宋体 Char Char Char Char Char Char"/>
    <w:link w:val="1"/>
    <w:qFormat/>
    <w:uiPriority w:val="0"/>
    <w:rPr>
      <w:rFonts w:eastAsia="宋体"/>
      <w:sz w:val="24"/>
      <w:lang w:val="en-US" w:eastAsia="zh-CN"/>
    </w:rPr>
  </w:style>
  <w:style w:type="character" w:customStyle="1" w:styleId="320">
    <w:name w:val="Char Char20"/>
    <w:link w:val="1"/>
    <w:qFormat/>
    <w:uiPriority w:val="0"/>
    <w:rPr>
      <w:rFonts w:ascii="Arial" w:hAnsi="Arial" w:eastAsia="黑体"/>
      <w:sz w:val="21"/>
    </w:rPr>
  </w:style>
  <w:style w:type="character" w:customStyle="1" w:styleId="321">
    <w:name w:val="font5 Char Char"/>
    <w:link w:val="1"/>
    <w:qFormat/>
    <w:uiPriority w:val="0"/>
    <w:rPr>
      <w:rFonts w:ascii="宋体" w:hAnsi="宋体" w:eastAsia="宋体"/>
      <w:sz w:val="28"/>
      <w:lang w:val="en-US" w:eastAsia="zh-CN"/>
    </w:rPr>
  </w:style>
  <w:style w:type="character" w:customStyle="1" w:styleId="322">
    <w:name w:val="A2"/>
    <w:link w:val="1"/>
    <w:qFormat/>
    <w:uiPriority w:val="0"/>
    <w:rPr>
      <w:color w:val="000000"/>
      <w:sz w:val="18"/>
    </w:rPr>
  </w:style>
  <w:style w:type="character" w:customStyle="1" w:styleId="323">
    <w:name w:val="Char Char32"/>
    <w:link w:val="1"/>
    <w:qFormat/>
    <w:uiPriority w:val="0"/>
    <w:rPr>
      <w:rFonts w:eastAsia="宋体"/>
      <w:b/>
      <w:sz w:val="32"/>
      <w:lang w:val="en-US" w:eastAsia="zh-CN"/>
    </w:rPr>
  </w:style>
  <w:style w:type="character" w:customStyle="1" w:styleId="324">
    <w:name w:val=" Char Char26"/>
    <w:link w:val="1"/>
    <w:qFormat/>
    <w:uiPriority w:val="0"/>
    <w:rPr>
      <w:b/>
      <w:bCs/>
      <w:sz w:val="32"/>
      <w:szCs w:val="32"/>
    </w:rPr>
  </w:style>
  <w:style w:type="character" w:customStyle="1" w:styleId="325">
    <w:name w:val="标准文本 Char Char"/>
    <w:link w:val="1"/>
    <w:qFormat/>
    <w:uiPriority w:val="0"/>
    <w:rPr>
      <w:rFonts w:eastAsia="宋体"/>
      <w:sz w:val="24"/>
      <w:lang w:val="en-US" w:eastAsia="zh-CN"/>
    </w:rPr>
  </w:style>
  <w:style w:type="character" w:customStyle="1" w:styleId="326">
    <w:name w:val="小四 段落 宋体 Char Char Char Char Char"/>
    <w:link w:val="1"/>
    <w:qFormat/>
    <w:uiPriority w:val="0"/>
    <w:rPr>
      <w:rFonts w:eastAsia="宋体"/>
      <w:sz w:val="24"/>
      <w:lang w:val="en-US" w:eastAsia="zh-CN"/>
    </w:rPr>
  </w:style>
  <w:style w:type="character" w:customStyle="1" w:styleId="327">
    <w:name w:val="引用 Char"/>
    <w:link w:val="328"/>
    <w:qFormat/>
    <w:uiPriority w:val="0"/>
    <w:rPr>
      <w:rFonts w:ascii="Calibri" w:hAnsi="Calibri" w:eastAsia="宋体"/>
      <w:i/>
      <w:sz w:val="22"/>
      <w:lang w:val="en-US" w:eastAsia="en-US"/>
    </w:rPr>
  </w:style>
  <w:style w:type="paragraph" w:customStyle="1" w:styleId="328">
    <w:name w:val="引用"/>
    <w:basedOn w:val="1"/>
    <w:next w:val="1"/>
    <w:link w:val="327"/>
    <w:qFormat/>
    <w:uiPriority w:val="0"/>
    <w:pPr>
      <w:widowControl/>
      <w:spacing w:before="200" w:line="276" w:lineRule="auto"/>
      <w:ind w:left="360" w:right="360"/>
      <w:jc w:val="left"/>
    </w:pPr>
    <w:rPr>
      <w:rFonts w:ascii="Calibri" w:hAnsi="Calibri"/>
      <w:i/>
      <w:sz w:val="22"/>
      <w:szCs w:val="20"/>
      <w:lang w:eastAsia="en-US"/>
    </w:rPr>
  </w:style>
  <w:style w:type="character" w:customStyle="1" w:styleId="329">
    <w:name w:val="小四 段落 宋体 Char Char Char Char1"/>
    <w:link w:val="1"/>
    <w:qFormat/>
    <w:uiPriority w:val="0"/>
    <w:rPr>
      <w:rFonts w:eastAsia="宋体"/>
      <w:sz w:val="24"/>
      <w:lang w:val="en-US" w:eastAsia="zh-CN"/>
    </w:rPr>
  </w:style>
  <w:style w:type="character" w:customStyle="1" w:styleId="330">
    <w:name w:val="case31"/>
    <w:link w:val="1"/>
    <w:qFormat/>
    <w:uiPriority w:val="0"/>
    <w:rPr>
      <w:sz w:val="21"/>
    </w:rPr>
  </w:style>
  <w:style w:type="character" w:customStyle="1" w:styleId="331">
    <w:name w:val="Char Char17"/>
    <w:link w:val="1"/>
    <w:qFormat/>
    <w:uiPriority w:val="0"/>
    <w:rPr>
      <w:rFonts w:ascii="宋体" w:hAnsi="Courier New"/>
      <w:sz w:val="21"/>
    </w:rPr>
  </w:style>
  <w:style w:type="character" w:customStyle="1" w:styleId="332">
    <w:name w:val="concon"/>
    <w:link w:val="1"/>
    <w:qFormat/>
    <w:uiPriority w:val="0"/>
  </w:style>
  <w:style w:type="character" w:customStyle="1" w:styleId="333">
    <w:name w:val="Char Char27"/>
    <w:link w:val="1"/>
    <w:qFormat/>
    <w:uiPriority w:val="0"/>
    <w:rPr>
      <w:b/>
      <w:sz w:val="44"/>
    </w:rPr>
  </w:style>
  <w:style w:type="character" w:customStyle="1" w:styleId="334">
    <w:name w:val="标题 Char1"/>
    <w:link w:val="1"/>
    <w:qFormat/>
    <w:uiPriority w:val="0"/>
    <w:rPr>
      <w:rFonts w:ascii="Cambria" w:eastAsia="宋体"/>
      <w:b/>
      <w:sz w:val="32"/>
    </w:rPr>
  </w:style>
  <w:style w:type="character" w:customStyle="1" w:styleId="335">
    <w:name w:val="listbenefit"/>
    <w:link w:val="1"/>
    <w:qFormat/>
    <w:uiPriority w:val="0"/>
  </w:style>
  <w:style w:type="character" w:customStyle="1" w:styleId="336">
    <w:name w:val="Char Char18"/>
    <w:link w:val="1"/>
    <w:qFormat/>
    <w:uiPriority w:val="0"/>
    <w:rPr>
      <w:rFonts w:eastAsia="宋体"/>
      <w:b/>
      <w:sz w:val="24"/>
      <w:lang w:val="en-US" w:eastAsia="zh-CN"/>
    </w:rPr>
  </w:style>
  <w:style w:type="character" w:customStyle="1" w:styleId="337">
    <w:name w:val="特点 Char1"/>
    <w:link w:val="1"/>
    <w:qFormat/>
    <w:uiPriority w:val="0"/>
    <w:rPr>
      <w:rFonts w:eastAsia="宋体"/>
      <w:sz w:val="21"/>
      <w:lang w:val="en-US" w:eastAsia="zh-CN"/>
    </w:rPr>
  </w:style>
  <w:style w:type="character" w:customStyle="1" w:styleId="338">
    <w:name w:val="标题 3 Char Char Char Char Char Char Char Char Char Char Char Char Char Char Char Char Char Char Char Char Char Char Char Char Char Char Char Char Char Char Char Char Char Char Char Char Char Char Char Char Char Char Char Char Char Char Char Char Cha Cha"/>
    <w:link w:val="1"/>
    <w:qFormat/>
    <w:uiPriority w:val="0"/>
    <w:rPr>
      <w:rFonts w:eastAsia="宋体"/>
      <w:b/>
      <w:sz w:val="32"/>
      <w:lang w:val="en-US" w:eastAsia="zh-CN"/>
    </w:rPr>
  </w:style>
  <w:style w:type="character" w:customStyle="1" w:styleId="339">
    <w:name w:val="Char Char29"/>
    <w:link w:val="1"/>
    <w:qFormat/>
    <w:uiPriority w:val="0"/>
    <w:rPr>
      <w:rFonts w:ascii="Times New Roman" w:hAnsi="Times New Roman" w:eastAsia="宋体"/>
      <w:b/>
      <w:sz w:val="44"/>
    </w:rPr>
  </w:style>
  <w:style w:type="character" w:customStyle="1" w:styleId="340">
    <w:name w:val="rvts54"/>
    <w:link w:val="1"/>
    <w:qFormat/>
    <w:uiPriority w:val="0"/>
    <w:rPr>
      <w:rFonts w:ascii="Times New Roman" w:hAnsi="Times New Roman" w:cs="Times New Roman"/>
      <w:color w:val="000000"/>
      <w:sz w:val="24"/>
      <w:szCs w:val="24"/>
    </w:rPr>
  </w:style>
  <w:style w:type="character" w:customStyle="1" w:styleId="341">
    <w:name w:val="Char Char30"/>
    <w:link w:val="1"/>
    <w:qFormat/>
    <w:uiPriority w:val="0"/>
    <w:rPr>
      <w:rFonts w:eastAsia="宋体"/>
      <w:b/>
      <w:sz w:val="28"/>
      <w:lang w:val="en-US" w:eastAsia="zh-CN"/>
    </w:rPr>
  </w:style>
  <w:style w:type="character" w:customStyle="1" w:styleId="342">
    <w:name w:val="para_small"/>
    <w:link w:val="1"/>
    <w:qFormat/>
    <w:uiPriority w:val="0"/>
  </w:style>
  <w:style w:type="character" w:customStyle="1" w:styleId="343">
    <w:name w:val="华宇段落1 Char Char Char Char"/>
    <w:link w:val="1"/>
    <w:qFormat/>
    <w:uiPriority w:val="0"/>
    <w:rPr>
      <w:rFonts w:eastAsia="宋体"/>
      <w:sz w:val="24"/>
      <w:lang w:val="en-US" w:eastAsia="zh-CN"/>
    </w:rPr>
  </w:style>
  <w:style w:type="character" w:customStyle="1" w:styleId="344">
    <w:name w:val="样式 非加粗"/>
    <w:link w:val="1"/>
    <w:qFormat/>
    <w:uiPriority w:val="0"/>
    <w:rPr>
      <w:rFonts w:eastAsia="宋体"/>
      <w:sz w:val="28"/>
    </w:rPr>
  </w:style>
  <w:style w:type="character" w:customStyle="1" w:styleId="345">
    <w:name w:val=" Char Char20"/>
    <w:link w:val="1"/>
    <w:qFormat/>
    <w:uiPriority w:val="0"/>
    <w:rPr>
      <w:rFonts w:ascii="Arial" w:hAnsi="Arial" w:eastAsia="黑体"/>
      <w:sz w:val="21"/>
      <w:szCs w:val="21"/>
    </w:rPr>
  </w:style>
  <w:style w:type="character" w:customStyle="1" w:styleId="346">
    <w:name w:val="h Char Char"/>
    <w:link w:val="1"/>
    <w:qFormat/>
    <w:uiPriority w:val="0"/>
    <w:rPr>
      <w:rFonts w:eastAsia="宋体"/>
      <w:sz w:val="18"/>
      <w:lang w:val="en-US" w:eastAsia="zh-CN"/>
    </w:rPr>
  </w:style>
  <w:style w:type="character" w:customStyle="1" w:styleId="347">
    <w:name w:val="Char Char14"/>
    <w:link w:val="1"/>
    <w:qFormat/>
    <w:uiPriority w:val="0"/>
    <w:rPr>
      <w:rFonts w:eastAsia="黑体"/>
      <w:b/>
      <w:sz w:val="28"/>
      <w:lang w:val="en-GB" w:eastAsia="zh-CN"/>
    </w:rPr>
  </w:style>
  <w:style w:type="character" w:customStyle="1" w:styleId="348">
    <w:name w:val="明显引用 Char"/>
    <w:link w:val="349"/>
    <w:qFormat/>
    <w:uiPriority w:val="0"/>
    <w:rPr>
      <w:rFonts w:ascii="Calibri" w:hAnsi="Calibri" w:eastAsia="宋体"/>
      <w:b/>
      <w:i/>
      <w:sz w:val="22"/>
      <w:lang w:val="en-US" w:eastAsia="en-US"/>
    </w:rPr>
  </w:style>
  <w:style w:type="paragraph" w:customStyle="1" w:styleId="349">
    <w:name w:val="明显引用"/>
    <w:basedOn w:val="1"/>
    <w:next w:val="1"/>
    <w:link w:val="348"/>
    <w:qFormat/>
    <w:uiPriority w:val="0"/>
    <w:pPr>
      <w:widowControl/>
      <w:pBdr>
        <w:bottom w:val="single" w:color="000000" w:sz="4" w:space="1"/>
      </w:pBdr>
      <w:spacing w:before="200" w:after="280" w:line="276" w:lineRule="auto"/>
      <w:ind w:left="1008" w:right="1152"/>
    </w:pPr>
    <w:rPr>
      <w:rFonts w:ascii="Calibri" w:hAnsi="Calibri"/>
      <w:b/>
      <w:i/>
      <w:sz w:val="22"/>
      <w:szCs w:val="20"/>
      <w:lang w:eastAsia="en-US"/>
    </w:rPr>
  </w:style>
  <w:style w:type="character" w:customStyle="1" w:styleId="350">
    <w:name w:val="Char Char13"/>
    <w:link w:val="1"/>
    <w:qFormat/>
    <w:uiPriority w:val="0"/>
    <w:rPr>
      <w:rFonts w:ascii="宋体" w:hAnsi="宋体" w:eastAsia="宋体"/>
      <w:sz w:val="24"/>
      <w:lang w:val="en-US" w:eastAsia="zh-CN"/>
    </w:rPr>
  </w:style>
  <w:style w:type="character" w:customStyle="1" w:styleId="351">
    <w:name w:val="param-value"/>
    <w:link w:val="1"/>
    <w:qFormat/>
    <w:uiPriority w:val="0"/>
  </w:style>
  <w:style w:type="character" w:customStyle="1" w:styleId="352">
    <w:name w:val="列出段落 Char"/>
    <w:link w:val="353"/>
    <w:qFormat/>
    <w:uiPriority w:val="0"/>
    <w:rPr>
      <w:rFonts w:cs="宋体"/>
      <w:sz w:val="21"/>
      <w:szCs w:val="22"/>
    </w:rPr>
  </w:style>
  <w:style w:type="paragraph" w:customStyle="1" w:styleId="353">
    <w:name w:val="列出段落1"/>
    <w:basedOn w:val="1"/>
    <w:link w:val="352"/>
    <w:qFormat/>
    <w:uiPriority w:val="0"/>
    <w:pPr>
      <w:ind w:firstLine="200"/>
    </w:pPr>
    <w:rPr>
      <w:szCs w:val="22"/>
    </w:rPr>
  </w:style>
  <w:style w:type="character" w:customStyle="1" w:styleId="354">
    <w:name w:val="style131"/>
    <w:link w:val="1"/>
    <w:qFormat/>
    <w:uiPriority w:val="0"/>
    <w:rPr>
      <w:sz w:val="18"/>
    </w:rPr>
  </w:style>
  <w:style w:type="character" w:customStyle="1" w:styleId="355">
    <w:name w:val="正文 + 宋体 Char"/>
    <w:link w:val="1"/>
    <w:qFormat/>
    <w:uiPriority w:val="0"/>
    <w:rPr>
      <w:rFonts w:eastAsia="宋体"/>
      <w:sz w:val="24"/>
      <w:lang w:val="en-US" w:eastAsia="zh-CN"/>
    </w:rPr>
  </w:style>
  <w:style w:type="character" w:customStyle="1" w:styleId="356">
    <w:name w:val="表格抬头 Char"/>
    <w:link w:val="357"/>
    <w:qFormat/>
    <w:uiPriority w:val="0"/>
    <w:rPr>
      <w:rFonts w:ascii="黑体" w:eastAsia="黑体"/>
      <w:b/>
    </w:rPr>
  </w:style>
  <w:style w:type="paragraph" w:customStyle="1" w:styleId="357">
    <w:name w:val="表格抬头"/>
    <w:basedOn w:val="1"/>
    <w:link w:val="356"/>
    <w:qFormat/>
    <w:uiPriority w:val="0"/>
    <w:pPr>
      <w:jc w:val="center"/>
    </w:pPr>
    <w:rPr>
      <w:rFonts w:ascii="黑体" w:eastAsia="黑体"/>
      <w:b/>
      <w:sz w:val="20"/>
      <w:szCs w:val="20"/>
    </w:rPr>
  </w:style>
  <w:style w:type="character" w:customStyle="1" w:styleId="358">
    <w:name w:val="已访问的超链接1"/>
    <w:link w:val="1"/>
    <w:qFormat/>
    <w:uiPriority w:val="0"/>
    <w:rPr>
      <w:color w:val="000000"/>
      <w:u w:val="none"/>
    </w:rPr>
  </w:style>
  <w:style w:type="character" w:customStyle="1" w:styleId="359">
    <w:name w:val="2nd level Char"/>
    <w:link w:val="1"/>
    <w:qFormat/>
    <w:uiPriority w:val="0"/>
    <w:rPr>
      <w:rFonts w:ascii="Arial" w:hAnsi="Arial" w:eastAsia="黑体"/>
      <w:b/>
      <w:sz w:val="32"/>
      <w:lang w:val="en-US" w:eastAsia="zh-CN"/>
    </w:rPr>
  </w:style>
  <w:style w:type="character" w:customStyle="1" w:styleId="360">
    <w:name w:val="纯文本 Char Char"/>
    <w:link w:val="1"/>
    <w:qFormat/>
    <w:uiPriority w:val="0"/>
    <w:rPr>
      <w:rFonts w:ascii="宋体" w:hAnsi="Courier New" w:eastAsia="宋体"/>
      <w:sz w:val="21"/>
      <w:lang w:val="en-US" w:eastAsia="zh-CN"/>
    </w:rPr>
  </w:style>
  <w:style w:type="character" w:customStyle="1" w:styleId="361">
    <w:name w:val="content_lineheight1"/>
    <w:link w:val="1"/>
    <w:qFormat/>
    <w:uiPriority w:val="0"/>
    <w:rPr>
      <w:rFonts w:cs="Times New Roman"/>
    </w:rPr>
  </w:style>
  <w:style w:type="character" w:customStyle="1" w:styleId="362">
    <w:name w:val=" Char Char29"/>
    <w:link w:val="1"/>
    <w:qFormat/>
    <w:uiPriority w:val="0"/>
    <w:rPr>
      <w:rFonts w:ascii="Times New Roman" w:hAnsi="Times New Roman" w:eastAsia="宋体" w:cs="Times New Roman"/>
      <w:b/>
      <w:bCs/>
      <w:sz w:val="44"/>
      <w:szCs w:val="44"/>
    </w:rPr>
  </w:style>
  <w:style w:type="character" w:customStyle="1" w:styleId="363">
    <w:name w:val="Char Char24"/>
    <w:link w:val="1"/>
    <w:qFormat/>
    <w:uiPriority w:val="0"/>
    <w:rPr>
      <w:b/>
      <w:sz w:val="28"/>
    </w:rPr>
  </w:style>
  <w:style w:type="character" w:customStyle="1" w:styleId="364">
    <w:name w:val="无间隔 Char"/>
    <w:link w:val="1"/>
    <w:qFormat/>
    <w:uiPriority w:val="0"/>
    <w:rPr>
      <w:rFonts w:ascii="Calibri" w:hAnsi="Calibri" w:eastAsia="微软雅黑"/>
      <w:sz w:val="22"/>
      <w:lang w:val="en-US" w:eastAsia="zh-CN"/>
    </w:rPr>
  </w:style>
  <w:style w:type="character" w:customStyle="1" w:styleId="365">
    <w:name w:val="Char Char26"/>
    <w:link w:val="1"/>
    <w:qFormat/>
    <w:uiPriority w:val="0"/>
    <w:rPr>
      <w:b/>
      <w:sz w:val="32"/>
    </w:rPr>
  </w:style>
  <w:style w:type="character" w:customStyle="1" w:styleId="366">
    <w:name w:val="不明显强调"/>
    <w:link w:val="1"/>
    <w:qFormat/>
    <w:uiPriority w:val="0"/>
    <w:rPr>
      <w:i/>
      <w:color w:val="000000"/>
      <w:sz w:val="21"/>
    </w:rPr>
  </w:style>
  <w:style w:type="character" w:customStyle="1" w:styleId="367">
    <w:name w:val="Char Char2"/>
    <w:link w:val="1"/>
    <w:qFormat/>
    <w:uiPriority w:val="0"/>
    <w:rPr>
      <w:rFonts w:ascii="宋体" w:hAnsi="Courier New" w:eastAsia="宋体"/>
      <w:sz w:val="21"/>
      <w:lang w:val="en-US" w:eastAsia="zh-CN"/>
    </w:rPr>
  </w:style>
  <w:style w:type="character" w:customStyle="1" w:styleId="368">
    <w:name w:val="样式 首行缩进:  2 字符 Char Char"/>
    <w:link w:val="1"/>
    <w:qFormat/>
    <w:uiPriority w:val="0"/>
    <w:rPr>
      <w:rFonts w:eastAsia="宋体"/>
      <w:sz w:val="24"/>
      <w:lang w:val="en-US" w:eastAsia="zh-CN"/>
    </w:rPr>
  </w:style>
  <w:style w:type="character" w:customStyle="1" w:styleId="369">
    <w:name w:val="content"/>
    <w:link w:val="1"/>
    <w:qFormat/>
    <w:uiPriority w:val="0"/>
    <w:rPr>
      <w:rFonts w:cs="Times New Roman"/>
    </w:rPr>
  </w:style>
  <w:style w:type="character" w:customStyle="1" w:styleId="370">
    <w:name w:val="Char Char31"/>
    <w:link w:val="1"/>
    <w:qFormat/>
    <w:uiPriority w:val="0"/>
    <w:rPr>
      <w:rFonts w:ascii="Arial" w:hAnsi="Arial" w:eastAsia="黑体"/>
      <w:b/>
      <w:sz w:val="28"/>
      <w:lang w:val="en-US" w:eastAsia="zh-CN"/>
    </w:rPr>
  </w:style>
  <w:style w:type="character" w:customStyle="1" w:styleId="371">
    <w:name w:val="普通文字1 Char"/>
    <w:link w:val="1"/>
    <w:qFormat/>
    <w:uiPriority w:val="0"/>
    <w:rPr>
      <w:rFonts w:ascii="宋体" w:eastAsia="宋体"/>
      <w:sz w:val="21"/>
      <w:lang w:val="en-US" w:eastAsia="zh-CN"/>
    </w:rPr>
  </w:style>
  <w:style w:type="character" w:customStyle="1" w:styleId="372">
    <w:name w:val="标题 3 Char1"/>
    <w:link w:val="1"/>
    <w:qFormat/>
    <w:uiPriority w:val="0"/>
    <w:rPr>
      <w:rFonts w:eastAsia="宋体"/>
      <w:b/>
      <w:sz w:val="32"/>
      <w:lang w:val="en-US" w:eastAsia="zh-CN"/>
    </w:rPr>
  </w:style>
  <w:style w:type="character" w:customStyle="1" w:styleId="373">
    <w:name w:val="Char Char12"/>
    <w:link w:val="1"/>
    <w:qFormat/>
    <w:uiPriority w:val="0"/>
    <w:rPr>
      <w:rFonts w:ascii="Arial" w:hAnsi="Arial" w:eastAsia="黑体"/>
      <w:sz w:val="21"/>
      <w:lang w:val="en-US" w:eastAsia="zh-CN"/>
    </w:rPr>
  </w:style>
  <w:style w:type="character" w:customStyle="1" w:styleId="374">
    <w:name w:val="Char Char3"/>
    <w:link w:val="1"/>
    <w:qFormat/>
    <w:uiPriority w:val="0"/>
    <w:rPr>
      <w:rFonts w:eastAsia="宋体"/>
      <w:sz w:val="18"/>
      <w:lang w:val="en-US" w:eastAsia="zh-CN"/>
    </w:rPr>
  </w:style>
  <w:style w:type="character" w:customStyle="1" w:styleId="375">
    <w:name w:val="Intense Emphasis"/>
    <w:link w:val="1"/>
    <w:qFormat/>
    <w:uiPriority w:val="21"/>
    <w:rPr>
      <w:b/>
    </w:rPr>
  </w:style>
  <w:style w:type="character" w:customStyle="1" w:styleId="376">
    <w:name w:val="明显参考"/>
    <w:link w:val="1"/>
    <w:qFormat/>
    <w:uiPriority w:val="0"/>
    <w:rPr>
      <w:b/>
      <w:color w:val="000000"/>
      <w:sz w:val="21"/>
    </w:rPr>
  </w:style>
  <w:style w:type="character" w:customStyle="1" w:styleId="377">
    <w:name w:val="标题 Char2"/>
    <w:link w:val="1"/>
    <w:qFormat/>
    <w:uiPriority w:val="10"/>
    <w:rPr>
      <w:rFonts w:ascii="Cambria" w:hAnsi="Cambria" w:eastAsia="宋体" w:cs="Times New Roman"/>
      <w:b/>
      <w:bCs/>
      <w:sz w:val="32"/>
      <w:szCs w:val="32"/>
      <w:lang w:val="zh-CN"/>
    </w:rPr>
  </w:style>
  <w:style w:type="character" w:customStyle="1" w:styleId="378">
    <w:name w:val="方案文档 Char Char"/>
    <w:link w:val="1"/>
    <w:qFormat/>
    <w:uiPriority w:val="0"/>
    <w:rPr>
      <w:rFonts w:ascii="宋体" w:hAnsi="宋体" w:eastAsia="宋体"/>
      <w:sz w:val="24"/>
      <w:lang w:val="zh-CN" w:eastAsia="zh-CN"/>
    </w:rPr>
  </w:style>
  <w:style w:type="character" w:customStyle="1" w:styleId="379">
    <w:name w:val="title_emph1"/>
    <w:link w:val="1"/>
    <w:qFormat/>
    <w:uiPriority w:val="0"/>
    <w:rPr>
      <w:rFonts w:ascii="Arial"/>
      <w:b/>
      <w:sz w:val="18"/>
    </w:rPr>
  </w:style>
  <w:style w:type="character" w:customStyle="1" w:styleId="380">
    <w:name w:val="纯文本 Char Char Char1"/>
    <w:link w:val="1"/>
    <w:qFormat/>
    <w:uiPriority w:val="0"/>
    <w:rPr>
      <w:rFonts w:ascii="宋体" w:hAnsi="Courier New" w:eastAsia="宋体"/>
      <w:sz w:val="21"/>
      <w:lang w:val="en-US" w:eastAsia="zh-CN"/>
    </w:rPr>
  </w:style>
  <w:style w:type="character" w:customStyle="1" w:styleId="381">
    <w:name w:val="样式 首行缩进:  2 字符 Char"/>
    <w:link w:val="1"/>
    <w:qFormat/>
    <w:uiPriority w:val="0"/>
    <w:rPr>
      <w:rFonts w:eastAsia="宋体"/>
      <w:sz w:val="24"/>
      <w:lang w:val="en-US" w:eastAsia="zh-CN"/>
    </w:rPr>
  </w:style>
  <w:style w:type="character" w:customStyle="1" w:styleId="382">
    <w:name w:val="ih151"/>
    <w:link w:val="1"/>
    <w:qFormat/>
    <w:uiPriority w:val="0"/>
    <w:rPr>
      <w:color w:val="666666"/>
      <w:sz w:val="18"/>
      <w:u w:val="none"/>
    </w:rPr>
  </w:style>
  <w:style w:type="character" w:customStyle="1" w:styleId="383">
    <w:name w:val="Char Char22"/>
    <w:link w:val="1"/>
    <w:qFormat/>
    <w:uiPriority w:val="0"/>
    <w:rPr>
      <w:b/>
      <w:sz w:val="24"/>
    </w:rPr>
  </w:style>
  <w:style w:type="character" w:customStyle="1" w:styleId="384">
    <w:name w:val="华宇段落1 Char Char"/>
    <w:link w:val="1"/>
    <w:qFormat/>
    <w:uiPriority w:val="0"/>
    <w:rPr>
      <w:rFonts w:eastAsia="宋体"/>
      <w:sz w:val="24"/>
      <w:lang w:val="en-US" w:eastAsia="zh-CN"/>
    </w:rPr>
  </w:style>
  <w:style w:type="character" w:customStyle="1" w:styleId="385">
    <w:name w:val=" Char Char22"/>
    <w:link w:val="1"/>
    <w:qFormat/>
    <w:uiPriority w:val="0"/>
    <w:rPr>
      <w:b/>
      <w:bCs/>
      <w:sz w:val="24"/>
      <w:szCs w:val="24"/>
    </w:rPr>
  </w:style>
  <w:style w:type="character" w:customStyle="1" w:styleId="386">
    <w:name w:val=" Char Char28"/>
    <w:link w:val="1"/>
    <w:qFormat/>
    <w:uiPriority w:val="0"/>
    <w:rPr>
      <w:rFonts w:ascii="Arial" w:hAnsi="Arial" w:eastAsia="黑体" w:cs="Arial"/>
      <w:b/>
      <w:bCs/>
      <w:sz w:val="32"/>
      <w:szCs w:val="32"/>
    </w:rPr>
  </w:style>
  <w:style w:type="character" w:customStyle="1" w:styleId="387">
    <w:name w:val=" Char Char21"/>
    <w:link w:val="1"/>
    <w:qFormat/>
    <w:uiPriority w:val="0"/>
    <w:rPr>
      <w:rFonts w:ascii="Arial" w:hAnsi="Arial" w:eastAsia="黑体"/>
      <w:sz w:val="24"/>
      <w:szCs w:val="24"/>
    </w:rPr>
  </w:style>
  <w:style w:type="character" w:customStyle="1" w:styleId="388">
    <w:name w:val="Char Char25"/>
    <w:link w:val="1"/>
    <w:qFormat/>
    <w:uiPriority w:val="0"/>
    <w:rPr>
      <w:rFonts w:ascii="Arial" w:hAnsi="Arial" w:eastAsia="黑体"/>
      <w:b/>
      <w:sz w:val="28"/>
    </w:rPr>
  </w:style>
  <w:style w:type="character" w:customStyle="1" w:styleId="389">
    <w:name w:val="Char Char23"/>
    <w:link w:val="1"/>
    <w:qFormat/>
    <w:uiPriority w:val="0"/>
    <w:rPr>
      <w:rFonts w:ascii="Arial" w:hAnsi="Arial" w:eastAsia="黑体"/>
      <w:b/>
      <w:sz w:val="24"/>
    </w:rPr>
  </w:style>
  <w:style w:type="character" w:customStyle="1" w:styleId="390">
    <w:name w:val="华宇段落1 Char Char Char"/>
    <w:link w:val="1"/>
    <w:qFormat/>
    <w:uiPriority w:val="0"/>
    <w:rPr>
      <w:rFonts w:eastAsia="宋体"/>
      <w:sz w:val="24"/>
      <w:lang w:val="en-US" w:eastAsia="zh-CN"/>
    </w:rPr>
  </w:style>
  <w:style w:type="character" w:customStyle="1" w:styleId="391">
    <w:name w:val="明显引用 Char1"/>
    <w:link w:val="1"/>
    <w:qFormat/>
    <w:uiPriority w:val="30"/>
    <w:rPr>
      <w:b/>
      <w:bCs/>
      <w:i/>
      <w:iCs/>
      <w:color w:val="4F81BD"/>
      <w:sz w:val="21"/>
      <w:szCs w:val="24"/>
    </w:rPr>
  </w:style>
  <w:style w:type="character" w:customStyle="1" w:styleId="392">
    <w:name w:val="Char Char21"/>
    <w:link w:val="1"/>
    <w:qFormat/>
    <w:uiPriority w:val="0"/>
    <w:rPr>
      <w:rFonts w:ascii="Arial" w:hAnsi="Arial" w:eastAsia="黑体"/>
      <w:sz w:val="24"/>
    </w:rPr>
  </w:style>
  <w:style w:type="character" w:customStyle="1" w:styleId="393">
    <w:name w:val=" Char Char2"/>
    <w:link w:val="1"/>
    <w:qFormat/>
    <w:uiPriority w:val="0"/>
    <w:rPr>
      <w:rFonts w:ascii="宋体" w:hAnsi="Courier New" w:eastAsia="宋体"/>
      <w:sz w:val="21"/>
      <w:szCs w:val="21"/>
      <w:lang w:val="en-US" w:eastAsia="zh-CN" w:bidi="ar-SA"/>
    </w:rPr>
  </w:style>
  <w:style w:type="character" w:customStyle="1" w:styleId="394">
    <w:name w:val="mh-map_new-info"/>
    <w:link w:val="1"/>
    <w:qFormat/>
    <w:uiPriority w:val="0"/>
  </w:style>
  <w:style w:type="character" w:customStyle="1" w:styleId="395">
    <w:name w:val="标准小四 Char Char"/>
    <w:link w:val="1"/>
    <w:qFormat/>
    <w:uiPriority w:val="0"/>
    <w:rPr>
      <w:rFonts w:ascii="Arial" w:hAnsi="Arial" w:eastAsia="宋体"/>
      <w:sz w:val="21"/>
      <w:lang w:val="en-US" w:eastAsia="zh-CN"/>
    </w:rPr>
  </w:style>
  <w:style w:type="character" w:customStyle="1" w:styleId="396">
    <w:name w:val="Char Char33"/>
    <w:link w:val="1"/>
    <w:qFormat/>
    <w:uiPriority w:val="0"/>
    <w:rPr>
      <w:rFonts w:ascii="Arial" w:hAnsi="Arial" w:eastAsia="黑体"/>
      <w:b/>
      <w:sz w:val="32"/>
      <w:lang w:val="en-US" w:eastAsia="zh-CN"/>
    </w:rPr>
  </w:style>
  <w:style w:type="character" w:customStyle="1" w:styleId="397">
    <w:name w:val="Char Char6"/>
    <w:link w:val="1"/>
    <w:qFormat/>
    <w:uiPriority w:val="0"/>
    <w:rPr>
      <w:rFonts w:eastAsia="宋体"/>
      <w:sz w:val="24"/>
      <w:lang w:val="en-US" w:eastAsia="zh-CN"/>
    </w:rPr>
  </w:style>
  <w:style w:type="character" w:customStyle="1" w:styleId="398">
    <w:name w:val="Char Char28"/>
    <w:link w:val="1"/>
    <w:qFormat/>
    <w:uiPriority w:val="0"/>
    <w:rPr>
      <w:rFonts w:ascii="Arial" w:hAnsi="Arial" w:eastAsia="黑体"/>
      <w:b/>
      <w:sz w:val="32"/>
    </w:rPr>
  </w:style>
  <w:style w:type="character" w:customStyle="1" w:styleId="399">
    <w:name w:val="样式 首行缩进:  2 字符 Char Char Char"/>
    <w:link w:val="1"/>
    <w:qFormat/>
    <w:uiPriority w:val="0"/>
    <w:rPr>
      <w:rFonts w:eastAsia="宋体"/>
      <w:sz w:val="24"/>
      <w:lang w:val="en-US" w:eastAsia="zh-CN"/>
    </w:rPr>
  </w:style>
  <w:style w:type="character" w:customStyle="1" w:styleId="400">
    <w:name w:val="明显强调"/>
    <w:link w:val="1"/>
    <w:qFormat/>
    <w:uiPriority w:val="0"/>
    <w:rPr>
      <w:i/>
      <w:color w:val="000000"/>
      <w:sz w:val="21"/>
    </w:rPr>
  </w:style>
  <w:style w:type="character" w:customStyle="1" w:styleId="401">
    <w:name w:val="Intense Reference"/>
    <w:link w:val="1"/>
    <w:qFormat/>
    <w:uiPriority w:val="32"/>
    <w:rPr>
      <w:smallCaps/>
      <w:spacing w:val="5"/>
      <w:u w:val="single"/>
    </w:rPr>
  </w:style>
  <w:style w:type="character" w:customStyle="1" w:styleId="402">
    <w:name w:val="标准文本 Char Char Char"/>
    <w:link w:val="1"/>
    <w:qFormat/>
    <w:uiPriority w:val="0"/>
    <w:rPr>
      <w:rFonts w:eastAsia="宋体"/>
      <w:sz w:val="24"/>
      <w:lang w:val="en-US" w:eastAsia="zh-CN"/>
    </w:rPr>
  </w:style>
  <w:style w:type="character" w:customStyle="1" w:styleId="403">
    <w:name w:val="Char Char5"/>
    <w:link w:val="1"/>
    <w:qFormat/>
    <w:uiPriority w:val="0"/>
    <w:rPr>
      <w:rFonts w:eastAsia="宋体"/>
      <w:sz w:val="24"/>
      <w:lang w:val="en-US" w:eastAsia="zh-CN"/>
    </w:rPr>
  </w:style>
  <w:style w:type="character" w:customStyle="1" w:styleId="404">
    <w:name w:val="Char Char11"/>
    <w:link w:val="1"/>
    <w:qFormat/>
    <w:uiPriority w:val="0"/>
    <w:rPr>
      <w:rFonts w:ascii="宋体" w:hAnsi="宋体" w:eastAsia="宋体"/>
      <w:sz w:val="24"/>
      <w:lang w:val="en-US" w:eastAsia="zh-CN"/>
    </w:rPr>
  </w:style>
  <w:style w:type="character" w:customStyle="1" w:styleId="405">
    <w:name w:val="标准小四 Char Char Char"/>
    <w:link w:val="1"/>
    <w:qFormat/>
    <w:uiPriority w:val="0"/>
    <w:rPr>
      <w:rFonts w:ascii="Arial" w:hAnsi="Arial" w:eastAsia="宋体"/>
      <w:sz w:val="21"/>
      <w:lang w:val="en-US" w:eastAsia="zh-CN"/>
    </w:rPr>
  </w:style>
  <w:style w:type="character" w:customStyle="1" w:styleId="406">
    <w:name w:val=" Char Char27"/>
    <w:link w:val="1"/>
    <w:qFormat/>
    <w:uiPriority w:val="0"/>
    <w:rPr>
      <w:b/>
      <w:bCs/>
      <w:sz w:val="44"/>
      <w:szCs w:val="44"/>
    </w:rPr>
  </w:style>
  <w:style w:type="character" w:customStyle="1" w:styleId="407">
    <w:name w:val="标题 3 Char2"/>
    <w:link w:val="1"/>
    <w:qFormat/>
    <w:uiPriority w:val="0"/>
    <w:rPr>
      <w:rFonts w:ascii="宋体" w:hAnsi="宋体" w:eastAsia="宋体" w:cs="Times New Roman"/>
      <w:b/>
      <w:szCs w:val="21"/>
      <w:shd w:val="clear" w:color="auto" w:fill="FFFFFF"/>
      <w:lang w:val="zh-CN"/>
    </w:rPr>
  </w:style>
  <w:style w:type="character" w:customStyle="1" w:styleId="408">
    <w:name w:val="小四 段落 宋体 Char1"/>
    <w:link w:val="1"/>
    <w:qFormat/>
    <w:uiPriority w:val="0"/>
    <w:rPr>
      <w:rFonts w:eastAsia="宋体"/>
      <w:sz w:val="24"/>
      <w:lang w:val="en-US" w:eastAsia="zh-CN"/>
    </w:rPr>
  </w:style>
  <w:style w:type="character" w:customStyle="1" w:styleId="409">
    <w:name w:val=" Char Char23"/>
    <w:link w:val="1"/>
    <w:qFormat/>
    <w:uiPriority w:val="0"/>
    <w:rPr>
      <w:rFonts w:ascii="Arial" w:hAnsi="Arial" w:eastAsia="黑体"/>
      <w:b/>
      <w:bCs/>
      <w:sz w:val="24"/>
      <w:szCs w:val="24"/>
    </w:rPr>
  </w:style>
  <w:style w:type="character" w:customStyle="1" w:styleId="410">
    <w:name w:val="批注文字 Char1"/>
    <w:link w:val="1"/>
    <w:semiHidden/>
    <w:qFormat/>
    <w:uiPriority w:val="99"/>
    <w:rPr>
      <w:rFonts w:ascii="Times New Roman" w:hAnsi="Times New Roman" w:eastAsia="宋体" w:cs="Times New Roman"/>
      <w:szCs w:val="20"/>
    </w:rPr>
  </w:style>
  <w:style w:type="character" w:customStyle="1" w:styleId="411">
    <w:name w:val="标题 3 Char Char"/>
    <w:link w:val="1"/>
    <w:qFormat/>
    <w:uiPriority w:val="0"/>
    <w:rPr>
      <w:rFonts w:eastAsia="仿宋_GB2312"/>
      <w:b/>
      <w:sz w:val="32"/>
      <w:lang w:val="en-US" w:eastAsia="zh-CN"/>
    </w:rPr>
  </w:style>
  <w:style w:type="character" w:customStyle="1" w:styleId="412">
    <w:name w:val="medium_text1"/>
    <w:link w:val="1"/>
    <w:qFormat/>
    <w:uiPriority w:val="0"/>
    <w:rPr>
      <w:sz w:val="24"/>
    </w:rPr>
  </w:style>
  <w:style w:type="character" w:customStyle="1" w:styleId="413">
    <w:name w:val="Char Char16"/>
    <w:link w:val="1"/>
    <w:qFormat/>
    <w:uiPriority w:val="0"/>
    <w:rPr>
      <w:rFonts w:ascii="Arial" w:hAnsi="Arial" w:eastAsia="黑体"/>
      <w:sz w:val="24"/>
      <w:lang w:val="en-US" w:eastAsia="zh-CN"/>
    </w:rPr>
  </w:style>
  <w:style w:type="character" w:customStyle="1" w:styleId="414">
    <w:name w:val="标题 3 Char Char Char Char Char Char Char Char Char Char Char Char Char Char Char Char Char Char Char Char Char Char Char Char Char Char Char Char Char Char Char Char Char Char Char Char Char Char Char Char Char Char Char Char Char Char Char Char Cha Char"/>
    <w:link w:val="1"/>
    <w:qFormat/>
    <w:uiPriority w:val="0"/>
    <w:rPr>
      <w:rFonts w:eastAsia="宋体"/>
      <w:b/>
      <w:bCs/>
      <w:sz w:val="32"/>
      <w:szCs w:val="32"/>
      <w:lang w:val="en-US" w:eastAsia="zh-CN" w:bidi="ar-SA"/>
    </w:rPr>
  </w:style>
  <w:style w:type="character" w:customStyle="1" w:styleId="415">
    <w:name w:val="Char Char10"/>
    <w:link w:val="1"/>
    <w:qFormat/>
    <w:uiPriority w:val="0"/>
    <w:rPr>
      <w:rFonts w:eastAsia="宋体"/>
      <w:b/>
      <w:sz w:val="24"/>
      <w:lang w:val="en-US" w:eastAsia="zh-CN"/>
    </w:rPr>
  </w:style>
  <w:style w:type="character" w:customStyle="1" w:styleId="416">
    <w:name w:val="小四 段落 宋体 Char Char Char1"/>
    <w:link w:val="1"/>
    <w:qFormat/>
    <w:uiPriority w:val="0"/>
    <w:rPr>
      <w:rFonts w:ascii="宋体" w:hAnsi="宋体" w:eastAsia="宋体"/>
      <w:sz w:val="24"/>
      <w:lang w:val="en-US" w:eastAsia="zh-CN"/>
    </w:rPr>
  </w:style>
  <w:style w:type="character" w:customStyle="1" w:styleId="417">
    <w:name w:val="111111 Char"/>
    <w:link w:val="418"/>
    <w:qFormat/>
    <w:uiPriority w:val="0"/>
    <w:rPr>
      <w:rFonts w:ascii="宋体" w:hAnsi="宋体" w:eastAsia="黑体" w:cs="宋体"/>
      <w:b/>
      <w:bCs/>
      <w:sz w:val="21"/>
      <w:szCs w:val="21"/>
    </w:rPr>
  </w:style>
  <w:style w:type="paragraph" w:customStyle="1" w:styleId="418">
    <w:name w:val="111111"/>
    <w:basedOn w:val="1"/>
    <w:link w:val="417"/>
    <w:qFormat/>
    <w:uiPriority w:val="0"/>
    <w:pPr>
      <w:spacing w:before="120" w:after="120"/>
      <w:jc w:val="center"/>
    </w:pPr>
    <w:rPr>
      <w:rFonts w:ascii="宋体" w:hAnsi="宋体" w:eastAsia="黑体"/>
      <w:b/>
      <w:bCs/>
      <w:szCs w:val="21"/>
    </w:rPr>
  </w:style>
  <w:style w:type="character" w:customStyle="1" w:styleId="419">
    <w:name w:val="书籍标题"/>
    <w:link w:val="1"/>
    <w:qFormat/>
    <w:uiPriority w:val="0"/>
    <w:rPr>
      <w:b/>
      <w:i/>
      <w:sz w:val="21"/>
    </w:rPr>
  </w:style>
  <w:style w:type="character" w:customStyle="1" w:styleId="420">
    <w:name w:val="Char Char15"/>
    <w:link w:val="1"/>
    <w:qFormat/>
    <w:uiPriority w:val="0"/>
    <w:rPr>
      <w:rFonts w:ascii="Arial" w:hAnsi="Arial" w:eastAsia="黑体"/>
      <w:sz w:val="21"/>
      <w:lang w:val="en-US" w:eastAsia="zh-CN"/>
    </w:rPr>
  </w:style>
  <w:style w:type="character" w:customStyle="1" w:styleId="421">
    <w:name w:val=" Char Char25"/>
    <w:link w:val="1"/>
    <w:qFormat/>
    <w:uiPriority w:val="0"/>
    <w:rPr>
      <w:rFonts w:ascii="Arial" w:hAnsi="Arial" w:eastAsia="黑体"/>
      <w:b/>
      <w:sz w:val="28"/>
    </w:rPr>
  </w:style>
  <w:style w:type="character" w:customStyle="1" w:styleId="422">
    <w:name w:val="font31"/>
    <w:link w:val="1"/>
    <w:qFormat/>
    <w:uiPriority w:val="0"/>
    <w:rPr>
      <w:rFonts w:ascii="Arial" w:hAnsi="Arial" w:cs="Arial"/>
      <w:b/>
      <w:color w:val="000000"/>
      <w:sz w:val="22"/>
      <w:szCs w:val="22"/>
      <w:u w:val="none"/>
    </w:rPr>
  </w:style>
  <w:style w:type="character" w:customStyle="1" w:styleId="423">
    <w:name w:val="t1"/>
    <w:link w:val="1"/>
    <w:qFormat/>
    <w:uiPriority w:val="0"/>
  </w:style>
  <w:style w:type="character" w:customStyle="1" w:styleId="424">
    <w:name w:val="Subtle Emphasis"/>
    <w:link w:val="1"/>
    <w:qFormat/>
    <w:uiPriority w:val="19"/>
    <w:rPr>
      <w:i/>
    </w:rPr>
  </w:style>
  <w:style w:type="character" w:customStyle="1" w:styleId="425">
    <w:name w:val="apple-converted-space"/>
    <w:link w:val="1"/>
    <w:qFormat/>
    <w:uiPriority w:val="0"/>
    <w:rPr>
      <w:rFonts w:cs="Times New Roman"/>
    </w:rPr>
  </w:style>
  <w:style w:type="character" w:customStyle="1" w:styleId="426">
    <w:name w:val="point_normal1"/>
    <w:link w:val="1"/>
    <w:qFormat/>
    <w:uiPriority w:val="0"/>
    <w:rPr>
      <w:rFonts w:ascii="Arial" w:hAnsi="Arial" w:cs="Arial"/>
      <w:sz w:val="18"/>
      <w:szCs w:val="18"/>
    </w:rPr>
  </w:style>
  <w:style w:type="character" w:customStyle="1" w:styleId="427">
    <w:name w:val="标准小四 Char"/>
    <w:link w:val="1"/>
    <w:qFormat/>
    <w:uiPriority w:val="0"/>
    <w:rPr>
      <w:rFonts w:ascii="Arial" w:hAnsi="Arial" w:eastAsia="宋体"/>
      <w:sz w:val="21"/>
      <w:lang w:val="en-US" w:eastAsia="zh-CN"/>
    </w:rPr>
  </w:style>
  <w:style w:type="character" w:customStyle="1" w:styleId="428">
    <w:name w:val=" Char Char24"/>
    <w:link w:val="1"/>
    <w:qFormat/>
    <w:uiPriority w:val="0"/>
    <w:rPr>
      <w:b/>
      <w:bCs/>
      <w:sz w:val="28"/>
      <w:szCs w:val="28"/>
    </w:rPr>
  </w:style>
  <w:style w:type="character" w:customStyle="1" w:styleId="429">
    <w:name w:val="Quote Char"/>
    <w:link w:val="430"/>
    <w:qFormat/>
    <w:uiPriority w:val="29"/>
    <w:rPr>
      <w:rFonts w:ascii="Calibri" w:hAnsi="Calibri" w:eastAsia="宋体" w:cs="Times New Roman"/>
      <w:i/>
      <w:iCs/>
      <w:sz w:val="22"/>
      <w:lang w:eastAsia="en-US"/>
    </w:rPr>
  </w:style>
  <w:style w:type="paragraph" w:styleId="430">
    <w:name w:val="Quote"/>
    <w:basedOn w:val="1"/>
    <w:next w:val="1"/>
    <w:link w:val="429"/>
    <w:qFormat/>
    <w:uiPriority w:val="29"/>
    <w:pPr>
      <w:widowControl/>
      <w:spacing w:before="200" w:line="276" w:lineRule="auto"/>
      <w:ind w:left="360" w:right="360"/>
      <w:jc w:val="left"/>
    </w:pPr>
    <w:rPr>
      <w:rFonts w:ascii="Calibri" w:hAnsi="Calibri"/>
      <w:i/>
      <w:iCs/>
      <w:sz w:val="22"/>
      <w:szCs w:val="20"/>
      <w:lang w:eastAsia="en-US"/>
    </w:rPr>
  </w:style>
  <w:style w:type="character" w:customStyle="1" w:styleId="431">
    <w:name w:val="Char Char19"/>
    <w:link w:val="1"/>
    <w:qFormat/>
    <w:uiPriority w:val="0"/>
    <w:rPr>
      <w:rFonts w:ascii="Arial" w:hAnsi="Arial" w:eastAsia="黑体"/>
      <w:b/>
      <w:sz w:val="24"/>
      <w:lang w:val="en-US" w:eastAsia="zh-CN"/>
    </w:rPr>
  </w:style>
  <w:style w:type="character" w:customStyle="1" w:styleId="432">
    <w:name w:val="font51"/>
    <w:link w:val="1"/>
    <w:qFormat/>
    <w:uiPriority w:val="0"/>
    <w:rPr>
      <w:rFonts w:hint="eastAsia" w:ascii="宋体" w:hAnsi="宋体" w:eastAsia="宋体" w:cs="宋体"/>
      <w:color w:val="FF0000"/>
      <w:sz w:val="22"/>
      <w:szCs w:val="22"/>
      <w:u w:val="none"/>
    </w:rPr>
  </w:style>
  <w:style w:type="character" w:customStyle="1" w:styleId="433">
    <w:name w:val="新图表正文 Char Char"/>
    <w:link w:val="434"/>
    <w:qFormat/>
    <w:uiPriority w:val="0"/>
    <w:rPr>
      <w:rFonts w:ascii="宋体" w:hAnsi="宋体"/>
      <w:sz w:val="18"/>
      <w:szCs w:val="21"/>
      <w:lang w:val="en-US" w:eastAsia="zh-CN" w:bidi="ar-SA"/>
    </w:rPr>
  </w:style>
  <w:style w:type="paragraph" w:customStyle="1" w:styleId="434">
    <w:name w:val="新图表正文"/>
    <w:link w:val="433"/>
    <w:qFormat/>
    <w:uiPriority w:val="0"/>
    <w:pPr>
      <w:jc w:val="both"/>
    </w:pPr>
    <w:rPr>
      <w:rFonts w:hint="default" w:ascii="宋体" w:hAnsi="宋体" w:eastAsia="宋体" w:cs="Times New Roman"/>
      <w:sz w:val="18"/>
      <w:szCs w:val="21"/>
      <w:lang w:val="en-US" w:eastAsia="zh-CN" w:bidi="ar-SA"/>
    </w:rPr>
  </w:style>
  <w:style w:type="character" w:customStyle="1" w:styleId="435">
    <w:name w:val="普通文字 Char Char3"/>
    <w:link w:val="1"/>
    <w:qFormat/>
    <w:uiPriority w:val="0"/>
    <w:rPr>
      <w:rFonts w:ascii="宋体" w:hAnsi="Courier New" w:eastAsia="宋体"/>
      <w:sz w:val="21"/>
      <w:lang w:val="en-US" w:eastAsia="zh-CN"/>
    </w:rPr>
  </w:style>
  <w:style w:type="character" w:customStyle="1" w:styleId="436">
    <w:name w:val="小四 段落 宋体 Char Char Char Char Char Char Char"/>
    <w:link w:val="1"/>
    <w:qFormat/>
    <w:uiPriority w:val="0"/>
    <w:rPr>
      <w:rFonts w:eastAsia="宋体"/>
      <w:sz w:val="24"/>
      <w:lang w:val="en-US" w:eastAsia="zh-CN"/>
    </w:rPr>
  </w:style>
  <w:style w:type="character" w:customStyle="1" w:styleId="437">
    <w:name w:val="font21"/>
    <w:link w:val="1"/>
    <w:qFormat/>
    <w:uiPriority w:val="0"/>
    <w:rPr>
      <w:rFonts w:hint="eastAsia" w:ascii="宋体" w:hAnsi="宋体" w:eastAsia="宋体" w:cs="宋体"/>
      <w:b/>
      <w:color w:val="000000"/>
      <w:sz w:val="22"/>
      <w:szCs w:val="22"/>
      <w:u w:val="none"/>
    </w:rPr>
  </w:style>
  <w:style w:type="character" w:customStyle="1" w:styleId="438">
    <w:name w:val="textcontents"/>
    <w:link w:val="1"/>
    <w:qFormat/>
    <w:uiPriority w:val="0"/>
    <w:rPr>
      <w:rFonts w:cs="Times New Roman"/>
    </w:rPr>
  </w:style>
  <w:style w:type="character" w:customStyle="1" w:styleId="439">
    <w:name w:val="Title1 Char"/>
    <w:link w:val="1"/>
    <w:qFormat/>
    <w:uiPriority w:val="0"/>
    <w:rPr>
      <w:rFonts w:eastAsia="宋体"/>
      <w:b/>
      <w:sz w:val="44"/>
      <w:lang w:val="en-US" w:eastAsia="zh-CN"/>
    </w:rPr>
  </w:style>
  <w:style w:type="paragraph" w:customStyle="1" w:styleId="440">
    <w:name w:val="font7"/>
    <w:basedOn w:val="1"/>
    <w:qFormat/>
    <w:uiPriority w:val="0"/>
    <w:pPr>
      <w:widowControl/>
      <w:spacing w:before="100" w:beforeAutospacing="1" w:after="100" w:afterAutospacing="1"/>
      <w:jc w:val="left"/>
    </w:pPr>
    <w:rPr>
      <w:rFonts w:ascii="宋体" w:hAnsi="宋体"/>
      <w:b/>
      <w:bCs/>
      <w:sz w:val="24"/>
    </w:rPr>
  </w:style>
  <w:style w:type="paragraph" w:customStyle="1" w:styleId="441">
    <w:name w:val="Char Char Char1"/>
    <w:basedOn w:val="213"/>
    <w:qFormat/>
    <w:uiPriority w:val="0"/>
    <w:pPr>
      <w:spacing w:line="436" w:lineRule="exact"/>
    </w:pPr>
  </w:style>
  <w:style w:type="paragraph" w:customStyle="1" w:styleId="442">
    <w:name w:val="标题3，章节第三层"/>
    <w:basedOn w:val="1"/>
    <w:next w:val="443"/>
    <w:qFormat/>
    <w:uiPriority w:val="0"/>
    <w:pPr>
      <w:spacing w:before="78" w:line="300" w:lineRule="auto"/>
      <w:outlineLvl w:val="2"/>
    </w:pPr>
    <w:rPr>
      <w:rFonts w:ascii="Arial" w:hAnsi="Arial" w:eastAsia="华文细黑"/>
      <w:sz w:val="30"/>
    </w:rPr>
  </w:style>
  <w:style w:type="paragraph" w:customStyle="1" w:styleId="443">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444">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46">
    <w:name w:val="Char1 Char Char Char"/>
    <w:basedOn w:val="1"/>
    <w:qFormat/>
    <w:uiPriority w:val="0"/>
    <w:rPr>
      <w:rFonts w:ascii="Tahoma" w:hAnsi="Tahoma" w:cs="Tahoma"/>
      <w:sz w:val="24"/>
      <w:szCs w:val="20"/>
    </w:rPr>
  </w:style>
  <w:style w:type="paragraph" w:customStyle="1" w:styleId="447">
    <w:name w:val="xl45"/>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48">
    <w:name w:val="Char Char Char Char"/>
    <w:basedOn w:val="213"/>
    <w:qFormat/>
    <w:uiPriority w:val="0"/>
    <w:pPr>
      <w:spacing w:line="360" w:lineRule="auto"/>
    </w:pPr>
    <w:rPr>
      <w:rFonts w:ascii="Tahoma" w:hAnsi="Tahoma"/>
      <w:sz w:val="24"/>
    </w:rPr>
  </w:style>
  <w:style w:type="paragraph" w:customStyle="1" w:styleId="449">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450">
    <w:name w:val="样式3"/>
    <w:basedOn w:val="1"/>
    <w:next w:val="1"/>
    <w:qFormat/>
    <w:uiPriority w:val="0"/>
    <w:pPr>
      <w:spacing w:line="360" w:lineRule="auto"/>
    </w:pPr>
    <w:rPr>
      <w:szCs w:val="20"/>
    </w:rPr>
  </w:style>
  <w:style w:type="paragraph" w:customStyle="1" w:styleId="451">
    <w:name w:val="4"/>
    <w:basedOn w:val="1"/>
    <w:next w:val="257"/>
    <w:qFormat/>
    <w:uiPriority w:val="0"/>
    <w:pPr>
      <w:spacing w:line="360" w:lineRule="auto"/>
      <w:ind w:firstLine="420"/>
    </w:pPr>
    <w:rPr>
      <w:color w:val="FF0000"/>
      <w:sz w:val="24"/>
    </w:rPr>
  </w:style>
  <w:style w:type="paragraph" w:customStyle="1" w:styleId="452">
    <w:name w:val="Body Text 211"/>
    <w:basedOn w:val="1"/>
    <w:qFormat/>
    <w:uiPriority w:val="0"/>
    <w:pPr>
      <w:widowControl/>
      <w:ind w:left="720" w:hanging="720"/>
    </w:pPr>
    <w:rPr>
      <w:sz w:val="24"/>
      <w:szCs w:val="20"/>
      <w:lang w:val="en-GB"/>
    </w:rPr>
  </w:style>
  <w:style w:type="paragraph" w:customStyle="1" w:styleId="453">
    <w:name w:val="项目符号，二级"/>
    <w:basedOn w:val="443"/>
    <w:next w:val="443"/>
    <w:qFormat/>
    <w:uiPriority w:val="0"/>
    <w:pPr>
      <w:tabs>
        <w:tab w:val="left" w:pos="1211"/>
        <w:tab w:val="left" w:pos="1337"/>
      </w:tabs>
      <w:ind w:left="1337" w:right="-27" w:firstLine="480"/>
    </w:pPr>
    <w:rPr>
      <w:bCs w:val="0"/>
      <w:color w:val="000000"/>
      <w:sz w:val="24"/>
      <w:szCs w:val="24"/>
    </w:rPr>
  </w:style>
  <w:style w:type="paragraph" w:customStyle="1" w:styleId="454">
    <w:name w:val="xl4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455">
    <w:name w:val="表格文字"/>
    <w:basedOn w:val="1"/>
    <w:qFormat/>
    <w:uiPriority w:val="0"/>
    <w:pPr>
      <w:spacing w:line="360" w:lineRule="auto"/>
      <w:ind w:firstLine="200"/>
      <w:jc w:val="left"/>
    </w:pPr>
    <w:rPr>
      <w:rFonts w:ascii="Arial" w:hAnsi="Arial" w:eastAsia="Calibri" w:cs="宋体"/>
      <w:sz w:val="24"/>
      <w:szCs w:val="20"/>
      <w:lang w:val="zh-CN"/>
    </w:rPr>
  </w:style>
  <w:style w:type="paragraph" w:customStyle="1" w:styleId="456">
    <w:name w:val="xl52"/>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57">
    <w:name w:val="列出段落2"/>
    <w:basedOn w:val="1"/>
    <w:qFormat/>
    <w:uiPriority w:val="0"/>
    <w:pPr>
      <w:widowControl/>
      <w:ind w:left="720"/>
      <w:jc w:val="left"/>
    </w:pPr>
    <w:rPr>
      <w:rFonts w:ascii="Arial" w:hAnsi="Arial" w:eastAsia="黑体" w:cs="Arial"/>
      <w:sz w:val="24"/>
      <w:lang w:eastAsia="en-US"/>
    </w:rPr>
  </w:style>
  <w:style w:type="paragraph" w:customStyle="1" w:styleId="458">
    <w:name w:val="Char Char Char Char Char"/>
    <w:basedOn w:val="1"/>
    <w:qFormat/>
    <w:uiPriority w:val="0"/>
    <w:rPr>
      <w:rFonts w:ascii="Tahoma" w:hAnsi="Tahoma"/>
      <w:sz w:val="24"/>
      <w:szCs w:val="20"/>
    </w:rPr>
  </w:style>
  <w:style w:type="paragraph" w:customStyle="1" w:styleId="459">
    <w:name w:val="xl49"/>
    <w:basedOn w:val="1"/>
    <w:qFormat/>
    <w:uiPriority w:val="0"/>
    <w:pPr>
      <w:widowControl/>
      <w:pBdr>
        <w:left w:val="single" w:color="000000" w:sz="4" w:space="0"/>
        <w:right w:val="single" w:color="000000" w:sz="4" w:space="0"/>
      </w:pBdr>
      <w:spacing w:before="100" w:beforeAutospacing="1" w:after="100" w:afterAutospacing="1"/>
      <w:jc w:val="center"/>
    </w:pPr>
    <w:rPr>
      <w:b/>
      <w:bCs/>
      <w:sz w:val="20"/>
      <w:szCs w:val="20"/>
    </w:rPr>
  </w:style>
  <w:style w:type="paragraph" w:customStyle="1" w:styleId="460">
    <w:name w:val="table_lines"/>
    <w:basedOn w:val="1"/>
    <w:qFormat/>
    <w:uiPriority w:val="0"/>
    <w:pPr>
      <w:widowControl/>
      <w:jc w:val="left"/>
    </w:pPr>
    <w:rPr>
      <w:sz w:val="20"/>
      <w:szCs w:val="20"/>
      <w:lang w:val="de-DE" w:eastAsia="de-DE"/>
    </w:rPr>
  </w:style>
  <w:style w:type="paragraph" w:customStyle="1" w:styleId="461">
    <w:name w:val="Char Char Char Char Char Char Char Char Char"/>
    <w:basedOn w:val="1"/>
    <w:qFormat/>
    <w:uiPriority w:val="0"/>
    <w:pPr>
      <w:tabs>
        <w:tab w:val="left" w:pos="360"/>
      </w:tabs>
      <w:ind w:left="200" w:hanging="200"/>
    </w:pPr>
    <w:rPr>
      <w:sz w:val="24"/>
    </w:rPr>
  </w:style>
  <w:style w:type="paragraph" w:customStyle="1" w:styleId="462">
    <w:name w:val="二级条标题"/>
    <w:basedOn w:val="1"/>
    <w:next w:val="463"/>
    <w:qFormat/>
    <w:uiPriority w:val="0"/>
    <w:pPr>
      <w:widowControl/>
      <w:tabs>
        <w:tab w:val="left" w:pos="2240"/>
      </w:tabs>
      <w:ind w:hanging="420"/>
      <w:outlineLvl w:val="3"/>
    </w:pPr>
    <w:rPr>
      <w:rFonts w:eastAsia="黑体"/>
      <w:szCs w:val="20"/>
    </w:rPr>
  </w:style>
  <w:style w:type="paragraph" w:customStyle="1" w:styleId="463">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464">
    <w:name w:val="font8"/>
    <w:basedOn w:val="1"/>
    <w:qFormat/>
    <w:uiPriority w:val="0"/>
    <w:pPr>
      <w:widowControl/>
      <w:spacing w:before="100" w:beforeAutospacing="1" w:after="100" w:afterAutospacing="1"/>
      <w:jc w:val="left"/>
    </w:pPr>
    <w:rPr>
      <w:rFonts w:ascii="宋体" w:hAnsi="宋体" w:cs="宋体"/>
      <w:b/>
      <w:bCs/>
      <w:i/>
      <w:iCs/>
      <w:sz w:val="20"/>
      <w:szCs w:val="20"/>
    </w:rPr>
  </w:style>
  <w:style w:type="paragraph" w:customStyle="1" w:styleId="465">
    <w:name w:val="Normal1"/>
    <w:basedOn w:val="1"/>
    <w:qFormat/>
    <w:uiPriority w:val="0"/>
    <w:rPr>
      <w:rFonts w:ascii="Calibri" w:hAnsi="Calibri" w:eastAsia="Calibri" w:cs="宋体"/>
      <w:sz w:val="20"/>
      <w:szCs w:val="20"/>
      <w:lang w:val="zh-CN"/>
    </w:rPr>
  </w:style>
  <w:style w:type="paragraph" w:customStyle="1" w:styleId="466">
    <w:name w:val="默认段落字体 Para Char Char Char Char Char Char Char Char Char1 Char Char Char Char Char Char Char"/>
    <w:basedOn w:val="213"/>
    <w:qFormat/>
    <w:uiPriority w:val="0"/>
    <w:rPr>
      <w:szCs w:val="20"/>
    </w:rPr>
  </w:style>
  <w:style w:type="paragraph" w:customStyle="1" w:styleId="467">
    <w:name w:val="正文文本 New New"/>
    <w:basedOn w:val="1"/>
    <w:qFormat/>
    <w:uiPriority w:val="0"/>
    <w:pPr>
      <w:widowControl/>
      <w:spacing w:before="60" w:after="60" w:line="360" w:lineRule="auto"/>
      <w:ind w:firstLine="200"/>
    </w:pPr>
    <w:rPr>
      <w:rFonts w:eastAsia="华文楷体"/>
      <w:sz w:val="24"/>
    </w:rPr>
  </w:style>
  <w:style w:type="paragraph" w:customStyle="1" w:styleId="468">
    <w:name w:val="华宇段落1 Char"/>
    <w:basedOn w:val="1"/>
    <w:qFormat/>
    <w:uiPriority w:val="0"/>
    <w:pPr>
      <w:spacing w:line="360" w:lineRule="auto"/>
      <w:ind w:firstLine="200"/>
    </w:pPr>
    <w:rPr>
      <w:bCs/>
      <w:sz w:val="24"/>
    </w:rPr>
  </w:style>
  <w:style w:type="paragraph" w:customStyle="1" w:styleId="469">
    <w:name w:val="标准小四"/>
    <w:basedOn w:val="1"/>
    <w:qFormat/>
    <w:uiPriority w:val="0"/>
    <w:pPr>
      <w:spacing w:line="360" w:lineRule="auto"/>
      <w:ind w:firstLine="480"/>
    </w:pPr>
    <w:rPr>
      <w:rFonts w:ascii="Arial" w:hAnsi="Arial"/>
      <w:sz w:val="24"/>
      <w:szCs w:val="21"/>
    </w:rPr>
  </w:style>
  <w:style w:type="paragraph" w:customStyle="1" w:styleId="470">
    <w:name w:val="Item Step in Table"/>
    <w:qFormat/>
    <w:uiPriority w:val="0"/>
    <w:pPr>
      <w:numPr>
        <w:ilvl w:val="0"/>
        <w:numId w:val="1"/>
      </w:numPr>
      <w:tabs>
        <w:tab w:val="left" w:pos="397"/>
      </w:tabs>
      <w:spacing w:before="40" w:after="40"/>
      <w:jc w:val="both"/>
    </w:pPr>
    <w:rPr>
      <w:rFonts w:hint="default" w:ascii="Arial" w:hAnsi="Arial" w:eastAsia="宋体" w:cs="Arial"/>
      <w:sz w:val="18"/>
      <w:szCs w:val="18"/>
      <w:lang w:val="en-US" w:eastAsia="zh-CN" w:bidi="ar-SA"/>
    </w:rPr>
  </w:style>
  <w:style w:type="paragraph" w:customStyle="1" w:styleId="471">
    <w:name w:val="xl43"/>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72">
    <w:name w:val="qw"/>
    <w:qFormat/>
    <w:uiPriority w:val="0"/>
    <w:pPr>
      <w:widowControl w:val="0"/>
      <w:spacing w:line="312" w:lineRule="atLeast"/>
      <w:jc w:val="both"/>
    </w:pPr>
    <w:rPr>
      <w:rFonts w:hint="default" w:ascii="宋体" w:hAnsi="Times New Roman" w:eastAsia="宋体" w:cs="Times New Roman"/>
      <w:sz w:val="24"/>
      <w:lang w:val="en-US" w:eastAsia="zh-CN" w:bidi="ar-SA"/>
    </w:rPr>
  </w:style>
  <w:style w:type="paragraph" w:customStyle="1" w:styleId="473">
    <w:name w:val="font14"/>
    <w:basedOn w:val="1"/>
    <w:qFormat/>
    <w:uiPriority w:val="0"/>
    <w:pPr>
      <w:widowControl/>
      <w:spacing w:before="100" w:beforeAutospacing="1" w:after="100" w:afterAutospacing="1"/>
      <w:jc w:val="left"/>
    </w:pPr>
    <w:rPr>
      <w:sz w:val="36"/>
      <w:szCs w:val="36"/>
    </w:rPr>
  </w:style>
  <w:style w:type="paragraph" w:customStyle="1" w:styleId="474">
    <w:name w:val="font13"/>
    <w:basedOn w:val="1"/>
    <w:qFormat/>
    <w:uiPriority w:val="0"/>
    <w:pPr>
      <w:widowControl/>
      <w:spacing w:before="100" w:beforeAutospacing="1" w:after="100" w:afterAutospacing="1"/>
      <w:jc w:val="left"/>
    </w:pPr>
    <w:rPr>
      <w:i/>
      <w:iCs/>
      <w:sz w:val="36"/>
      <w:szCs w:val="36"/>
    </w:rPr>
  </w:style>
  <w:style w:type="paragraph" w:customStyle="1" w:styleId="475">
    <w:name w:val="flType"/>
    <w:basedOn w:val="476"/>
    <w:qFormat/>
    <w:uiPriority w:val="0"/>
    <w:pPr>
      <w:spacing w:after="284"/>
    </w:pPr>
    <w:rPr>
      <w:rFonts w:eastAsia="宋体"/>
    </w:rPr>
  </w:style>
  <w:style w:type="paragraph" w:customStyle="1" w:styleId="476">
    <w:name w:val="flName"/>
    <w:basedOn w:val="477"/>
    <w:qFormat/>
    <w:uiPriority w:val="0"/>
    <w:pPr>
      <w:spacing w:before="0" w:line="113" w:lineRule="atLeast"/>
    </w:pPr>
  </w:style>
  <w:style w:type="paragraph" w:customStyle="1" w:styleId="477">
    <w:name w:val="flNote"/>
    <w:basedOn w:val="1"/>
    <w:qFormat/>
    <w:uiPriority w:val="0"/>
    <w:pPr>
      <w:spacing w:before="567" w:line="360" w:lineRule="atLeast"/>
      <w:jc w:val="center"/>
    </w:pPr>
    <w:rPr>
      <w:rFonts w:eastAsia="黑体"/>
      <w:b/>
      <w:sz w:val="24"/>
      <w:szCs w:val="20"/>
    </w:rPr>
  </w:style>
  <w:style w:type="paragraph" w:customStyle="1" w:styleId="478">
    <w:name w:val="默认段落字体 Para Char"/>
    <w:basedOn w:val="1"/>
    <w:qFormat/>
    <w:uiPriority w:val="0"/>
    <w:pPr>
      <w:spacing w:line="360" w:lineRule="auto"/>
    </w:pPr>
    <w:rPr>
      <w:sz w:val="24"/>
    </w:rPr>
  </w:style>
  <w:style w:type="paragraph" w:customStyle="1" w:styleId="479">
    <w:name w:val="xl51"/>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80">
    <w:name w:val="项目符号，一级"/>
    <w:basedOn w:val="443"/>
    <w:next w:val="443"/>
    <w:qFormat/>
    <w:uiPriority w:val="0"/>
    <w:pPr>
      <w:tabs>
        <w:tab w:val="left" w:pos="1320"/>
      </w:tabs>
      <w:spacing w:line="240" w:lineRule="atLeast"/>
      <w:ind w:left="376" w:firstLine="0"/>
    </w:pPr>
    <w:rPr>
      <w:bCs w:val="0"/>
      <w:color w:val="000000"/>
      <w:szCs w:val="24"/>
    </w:rPr>
  </w:style>
  <w:style w:type="paragraph" w:customStyle="1" w:styleId="481">
    <w:name w:val="font12"/>
    <w:basedOn w:val="1"/>
    <w:qFormat/>
    <w:uiPriority w:val="0"/>
    <w:pPr>
      <w:widowControl/>
      <w:spacing w:before="100" w:beforeAutospacing="1" w:after="100" w:afterAutospacing="1"/>
      <w:jc w:val="left"/>
    </w:pPr>
    <w:rPr>
      <w:rFonts w:ascii="宋体" w:hAnsi="宋体" w:cs="宋体"/>
      <w:sz w:val="36"/>
      <w:szCs w:val="36"/>
    </w:rPr>
  </w:style>
  <w:style w:type="paragraph" w:customStyle="1" w:styleId="482">
    <w:name w:val=" Char Char Char Char Char Char Char Char Char Char Char Char Char"/>
    <w:basedOn w:val="213"/>
    <w:qFormat/>
    <w:uiPriority w:val="0"/>
    <w:rPr>
      <w:rFonts w:ascii="Tahoma" w:hAnsi="Tahoma"/>
    </w:rPr>
  </w:style>
  <w:style w:type="paragraph" w:customStyle="1" w:styleId="483">
    <w:name w:val="Char Char Char Char Char Char"/>
    <w:basedOn w:val="1"/>
    <w:qFormat/>
    <w:uiPriority w:val="0"/>
    <w:rPr>
      <w:rFonts w:ascii="Tahoma" w:hAnsi="Tahoma" w:eastAsia="Calibri" w:cs="Tahoma"/>
      <w:sz w:val="24"/>
      <w:szCs w:val="20"/>
      <w:lang w:val="zh-CN"/>
    </w:rPr>
  </w:style>
  <w:style w:type="paragraph" w:customStyle="1" w:styleId="484">
    <w:name w:val="Char2 Char Char Char Char Char Char1"/>
    <w:basedOn w:val="1"/>
    <w:qFormat/>
    <w:uiPriority w:val="0"/>
    <w:pPr>
      <w:keepNext/>
      <w:widowControl/>
      <w:tabs>
        <w:tab w:val="left" w:pos="425"/>
      </w:tabs>
      <w:spacing w:before="80" w:after="80"/>
      <w:ind w:hanging="425"/>
    </w:pPr>
    <w:rPr>
      <w:rFonts w:ascii="Arial" w:hAnsi="Arial" w:cs="Arial"/>
      <w:sz w:val="20"/>
      <w:szCs w:val="20"/>
    </w:rPr>
  </w:style>
  <w:style w:type="paragraph" w:customStyle="1" w:styleId="485">
    <w:name w:val="章标题"/>
    <w:next w:val="463"/>
    <w:qFormat/>
    <w:uiPriority w:val="0"/>
    <w:pPr>
      <w:jc w:val="both"/>
      <w:outlineLvl w:val="1"/>
    </w:pPr>
    <w:rPr>
      <w:rFonts w:hint="default" w:ascii="Times New Roman" w:hAnsi="Times New Roman" w:eastAsia="黑体" w:cs="Times New Roman"/>
      <w:sz w:val="21"/>
      <w:lang w:val="en-US" w:eastAsia="zh-CN" w:bidi="ar-SA"/>
    </w:rPr>
  </w:style>
  <w:style w:type="paragraph" w:customStyle="1" w:styleId="486">
    <w:name w:val="表格内文字"/>
    <w:basedOn w:val="1"/>
    <w:qFormat/>
    <w:uiPriority w:val="0"/>
    <w:pPr>
      <w:spacing w:line="300" w:lineRule="atLeast"/>
    </w:pPr>
    <w:rPr>
      <w:sz w:val="18"/>
    </w:rPr>
  </w:style>
  <w:style w:type="paragraph" w:customStyle="1" w:styleId="487">
    <w:name w:val="_Style 42"/>
    <w:basedOn w:val="1"/>
    <w:next w:val="190"/>
    <w:qFormat/>
    <w:uiPriority w:val="0"/>
    <w:rPr>
      <w:rFonts w:ascii="楷体_GB2312" w:hAnsi="Arial" w:eastAsia="楷体_GB2312" w:cs="宋体"/>
      <w:sz w:val="28"/>
      <w:szCs w:val="20"/>
      <w:lang w:val="zh-CN"/>
    </w:rPr>
  </w:style>
  <w:style w:type="paragraph" w:customStyle="1" w:styleId="488">
    <w:name w:val="_Style 283"/>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489">
    <w:name w:val=" Char Char Char Char Char Char Char Char Char Char Char"/>
    <w:basedOn w:val="1"/>
    <w:qFormat/>
    <w:uiPriority w:val="0"/>
    <w:rPr>
      <w:rFonts w:ascii="Tahoma" w:hAnsi="Tahoma" w:eastAsia="Calibri" w:cs="宋体"/>
      <w:sz w:val="24"/>
      <w:szCs w:val="20"/>
      <w:lang w:val="zh-CN"/>
    </w:rPr>
  </w:style>
  <w:style w:type="paragraph" w:customStyle="1" w:styleId="49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491">
    <w:name w:val=" Char1 Char Char Char"/>
    <w:basedOn w:val="1"/>
    <w:qFormat/>
    <w:uiPriority w:val="0"/>
    <w:rPr>
      <w:rFonts w:ascii="Tahoma" w:hAnsi="Tahoma" w:eastAsia="Calibri" w:cs="宋体"/>
      <w:sz w:val="24"/>
      <w:szCs w:val="20"/>
      <w:lang w:val="zh-CN"/>
    </w:rPr>
  </w:style>
  <w:style w:type="paragraph" w:customStyle="1" w:styleId="492">
    <w:name w:val="xl5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493">
    <w:name w:val="xl61"/>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494">
    <w:name w:val="标题2，章节第二层"/>
    <w:basedOn w:val="1"/>
    <w:next w:val="443"/>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495">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496">
    <w:name w:val="标题6"/>
    <w:basedOn w:val="191"/>
    <w:qFormat/>
    <w:uiPriority w:val="0"/>
    <w:pPr>
      <w:numPr>
        <w:ilvl w:val="0"/>
        <w:numId w:val="2"/>
      </w:numPr>
      <w:tabs>
        <w:tab w:val="left" w:pos="420"/>
      </w:tabs>
      <w:spacing w:before="156" w:after="156" w:line="240" w:lineRule="auto"/>
    </w:pPr>
    <w:rPr>
      <w:rFonts w:eastAsia="黑体"/>
      <w:b w:val="0"/>
      <w:sz w:val="24"/>
      <w:lang w:val="en-US" w:eastAsia="zh-CN"/>
    </w:rPr>
  </w:style>
  <w:style w:type="paragraph" w:styleId="497">
    <w:name w:val="No Spacing"/>
    <w:qFormat/>
    <w:uiPriority w:val="0"/>
    <w:pPr>
      <w:widowControl w:val="0"/>
      <w:jc w:val="both"/>
    </w:pPr>
    <w:rPr>
      <w:rFonts w:hint="default" w:ascii="Times New Roman" w:hAnsi="Times New Roman" w:eastAsia="微软雅黑" w:cs="Times New Roman"/>
      <w:sz w:val="24"/>
      <w:szCs w:val="22"/>
      <w:lang w:val="en-US" w:eastAsia="zh-CN" w:bidi="ar-SA"/>
    </w:rPr>
  </w:style>
  <w:style w:type="paragraph" w:customStyle="1" w:styleId="498">
    <w:name w:val="我的正文"/>
    <w:basedOn w:val="1"/>
    <w:qFormat/>
    <w:uiPriority w:val="0"/>
    <w:pPr>
      <w:widowControl/>
      <w:spacing w:line="360" w:lineRule="auto"/>
      <w:ind w:firstLine="420"/>
      <w:jc w:val="left"/>
    </w:pPr>
    <w:rPr>
      <w:rFonts w:ascii="宋体" w:hAnsi="宋体" w:cs="宋体"/>
      <w:szCs w:val="21"/>
    </w:rPr>
  </w:style>
  <w:style w:type="paragraph" w:customStyle="1" w:styleId="499">
    <w:name w:val="xl54"/>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cs="宋体"/>
      <w:b/>
      <w:bCs/>
      <w:sz w:val="20"/>
      <w:szCs w:val="20"/>
    </w:rPr>
  </w:style>
  <w:style w:type="paragraph" w:customStyle="1" w:styleId="500">
    <w:name w:val="正文 首行缩进:  2 字符 Char"/>
    <w:basedOn w:val="1"/>
    <w:qFormat/>
    <w:uiPriority w:val="0"/>
    <w:pPr>
      <w:spacing w:line="360" w:lineRule="auto"/>
      <w:ind w:firstLine="480"/>
    </w:pPr>
    <w:rPr>
      <w:rFonts w:cs="宋体"/>
      <w:sz w:val="24"/>
      <w:szCs w:val="20"/>
    </w:rPr>
  </w:style>
  <w:style w:type="paragraph" w:customStyle="1" w:styleId="501">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02">
    <w:name w:val="修订"/>
    <w:unhideWhenUsed/>
    <w:qFormat/>
    <w:uiPriority w:val="0"/>
    <w:rPr>
      <w:rFonts w:hint="default" w:ascii="Times New Roman" w:hAnsi="Times New Roman" w:eastAsia="宋体" w:cs="Times New Roman"/>
      <w:sz w:val="21"/>
      <w:szCs w:val="24"/>
      <w:lang w:val="en-US" w:eastAsia="zh-CN" w:bidi="ar-SA"/>
    </w:rPr>
  </w:style>
  <w:style w:type="paragraph" w:customStyle="1" w:styleId="503">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504">
    <w:name w:val="CM16"/>
    <w:basedOn w:val="309"/>
    <w:next w:val="309"/>
    <w:qFormat/>
    <w:uiPriority w:val="99"/>
    <w:rPr>
      <w:rFonts w:ascii="Arial" w:hAnsi="Arial" w:cs="Arial"/>
      <w:color w:val="000000"/>
    </w:rPr>
  </w:style>
  <w:style w:type="paragraph" w:customStyle="1" w:styleId="505">
    <w:name w:val="xl46"/>
    <w:basedOn w:val="1"/>
    <w:qFormat/>
    <w:uiPriority w:val="0"/>
    <w:pPr>
      <w:widowControl/>
      <w:pBdr>
        <w:left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506">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50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508">
    <w:name w:val="普通 (Web)"/>
    <w:basedOn w:val="1"/>
    <w:qFormat/>
    <w:uiPriority w:val="0"/>
    <w:pPr>
      <w:widowControl/>
      <w:spacing w:before="100" w:beforeAutospacing="1" w:after="100" w:afterAutospacing="1"/>
      <w:jc w:val="left"/>
    </w:pPr>
    <w:rPr>
      <w:rFonts w:ascii="宋体" w:hAnsi="宋体"/>
      <w:sz w:val="24"/>
    </w:rPr>
  </w:style>
  <w:style w:type="paragraph" w:customStyle="1" w:styleId="509">
    <w:name w:val="无间隔"/>
    <w:qFormat/>
    <w:uiPriority w:val="0"/>
    <w:rPr>
      <w:rFonts w:hint="default" w:ascii="Times New Roman" w:hAnsi="Times New Roman" w:eastAsia="宋体" w:cs="Times New Roman"/>
      <w:sz w:val="22"/>
      <w:szCs w:val="22"/>
      <w:lang w:val="en-US" w:eastAsia="zh-CN" w:bidi="ar-SA"/>
    </w:rPr>
  </w:style>
  <w:style w:type="paragraph" w:customStyle="1" w:styleId="510">
    <w:name w:val="正文lzq"/>
    <w:basedOn w:val="1"/>
    <w:qFormat/>
    <w:uiPriority w:val="0"/>
    <w:pPr>
      <w:spacing w:line="360" w:lineRule="auto"/>
      <w:ind w:firstLine="480"/>
    </w:pPr>
    <w:rPr>
      <w:sz w:val="24"/>
      <w:szCs w:val="20"/>
    </w:rPr>
  </w:style>
  <w:style w:type="paragraph" w:customStyle="1" w:styleId="511">
    <w:name w:val="中等深浅网格 1 - 强调文字颜色 21"/>
    <w:basedOn w:val="1"/>
    <w:qFormat/>
    <w:uiPriority w:val="0"/>
    <w:pPr>
      <w:ind w:firstLine="420"/>
    </w:pPr>
    <w:rPr>
      <w:rFonts w:ascii="Calibri" w:hAnsi="Calibri" w:eastAsia="Calibri" w:cs="宋体"/>
      <w:sz w:val="20"/>
      <w:szCs w:val="22"/>
      <w:lang w:val="zh-CN"/>
    </w:rPr>
  </w:style>
  <w:style w:type="paragraph" w:customStyle="1" w:styleId="512">
    <w:name w:val="马刚标题4"/>
    <w:basedOn w:val="513"/>
    <w:next w:val="1"/>
    <w:qFormat/>
    <w:uiPriority w:val="0"/>
    <w:pPr>
      <w:tabs>
        <w:tab w:val="left" w:pos="567"/>
        <w:tab w:val="left" w:pos="735"/>
        <w:tab w:val="left" w:pos="1050"/>
      </w:tabs>
      <w:spacing w:before="100" w:after="40"/>
      <w:outlineLvl w:val="3"/>
    </w:pPr>
    <w:rPr>
      <w:b w:val="0"/>
    </w:rPr>
  </w:style>
  <w:style w:type="paragraph" w:customStyle="1" w:styleId="513">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514">
    <w:name w:val="插图"/>
    <w:basedOn w:val="1"/>
    <w:qFormat/>
    <w:uiPriority w:val="0"/>
    <w:pPr>
      <w:tabs>
        <w:tab w:val="left" w:pos="1620"/>
      </w:tabs>
      <w:jc w:val="center"/>
    </w:pPr>
    <w:rPr>
      <w:bCs/>
      <w:color w:val="000000"/>
      <w:szCs w:val="22"/>
    </w:rPr>
  </w:style>
  <w:style w:type="paragraph" w:customStyle="1" w:styleId="515">
    <w:name w:val="Char Char1 Char Char2 Char Char"/>
    <w:basedOn w:val="1"/>
    <w:qFormat/>
    <w:uiPriority w:val="0"/>
    <w:pPr>
      <w:widowControl/>
      <w:spacing w:after="160" w:line="240" w:lineRule="exact"/>
      <w:jc w:val="left"/>
    </w:pPr>
  </w:style>
  <w:style w:type="paragraph" w:customStyle="1" w:styleId="516">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sz w:val="20"/>
      <w:szCs w:val="20"/>
    </w:rPr>
  </w:style>
  <w:style w:type="paragraph" w:customStyle="1" w:styleId="517">
    <w:name w:val="Char Char1 Char Char Char Char Char Char Char"/>
    <w:basedOn w:val="1"/>
    <w:qFormat/>
    <w:uiPriority w:val="0"/>
    <w:rPr>
      <w:rFonts w:ascii="Tahoma" w:hAnsi="Tahoma" w:cs="Tahoma"/>
      <w:sz w:val="24"/>
      <w:szCs w:val="20"/>
    </w:rPr>
  </w:style>
  <w:style w:type="paragraph" w:customStyle="1" w:styleId="518">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19">
    <w:name w:val="Char Char1"/>
    <w:basedOn w:val="1"/>
    <w:qFormat/>
    <w:uiPriority w:val="0"/>
    <w:rPr>
      <w:rFonts w:ascii="Tahoma" w:hAnsi="Tahoma"/>
      <w:sz w:val="24"/>
      <w:szCs w:val="20"/>
    </w:rPr>
  </w:style>
  <w:style w:type="paragraph" w:customStyle="1" w:styleId="520">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21">
    <w:name w:val="p0"/>
    <w:basedOn w:val="1"/>
    <w:qFormat/>
    <w:uiPriority w:val="0"/>
    <w:pPr>
      <w:widowControl/>
      <w:spacing w:before="100" w:beforeAutospacing="1" w:after="100" w:afterAutospacing="1"/>
      <w:jc w:val="left"/>
    </w:pPr>
    <w:rPr>
      <w:rFonts w:ascii="宋体" w:hAnsi="宋体" w:cs="宋体"/>
      <w:sz w:val="24"/>
    </w:rPr>
  </w:style>
  <w:style w:type="paragraph" w:customStyle="1" w:styleId="522">
    <w:name w:val="符号与编号 Char"/>
    <w:basedOn w:val="1"/>
    <w:qFormat/>
    <w:uiPriority w:val="0"/>
    <w:pPr>
      <w:tabs>
        <w:tab w:val="left" w:pos="720"/>
      </w:tabs>
      <w:spacing w:line="400" w:lineRule="atLeast"/>
      <w:ind w:left="720"/>
    </w:pPr>
    <w:rPr>
      <w:sz w:val="24"/>
    </w:rPr>
  </w:style>
  <w:style w:type="paragraph" w:customStyle="1" w:styleId="523">
    <w:name w:val="正文--wdh"/>
    <w:basedOn w:val="1"/>
    <w:qFormat/>
    <w:uiPriority w:val="0"/>
    <w:pPr>
      <w:spacing w:line="360" w:lineRule="auto"/>
    </w:pPr>
    <w:rPr>
      <w:sz w:val="24"/>
    </w:rPr>
  </w:style>
  <w:style w:type="paragraph" w:customStyle="1" w:styleId="524">
    <w:name w:val="Char Char1 Char Char Char Char1 Char Char Char Char Char Char"/>
    <w:basedOn w:val="1"/>
    <w:qFormat/>
    <w:uiPriority w:val="0"/>
    <w:rPr>
      <w:rFonts w:ascii="Tahoma" w:hAnsi="Tahoma"/>
      <w:sz w:val="24"/>
      <w:szCs w:val="20"/>
    </w:rPr>
  </w:style>
  <w:style w:type="paragraph" w:customStyle="1" w:styleId="525">
    <w:name w:val="正文 + Arial Char"/>
    <w:basedOn w:val="1"/>
    <w:qFormat/>
    <w:uiPriority w:val="0"/>
    <w:pPr>
      <w:widowControl/>
      <w:tabs>
        <w:tab w:val="left" w:pos="315"/>
      </w:tabs>
      <w:spacing w:line="300" w:lineRule="auto"/>
      <w:ind w:left="315" w:hanging="315"/>
    </w:pPr>
    <w:rPr>
      <w:rFonts w:ascii="Arial" w:hAnsi="Arial" w:cs="Arial"/>
      <w:b/>
      <w:color w:val="000000"/>
      <w:szCs w:val="20"/>
    </w:rPr>
  </w:style>
  <w:style w:type="paragraph" w:customStyle="1" w:styleId="526">
    <w:name w:val="方案正文"/>
    <w:basedOn w:val="1"/>
    <w:qFormat/>
    <w:uiPriority w:val="0"/>
    <w:pPr>
      <w:spacing w:before="156" w:line="360" w:lineRule="auto"/>
      <w:ind w:firstLine="359"/>
      <w:jc w:val="left"/>
    </w:pPr>
    <w:rPr>
      <w:rFonts w:ascii="Arial" w:hAnsi="Arial" w:cs="宋体"/>
      <w:sz w:val="24"/>
      <w:szCs w:val="21"/>
    </w:rPr>
  </w:style>
  <w:style w:type="paragraph" w:customStyle="1" w:styleId="527">
    <w:name w:val="正文 居中"/>
    <w:basedOn w:val="1"/>
    <w:qFormat/>
    <w:uiPriority w:val="0"/>
    <w:pPr>
      <w:spacing w:line="360" w:lineRule="auto"/>
      <w:jc w:val="center"/>
    </w:pPr>
    <w:rPr>
      <w:sz w:val="24"/>
      <w:szCs w:val="20"/>
    </w:rPr>
  </w:style>
  <w:style w:type="paragraph" w:customStyle="1" w:styleId="528">
    <w:name w:val="样式 标题 2H2h2sect 1.2Heading 2 HiddenHeading 2 CCBSheading 2..."/>
    <w:basedOn w:val="186"/>
    <w:qFormat/>
    <w:uiPriority w:val="0"/>
    <w:pPr>
      <w:tabs>
        <w:tab w:val="left" w:pos="576"/>
      </w:tabs>
      <w:spacing w:line="240" w:lineRule="auto"/>
      <w:ind w:left="576" w:hanging="36"/>
      <w:jc w:val="left"/>
    </w:pPr>
    <w:rPr>
      <w:rFonts w:ascii="宋体" w:hAnsi="宋体" w:eastAsia="宋体"/>
      <w:sz w:val="28"/>
      <w:szCs w:val="20"/>
    </w:rPr>
  </w:style>
  <w:style w:type="paragraph" w:customStyle="1" w:styleId="529">
    <w:name w:val="Char Char Char Char Char Char Char Char Char Char Char Char Char"/>
    <w:basedOn w:val="1"/>
    <w:qFormat/>
    <w:uiPriority w:val="0"/>
    <w:pPr>
      <w:widowControl/>
      <w:spacing w:after="160" w:line="240" w:lineRule="exact"/>
      <w:jc w:val="left"/>
    </w:pPr>
  </w:style>
  <w:style w:type="paragraph" w:customStyle="1" w:styleId="530">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531">
    <w:name w:val="xl44"/>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32">
    <w:name w:val="正文2"/>
    <w:basedOn w:val="1"/>
    <w:qFormat/>
    <w:uiPriority w:val="0"/>
    <w:pPr>
      <w:spacing w:before="156" w:line="360" w:lineRule="auto"/>
      <w:ind w:firstLine="510"/>
    </w:pPr>
    <w:rPr>
      <w:sz w:val="24"/>
      <w:szCs w:val="20"/>
    </w:rPr>
  </w:style>
  <w:style w:type="paragraph" w:customStyle="1" w:styleId="533">
    <w:name w:val="xl6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b/>
      <w:bCs/>
      <w:sz w:val="20"/>
      <w:szCs w:val="20"/>
    </w:rPr>
  </w:style>
  <w:style w:type="paragraph" w:customStyle="1" w:styleId="534">
    <w:name w:val="Char Char Char Char Char Char Char Char Char Char Char"/>
    <w:basedOn w:val="1"/>
    <w:qFormat/>
    <w:uiPriority w:val="0"/>
    <w:rPr>
      <w:rFonts w:ascii="Tahoma" w:hAnsi="Tahoma"/>
      <w:sz w:val="24"/>
      <w:szCs w:val="20"/>
    </w:rPr>
  </w:style>
  <w:style w:type="paragraph" w:customStyle="1" w:styleId="535">
    <w:name w:val="批注框文本1"/>
    <w:basedOn w:val="1"/>
    <w:qFormat/>
    <w:uiPriority w:val="0"/>
    <w:rPr>
      <w:sz w:val="18"/>
      <w:szCs w:val="18"/>
    </w:rPr>
  </w:style>
  <w:style w:type="paragraph" w:customStyle="1" w:styleId="536">
    <w:name w:val="retrait3"/>
    <w:basedOn w:val="1"/>
    <w:qFormat/>
    <w:uiPriority w:val="0"/>
    <w:pPr>
      <w:widowControl/>
      <w:spacing w:before="20" w:after="20"/>
      <w:ind w:left="851"/>
      <w:jc w:val="left"/>
    </w:pPr>
    <w:rPr>
      <w:rFonts w:ascii="Arial" w:hAnsi="Arial"/>
      <w:sz w:val="24"/>
      <w:szCs w:val="20"/>
      <w:lang w:val="en-GB"/>
    </w:rPr>
  </w:style>
  <w:style w:type="paragraph" w:customStyle="1" w:styleId="53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538">
    <w:name w:val="表格内容"/>
    <w:basedOn w:val="1"/>
    <w:qFormat/>
    <w:uiPriority w:val="0"/>
    <w:pPr>
      <w:widowControl/>
      <w:spacing w:before="60" w:line="300" w:lineRule="auto"/>
      <w:jc w:val="center"/>
    </w:pPr>
    <w:rPr>
      <w:szCs w:val="20"/>
    </w:rPr>
  </w:style>
  <w:style w:type="paragraph" w:customStyle="1" w:styleId="539">
    <w:name w:val="正文 New"/>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40">
    <w:name w:val="表蕊"/>
    <w:basedOn w:val="1"/>
    <w:qFormat/>
    <w:uiPriority w:val="0"/>
    <w:pPr>
      <w:spacing w:line="320" w:lineRule="atLeast"/>
      <w:jc w:val="left"/>
    </w:pPr>
    <w:rPr>
      <w:rFonts w:eastAsia="楷体_GB2312"/>
      <w:spacing w:val="-10"/>
      <w:szCs w:val="20"/>
    </w:rPr>
  </w:style>
  <w:style w:type="paragraph" w:customStyle="1" w:styleId="54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cs="宋体"/>
      <w:b/>
      <w:bCs/>
      <w:sz w:val="24"/>
    </w:rPr>
  </w:style>
  <w:style w:type="paragraph" w:customStyle="1" w:styleId="542">
    <w:name w:val=" Char Char Char"/>
    <w:basedOn w:val="213"/>
    <w:qFormat/>
    <w:uiPriority w:val="0"/>
    <w:pPr>
      <w:spacing w:line="436" w:lineRule="exact"/>
    </w:pPr>
    <w:rPr>
      <w:rFonts w:ascii="Calibri" w:hAnsi="Calibri"/>
      <w:sz w:val="20"/>
    </w:rPr>
  </w:style>
  <w:style w:type="paragraph" w:customStyle="1" w:styleId="543">
    <w:name w:val="样式"/>
    <w:basedOn w:val="1"/>
    <w:qFormat/>
    <w:uiPriority w:val="0"/>
    <w:pPr>
      <w:spacing w:before="120" w:after="120" w:line="360" w:lineRule="auto"/>
    </w:pPr>
    <w:rPr>
      <w:rFonts w:ascii="宋体"/>
      <w:sz w:val="24"/>
      <w:szCs w:val="20"/>
    </w:rPr>
  </w:style>
  <w:style w:type="paragraph" w:customStyle="1" w:styleId="544">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545">
    <w:name w:val="font6"/>
    <w:basedOn w:val="1"/>
    <w:qFormat/>
    <w:uiPriority w:val="0"/>
    <w:pPr>
      <w:widowControl/>
      <w:spacing w:before="100" w:beforeAutospacing="1" w:after="100" w:afterAutospacing="1"/>
      <w:jc w:val="left"/>
    </w:pPr>
    <w:rPr>
      <w:rFonts w:ascii="宋体" w:hAnsi="宋体" w:cs="宋体"/>
      <w:b/>
      <w:bCs/>
      <w:sz w:val="20"/>
      <w:szCs w:val="20"/>
    </w:rPr>
  </w:style>
  <w:style w:type="paragraph" w:customStyle="1" w:styleId="546">
    <w:name w:val="xl25"/>
    <w:basedOn w:val="1"/>
    <w:qFormat/>
    <w:uiPriority w:val="0"/>
    <w:pPr>
      <w:widowControl/>
      <w:pBdr>
        <w:right w:val="single" w:color="000000" w:sz="4" w:space="0"/>
      </w:pBdr>
      <w:spacing w:before="100" w:beforeAutospacing="1" w:after="100" w:afterAutospacing="1"/>
      <w:jc w:val="center"/>
    </w:pPr>
    <w:rPr>
      <w:szCs w:val="21"/>
    </w:rPr>
  </w:style>
  <w:style w:type="paragraph" w:customStyle="1" w:styleId="547">
    <w:name w:val="小四 段落 宋体 Char Char Char Char"/>
    <w:basedOn w:val="1"/>
    <w:qFormat/>
    <w:uiPriority w:val="0"/>
    <w:pPr>
      <w:spacing w:line="360" w:lineRule="auto"/>
      <w:ind w:right="-33" w:firstLine="480"/>
      <w:jc w:val="left"/>
    </w:pPr>
    <w:rPr>
      <w:sz w:val="24"/>
    </w:rPr>
  </w:style>
  <w:style w:type="paragraph" w:customStyle="1" w:styleId="548">
    <w:name w:val="小四 段落 宋体 Char Char"/>
    <w:basedOn w:val="1"/>
    <w:qFormat/>
    <w:uiPriority w:val="0"/>
    <w:pPr>
      <w:spacing w:line="360" w:lineRule="auto"/>
      <w:ind w:firstLine="480"/>
    </w:pPr>
    <w:rPr>
      <w:rFonts w:ascii="宋体" w:hAnsi="宋体"/>
      <w:sz w:val="24"/>
    </w:rPr>
  </w:style>
  <w:style w:type="paragraph" w:customStyle="1" w:styleId="549">
    <w:name w:val="Table Text Char"/>
    <w:qFormat/>
    <w:uiPriority w:val="0"/>
    <w:pPr>
      <w:spacing w:before="80" w:after="80"/>
    </w:pPr>
    <w:rPr>
      <w:rFonts w:hint="default" w:ascii="Arial" w:hAnsi="Arial" w:eastAsia="宋体" w:cs="Arial"/>
      <w:sz w:val="18"/>
      <w:szCs w:val="28"/>
      <w:lang w:val="en-US" w:eastAsia="zh-CN" w:bidi="ar-SA"/>
    </w:rPr>
  </w:style>
  <w:style w:type="paragraph" w:customStyle="1" w:styleId="550">
    <w:name w:val="Char Char Char Char Char Char Char1 Char"/>
    <w:basedOn w:val="1"/>
    <w:qFormat/>
    <w:uiPriority w:val="0"/>
    <w:rPr>
      <w:rFonts w:ascii="Tahoma" w:hAnsi="Tahoma" w:cs="Tahoma"/>
      <w:sz w:val="24"/>
      <w:szCs w:val="20"/>
    </w:rPr>
  </w:style>
  <w:style w:type="paragraph" w:customStyle="1" w:styleId="551">
    <w:name w:val="小四 段落 宋体 Char Char Char"/>
    <w:basedOn w:val="211"/>
    <w:qFormat/>
    <w:uiPriority w:val="0"/>
    <w:pPr>
      <w:tabs>
        <w:tab w:val="clear" w:pos="2952"/>
      </w:tabs>
      <w:spacing w:line="360" w:lineRule="auto"/>
      <w:ind w:left="0" w:right="-33" w:firstLine="545"/>
      <w:jc w:val="left"/>
    </w:pPr>
    <w:rPr>
      <w:sz w:val="24"/>
    </w:rPr>
  </w:style>
  <w:style w:type="paragraph" w:customStyle="1" w:styleId="552">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553">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554">
    <w:name w:val="标准文本"/>
    <w:basedOn w:val="1"/>
    <w:qFormat/>
    <w:uiPriority w:val="0"/>
    <w:pPr>
      <w:spacing w:line="360" w:lineRule="auto"/>
      <w:ind w:firstLine="480"/>
    </w:pPr>
    <w:rPr>
      <w:rFonts w:cs="宋体"/>
      <w:sz w:val="24"/>
    </w:rPr>
  </w:style>
  <w:style w:type="paragraph" w:customStyle="1" w:styleId="555">
    <w:name w:val="Char Char Char"/>
    <w:basedOn w:val="1"/>
    <w:qFormat/>
    <w:uiPriority w:val="0"/>
    <w:rPr>
      <w:rFonts w:ascii="Tahoma" w:hAnsi="Tahoma"/>
      <w:sz w:val="24"/>
      <w:szCs w:val="20"/>
    </w:rPr>
  </w:style>
  <w:style w:type="paragraph" w:customStyle="1" w:styleId="556">
    <w:name w:val="普通正文"/>
    <w:basedOn w:val="1"/>
    <w:qFormat/>
    <w:uiPriority w:val="0"/>
    <w:pPr>
      <w:spacing w:before="120" w:after="120" w:line="360" w:lineRule="auto"/>
      <w:ind w:firstLine="480"/>
      <w:jc w:val="left"/>
    </w:pPr>
    <w:rPr>
      <w:rFonts w:ascii="Arial" w:hAnsi="Arial"/>
      <w:sz w:val="24"/>
    </w:rPr>
  </w:style>
  <w:style w:type="paragraph" w:customStyle="1" w:styleId="557">
    <w:name w:val="xl60"/>
    <w:basedOn w:val="1"/>
    <w:qFormat/>
    <w:uiPriority w:val="0"/>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b/>
      <w:bCs/>
      <w:i/>
      <w:iCs/>
      <w:sz w:val="20"/>
      <w:szCs w:val="20"/>
    </w:rPr>
  </w:style>
  <w:style w:type="paragraph" w:customStyle="1" w:styleId="558">
    <w:name w:val="Char Char Char Char Char Char Char Char Char Char Char1 Char Char Char1"/>
    <w:basedOn w:val="1"/>
    <w:qFormat/>
    <w:uiPriority w:val="0"/>
    <w:pPr>
      <w:ind w:firstLine="200"/>
      <w:jc w:val="left"/>
    </w:pPr>
    <w:rPr>
      <w:rFonts w:ascii="Tahoma" w:hAnsi="Tahoma"/>
      <w:sz w:val="24"/>
    </w:rPr>
  </w:style>
  <w:style w:type="paragraph" w:customStyle="1" w:styleId="559">
    <w:name w:val="xl55"/>
    <w:basedOn w:val="1"/>
    <w:qFormat/>
    <w:uiPriority w:val="0"/>
    <w:pPr>
      <w:widowControl/>
      <w:pBdr>
        <w:top w:val="single" w:color="000000" w:sz="4" w:space="0"/>
        <w:bottom w:val="single" w:color="000000" w:sz="4" w:space="0"/>
      </w:pBdr>
      <w:shd w:val="clear" w:color="auto" w:fill="969696"/>
      <w:spacing w:before="100" w:beforeAutospacing="1" w:after="100" w:afterAutospacing="1"/>
      <w:jc w:val="center"/>
    </w:pPr>
    <w:rPr>
      <w:b/>
      <w:bCs/>
      <w:sz w:val="20"/>
      <w:szCs w:val="20"/>
    </w:rPr>
  </w:style>
  <w:style w:type="paragraph" w:customStyle="1" w:styleId="560">
    <w:name w:val="样式 段后: 0.25 行"/>
    <w:basedOn w:val="1"/>
    <w:qFormat/>
    <w:uiPriority w:val="0"/>
    <w:pPr>
      <w:widowControl/>
      <w:spacing w:line="300" w:lineRule="auto"/>
      <w:ind w:firstLine="420"/>
      <w:jc w:val="left"/>
    </w:pPr>
    <w:rPr>
      <w:rFonts w:ascii="Arial" w:hAnsi="Arial" w:cs="宋体"/>
      <w:sz w:val="22"/>
      <w:szCs w:val="20"/>
      <w:lang w:eastAsia="en-US"/>
    </w:rPr>
  </w:style>
  <w:style w:type="paragraph" w:customStyle="1" w:styleId="561">
    <w:name w:val="符号与编号"/>
    <w:basedOn w:val="1"/>
    <w:qFormat/>
    <w:uiPriority w:val="0"/>
    <w:pPr>
      <w:tabs>
        <w:tab w:val="left" w:pos="900"/>
      </w:tabs>
      <w:spacing w:line="400" w:lineRule="atLeast"/>
      <w:ind w:left="900" w:hanging="420"/>
    </w:pPr>
    <w:rPr>
      <w:sz w:val="24"/>
    </w:rPr>
  </w:style>
  <w:style w:type="paragraph" w:customStyle="1" w:styleId="562">
    <w:name w:val="丁华正文"/>
    <w:basedOn w:val="257"/>
    <w:qFormat/>
    <w:uiPriority w:val="0"/>
    <w:pPr>
      <w:spacing w:before="0" w:after="0" w:line="360" w:lineRule="auto"/>
      <w:ind w:left="0" w:firstLine="510"/>
    </w:pPr>
    <w:rPr>
      <w:rFonts w:ascii="宋体" w:hAnsi="Arial"/>
      <w:bCs w:val="0"/>
      <w:color w:val="000000"/>
      <w:szCs w:val="16"/>
    </w:rPr>
  </w:style>
  <w:style w:type="paragraph" w:customStyle="1" w:styleId="563">
    <w:name w:val=" Char Char1 Char Char Char Char1 Char Char Char Char Char Char"/>
    <w:basedOn w:val="1"/>
    <w:qFormat/>
    <w:uiPriority w:val="0"/>
    <w:rPr>
      <w:rFonts w:ascii="Tahoma" w:hAnsi="Tahoma" w:eastAsia="Calibri" w:cs="宋体"/>
      <w:sz w:val="24"/>
      <w:szCs w:val="20"/>
      <w:lang w:val="zh-CN"/>
    </w:rPr>
  </w:style>
  <w:style w:type="paragraph" w:customStyle="1" w:styleId="564">
    <w:name w:val="xl4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65">
    <w:name w:val="7"/>
    <w:basedOn w:val="1"/>
    <w:next w:val="266"/>
    <w:qFormat/>
    <w:uiPriority w:val="0"/>
    <w:pPr>
      <w:widowControl/>
      <w:spacing w:before="100" w:beforeAutospacing="1" w:after="100" w:afterAutospacing="1"/>
      <w:jc w:val="left"/>
    </w:pPr>
    <w:rPr>
      <w:rFonts w:ascii="宋体" w:hAnsi="宋体"/>
      <w:sz w:val="24"/>
      <w:szCs w:val="20"/>
    </w:rPr>
  </w:style>
  <w:style w:type="paragraph" w:customStyle="1" w:styleId="566">
    <w:name w:val="样式4 Char"/>
    <w:basedOn w:val="1"/>
    <w:qFormat/>
    <w:uiPriority w:val="0"/>
    <w:pPr>
      <w:widowControl/>
      <w:spacing w:line="360" w:lineRule="auto"/>
      <w:ind w:firstLine="480"/>
      <w:jc w:val="left"/>
    </w:pPr>
    <w:rPr>
      <w:rFonts w:cs="宋体"/>
      <w:color w:val="000000"/>
      <w:sz w:val="24"/>
    </w:rPr>
  </w:style>
  <w:style w:type="paragraph" w:customStyle="1" w:styleId="567">
    <w:name w:val="正文缩进2字符"/>
    <w:basedOn w:val="1"/>
    <w:qFormat/>
    <w:uiPriority w:val="0"/>
    <w:pPr>
      <w:spacing w:line="300" w:lineRule="auto"/>
      <w:ind w:firstLine="200"/>
    </w:pPr>
    <w:rPr>
      <w:rFonts w:ascii="仿宋_GB2312" w:eastAsia="仿宋_GB2312"/>
      <w:sz w:val="32"/>
      <w:szCs w:val="32"/>
    </w:rPr>
  </w:style>
  <w:style w:type="paragraph" w:customStyle="1" w:styleId="568">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569">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570">
    <w:name w:val="Char2"/>
    <w:basedOn w:val="213"/>
    <w:qFormat/>
    <w:uiPriority w:val="0"/>
    <w:rPr>
      <w:rFonts w:ascii="Tahoma" w:hAnsi="Tahoma"/>
      <w:sz w:val="24"/>
    </w:rPr>
  </w:style>
  <w:style w:type="paragraph" w:customStyle="1" w:styleId="571">
    <w:name w:val="正文 New New New New New New New New New New New New New New"/>
    <w:qFormat/>
    <w:uiPriority w:val="0"/>
    <w:pPr>
      <w:widowControl w:val="0"/>
      <w:jc w:val="both"/>
    </w:pPr>
    <w:rPr>
      <w:rFonts w:hint="eastAsia" w:ascii="Times New Roman" w:hAnsi="Times New Roman" w:eastAsia="宋体" w:cs="Times New Roman"/>
      <w:sz w:val="21"/>
      <w:lang w:val="en-US" w:eastAsia="zh-CN" w:bidi="ar-SA"/>
    </w:rPr>
  </w:style>
  <w:style w:type="paragraph" w:customStyle="1" w:styleId="572">
    <w:name w:val="xl57"/>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73">
    <w:name w:val=" Char Char1"/>
    <w:basedOn w:val="1"/>
    <w:qFormat/>
    <w:uiPriority w:val="0"/>
    <w:rPr>
      <w:rFonts w:ascii="Tahoma" w:hAnsi="Tahoma" w:eastAsia="Calibri" w:cs="宋体"/>
      <w:sz w:val="24"/>
      <w:szCs w:val="20"/>
      <w:lang w:val="zh-CN"/>
    </w:rPr>
  </w:style>
  <w:style w:type="paragraph" w:customStyle="1" w:styleId="574">
    <w:name w:val="Char Char Char Char Char Char Char Char Char Char Char Char Char Char"/>
    <w:basedOn w:val="1"/>
    <w:qFormat/>
    <w:uiPriority w:val="0"/>
    <w:rPr>
      <w:rFonts w:ascii="Tahoma" w:hAnsi="Tahoma"/>
      <w:sz w:val="24"/>
      <w:szCs w:val="20"/>
    </w:rPr>
  </w:style>
  <w:style w:type="paragraph" w:customStyle="1" w:styleId="575">
    <w:name w:val="xl58"/>
    <w:basedOn w:val="1"/>
    <w:qFormat/>
    <w:uiPriority w:val="0"/>
    <w:pPr>
      <w:widowControl/>
      <w:pBdr>
        <w:left w:val="single" w:color="000000" w:sz="4" w:space="0"/>
        <w:right w:val="single" w:color="000000" w:sz="4" w:space="0"/>
      </w:pBdr>
      <w:spacing w:before="100" w:beforeAutospacing="1" w:after="100" w:afterAutospacing="1"/>
      <w:jc w:val="center"/>
    </w:pPr>
    <w:rPr>
      <w:b/>
      <w:bCs/>
      <w:i/>
      <w:iCs/>
      <w:sz w:val="20"/>
      <w:szCs w:val="20"/>
    </w:rPr>
  </w:style>
  <w:style w:type="paragraph" w:customStyle="1" w:styleId="576">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577">
    <w:name w:val="_Style 3"/>
    <w:basedOn w:val="1"/>
    <w:qFormat/>
    <w:uiPriority w:val="34"/>
    <w:pPr>
      <w:ind w:firstLine="420"/>
    </w:pPr>
    <w:rPr>
      <w:rFonts w:ascii="Calibri" w:hAnsi="Calibri"/>
      <w:szCs w:val="22"/>
    </w:rPr>
  </w:style>
  <w:style w:type="paragraph" w:customStyle="1" w:styleId="578">
    <w:name w:val="样式 首行缩进:  2 字符"/>
    <w:basedOn w:val="1"/>
    <w:qFormat/>
    <w:uiPriority w:val="0"/>
    <w:pPr>
      <w:spacing w:line="360" w:lineRule="auto"/>
      <w:ind w:firstLine="480"/>
    </w:pPr>
    <w:rPr>
      <w:rFonts w:cs="宋体"/>
      <w:sz w:val="24"/>
      <w:szCs w:val="20"/>
    </w:rPr>
  </w:style>
  <w:style w:type="paragraph" w:customStyle="1" w:styleId="579">
    <w:name w:val="Item List Char Char"/>
    <w:qFormat/>
    <w:uiPriority w:val="0"/>
    <w:pPr>
      <w:spacing w:line="288" w:lineRule="auto"/>
      <w:jc w:val="both"/>
    </w:pPr>
    <w:rPr>
      <w:rFonts w:hint="default" w:ascii="Arial" w:hAnsi="Arial" w:eastAsia="宋体" w:cs="Arial"/>
      <w:b/>
      <w:bCs/>
      <w:sz w:val="21"/>
      <w:szCs w:val="28"/>
      <w:lang w:val="en-US" w:eastAsia="zh-CN" w:bidi="ar-SA"/>
    </w:rPr>
  </w:style>
  <w:style w:type="paragraph" w:customStyle="1" w:styleId="580">
    <w:name w:val="公文标题 2"/>
    <w:basedOn w:val="1"/>
    <w:next w:val="581"/>
    <w:qFormat/>
    <w:uiPriority w:val="0"/>
    <w:pPr>
      <w:outlineLvl w:val="1"/>
    </w:pPr>
    <w:rPr>
      <w:rFonts w:ascii="仿宋_GB2312" w:hAnsi="宋体" w:eastAsia="仿宋_GB2312"/>
      <w:sz w:val="28"/>
    </w:rPr>
  </w:style>
  <w:style w:type="paragraph" w:customStyle="1" w:styleId="581">
    <w:name w:val="公文正文"/>
    <w:basedOn w:val="221"/>
    <w:qFormat/>
    <w:uiPriority w:val="0"/>
    <w:pPr>
      <w:spacing w:after="0"/>
      <w:ind w:left="0" w:firstLine="200"/>
    </w:pPr>
    <w:rPr>
      <w:rFonts w:ascii="仿宋_GB2312" w:hAnsi="宋体" w:eastAsia="仿宋_GB2312"/>
      <w:sz w:val="28"/>
    </w:rPr>
  </w:style>
  <w:style w:type="paragraph" w:customStyle="1" w:styleId="582">
    <w:name w:val="表格1"/>
    <w:basedOn w:val="1"/>
    <w:qFormat/>
    <w:uiPriority w:val="0"/>
    <w:rPr>
      <w:rFonts w:ascii="宋体" w:hAnsi="Calibri" w:eastAsia="Calibri" w:cs="宋体"/>
      <w:sz w:val="20"/>
      <w:szCs w:val="21"/>
      <w:lang w:val="zh-CN"/>
    </w:rPr>
  </w:style>
  <w:style w:type="paragraph" w:customStyle="1" w:styleId="583">
    <w:name w:val="段 Char"/>
    <w:qFormat/>
    <w:uiPriority w:val="0"/>
    <w:pPr>
      <w:ind w:firstLine="200"/>
      <w:jc w:val="both"/>
    </w:pPr>
    <w:rPr>
      <w:rFonts w:hint="default" w:ascii="宋体" w:hAnsi="Times New Roman" w:eastAsia="宋体" w:cs="Times New Roman"/>
      <w:sz w:val="21"/>
      <w:lang w:val="en-US" w:eastAsia="zh-CN" w:bidi="ar-SA"/>
    </w:rPr>
  </w:style>
  <w:style w:type="paragraph" w:customStyle="1" w:styleId="584">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585">
    <w:name w:val="1"/>
    <w:basedOn w:val="1"/>
    <w:next w:val="262"/>
    <w:qFormat/>
    <w:uiPriority w:val="0"/>
    <w:pPr>
      <w:spacing w:line="360" w:lineRule="auto"/>
    </w:pPr>
    <w:rPr>
      <w:rFonts w:eastAsia="仿宋_GB2312"/>
      <w:sz w:val="24"/>
    </w:rPr>
  </w:style>
  <w:style w:type="paragraph" w:customStyle="1" w:styleId="58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sz w:val="20"/>
      <w:szCs w:val="20"/>
    </w:rPr>
  </w:style>
  <w:style w:type="paragraph" w:customStyle="1" w:styleId="587">
    <w:name w:val=" Char Char Char Char Char Char Char Char Char Char Char Char Char Char Char Char Char Char Char Char Char Char Char"/>
    <w:basedOn w:val="1"/>
    <w:qFormat/>
    <w:uiPriority w:val="0"/>
    <w:rPr>
      <w:rFonts w:ascii="Tahoma" w:hAnsi="Tahoma" w:eastAsia="Calibri" w:cs="宋体"/>
      <w:sz w:val="24"/>
      <w:szCs w:val="20"/>
      <w:lang w:val="zh-CN"/>
    </w:rPr>
  </w:style>
  <w:style w:type="paragraph" w:customStyle="1" w:styleId="588">
    <w:name w:val="列出段落"/>
    <w:basedOn w:val="1"/>
    <w:qFormat/>
    <w:uiPriority w:val="34"/>
    <w:pPr>
      <w:ind w:firstLine="420"/>
    </w:pPr>
  </w:style>
  <w:style w:type="paragraph" w:customStyle="1" w:styleId="589">
    <w:name w:val="greytypebeni"/>
    <w:basedOn w:val="1"/>
    <w:qFormat/>
    <w:uiPriority w:val="0"/>
    <w:pPr>
      <w:widowControl/>
      <w:jc w:val="left"/>
    </w:pPr>
    <w:rPr>
      <w:rFonts w:ascii="宋体" w:hAnsi="宋体" w:cs="宋体"/>
      <w:sz w:val="24"/>
    </w:rPr>
  </w:style>
  <w:style w:type="paragraph" w:customStyle="1" w:styleId="590">
    <w:name w:val="正文 New New New New New"/>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1">
    <w:name w:val="文档正文"/>
    <w:basedOn w:val="1"/>
    <w:qFormat/>
    <w:uiPriority w:val="0"/>
    <w:pPr>
      <w:spacing w:line="360" w:lineRule="auto"/>
    </w:pPr>
    <w:rPr>
      <w:rFonts w:ascii="宋体" w:hAnsi="宋体"/>
      <w:b/>
      <w:bCs/>
    </w:rPr>
  </w:style>
  <w:style w:type="paragraph" w:customStyle="1" w:styleId="592">
    <w:name w:val="a"/>
    <w:basedOn w:val="1"/>
    <w:qFormat/>
    <w:uiPriority w:val="0"/>
    <w:pPr>
      <w:widowControl/>
      <w:spacing w:before="100" w:beforeAutospacing="1" w:after="100" w:afterAutospacing="1"/>
    </w:pPr>
    <w:rPr>
      <w:rFonts w:ascii="宋体" w:hAnsi="宋体" w:cs="宋体"/>
      <w:sz w:val="24"/>
    </w:rPr>
  </w:style>
  <w:style w:type="paragraph" w:customStyle="1" w:styleId="593">
    <w:name w:val="符号与编号 Char Char"/>
    <w:basedOn w:val="1"/>
    <w:qFormat/>
    <w:uiPriority w:val="0"/>
    <w:pPr>
      <w:tabs>
        <w:tab w:val="left" w:pos="840"/>
      </w:tabs>
      <w:spacing w:line="400" w:lineRule="atLeast"/>
      <w:ind w:left="839" w:hanging="419"/>
    </w:pPr>
    <w:rPr>
      <w:sz w:val="24"/>
    </w:rPr>
  </w:style>
  <w:style w:type="paragraph" w:customStyle="1" w:styleId="594">
    <w:name w:val="默认段落字体 Para Char Char Char Char Char Char Char"/>
    <w:basedOn w:val="1"/>
    <w:qFormat/>
    <w:uiPriority w:val="0"/>
    <w:rPr>
      <w:rFonts w:ascii="Tahoma" w:hAnsi="Tahoma"/>
      <w:sz w:val="24"/>
      <w:szCs w:val="20"/>
    </w:rPr>
  </w:style>
  <w:style w:type="paragraph" w:customStyle="1" w:styleId="595">
    <w:name w:val=" Char Char Char Char Char Char Char Char Char Char Char Char Char Char"/>
    <w:basedOn w:val="1"/>
    <w:qFormat/>
    <w:uiPriority w:val="0"/>
    <w:rPr>
      <w:rFonts w:ascii="Tahoma" w:hAnsi="Tahoma" w:eastAsia="Calibri" w:cs="宋体"/>
      <w:sz w:val="24"/>
      <w:szCs w:val="20"/>
      <w:lang w:val="zh-CN"/>
    </w:rPr>
  </w:style>
  <w:style w:type="paragraph" w:customStyle="1" w:styleId="596">
    <w:name w:val=" Char1"/>
    <w:basedOn w:val="1"/>
    <w:qFormat/>
    <w:uiPriority w:val="0"/>
    <w:pPr>
      <w:widowControl/>
      <w:spacing w:after="160" w:line="240" w:lineRule="exact"/>
      <w:jc w:val="left"/>
    </w:pPr>
    <w:rPr>
      <w:rFonts w:ascii="Verdana" w:hAnsi="Verdana" w:eastAsia="仿宋_GB2312" w:cs="宋体"/>
      <w:sz w:val="24"/>
      <w:szCs w:val="20"/>
      <w:lang w:val="zh-CN" w:eastAsia="en-US"/>
    </w:rPr>
  </w:style>
  <w:style w:type="paragraph" w:customStyle="1" w:styleId="597">
    <w:name w:val=" Char Char Char Char"/>
    <w:basedOn w:val="1"/>
    <w:qFormat/>
    <w:uiPriority w:val="0"/>
    <w:pPr>
      <w:widowControl/>
      <w:spacing w:after="160" w:line="240" w:lineRule="exact"/>
      <w:jc w:val="center"/>
    </w:pPr>
    <w:rPr>
      <w:rFonts w:ascii="黑体" w:hAnsi="Verdana" w:eastAsia="黑体" w:cs="宋体"/>
      <w:sz w:val="32"/>
      <w:szCs w:val="32"/>
      <w:lang w:val="zh-CN" w:eastAsia="en-US"/>
    </w:rPr>
  </w:style>
  <w:style w:type="paragraph" w:customStyle="1" w:styleId="598">
    <w:name w:val="Char Char Char Char Char Char Char Char Char Char Char Char Char Char Char Char Char Char Char Char Char Char Char1"/>
    <w:basedOn w:val="1"/>
    <w:qFormat/>
    <w:uiPriority w:val="0"/>
    <w:rPr>
      <w:rFonts w:ascii="Tahoma" w:hAnsi="Tahoma" w:cs="Tahoma"/>
      <w:sz w:val="24"/>
      <w:szCs w:val="20"/>
    </w:rPr>
  </w:style>
  <w:style w:type="paragraph" w:customStyle="1" w:styleId="599">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600">
    <w:name w:val="一级标题"/>
    <w:basedOn w:val="1"/>
    <w:qFormat/>
    <w:uiPriority w:val="0"/>
    <w:pPr>
      <w:tabs>
        <w:tab w:val="left" w:pos="903"/>
      </w:tabs>
      <w:spacing w:line="360" w:lineRule="auto"/>
      <w:ind w:left="900" w:hanging="420"/>
    </w:pPr>
    <w:rPr>
      <w:rFonts w:ascii="Arial" w:hAnsi="Arial" w:cs="Arial"/>
      <w:sz w:val="24"/>
      <w:szCs w:val="20"/>
    </w:rPr>
  </w:style>
  <w:style w:type="paragraph" w:customStyle="1" w:styleId="601">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602">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603">
    <w:name w:val="Char Char Char Char1"/>
    <w:basedOn w:val="213"/>
    <w:qFormat/>
    <w:uiPriority w:val="0"/>
    <w:pPr>
      <w:spacing w:line="360" w:lineRule="auto"/>
    </w:pPr>
    <w:rPr>
      <w:rFonts w:ascii="Tahoma" w:hAnsi="Tahoma"/>
      <w:sz w:val="24"/>
    </w:rPr>
  </w:style>
  <w:style w:type="paragraph" w:customStyle="1" w:styleId="604">
    <w:name w:val="马刚标题1"/>
    <w:basedOn w:val="185"/>
    <w:next w:val="1"/>
    <w:qFormat/>
    <w:uiPriority w:val="0"/>
    <w:pPr>
      <w:tabs>
        <w:tab w:val="left" w:pos="315"/>
        <w:tab w:val="left" w:pos="567"/>
      </w:tabs>
      <w:spacing w:before="400" w:after="120"/>
      <w:ind w:left="567" w:hanging="567"/>
      <w:jc w:val="left"/>
    </w:pPr>
    <w:rPr>
      <w:rFonts w:eastAsia="黑体"/>
      <w:b/>
      <w:bCs/>
      <w:sz w:val="32"/>
      <w:szCs w:val="20"/>
    </w:rPr>
  </w:style>
  <w:style w:type="paragraph" w:customStyle="1" w:styleId="605">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60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b/>
      <w:bCs/>
      <w:i/>
      <w:iCs/>
      <w:sz w:val="20"/>
      <w:szCs w:val="20"/>
    </w:rPr>
  </w:style>
  <w:style w:type="paragraph" w:customStyle="1" w:styleId="607">
    <w:name w:val="样式 标题 3H3sect1.2.3BOD 0Heading 3 - oldh3l3CTLevel 3 Head..."/>
    <w:basedOn w:val="187"/>
    <w:qFormat/>
    <w:uiPriority w:val="0"/>
    <w:pPr>
      <w:spacing w:line="240" w:lineRule="auto"/>
      <w:jc w:val="left"/>
    </w:pPr>
    <w:rPr>
      <w:rFonts w:cs="宋体"/>
      <w:sz w:val="30"/>
      <w:szCs w:val="20"/>
    </w:rPr>
  </w:style>
  <w:style w:type="paragraph" w:customStyle="1" w:styleId="608">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609">
    <w:name w:val="Body Text 21"/>
    <w:basedOn w:val="1"/>
    <w:qFormat/>
    <w:uiPriority w:val="0"/>
    <w:pPr>
      <w:widowControl/>
      <w:ind w:left="720" w:hanging="720"/>
    </w:pPr>
    <w:rPr>
      <w:sz w:val="24"/>
      <w:szCs w:val="20"/>
      <w:lang w:val="en-GB"/>
    </w:rPr>
  </w:style>
  <w:style w:type="paragraph" w:customStyle="1" w:styleId="610">
    <w:name w:val="正文 + 宋体"/>
    <w:basedOn w:val="1"/>
    <w:qFormat/>
    <w:uiPriority w:val="0"/>
    <w:pPr>
      <w:spacing w:line="360" w:lineRule="auto"/>
      <w:ind w:firstLine="420"/>
    </w:pPr>
  </w:style>
  <w:style w:type="paragraph" w:customStyle="1" w:styleId="611">
    <w:name w:val="table_1stline"/>
    <w:basedOn w:val="1"/>
    <w:qFormat/>
    <w:uiPriority w:val="0"/>
    <w:pPr>
      <w:widowControl/>
      <w:spacing w:before="120"/>
      <w:jc w:val="left"/>
    </w:pPr>
    <w:rPr>
      <w:bCs/>
      <w:sz w:val="20"/>
      <w:szCs w:val="20"/>
      <w:lang w:val="de-DE" w:eastAsia="de-DE"/>
    </w:rPr>
  </w:style>
  <w:style w:type="paragraph" w:customStyle="1" w:styleId="612">
    <w:name w:val="Char Char Char Char Char Char Char Char Char Char"/>
    <w:basedOn w:val="1"/>
    <w:qFormat/>
    <w:uiPriority w:val="0"/>
    <w:pPr>
      <w:spacing w:line="360" w:lineRule="auto"/>
    </w:pPr>
    <w:rPr>
      <w:sz w:val="24"/>
      <w:szCs w:val="20"/>
    </w:rPr>
  </w:style>
  <w:style w:type="paragraph" w:customStyle="1" w:styleId="613">
    <w:name w:val="Char1 Char Char Char1"/>
    <w:basedOn w:val="1"/>
    <w:qFormat/>
    <w:uiPriority w:val="0"/>
    <w:rPr>
      <w:rFonts w:ascii="Tahoma" w:hAnsi="Tahoma"/>
      <w:sz w:val="24"/>
      <w:szCs w:val="20"/>
    </w:rPr>
  </w:style>
  <w:style w:type="paragraph" w:customStyle="1" w:styleId="614">
    <w:name w:val="表格"/>
    <w:basedOn w:val="1"/>
    <w:qFormat/>
    <w:uiPriority w:val="0"/>
    <w:pPr>
      <w:ind w:firstLine="21"/>
    </w:pPr>
    <w:rPr>
      <w:rFonts w:ascii="宋体" w:hAnsi="宋体" w:cs="宋体"/>
      <w:sz w:val="20"/>
      <w:szCs w:val="20"/>
    </w:rPr>
  </w:style>
  <w:style w:type="paragraph" w:customStyle="1" w:styleId="615">
    <w:name w:val="样式 标题 2第一章 标题 2Heading 2 HiddenHeading 2 CCBSheading 2H2h2..."/>
    <w:basedOn w:val="186"/>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616">
    <w:name w:val="Char Char Char Char Char Char Char Char Char Char Char Char Char Char Char Char Char Char Char Char Char"/>
    <w:basedOn w:val="1"/>
    <w:qFormat/>
    <w:uiPriority w:val="0"/>
    <w:rPr>
      <w:rFonts w:ascii="Tahoma" w:hAnsi="Tahoma" w:cs="Tahoma"/>
      <w:sz w:val="24"/>
      <w:szCs w:val="20"/>
    </w:rPr>
  </w:style>
  <w:style w:type="paragraph" w:customStyle="1" w:styleId="617">
    <w:name w:val=" Char"/>
    <w:basedOn w:val="1"/>
    <w:qFormat/>
    <w:uiPriority w:val="0"/>
    <w:pPr>
      <w:spacing w:after="156" w:line="360" w:lineRule="auto"/>
    </w:pPr>
    <w:rPr>
      <w:rFonts w:ascii="Tahoma" w:hAnsi="Tahoma" w:eastAsia="Calibri" w:cs="宋体"/>
      <w:sz w:val="24"/>
      <w:szCs w:val="20"/>
      <w:lang w:val="zh-CN"/>
    </w:rPr>
  </w:style>
  <w:style w:type="paragraph" w:customStyle="1" w:styleId="618">
    <w:name w:val="正文表标题"/>
    <w:next w:val="463"/>
    <w:qFormat/>
    <w:uiPriority w:val="0"/>
    <w:pPr>
      <w:tabs>
        <w:tab w:val="left" w:pos="900"/>
      </w:tabs>
      <w:ind w:left="900" w:hanging="420"/>
      <w:jc w:val="center"/>
    </w:pPr>
    <w:rPr>
      <w:rFonts w:hint="default" w:ascii="黑体" w:hAnsi="Times New Roman" w:eastAsia="黑体" w:cs="Times New Roman"/>
      <w:sz w:val="21"/>
      <w:lang w:val="en-US" w:eastAsia="zh-CN" w:bidi="ar-SA"/>
    </w:rPr>
  </w:style>
  <w:style w:type="paragraph" w:customStyle="1" w:styleId="619">
    <w:name w:val="样式 样式 首行缩进:  2 字符 + 行距: 1.5 倍行距"/>
    <w:basedOn w:val="1"/>
    <w:qFormat/>
    <w:uiPriority w:val="0"/>
    <w:pPr>
      <w:spacing w:line="360" w:lineRule="auto"/>
      <w:ind w:firstLine="470"/>
    </w:pPr>
    <w:rPr>
      <w:sz w:val="24"/>
      <w:szCs w:val="20"/>
    </w:rPr>
  </w:style>
  <w:style w:type="paragraph" w:customStyle="1" w:styleId="620">
    <w:name w:val="Body Text(ch)"/>
    <w:basedOn w:val="1"/>
    <w:next w:val="190"/>
    <w:qFormat/>
    <w:uiPriority w:val="0"/>
    <w:pPr>
      <w:spacing w:after="120"/>
    </w:pPr>
    <w:rPr>
      <w:rFonts w:ascii="宋体" w:hAnsi="Arial"/>
      <w:bCs/>
      <w:iCs/>
    </w:rPr>
  </w:style>
  <w:style w:type="paragraph" w:customStyle="1" w:styleId="621">
    <w:name w:val="正文文本缩进1"/>
    <w:basedOn w:val="1"/>
    <w:qFormat/>
    <w:uiPriority w:val="0"/>
    <w:pPr>
      <w:spacing w:after="120"/>
      <w:ind w:left="420"/>
    </w:pPr>
  </w:style>
  <w:style w:type="paragraph" w:customStyle="1" w:styleId="622">
    <w:name w:val="正文--表格内正文"/>
    <w:basedOn w:val="1"/>
    <w:qFormat/>
    <w:uiPriority w:val="0"/>
    <w:pPr>
      <w:spacing w:line="240" w:lineRule="atLeast"/>
      <w:jc w:val="center"/>
    </w:pPr>
    <w:rPr>
      <w:rFonts w:ascii="宋体" w:hAnsi="宋体"/>
      <w:color w:val="000000"/>
      <w:sz w:val="24"/>
    </w:rPr>
  </w:style>
  <w:style w:type="paragraph" w:customStyle="1" w:styleId="623">
    <w:name w:val="Test2"/>
    <w:basedOn w:val="186"/>
    <w:qFormat/>
    <w:uiPriority w:val="0"/>
    <w:pPr>
      <w:widowControl/>
      <w:spacing w:line="480" w:lineRule="exact"/>
      <w:jc w:val="center"/>
    </w:pPr>
    <w:rPr>
      <w:rFonts w:ascii="黑体"/>
      <w:sz w:val="24"/>
      <w:szCs w:val="24"/>
    </w:rPr>
  </w:style>
  <w:style w:type="paragraph" w:customStyle="1" w:styleId="624">
    <w:name w:val="标题 4宋体"/>
    <w:basedOn w:val="188"/>
    <w:qFormat/>
    <w:uiPriority w:val="0"/>
    <w:pPr>
      <w:keepLines w:val="0"/>
      <w:spacing w:before="0" w:after="0" w:line="360" w:lineRule="auto"/>
      <w:jc w:val="left"/>
    </w:pPr>
    <w:rPr>
      <w:rFonts w:ascii="宋体" w:hAnsi="宋体" w:eastAsia="宋体"/>
      <w:bCs/>
      <w:color w:val="000000"/>
      <w:sz w:val="24"/>
    </w:rPr>
  </w:style>
  <w:style w:type="paragraph" w:customStyle="1" w:styleId="625">
    <w:name w:val=" Char Char Char Char Char Char Char Char"/>
    <w:basedOn w:val="1"/>
    <w:qFormat/>
    <w:uiPriority w:val="0"/>
    <w:rPr>
      <w:rFonts w:ascii="Tahoma" w:hAnsi="Tahoma" w:eastAsia="Calibri" w:cs="宋体"/>
      <w:sz w:val="24"/>
      <w:szCs w:val="20"/>
      <w:lang w:val="zh-CN"/>
    </w:rPr>
  </w:style>
  <w:style w:type="paragraph" w:customStyle="1" w:styleId="626">
    <w:name w:val="tableau"/>
    <w:basedOn w:val="1"/>
    <w:qFormat/>
    <w:uiPriority w:val="0"/>
    <w:pPr>
      <w:widowControl/>
      <w:spacing w:before="20" w:after="20"/>
      <w:jc w:val="center"/>
    </w:pPr>
    <w:rPr>
      <w:rFonts w:ascii="Arial" w:hAnsi="Arial"/>
      <w:sz w:val="16"/>
      <w:szCs w:val="20"/>
      <w:lang w:val="en-GB" w:eastAsia="en-US"/>
    </w:rPr>
  </w:style>
  <w:style w:type="paragraph" w:customStyle="1" w:styleId="627">
    <w:name w:val=" Char Char Char Char Char Char Char Char Char Char Char Char Char Char Char Char Char Char Char Char Char"/>
    <w:basedOn w:val="1"/>
    <w:qFormat/>
    <w:uiPriority w:val="0"/>
    <w:rPr>
      <w:rFonts w:ascii="Tahoma" w:hAnsi="Tahoma" w:eastAsia="Calibri" w:cs="宋体"/>
      <w:sz w:val="24"/>
      <w:szCs w:val="20"/>
      <w:lang w:val="zh-CN"/>
    </w:rPr>
  </w:style>
  <w:style w:type="paragraph" w:customStyle="1" w:styleId="628">
    <w:name w:val="正文文本 21"/>
    <w:basedOn w:val="1"/>
    <w:qFormat/>
    <w:uiPriority w:val="0"/>
    <w:pPr>
      <w:widowControl/>
      <w:ind w:left="720" w:hanging="720"/>
    </w:pPr>
    <w:rPr>
      <w:sz w:val="24"/>
      <w:szCs w:val="20"/>
      <w:lang w:val="en-GB"/>
    </w:rPr>
  </w:style>
  <w:style w:type="paragraph" w:customStyle="1" w:styleId="62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b/>
      <w:bCs/>
      <w:sz w:val="20"/>
      <w:szCs w:val="20"/>
    </w:rPr>
  </w:style>
  <w:style w:type="paragraph" w:customStyle="1" w:styleId="630">
    <w:name w:val="List Paragraph1"/>
    <w:basedOn w:val="1"/>
    <w:qFormat/>
    <w:uiPriority w:val="0"/>
    <w:pPr>
      <w:widowControl/>
      <w:ind w:left="720"/>
      <w:jc w:val="left"/>
    </w:pPr>
    <w:rPr>
      <w:rFonts w:ascii="Arial" w:hAnsi="Arial" w:eastAsia="黑体"/>
      <w:sz w:val="24"/>
      <w:lang w:eastAsia="en-US"/>
    </w:rPr>
  </w:style>
  <w:style w:type="paragraph" w:customStyle="1" w:styleId="631">
    <w:name w:val="Char Char Char Char Char Char Char Char Char1"/>
    <w:basedOn w:val="1"/>
    <w:qFormat/>
    <w:uiPriority w:val="0"/>
    <w:pPr>
      <w:tabs>
        <w:tab w:val="left" w:pos="360"/>
      </w:tabs>
      <w:ind w:left="360" w:hanging="360"/>
    </w:pPr>
    <w:rPr>
      <w:sz w:val="24"/>
    </w:rPr>
  </w:style>
  <w:style w:type="paragraph" w:customStyle="1" w:styleId="632">
    <w:name w:val="xl56"/>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sz w:val="20"/>
      <w:szCs w:val="20"/>
    </w:rPr>
  </w:style>
  <w:style w:type="paragraph" w:customStyle="1" w:styleId="633">
    <w:name w:val=" Char Char"/>
    <w:basedOn w:val="1"/>
    <w:qFormat/>
    <w:uiPriority w:val="0"/>
    <w:rPr>
      <w:rFonts w:ascii="Tahoma" w:hAnsi="Tahoma" w:eastAsia="Calibri" w:cs="宋体"/>
      <w:sz w:val="24"/>
      <w:szCs w:val="20"/>
      <w:lang w:val="zh-CN"/>
    </w:rPr>
  </w:style>
  <w:style w:type="paragraph" w:customStyle="1" w:styleId="634">
    <w:name w:val="Char Char Char Char Char Char Char Char Char Char Char1"/>
    <w:basedOn w:val="1"/>
    <w:qFormat/>
    <w:uiPriority w:val="0"/>
    <w:rPr>
      <w:rFonts w:ascii="Tahoma" w:hAnsi="Tahoma" w:cs="Tahoma"/>
      <w:sz w:val="24"/>
      <w:szCs w:val="20"/>
    </w:rPr>
  </w:style>
  <w:style w:type="paragraph" w:customStyle="1" w:styleId="635">
    <w:name w:val="批注主题1"/>
    <w:basedOn w:val="215"/>
    <w:next w:val="215"/>
    <w:qFormat/>
    <w:uiPriority w:val="0"/>
    <w:rPr>
      <w:b/>
      <w:bCs/>
      <w:szCs w:val="24"/>
    </w:rPr>
  </w:style>
  <w:style w:type="paragraph" w:customStyle="1" w:styleId="636">
    <w:name w:val="Pa6"/>
    <w:basedOn w:val="1"/>
    <w:next w:val="1"/>
    <w:qFormat/>
    <w:uiPriority w:val="0"/>
    <w:pPr>
      <w:spacing w:line="241" w:lineRule="atLeast"/>
      <w:jc w:val="left"/>
    </w:pPr>
    <w:rPr>
      <w:rFonts w:ascii="HYDaHeiJ" w:eastAsia="HYDaHeiJ"/>
      <w:sz w:val="24"/>
    </w:rPr>
  </w:style>
  <w:style w:type="paragraph" w:customStyle="1" w:styleId="637">
    <w:name w:val="font11"/>
    <w:basedOn w:val="1"/>
    <w:qFormat/>
    <w:uiPriority w:val="0"/>
    <w:pPr>
      <w:widowControl/>
      <w:spacing w:before="100" w:beforeAutospacing="1" w:after="100" w:afterAutospacing="1"/>
      <w:jc w:val="left"/>
    </w:pPr>
    <w:rPr>
      <w:b/>
      <w:bCs/>
      <w:sz w:val="18"/>
      <w:szCs w:val="18"/>
    </w:rPr>
  </w:style>
  <w:style w:type="paragraph" w:customStyle="1" w:styleId="638">
    <w:name w:val="方案文档"/>
    <w:basedOn w:val="1"/>
    <w:qFormat/>
    <w:uiPriority w:val="0"/>
    <w:pPr>
      <w:spacing w:before="60" w:after="60" w:line="360" w:lineRule="auto"/>
      <w:jc w:val="center"/>
    </w:pPr>
    <w:rPr>
      <w:rFonts w:ascii="宋体" w:hAnsi="宋体"/>
      <w:sz w:val="24"/>
      <w:szCs w:val="20"/>
      <w:lang w:val="zh-CN"/>
    </w:rPr>
  </w:style>
  <w:style w:type="paragraph" w:customStyle="1" w:styleId="639">
    <w:name w:val="af17cgridlangnp1033langf"/>
    <w:qFormat/>
    <w:uiPriority w:val="0"/>
    <w:pPr>
      <w:widowControl w:val="0"/>
      <w:spacing w:before="156" w:line="360" w:lineRule="atLeast"/>
      <w:ind w:left="567" w:firstLine="510"/>
      <w:jc w:val="both"/>
    </w:pPr>
    <w:rPr>
      <w:rFonts w:hint="default" w:ascii="Times New Roman" w:hAnsi="Times New Roman" w:eastAsia="宋体" w:cs="Times New Roman"/>
      <w:lang w:val="en-US" w:eastAsia="zh-CN" w:bidi="ar-SA"/>
    </w:rPr>
  </w:style>
  <w:style w:type="paragraph" w:customStyle="1" w:styleId="640">
    <w:name w:val="丁华标题2"/>
    <w:basedOn w:val="186"/>
    <w:next w:val="562"/>
    <w:qFormat/>
    <w:uiPriority w:val="0"/>
    <w:pPr>
      <w:tabs>
        <w:tab w:val="left" w:pos="567"/>
      </w:tabs>
      <w:spacing w:before="120" w:after="120"/>
      <w:ind w:left="567" w:hanging="567"/>
      <w:jc w:val="left"/>
    </w:pPr>
    <w:rPr>
      <w:color w:val="000000"/>
      <w:sz w:val="28"/>
      <w:szCs w:val="20"/>
    </w:rPr>
  </w:style>
  <w:style w:type="paragraph" w:customStyle="1" w:styleId="641">
    <w:name w:val="小四 段落 宋体 Char"/>
    <w:basedOn w:val="211"/>
    <w:qFormat/>
    <w:uiPriority w:val="0"/>
    <w:pPr>
      <w:tabs>
        <w:tab w:val="clear" w:pos="2952"/>
      </w:tabs>
      <w:ind w:left="0" w:right="-33" w:firstLine="600"/>
      <w:jc w:val="left"/>
    </w:pPr>
    <w:rPr>
      <w:rFonts w:ascii="仿宋_GB2312" w:eastAsia="仿宋_GB2312"/>
      <w:sz w:val="30"/>
      <w:szCs w:val="30"/>
    </w:rPr>
  </w:style>
  <w:style w:type="paragraph" w:customStyle="1" w:styleId="642">
    <w:name w:val="Bullets L1"/>
    <w:basedOn w:val="1"/>
    <w:qFormat/>
    <w:uiPriority w:val="0"/>
    <w:pPr>
      <w:widowControl/>
      <w:numPr>
        <w:ilvl w:val="0"/>
        <w:numId w:val="3"/>
      </w:numPr>
      <w:tabs>
        <w:tab w:val="left" w:pos="360"/>
      </w:tabs>
      <w:spacing w:before="60" w:after="60"/>
      <w:jc w:val="left"/>
    </w:pPr>
    <w:rPr>
      <w:rFonts w:ascii="Arial" w:hAnsi="Arial" w:eastAsia="Calibri" w:cs="宋体"/>
      <w:sz w:val="20"/>
      <w:szCs w:val="20"/>
      <w:lang w:val="zh-CN"/>
    </w:rPr>
  </w:style>
  <w:style w:type="paragraph" w:customStyle="1" w:styleId="643">
    <w:name w:val="Char1"/>
    <w:basedOn w:val="1"/>
    <w:qFormat/>
    <w:uiPriority w:val="0"/>
    <w:rPr>
      <w:rFonts w:ascii="仿宋_GB2312" w:hAnsi="宋体" w:eastAsia="仿宋_GB2312" w:cs="宋体"/>
      <w:b/>
      <w:sz w:val="32"/>
      <w:szCs w:val="32"/>
    </w:rPr>
  </w:style>
  <w:style w:type="paragraph" w:customStyle="1" w:styleId="644">
    <w:name w:val="zw"/>
    <w:basedOn w:val="1"/>
    <w:qFormat/>
    <w:uiPriority w:val="0"/>
    <w:pPr>
      <w:widowControl/>
      <w:spacing w:line="360" w:lineRule="auto"/>
      <w:ind w:firstLine="480"/>
      <w:jc w:val="left"/>
    </w:pPr>
    <w:rPr>
      <w:rFonts w:ascii="宋体" w:hAnsi="宋体"/>
      <w:bCs/>
      <w:sz w:val="24"/>
      <w:szCs w:val="20"/>
    </w:rPr>
  </w:style>
  <w:style w:type="paragraph" w:customStyle="1" w:styleId="645">
    <w:name w:val="a0"/>
    <w:basedOn w:val="1"/>
    <w:qFormat/>
    <w:uiPriority w:val="0"/>
    <w:pPr>
      <w:widowControl/>
      <w:spacing w:before="100" w:beforeAutospacing="1" w:after="100" w:afterAutospacing="1"/>
    </w:pPr>
    <w:rPr>
      <w:rFonts w:ascii="宋体" w:hAnsi="宋体" w:cs="宋体"/>
      <w:sz w:val="24"/>
    </w:rPr>
  </w:style>
  <w:style w:type="paragraph" w:customStyle="1" w:styleId="646">
    <w:name w:val="Char Char Char Char Char Char Char Char Char Char Char Char Char Char Char Char Char Char Char Char Char1"/>
    <w:basedOn w:val="1"/>
    <w:qFormat/>
    <w:uiPriority w:val="0"/>
    <w:rPr>
      <w:rFonts w:ascii="Tahoma" w:hAnsi="Tahoma"/>
      <w:sz w:val="24"/>
      <w:szCs w:val="20"/>
    </w:rPr>
  </w:style>
  <w:style w:type="paragraph" w:customStyle="1" w:styleId="647">
    <w:name w:val="Char Char Char Char Char Char Char Char Char Char Char Char Char Char1"/>
    <w:basedOn w:val="1"/>
    <w:qFormat/>
    <w:uiPriority w:val="0"/>
    <w:rPr>
      <w:rFonts w:ascii="Tahoma" w:hAnsi="Tahoma" w:cs="Tahoma"/>
      <w:sz w:val="24"/>
      <w:szCs w:val="20"/>
    </w:rPr>
  </w:style>
  <w:style w:type="paragraph" w:customStyle="1" w:styleId="648">
    <w:name w:val="纯文本1"/>
    <w:basedOn w:val="1"/>
    <w:qFormat/>
    <w:uiPriority w:val="0"/>
    <w:rPr>
      <w:rFonts w:ascii="宋体" w:hAnsi="宋体" w:eastAsia="楷体_GB2312" w:cs="宋体"/>
      <w:sz w:val="28"/>
      <w:szCs w:val="20"/>
    </w:rPr>
  </w:style>
  <w:style w:type="paragraph" w:customStyle="1" w:styleId="649">
    <w:name w:val="丁华标题1"/>
    <w:basedOn w:val="185"/>
    <w:next w:val="562"/>
    <w:qFormat/>
    <w:uiPriority w:val="0"/>
    <w:pPr>
      <w:numPr>
        <w:ilvl w:val="0"/>
        <w:numId w:val="4"/>
      </w:numPr>
      <w:tabs>
        <w:tab w:val="left" w:pos="567"/>
      </w:tabs>
      <w:spacing w:before="600" w:after="120" w:line="578" w:lineRule="auto"/>
      <w:jc w:val="left"/>
    </w:pPr>
    <w:rPr>
      <w:rFonts w:eastAsia="黑体"/>
      <w:b/>
      <w:bCs/>
      <w:sz w:val="32"/>
      <w:szCs w:val="20"/>
      <w:lang w:val="en-US" w:eastAsia="zh-CN"/>
    </w:rPr>
  </w:style>
  <w:style w:type="paragraph" w:customStyle="1" w:styleId="650">
    <w:name w:val="xl5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b/>
      <w:bCs/>
      <w:i/>
      <w:iCs/>
      <w:sz w:val="20"/>
      <w:szCs w:val="20"/>
    </w:rPr>
  </w:style>
  <w:style w:type="paragraph" w:customStyle="1" w:styleId="651">
    <w:name w:val="Normal Indent1"/>
    <w:basedOn w:val="1"/>
    <w:qFormat/>
    <w:uiPriority w:val="0"/>
    <w:pPr>
      <w:ind w:firstLine="420"/>
    </w:pPr>
    <w:rPr>
      <w:sz w:val="20"/>
      <w:szCs w:val="20"/>
    </w:rPr>
  </w:style>
  <w:style w:type="paragraph" w:customStyle="1" w:styleId="652">
    <w:name w:val="段落"/>
    <w:qFormat/>
    <w:uiPriority w:val="0"/>
    <w:pPr>
      <w:spacing w:before="120" w:after="120" w:line="360" w:lineRule="auto"/>
      <w:ind w:firstLine="480"/>
      <w:jc w:val="both"/>
    </w:pPr>
    <w:rPr>
      <w:rFonts w:hint="default" w:ascii="Times New Roman" w:hAnsi="Times New Roman" w:eastAsia="仿宋_GB2312" w:cs="Times New Roman"/>
      <w:sz w:val="24"/>
      <w:szCs w:val="24"/>
      <w:lang w:val="en-US" w:eastAsia="zh-CN" w:bidi="ar-SA"/>
    </w:rPr>
  </w:style>
  <w:style w:type="paragraph" w:customStyle="1" w:styleId="653">
    <w:name w:val="font10"/>
    <w:basedOn w:val="1"/>
    <w:qFormat/>
    <w:uiPriority w:val="0"/>
    <w:pPr>
      <w:widowControl/>
      <w:spacing w:before="100" w:beforeAutospacing="1" w:after="100" w:afterAutospacing="1"/>
      <w:jc w:val="left"/>
    </w:pPr>
    <w:rPr>
      <w:rFonts w:ascii="楷体_GB2312" w:hAnsi="宋体" w:eastAsia="楷体_GB2312" w:cs="宋体"/>
      <w:b/>
      <w:bCs/>
      <w:sz w:val="18"/>
      <w:szCs w:val="18"/>
    </w:rPr>
  </w:style>
  <w:style w:type="paragraph" w:customStyle="1" w:styleId="654">
    <w:name w:val=" Char Char Char Char Char Char Char Char Char"/>
    <w:basedOn w:val="1"/>
    <w:qFormat/>
    <w:uiPriority w:val="0"/>
    <w:pPr>
      <w:tabs>
        <w:tab w:val="left" w:pos="360"/>
      </w:tabs>
      <w:ind w:left="360" w:hanging="360"/>
    </w:pPr>
    <w:rPr>
      <w:rFonts w:ascii="Calibri" w:hAnsi="Calibri" w:eastAsia="Calibri" w:cs="宋体"/>
      <w:sz w:val="24"/>
      <w:lang w:val="zh-CN"/>
    </w:rPr>
  </w:style>
  <w:style w:type="paragraph" w:customStyle="1" w:styleId="655">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656">
    <w:name w:val="标题3"/>
    <w:basedOn w:val="187"/>
    <w:qFormat/>
    <w:uiPriority w:val="0"/>
    <w:pPr>
      <w:keepNext w:val="0"/>
      <w:keepLines w:val="0"/>
      <w:spacing w:before="0" w:after="0" w:line="360" w:lineRule="auto"/>
    </w:pPr>
    <w:rPr>
      <w:rFonts w:eastAsia="仿宋_GB2312"/>
      <w:b w:val="0"/>
      <w:sz w:val="30"/>
    </w:rPr>
  </w:style>
  <w:style w:type="paragraph" w:customStyle="1" w:styleId="657">
    <w:name w:val="font9"/>
    <w:basedOn w:val="1"/>
    <w:qFormat/>
    <w:uiPriority w:val="0"/>
    <w:pPr>
      <w:widowControl/>
      <w:spacing w:before="100" w:beforeAutospacing="1" w:after="100" w:afterAutospacing="1"/>
      <w:jc w:val="left"/>
    </w:pPr>
    <w:rPr>
      <w:b/>
      <w:bCs/>
      <w:sz w:val="20"/>
      <w:szCs w:val="20"/>
    </w:rPr>
  </w:style>
  <w:style w:type="paragraph" w:customStyle="1" w:styleId="658">
    <w:name w:val="Pa5"/>
    <w:basedOn w:val="1"/>
    <w:next w:val="1"/>
    <w:qFormat/>
    <w:uiPriority w:val="0"/>
    <w:pPr>
      <w:spacing w:line="241" w:lineRule="atLeast"/>
      <w:jc w:val="left"/>
    </w:pPr>
    <w:rPr>
      <w:rFonts w:ascii="HYDaHeiJ" w:eastAsia="HYDaHeiJ"/>
      <w:sz w:val="24"/>
    </w:rPr>
  </w:style>
  <w:style w:type="paragraph" w:customStyle="1" w:styleId="659">
    <w:name w:val="Char Char Char Char Char Char Char1"/>
    <w:basedOn w:val="1"/>
    <w:qFormat/>
    <w:uiPriority w:val="0"/>
    <w:rPr>
      <w:rFonts w:ascii="Tahoma" w:hAnsi="Tahoma"/>
      <w:sz w:val="24"/>
      <w:szCs w:val="20"/>
    </w:rPr>
  </w:style>
  <w:style w:type="paragraph" w:customStyle="1" w:styleId="660">
    <w:name w:val="样式 段后: 0.5 行 左  0.75 字符"/>
    <w:basedOn w:val="1"/>
    <w:qFormat/>
    <w:uiPriority w:val="0"/>
    <w:pPr>
      <w:widowControl/>
      <w:spacing w:line="360" w:lineRule="auto"/>
      <w:ind w:firstLine="420"/>
    </w:pPr>
    <w:rPr>
      <w:rFonts w:hAnsi="Arial" w:cs="Arial"/>
      <w:szCs w:val="21"/>
    </w:rPr>
  </w:style>
  <w:style w:type="paragraph" w:customStyle="1" w:styleId="661">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662">
    <w:name w:val="正文1"/>
    <w:basedOn w:val="1"/>
    <w:next w:val="1"/>
    <w:qFormat/>
    <w:uiPriority w:val="0"/>
    <w:pPr>
      <w:spacing w:before="156" w:line="360" w:lineRule="auto"/>
      <w:ind w:firstLine="510"/>
    </w:pPr>
    <w:rPr>
      <w:sz w:val="24"/>
      <w:szCs w:val="20"/>
    </w:rPr>
  </w:style>
  <w:style w:type="paragraph" w:customStyle="1" w:styleId="663">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664">
    <w:name w:val="论文正文"/>
    <w:basedOn w:val="234"/>
    <w:qFormat/>
    <w:uiPriority w:val="0"/>
    <w:pPr>
      <w:spacing w:line="360" w:lineRule="auto"/>
      <w:ind w:firstLine="200"/>
      <w:jc w:val="left"/>
    </w:pPr>
    <w:rPr>
      <w:rFonts w:ascii="Times New Roman" w:hAnsi="Times New Roman" w:eastAsia="仿宋_GB2312"/>
      <w:sz w:val="28"/>
    </w:rPr>
  </w:style>
  <w:style w:type="paragraph" w:customStyle="1" w:styleId="665">
    <w:name w:val=" Char Char1 Char"/>
    <w:basedOn w:val="1"/>
    <w:qFormat/>
    <w:uiPriority w:val="0"/>
    <w:pPr>
      <w:widowControl/>
      <w:spacing w:after="160" w:line="240" w:lineRule="exact"/>
      <w:jc w:val="left"/>
    </w:pPr>
    <w:rPr>
      <w:rFonts w:ascii="Verdana" w:hAnsi="Verdana" w:eastAsia="Calibri" w:cs="宋体"/>
      <w:sz w:val="20"/>
      <w:szCs w:val="20"/>
      <w:lang w:val="zh-CN" w:eastAsia="en-US"/>
    </w:rPr>
  </w:style>
  <w:style w:type="paragraph" w:customStyle="1" w:styleId="666">
    <w:name w:val="Char Char1 Char Char Char Char"/>
    <w:basedOn w:val="213"/>
    <w:qFormat/>
    <w:uiPriority w:val="0"/>
    <w:pPr>
      <w:spacing w:line="436" w:lineRule="exact"/>
      <w:ind w:left="357"/>
      <w:jc w:val="left"/>
      <w:outlineLvl w:val="3"/>
    </w:pPr>
    <w:rPr>
      <w:rFonts w:ascii="Tahoma" w:hAnsi="Tahoma" w:cs="Tahoma"/>
      <w:b/>
      <w:sz w:val="24"/>
    </w:rPr>
  </w:style>
  <w:style w:type="paragraph" w:customStyle="1" w:styleId="667">
    <w:name w:val="样式2"/>
    <w:basedOn w:val="1"/>
    <w:qFormat/>
    <w:uiPriority w:val="0"/>
    <w:pPr>
      <w:spacing w:line="360" w:lineRule="auto"/>
      <w:ind w:left="200"/>
    </w:pPr>
    <w:rPr>
      <w:rFonts w:ascii="宋体" w:hAnsi="宋体"/>
      <w:b/>
      <w:sz w:val="24"/>
    </w:rPr>
  </w:style>
  <w:style w:type="paragraph" w:customStyle="1" w:styleId="668">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669">
    <w:name w:val=" Char Char Char Char Char"/>
    <w:basedOn w:val="1"/>
    <w:qFormat/>
    <w:uiPriority w:val="0"/>
    <w:rPr>
      <w:rFonts w:ascii="Tahoma" w:hAnsi="Tahoma" w:eastAsia="Calibri" w:cs="宋体"/>
      <w:sz w:val="24"/>
      <w:szCs w:val="20"/>
      <w:lang w:val="zh-CN"/>
    </w:rPr>
  </w:style>
  <w:style w:type="paragraph" w:customStyle="1" w:styleId="670">
    <w:name w:val="TOC 标题"/>
    <w:basedOn w:val="185"/>
    <w:next w:val="1"/>
    <w:qFormat/>
    <w:uiPriority w:val="39"/>
    <w:pPr>
      <w:spacing w:line="578" w:lineRule="auto"/>
      <w:outlineLvl w:val="9"/>
    </w:pPr>
    <w:rPr>
      <w:lang w:val="en-US" w:eastAsia="zh-CN"/>
    </w:rPr>
  </w:style>
  <w:style w:type="paragraph" w:customStyle="1" w:styleId="671">
    <w:name w:val="标题1，章节第一层"/>
    <w:basedOn w:val="443"/>
    <w:next w:val="443"/>
    <w:qFormat/>
    <w:uiPriority w:val="0"/>
    <w:pPr>
      <w:tabs>
        <w:tab w:val="left" w:pos="693"/>
      </w:tabs>
      <w:ind w:left="482"/>
      <w:outlineLvl w:val="0"/>
    </w:pPr>
    <w:rPr>
      <w:color w:val="000000"/>
      <w:sz w:val="24"/>
      <w:szCs w:val="24"/>
    </w:rPr>
  </w:style>
  <w:style w:type="paragraph" w:customStyle="1" w:styleId="672">
    <w:name w:val="xl62"/>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673">
    <w:name w:val="样式1"/>
    <w:basedOn w:val="1"/>
    <w:qFormat/>
    <w:uiPriority w:val="0"/>
    <w:pPr>
      <w:spacing w:line="300" w:lineRule="auto"/>
      <w:ind w:firstLine="480"/>
    </w:pPr>
    <w:rPr>
      <w:sz w:val="24"/>
    </w:rPr>
  </w:style>
  <w:style w:type="paragraph" w:customStyle="1" w:styleId="674">
    <w:name w:val="Char11"/>
    <w:basedOn w:val="1"/>
    <w:qFormat/>
    <w:uiPriority w:val="0"/>
    <w:rPr>
      <w:rFonts w:ascii="仿宋_GB2312" w:eastAsia="仿宋_GB2312"/>
      <w:b/>
      <w:sz w:val="32"/>
      <w:szCs w:val="32"/>
    </w:rPr>
  </w:style>
  <w:style w:type="paragraph" w:customStyle="1" w:styleId="675">
    <w:name w:val="丁华标题3"/>
    <w:basedOn w:val="640"/>
    <w:next w:val="562"/>
    <w:qFormat/>
    <w:uiPriority w:val="0"/>
    <w:pPr>
      <w:numPr>
        <w:ilvl w:val="2"/>
        <w:numId w:val="4"/>
      </w:numPr>
      <w:tabs>
        <w:tab w:val="left" w:pos="1470"/>
        <w:tab w:val="left" w:pos="1980"/>
      </w:tabs>
      <w:spacing w:after="0" w:line="415" w:lineRule="auto"/>
      <w:ind w:left="1980" w:hanging="420"/>
      <w:outlineLvl w:val="2"/>
    </w:pPr>
    <w:rPr>
      <w:b w:val="0"/>
      <w:bCs w:val="0"/>
      <w:color w:val="000000"/>
      <w:sz w:val="24"/>
      <w:lang w:val="en-US" w:eastAsia="zh-CN"/>
    </w:rPr>
  </w:style>
  <w:style w:type="paragraph" w:customStyle="1" w:styleId="676">
    <w:name w:val="列表内容"/>
    <w:basedOn w:val="1"/>
    <w:next w:val="1"/>
    <w:qFormat/>
    <w:uiPriority w:val="0"/>
    <w:pPr>
      <w:widowControl/>
      <w:tabs>
        <w:tab w:val="left" w:pos="840"/>
      </w:tabs>
      <w:ind w:left="840" w:hanging="420"/>
      <w:jc w:val="left"/>
    </w:pPr>
    <w:rPr>
      <w:sz w:val="18"/>
    </w:rPr>
  </w:style>
  <w:style w:type="paragraph" w:customStyle="1" w:styleId="677">
    <w:name w:val="表头_5"/>
    <w:basedOn w:val="1"/>
    <w:qFormat/>
    <w:uiPriority w:val="0"/>
    <w:pPr>
      <w:spacing w:line="360" w:lineRule="auto"/>
    </w:pPr>
    <w:rPr>
      <w:b/>
      <w:bCs/>
      <w:sz w:val="28"/>
      <w:szCs w:val="21"/>
    </w:rPr>
  </w:style>
  <w:style w:type="paragraph" w:customStyle="1" w:styleId="678">
    <w:name w:val="小四 段落 宋体"/>
    <w:basedOn w:val="211"/>
    <w:qFormat/>
    <w:uiPriority w:val="0"/>
    <w:pPr>
      <w:tabs>
        <w:tab w:val="clear" w:pos="2952"/>
      </w:tabs>
      <w:spacing w:line="360" w:lineRule="auto"/>
      <w:ind w:left="113" w:right="113" w:firstLine="425"/>
      <w:jc w:val="left"/>
    </w:pPr>
    <w:rPr>
      <w:sz w:val="24"/>
    </w:rPr>
  </w:style>
  <w:style w:type="paragraph" w:customStyle="1" w:styleId="679">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b/>
      <w:bCs/>
      <w:i/>
      <w:iCs/>
      <w:sz w:val="20"/>
      <w:szCs w:val="20"/>
    </w:rPr>
  </w:style>
  <w:style w:type="paragraph" w:customStyle="1" w:styleId="680">
    <w:name w:val="附录1"/>
    <w:qFormat/>
    <w:uiPriority w:val="0"/>
    <w:pPr>
      <w:tabs>
        <w:tab w:val="left" w:pos="907"/>
      </w:tabs>
      <w:spacing w:before="240" w:line="600" w:lineRule="atLeast"/>
      <w:ind w:left="902" w:hanging="420"/>
    </w:pPr>
    <w:rPr>
      <w:rFonts w:hint="default" w:ascii="Times New Roman" w:hAnsi="Times New Roman" w:eastAsia="宋体" w:cs="Times New Roman"/>
      <w:b/>
      <w:i/>
      <w:sz w:val="28"/>
      <w:lang w:val="en-US" w:eastAsia="zh-CN" w:bidi="ar-SA"/>
    </w:rPr>
  </w:style>
  <w:style w:type="paragraph" w:customStyle="1" w:styleId="681">
    <w:name w:val="二级目录"/>
    <w:next w:val="1"/>
    <w:qFormat/>
    <w:uiPriority w:val="0"/>
    <w:pPr>
      <w:tabs>
        <w:tab w:val="left" w:pos="360"/>
        <w:tab w:val="left" w:pos="1145"/>
      </w:tabs>
      <w:outlineLvl w:val="1"/>
    </w:pPr>
    <w:rPr>
      <w:rFonts w:hint="default" w:ascii="Times New Roman" w:hAnsi="Times New Roman" w:eastAsia="宋体" w:cs="Times New Roman"/>
      <w:b/>
      <w:sz w:val="30"/>
      <w:szCs w:val="28"/>
      <w:lang w:val="en-US" w:eastAsia="zh-CN" w:bidi="ar-SA"/>
    </w:rPr>
  </w:style>
  <w:style w:type="paragraph" w:customStyle="1" w:styleId="682">
    <w:name w:val="Char Char"/>
    <w:basedOn w:val="1"/>
    <w:qFormat/>
    <w:uiPriority w:val="0"/>
    <w:rPr>
      <w:rFonts w:ascii="Tahoma" w:hAnsi="Tahoma"/>
      <w:sz w:val="24"/>
      <w:szCs w:val="20"/>
    </w:rPr>
  </w:style>
  <w:style w:type="paragraph" w:customStyle="1" w:styleId="683">
    <w:name w:val="Normal11"/>
    <w:basedOn w:val="1"/>
    <w:qFormat/>
    <w:uiPriority w:val="0"/>
    <w:rPr>
      <w:rFonts w:ascii="Calibri" w:hAnsi="Calibri" w:eastAsia="Calibri" w:cs="宋体"/>
      <w:sz w:val="20"/>
      <w:szCs w:val="20"/>
      <w:lang w:val="zh-CN"/>
    </w:rPr>
  </w:style>
  <w:style w:type="paragraph" w:customStyle="1" w:styleId="684">
    <w:name w:val=" Char Char Char Char Char Char Char"/>
    <w:basedOn w:val="1"/>
    <w:qFormat/>
    <w:uiPriority w:val="0"/>
    <w:rPr>
      <w:rFonts w:ascii="Tahoma" w:hAnsi="Tahoma" w:eastAsia="Calibri" w:cs="宋体"/>
      <w:sz w:val="24"/>
      <w:szCs w:val="20"/>
      <w:lang w:val="zh-CN"/>
    </w:rPr>
  </w:style>
  <w:style w:type="paragraph" w:customStyle="1" w:styleId="685">
    <w:name w:val="Char Char Char Char Char Char Char"/>
    <w:basedOn w:val="1"/>
    <w:qFormat/>
    <w:uiPriority w:val="0"/>
    <w:pPr>
      <w:jc w:val="left"/>
    </w:pPr>
    <w:rPr>
      <w:rFonts w:ascii="Tahoma" w:hAnsi="Tahoma"/>
      <w:sz w:val="24"/>
      <w:szCs w:val="20"/>
    </w:rPr>
  </w:style>
  <w:style w:type="paragraph" w:customStyle="1" w:styleId="686">
    <w:name w:val="Char"/>
    <w:basedOn w:val="1"/>
    <w:qFormat/>
    <w:uiPriority w:val="0"/>
    <w:pPr>
      <w:spacing w:line="360" w:lineRule="auto"/>
    </w:pPr>
    <w:rPr>
      <w:rFonts w:ascii="Tahoma" w:hAnsi="Tahoma"/>
      <w:sz w:val="24"/>
      <w:szCs w:val="20"/>
    </w:rPr>
  </w:style>
  <w:style w:type="paragraph" w:customStyle="1" w:styleId="687">
    <w:name w:val="普通文字"/>
    <w:basedOn w:val="1"/>
    <w:next w:val="1"/>
    <w:qFormat/>
    <w:uiPriority w:val="0"/>
    <w:rPr>
      <w:rFonts w:ascii="宋体" w:hAnsi="宋体" w:cs="宋体"/>
      <w:sz w:val="24"/>
      <w:szCs w:val="20"/>
    </w:rPr>
  </w:style>
  <w:style w:type="paragraph" w:customStyle="1" w:styleId="688">
    <w:name w:val="Char Char110"/>
    <w:basedOn w:val="1"/>
    <w:qFormat/>
    <w:uiPriority w:val="0"/>
    <w:rPr>
      <w:rFonts w:ascii="Tahoma" w:hAnsi="Tahoma" w:cs="Tahoma"/>
      <w:sz w:val="24"/>
      <w:szCs w:val="20"/>
    </w:rPr>
  </w:style>
  <w:style w:type="paragraph" w:customStyle="1" w:styleId="689">
    <w:name w:val="xl48"/>
    <w:basedOn w:val="1"/>
    <w:qFormat/>
    <w:uiPriority w:val="0"/>
    <w:pPr>
      <w:widowControl/>
      <w:pBdr>
        <w:top w:val="single" w:color="000000" w:sz="4" w:space="0"/>
        <w:left w:val="single" w:color="000000" w:sz="4" w:space="0"/>
        <w:right w:val="single" w:color="000000" w:sz="4" w:space="0"/>
      </w:pBdr>
      <w:spacing w:before="100" w:beforeAutospacing="1" w:after="100" w:afterAutospacing="1"/>
      <w:jc w:val="center"/>
    </w:pPr>
    <w:rPr>
      <w:b/>
      <w:bCs/>
      <w:sz w:val="20"/>
      <w:szCs w:val="20"/>
    </w:rPr>
  </w:style>
  <w:style w:type="paragraph" w:customStyle="1" w:styleId="690">
    <w:name w:val="xl53"/>
    <w:basedOn w:val="1"/>
    <w:qFormat/>
    <w:uiPriority w:val="0"/>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b/>
      <w:bCs/>
      <w:i/>
      <w:iCs/>
      <w:sz w:val="20"/>
      <w:szCs w:val="20"/>
    </w:rPr>
  </w:style>
  <w:style w:type="paragraph" w:customStyle="1" w:styleId="691">
    <w:name w:val="项目符号：一级"/>
    <w:basedOn w:val="443"/>
    <w:next w:val="443"/>
    <w:qFormat/>
    <w:uiPriority w:val="0"/>
    <w:pPr>
      <w:ind w:right="-134"/>
    </w:pPr>
    <w:rPr>
      <w:bCs w:val="0"/>
    </w:rPr>
  </w:style>
  <w:style w:type="paragraph" w:customStyle="1" w:styleId="692">
    <w:name w:val="Default Text"/>
    <w:basedOn w:val="1"/>
    <w:qFormat/>
    <w:uiPriority w:val="0"/>
    <w:pPr>
      <w:widowControl/>
      <w:jc w:val="left"/>
    </w:pPr>
    <w:rPr>
      <w:sz w:val="24"/>
      <w:szCs w:val="20"/>
      <w:lang w:eastAsia="en-US"/>
    </w:rPr>
  </w:style>
  <w:style w:type="paragraph" w:customStyle="1" w:styleId="693">
    <w:name w:val="Heading #2|1"/>
    <w:basedOn w:val="1"/>
    <w:qFormat/>
    <w:uiPriority w:val="0"/>
    <w:pPr>
      <w:spacing w:after="500" w:line="571" w:lineRule="exact"/>
      <w:jc w:val="center"/>
      <w:outlineLvl w:val="1"/>
    </w:pPr>
    <w:rPr>
      <w:rFonts w:ascii="宋体" w:hAnsi="宋体" w:cs="宋体"/>
      <w:sz w:val="34"/>
      <w:szCs w:val="34"/>
      <w:lang w:val="zh-TW" w:eastAsia="zh-TW" w:bidi="zh-TW"/>
    </w:rPr>
  </w:style>
  <w:style w:type="paragraph" w:customStyle="1" w:styleId="694">
    <w:name w:val="Body text|1"/>
    <w:basedOn w:val="1"/>
    <w:qFormat/>
    <w:uiPriority w:val="0"/>
    <w:pPr>
      <w:spacing w:line="400" w:lineRule="auto"/>
      <w:ind w:firstLine="400"/>
      <w:jc w:val="left"/>
    </w:pPr>
    <w:rPr>
      <w:rFonts w:ascii="宋体" w:hAnsi="宋体" w:cs="宋体"/>
      <w:sz w:val="28"/>
      <w:szCs w:val="28"/>
      <w:lang w:val="zh-TW" w:eastAsia="zh-TW" w:bidi="zh-TW"/>
    </w:rPr>
  </w:style>
  <w:style w:type="paragraph" w:customStyle="1" w:styleId="695">
    <w:name w:val="BodyText1"/>
    <w:basedOn w:val="1"/>
    <w:qFormat/>
    <w:uiPriority w:val="0"/>
    <w:pPr>
      <w:spacing w:line="500" w:lineRule="exact"/>
    </w:pPr>
    <w:rPr>
      <w:rFonts w:ascii="Calibri" w:hAnsi="Calibri" w:eastAsia="楷体_GB2312"/>
      <w:sz w:val="30"/>
      <w:szCs w:val="30"/>
    </w:rPr>
  </w:style>
  <w:style w:type="character" w:customStyle="1" w:styleId="696">
    <w:name w:val="font01"/>
    <w:link w:val="1"/>
    <w:qFormat/>
    <w:uiPriority w:val="0"/>
    <w:rPr>
      <w:rFonts w:hint="eastAsia" w:ascii="宋体" w:hAnsi="宋体" w:eastAsia="宋体" w:cs="宋体"/>
      <w:color w:val="000000"/>
      <w:sz w:val="22"/>
      <w:szCs w:val="22"/>
      <w:u w:val="none"/>
    </w:rPr>
  </w:style>
  <w:style w:type="paragraph" w:customStyle="1" w:styleId="697">
    <w:name w:val="_Style 32"/>
    <w:basedOn w:val="1"/>
    <w:next w:val="588"/>
    <w:qFormat/>
    <w:uiPriority w:val="0"/>
    <w:pPr>
      <w:widowControl w:val="0"/>
      <w:ind w:firstLine="420"/>
      <w:jc w:val="both"/>
    </w:pPr>
    <w:rPr>
      <w:rFonts w:eastAsia="宋体" w:cs="Times New Roman"/>
      <w:color w:val="000000"/>
      <w:sz w:val="21"/>
      <w:lang w:val="zh-CN"/>
    </w:rPr>
  </w:style>
  <w:style w:type="paragraph" w:customStyle="1" w:styleId="698">
    <w:name w:val="格式10"/>
    <w:basedOn w:val="1"/>
    <w:qFormat/>
    <w:uiPriority w:val="0"/>
    <w:pPr>
      <w:spacing w:line="360" w:lineRule="exact"/>
      <w:ind w:left="480"/>
    </w:pPr>
    <w:rPr>
      <w:sz w:val="24"/>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Company>
  <Pages>98</Pages>
  <Words>8826</Words>
  <Characters>9387</Characters>
  <TotalTime>0</TotalTime>
  <ScaleCrop>false</ScaleCrop>
  <LinksUpToDate>false</LinksUpToDate>
  <CharactersWithSpaces>9402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2021-10-19T06:56:00Z</dcterms:created>
  <dc:creator>吴</dc:creator>
  <cp:lastModifiedBy>Z.</cp:lastModifiedBy>
  <dcterms:modified xsi:type="dcterms:W3CDTF">2026-05-26T08:12:45Z</dcterms:modified>
  <dc:title>公开招</dc:title>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eyJoZGlkIjoiYzliOTZjZjk2YzUzOGMyZDgyZDRmY2NjZjYzYjViNzYiLCJ1c2VySWQiOiI1MzU0NzA1NDcifQ==</vt:lpwstr>
  </property>
  <property fmtid="{D5CDD505-2E9C-101B-9397-08002B2CF9AE}" pid="4" name="ICV">
    <vt:lpwstr>B82077827A0943F5B4897AB0BFD6AE8F_13</vt:lpwstr>
  </property>
</Properties>
</file>