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0CF10">
      <w:pPr>
        <w:spacing w:line="400" w:lineRule="exact"/>
        <w:ind w:firstLine="964" w:firstLineChars="200"/>
        <w:jc w:val="center"/>
        <w:rPr>
          <w:rFonts w:ascii="Times New Roman" w:hAnsi="Times New Roman"/>
          <w:b/>
          <w:color w:val="auto"/>
          <w:sz w:val="48"/>
          <w:szCs w:val="48"/>
          <w:highlight w:val="none"/>
        </w:rPr>
      </w:pPr>
    </w:p>
    <w:p w14:paraId="7B4B990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04226F7E">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4A238A67">
      <w:pPr>
        <w:spacing w:line="400" w:lineRule="exact"/>
        <w:jc w:val="center"/>
        <w:rPr>
          <w:rFonts w:ascii="Times New Roman" w:hAnsi="Times New Roman"/>
          <w:b/>
          <w:bCs/>
          <w:color w:val="auto"/>
          <w:kern w:val="0"/>
          <w:sz w:val="32"/>
          <w:szCs w:val="24"/>
          <w:highlight w:val="none"/>
        </w:rPr>
      </w:pPr>
    </w:p>
    <w:p w14:paraId="7EC72031">
      <w:pPr>
        <w:spacing w:line="400" w:lineRule="exact"/>
        <w:jc w:val="center"/>
        <w:rPr>
          <w:rFonts w:ascii="Times New Roman" w:hAnsi="Times New Roman"/>
          <w:b/>
          <w:bCs/>
          <w:color w:val="auto"/>
          <w:kern w:val="0"/>
          <w:sz w:val="32"/>
          <w:szCs w:val="24"/>
          <w:highlight w:val="none"/>
        </w:rPr>
      </w:pPr>
    </w:p>
    <w:p w14:paraId="48212006">
      <w:pPr>
        <w:spacing w:line="400" w:lineRule="exact"/>
        <w:jc w:val="center"/>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w:t>
      </w:r>
      <w:r>
        <w:rPr>
          <w:rFonts w:ascii="Times New Roman" w:hAnsi="Times New Roman"/>
          <w:b/>
          <w:bCs/>
          <w:color w:val="auto"/>
          <w:kern w:val="0"/>
          <w:sz w:val="32"/>
          <w:szCs w:val="24"/>
          <w:highlight w:val="none"/>
        </w:rPr>
        <w:t>202</w:t>
      </w:r>
      <w:r>
        <w:rPr>
          <w:rFonts w:hint="eastAsia" w:ascii="Times New Roman" w:hAnsi="Times New Roman"/>
          <w:b/>
          <w:bCs/>
          <w:color w:val="auto"/>
          <w:kern w:val="0"/>
          <w:sz w:val="32"/>
          <w:szCs w:val="24"/>
          <w:highlight w:val="none"/>
        </w:rPr>
        <w:t>6</w:t>
      </w:r>
      <w:r>
        <w:rPr>
          <w:rFonts w:ascii="Times New Roman" w:hAnsi="Times New Roman"/>
          <w:b/>
          <w:bCs/>
          <w:color w:val="auto"/>
          <w:kern w:val="0"/>
          <w:sz w:val="32"/>
          <w:szCs w:val="24"/>
          <w:highlight w:val="none"/>
        </w:rPr>
        <w:t>-202</w:t>
      </w:r>
      <w:r>
        <w:rPr>
          <w:rFonts w:hint="eastAsia" w:ascii="Times New Roman" w:hAnsi="Times New Roman"/>
          <w:b/>
          <w:bCs/>
          <w:color w:val="auto"/>
          <w:kern w:val="0"/>
          <w:sz w:val="32"/>
          <w:szCs w:val="24"/>
          <w:highlight w:val="none"/>
        </w:rPr>
        <w:t>7</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rPr>
        <w:t>耕地占补平衡竣工验收管</w:t>
      </w:r>
      <w:r>
        <w:rPr>
          <w:rFonts w:ascii="Times New Roman" w:hAnsi="Times New Roman"/>
          <w:b/>
          <w:bCs/>
          <w:color w:val="auto"/>
          <w:kern w:val="0"/>
          <w:sz w:val="32"/>
          <w:szCs w:val="24"/>
          <w:highlight w:val="none"/>
        </w:rPr>
        <w:t>理服务</w:t>
      </w:r>
      <w:r>
        <w:rPr>
          <w:rFonts w:hint="eastAsia" w:ascii="Times New Roman" w:hAnsi="Times New Roman"/>
          <w:b/>
          <w:bCs/>
          <w:color w:val="auto"/>
          <w:kern w:val="0"/>
          <w:sz w:val="32"/>
          <w:szCs w:val="24"/>
          <w:highlight w:val="none"/>
        </w:rPr>
        <w:t>项目</w:t>
      </w:r>
    </w:p>
    <w:p w14:paraId="366C103B">
      <w:pPr>
        <w:adjustRightInd w:val="0"/>
        <w:spacing w:before="120" w:after="120" w:line="360" w:lineRule="auto"/>
        <w:ind w:firstLine="321" w:firstLineChars="1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JSZC-320623-HSGL-C2026-0013</w:t>
      </w:r>
    </w:p>
    <w:p w14:paraId="49600A7A">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40CB40F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DB55F8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19904B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EBD18D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2C07E24">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9A73C5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B6585C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841E715">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18E46FE">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E79E6B1">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50B1E59">
      <w:pPr>
        <w:adjustRightInd w:val="0"/>
        <w:spacing w:before="120" w:after="120" w:line="400" w:lineRule="exact"/>
        <w:ind w:firstLine="723" w:firstLineChars="200"/>
        <w:jc w:val="center"/>
        <w:textAlignment w:val="baseline"/>
        <w:rPr>
          <w:rFonts w:ascii="宋体" w:hAnsi="宋体"/>
          <w:b/>
          <w:bCs/>
          <w:color w:val="auto"/>
          <w:sz w:val="36"/>
          <w:szCs w:val="36"/>
          <w:highlight w:val="none"/>
          <w:u w:val="none"/>
        </w:rPr>
      </w:pPr>
      <w:r>
        <w:rPr>
          <w:rFonts w:hint="eastAsia" w:ascii="宋体" w:hAnsi="宋体"/>
          <w:b/>
          <w:bCs/>
          <w:color w:val="auto"/>
          <w:sz w:val="36"/>
          <w:szCs w:val="36"/>
          <w:highlight w:val="none"/>
          <w:u w:val="none"/>
        </w:rPr>
        <w:t>如东县自然资源和规划局</w:t>
      </w:r>
    </w:p>
    <w:p w14:paraId="491320C8">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u w:val="none"/>
        </w:rPr>
      </w:pPr>
      <w:r>
        <w:rPr>
          <w:rFonts w:ascii="Times New Roman" w:hAnsi="Times New Roman"/>
          <w:b/>
          <w:bCs/>
          <w:color w:val="auto"/>
          <w:kern w:val="0"/>
          <w:sz w:val="32"/>
          <w:szCs w:val="24"/>
          <w:highlight w:val="none"/>
          <w:u w:val="none"/>
        </w:rPr>
        <w:t>2026年</w:t>
      </w:r>
      <w:r>
        <w:rPr>
          <w:rFonts w:hint="eastAsia" w:ascii="Times New Roman" w:hAnsi="Times New Roman"/>
          <w:b/>
          <w:bCs/>
          <w:color w:val="auto"/>
          <w:kern w:val="0"/>
          <w:sz w:val="32"/>
          <w:szCs w:val="24"/>
          <w:highlight w:val="none"/>
          <w:u w:val="none"/>
        </w:rPr>
        <w:t>3</w:t>
      </w:r>
      <w:r>
        <w:rPr>
          <w:rFonts w:ascii="Times New Roman" w:hAnsi="Times New Roman"/>
          <w:b/>
          <w:bCs/>
          <w:color w:val="auto"/>
          <w:kern w:val="0"/>
          <w:sz w:val="32"/>
          <w:szCs w:val="24"/>
          <w:highlight w:val="none"/>
          <w:u w:val="none"/>
        </w:rPr>
        <w:t>月</w:t>
      </w:r>
    </w:p>
    <w:p w14:paraId="0A8E52B6">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20823272"/>
      <w:bookmarkStart w:id="2" w:name="_Toc16938516"/>
      <w:bookmarkStart w:id="3" w:name="_Toc479757206"/>
      <w:bookmarkStart w:id="4" w:name="_Toc523127445"/>
      <w:bookmarkStart w:id="5" w:name="_Toc513029200"/>
    </w:p>
    <w:p w14:paraId="24E30E45">
      <w:pPr>
        <w:spacing w:line="400" w:lineRule="exact"/>
        <w:ind w:firstLine="723" w:firstLineChars="200"/>
        <w:jc w:val="center"/>
        <w:outlineLvl w:val="0"/>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总目录</w:t>
      </w:r>
    </w:p>
    <w:p w14:paraId="055BDD8B">
      <w:pPr>
        <w:spacing w:line="400" w:lineRule="exact"/>
        <w:ind w:firstLine="562" w:firstLineChars="200"/>
        <w:rPr>
          <w:rFonts w:ascii="Times New Roman" w:hAnsi="Times New Roman" w:eastAsia="仿宋_GB2312"/>
          <w:b/>
          <w:color w:val="auto"/>
          <w:sz w:val="28"/>
          <w:szCs w:val="21"/>
          <w:highlight w:val="none"/>
        </w:rPr>
      </w:pPr>
    </w:p>
    <w:p w14:paraId="22780B35">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0C5F8DDC">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75601B5A">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0CA2DA26">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rPr>
        <w:t>18</w:t>
      </w:r>
    </w:p>
    <w:p w14:paraId="6359C697">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rPr>
        <w:t>7</w:t>
      </w:r>
    </w:p>
    <w:p w14:paraId="4F905AEE">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响应文件格式………………………………3</w:t>
      </w:r>
      <w:r>
        <w:rPr>
          <w:rFonts w:hint="eastAsia" w:ascii="Times New Roman" w:hAnsi="Times New Roman" w:eastAsia="黑体"/>
          <w:color w:val="auto"/>
          <w:sz w:val="36"/>
          <w:szCs w:val="21"/>
          <w:highlight w:val="none"/>
        </w:rPr>
        <w:t>1</w:t>
      </w:r>
    </w:p>
    <w:p w14:paraId="403FA725">
      <w:pPr>
        <w:spacing w:line="400" w:lineRule="exact"/>
        <w:ind w:firstLine="420" w:firstLineChars="200"/>
        <w:rPr>
          <w:rFonts w:ascii="Times New Roman" w:hAnsi="Times New Roman"/>
          <w:color w:val="auto"/>
          <w:szCs w:val="21"/>
          <w:highlight w:val="none"/>
        </w:rPr>
      </w:pPr>
    </w:p>
    <w:p w14:paraId="47049548">
      <w:pPr>
        <w:spacing w:line="400" w:lineRule="exact"/>
        <w:ind w:firstLine="420" w:firstLineChars="200"/>
        <w:rPr>
          <w:rFonts w:ascii="Times New Roman" w:hAnsi="Times New Roman"/>
          <w:color w:val="auto"/>
          <w:szCs w:val="21"/>
          <w:highlight w:val="none"/>
        </w:rPr>
      </w:pPr>
    </w:p>
    <w:p w14:paraId="252C83CD">
      <w:pPr>
        <w:spacing w:line="400" w:lineRule="exact"/>
        <w:ind w:firstLine="420" w:firstLineChars="200"/>
        <w:rPr>
          <w:rFonts w:ascii="Times New Roman" w:hAnsi="Times New Roman"/>
          <w:color w:val="auto"/>
          <w:szCs w:val="21"/>
          <w:highlight w:val="none"/>
        </w:rPr>
      </w:pPr>
    </w:p>
    <w:p w14:paraId="745F6C49">
      <w:pPr>
        <w:spacing w:line="400" w:lineRule="exact"/>
        <w:ind w:firstLine="420" w:firstLineChars="200"/>
        <w:rPr>
          <w:rFonts w:ascii="Times New Roman" w:hAnsi="Times New Roman"/>
          <w:color w:val="auto"/>
          <w:szCs w:val="21"/>
          <w:highlight w:val="none"/>
        </w:rPr>
      </w:pPr>
    </w:p>
    <w:p w14:paraId="3F506956">
      <w:pPr>
        <w:spacing w:line="400" w:lineRule="exact"/>
        <w:ind w:firstLine="420" w:firstLineChars="200"/>
        <w:rPr>
          <w:rFonts w:ascii="Times New Roman" w:hAnsi="Times New Roman"/>
          <w:color w:val="auto"/>
          <w:szCs w:val="21"/>
          <w:highlight w:val="none"/>
        </w:rPr>
      </w:pPr>
    </w:p>
    <w:p w14:paraId="5FDB9B09">
      <w:pPr>
        <w:spacing w:line="400" w:lineRule="exact"/>
        <w:ind w:firstLine="420" w:firstLineChars="200"/>
        <w:rPr>
          <w:rFonts w:ascii="Times New Roman" w:hAnsi="Times New Roman"/>
          <w:color w:val="auto"/>
          <w:szCs w:val="21"/>
          <w:highlight w:val="none"/>
        </w:rPr>
      </w:pPr>
    </w:p>
    <w:p w14:paraId="76D855FC">
      <w:pPr>
        <w:spacing w:line="400" w:lineRule="exact"/>
        <w:ind w:firstLine="420" w:firstLineChars="200"/>
        <w:rPr>
          <w:rFonts w:ascii="Times New Roman" w:hAnsi="Times New Roman"/>
          <w:color w:val="auto"/>
          <w:szCs w:val="21"/>
          <w:highlight w:val="none"/>
        </w:rPr>
      </w:pPr>
    </w:p>
    <w:p w14:paraId="7982BBB9">
      <w:pPr>
        <w:spacing w:line="400" w:lineRule="exact"/>
        <w:ind w:firstLine="420" w:firstLineChars="200"/>
        <w:rPr>
          <w:rFonts w:ascii="Times New Roman" w:hAnsi="Times New Roman"/>
          <w:color w:val="auto"/>
          <w:szCs w:val="21"/>
          <w:highlight w:val="none"/>
        </w:rPr>
      </w:pPr>
    </w:p>
    <w:p w14:paraId="5A8EEF42">
      <w:pPr>
        <w:spacing w:line="400" w:lineRule="exact"/>
        <w:ind w:firstLine="420" w:firstLineChars="200"/>
        <w:rPr>
          <w:rFonts w:ascii="Times New Roman" w:hAnsi="Times New Roman"/>
          <w:color w:val="auto"/>
          <w:szCs w:val="21"/>
          <w:highlight w:val="none"/>
        </w:rPr>
      </w:pPr>
    </w:p>
    <w:p w14:paraId="74C1260B">
      <w:pPr>
        <w:spacing w:line="400" w:lineRule="exact"/>
        <w:ind w:firstLine="420" w:firstLineChars="200"/>
        <w:rPr>
          <w:rFonts w:ascii="Times New Roman" w:hAnsi="Times New Roman"/>
          <w:color w:val="auto"/>
          <w:szCs w:val="21"/>
          <w:highlight w:val="none"/>
        </w:rPr>
      </w:pPr>
    </w:p>
    <w:p w14:paraId="72F9DAB1">
      <w:pPr>
        <w:spacing w:line="400" w:lineRule="exact"/>
        <w:ind w:firstLine="420" w:firstLineChars="200"/>
        <w:rPr>
          <w:rFonts w:ascii="Times New Roman" w:hAnsi="Times New Roman"/>
          <w:color w:val="auto"/>
          <w:szCs w:val="21"/>
          <w:highlight w:val="none"/>
        </w:rPr>
      </w:pPr>
    </w:p>
    <w:p w14:paraId="3AF03102">
      <w:pPr>
        <w:spacing w:line="400" w:lineRule="exact"/>
        <w:ind w:firstLine="420" w:firstLineChars="200"/>
        <w:rPr>
          <w:rFonts w:ascii="Times New Roman" w:hAnsi="Times New Roman"/>
          <w:color w:val="auto"/>
          <w:szCs w:val="21"/>
          <w:highlight w:val="none"/>
        </w:rPr>
      </w:pPr>
    </w:p>
    <w:p w14:paraId="08830312">
      <w:pPr>
        <w:spacing w:line="400" w:lineRule="exact"/>
        <w:ind w:firstLine="420" w:firstLineChars="200"/>
        <w:rPr>
          <w:rFonts w:ascii="Times New Roman" w:hAnsi="Times New Roman"/>
          <w:color w:val="auto"/>
          <w:szCs w:val="21"/>
          <w:highlight w:val="none"/>
        </w:rPr>
      </w:pPr>
    </w:p>
    <w:p w14:paraId="487C86E4">
      <w:pPr>
        <w:spacing w:line="400" w:lineRule="exact"/>
        <w:ind w:firstLine="420" w:firstLineChars="200"/>
        <w:rPr>
          <w:rFonts w:ascii="Times New Roman" w:hAnsi="Times New Roman"/>
          <w:color w:val="auto"/>
          <w:szCs w:val="21"/>
          <w:highlight w:val="none"/>
        </w:rPr>
      </w:pPr>
    </w:p>
    <w:p w14:paraId="7D48AF34">
      <w:pPr>
        <w:spacing w:line="400" w:lineRule="exact"/>
        <w:ind w:firstLine="420" w:firstLineChars="200"/>
        <w:rPr>
          <w:rFonts w:ascii="Times New Roman" w:hAnsi="Times New Roman"/>
          <w:color w:val="auto"/>
          <w:szCs w:val="21"/>
          <w:highlight w:val="none"/>
        </w:rPr>
      </w:pPr>
    </w:p>
    <w:p w14:paraId="3111359E">
      <w:pPr>
        <w:spacing w:line="400" w:lineRule="exact"/>
        <w:ind w:firstLine="420" w:firstLineChars="200"/>
        <w:rPr>
          <w:rFonts w:ascii="Times New Roman" w:hAnsi="Times New Roman"/>
          <w:color w:val="auto"/>
          <w:szCs w:val="21"/>
          <w:highlight w:val="none"/>
        </w:rPr>
      </w:pPr>
    </w:p>
    <w:p w14:paraId="22DDE371">
      <w:pPr>
        <w:spacing w:line="400" w:lineRule="exact"/>
        <w:ind w:firstLine="420" w:firstLineChars="200"/>
        <w:rPr>
          <w:rFonts w:ascii="Times New Roman" w:hAnsi="Times New Roman"/>
          <w:color w:val="auto"/>
          <w:szCs w:val="21"/>
          <w:highlight w:val="none"/>
        </w:rPr>
      </w:pPr>
    </w:p>
    <w:p w14:paraId="7A9352E1">
      <w:pPr>
        <w:spacing w:line="400" w:lineRule="exact"/>
        <w:ind w:firstLine="420" w:firstLineChars="200"/>
        <w:rPr>
          <w:rFonts w:ascii="Times New Roman" w:hAnsi="Times New Roman"/>
          <w:color w:val="auto"/>
          <w:szCs w:val="21"/>
          <w:highlight w:val="none"/>
        </w:rPr>
      </w:pPr>
    </w:p>
    <w:p w14:paraId="1ADBAA45">
      <w:pPr>
        <w:spacing w:line="400" w:lineRule="exact"/>
        <w:ind w:firstLine="420" w:firstLineChars="200"/>
        <w:rPr>
          <w:rFonts w:ascii="Times New Roman" w:hAnsi="Times New Roman"/>
          <w:color w:val="auto"/>
          <w:szCs w:val="21"/>
          <w:highlight w:val="none"/>
        </w:rPr>
      </w:pPr>
    </w:p>
    <w:p w14:paraId="30DDC43E">
      <w:pPr>
        <w:spacing w:line="400" w:lineRule="exact"/>
        <w:ind w:firstLine="420" w:firstLineChars="200"/>
        <w:rPr>
          <w:rFonts w:ascii="Times New Roman" w:hAnsi="Times New Roman"/>
          <w:color w:val="auto"/>
          <w:szCs w:val="21"/>
          <w:highlight w:val="none"/>
        </w:rPr>
      </w:pPr>
    </w:p>
    <w:p w14:paraId="25BB8C04">
      <w:pPr>
        <w:spacing w:line="400" w:lineRule="exact"/>
        <w:ind w:firstLine="420" w:firstLineChars="200"/>
        <w:rPr>
          <w:rFonts w:ascii="Times New Roman" w:hAnsi="Times New Roman"/>
          <w:color w:val="auto"/>
          <w:szCs w:val="21"/>
          <w:highlight w:val="none"/>
        </w:rPr>
      </w:pPr>
    </w:p>
    <w:p w14:paraId="0D42D4FC">
      <w:pPr>
        <w:spacing w:line="400" w:lineRule="exact"/>
        <w:ind w:firstLine="420" w:firstLineChars="200"/>
        <w:rPr>
          <w:rFonts w:ascii="Times New Roman" w:hAnsi="Times New Roman"/>
          <w:color w:val="auto"/>
          <w:szCs w:val="21"/>
          <w:highlight w:val="none"/>
        </w:rPr>
      </w:pPr>
    </w:p>
    <w:p w14:paraId="554E7C8E">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771982AE">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ascii="Times New Roman" w:hAnsi="Times New Roman"/>
          <w:b/>
          <w:bCs/>
          <w:color w:val="auto"/>
          <w:sz w:val="36"/>
          <w:szCs w:val="36"/>
          <w:highlight w:val="none"/>
        </w:rPr>
        <w:t>磋商邀请</w:t>
      </w:r>
    </w:p>
    <w:p w14:paraId="6E85BEC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如东县2026-2027年耕地占补平衡竣工验收管理服务项目【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rPr>
        <w:t>：JSZC-320623-HSGL-C2026-0013】</w:t>
      </w:r>
      <w:r>
        <w:rPr>
          <w:rFonts w:ascii="Times New Roman" w:hAnsi="Times New Roman"/>
          <w:color w:val="auto"/>
          <w:sz w:val="24"/>
          <w:szCs w:val="24"/>
          <w:highlight w:val="none"/>
        </w:rPr>
        <w:t>项目进行竞争性磋商采购，欢迎符合条件的供应商参加磋商。</w:t>
      </w:r>
    </w:p>
    <w:p w14:paraId="01A58E17">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022AF9F8">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如东县2026-2027年耕地占补平衡竣工验收管理服务项目</w:t>
      </w:r>
      <w:r>
        <w:rPr>
          <w:rFonts w:ascii="Times New Roman" w:hAnsi="Times New Roman"/>
          <w:color w:val="auto"/>
          <w:sz w:val="24"/>
          <w:szCs w:val="24"/>
          <w:highlight w:val="none"/>
        </w:rPr>
        <w:t>竞争性磋商项目的潜在供应商可在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w:t>
      </w:r>
      <w:r>
        <w:rPr>
          <w:rFonts w:ascii="Times New Roman" w:hAnsi="Times New Roman"/>
          <w:b/>
          <w:bCs/>
          <w:color w:val="auto"/>
          <w:sz w:val="24"/>
          <w:szCs w:val="24"/>
          <w:highlight w:val="none"/>
          <w:u w:val="single"/>
        </w:rPr>
        <w:t>6</w:t>
      </w:r>
      <w:r>
        <w:rPr>
          <w:rFonts w:hint="eastAsia" w:ascii="Times New Roman" w:hAnsi="Times New Roman"/>
          <w:b/>
          <w:bCs/>
          <w:color w:val="auto"/>
          <w:sz w:val="24"/>
          <w:szCs w:val="24"/>
          <w:highlight w:val="none"/>
          <w:u w:val="single"/>
        </w:rPr>
        <w:t>年</w:t>
      </w:r>
      <w:r>
        <w:rPr>
          <w:rFonts w:hint="eastAsia" w:ascii="Times New Roman" w:hAnsi="Times New Roman"/>
          <w:b/>
          <w:bCs/>
          <w:color w:val="auto"/>
          <w:sz w:val="24"/>
          <w:szCs w:val="24"/>
          <w:highlight w:val="none"/>
          <w:u w:val="single"/>
          <w:lang w:val="en-US" w:eastAsia="zh-CN"/>
        </w:rPr>
        <w:t>3</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27</w:t>
      </w:r>
      <w:r>
        <w:rPr>
          <w:rFonts w:hint="eastAsia" w:ascii="Times New Roman" w:hAnsi="Times New Roman"/>
          <w:b/>
          <w:bCs/>
          <w:color w:val="auto"/>
          <w:sz w:val="24"/>
          <w:szCs w:val="24"/>
          <w:highlight w:val="none"/>
          <w:u w:val="single"/>
        </w:rPr>
        <w:t>日上午9时00分</w:t>
      </w:r>
      <w:r>
        <w:rPr>
          <w:rFonts w:ascii="Times New Roman" w:hAnsi="Times New Roman"/>
          <w:b/>
          <w:bCs/>
          <w:color w:val="auto"/>
          <w:sz w:val="24"/>
          <w:szCs w:val="24"/>
          <w:highlight w:val="none"/>
          <w:u w:val="none"/>
        </w:rPr>
        <w:t>（</w:t>
      </w:r>
      <w:r>
        <w:rPr>
          <w:rFonts w:ascii="Times New Roman" w:hAnsi="Times New Roman"/>
          <w:b/>
          <w:bCs/>
          <w:color w:val="auto"/>
          <w:sz w:val="24"/>
          <w:szCs w:val="24"/>
          <w:highlight w:val="none"/>
        </w:rPr>
        <w:t>北京时间）前递交响应文件。</w:t>
      </w:r>
    </w:p>
    <w:p w14:paraId="4700274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28359002"/>
      <w:bookmarkStart w:id="7" w:name="_Toc38985263"/>
      <w:bookmarkStart w:id="8" w:name="_Toc28359079"/>
      <w:bookmarkStart w:id="9" w:name="_Toc35393621"/>
      <w:bookmarkStart w:id="10" w:name="_Toc35393790"/>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0FC990A4">
      <w:pPr>
        <w:spacing w:line="400" w:lineRule="exact"/>
        <w:ind w:firstLine="480" w:firstLineChars="200"/>
        <w:rPr>
          <w:rFonts w:ascii="Segoe UI" w:hAnsi="Segoe UI" w:cs="Segoe UI"/>
          <w:color w:val="auto"/>
          <w:kern w:val="0"/>
          <w:szCs w:val="21"/>
          <w:highlight w:val="none"/>
        </w:rPr>
      </w:pPr>
      <w:r>
        <w:rPr>
          <w:rFonts w:ascii="Times New Roman" w:hAnsi="Times New Roman"/>
          <w:color w:val="auto"/>
          <w:sz w:val="24"/>
          <w:szCs w:val="24"/>
          <w:highlight w:val="none"/>
          <w:lang w:val="zh-CN"/>
        </w:rPr>
        <w:t>1.项目编号：</w:t>
      </w:r>
      <w:r>
        <w:rPr>
          <w:rFonts w:hint="eastAsia" w:ascii="Times New Roman" w:hAnsi="Times New Roman"/>
          <w:color w:val="auto"/>
          <w:sz w:val="24"/>
          <w:szCs w:val="24"/>
          <w:highlight w:val="none"/>
        </w:rPr>
        <w:t>JSZC-320623-HSGL-C2026-0013</w:t>
      </w:r>
      <w:r>
        <w:rPr>
          <w:rFonts w:ascii="Segoe UI" w:hAnsi="Segoe UI" w:cs="Segoe UI"/>
          <w:color w:val="auto"/>
          <w:kern w:val="0"/>
          <w:szCs w:val="21"/>
          <w:highlight w:val="none"/>
        </w:rPr>
        <w:t xml:space="preserve"> </w:t>
      </w:r>
    </w:p>
    <w:p w14:paraId="02757190">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lang w:val="zh-CN"/>
        </w:rPr>
        <w:t>如东县2026-2027年耕地占补平衡竣工验收管理服务项目</w:t>
      </w:r>
    </w:p>
    <w:p w14:paraId="02657CBF">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3.项目类型：服务</w:t>
      </w:r>
      <w:r>
        <w:rPr>
          <w:rFonts w:hint="eastAsia" w:ascii="Times New Roman" w:hAnsi="Times New Roman"/>
          <w:color w:val="auto"/>
          <w:sz w:val="24"/>
          <w:szCs w:val="24"/>
          <w:highlight w:val="none"/>
        </w:rPr>
        <w:t xml:space="preserve">   </w:t>
      </w:r>
    </w:p>
    <w:p w14:paraId="4CDD1B6D">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17DF6CD8">
      <w:pPr>
        <w:snapToGrid w:val="0"/>
        <w:spacing w:line="440" w:lineRule="exact"/>
        <w:ind w:firstLine="480" w:firstLineChars="200"/>
        <w:rPr>
          <w:rFonts w:ascii="宋体" w:hAnsi="宋体"/>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宋体" w:hAnsi="宋体"/>
          <w:b/>
          <w:bCs/>
          <w:color w:val="auto"/>
          <w:sz w:val="24"/>
          <w:szCs w:val="24"/>
          <w:highlight w:val="none"/>
          <w:u w:val="single"/>
        </w:rPr>
        <w:t>暂定为</w:t>
      </w:r>
      <w:r>
        <w:rPr>
          <w:rFonts w:ascii="宋体" w:hAnsi="宋体"/>
          <w:b/>
          <w:bCs/>
          <w:color w:val="auto"/>
          <w:sz w:val="24"/>
          <w:szCs w:val="24"/>
          <w:highlight w:val="none"/>
          <w:u w:val="single"/>
        </w:rPr>
        <w:t>275</w:t>
      </w:r>
      <w:r>
        <w:rPr>
          <w:rFonts w:hint="eastAsia" w:ascii="宋体" w:hAnsi="宋体"/>
          <w:b/>
          <w:bCs/>
          <w:color w:val="auto"/>
          <w:sz w:val="24"/>
          <w:szCs w:val="24"/>
          <w:highlight w:val="none"/>
          <w:u w:val="single"/>
        </w:rPr>
        <w:t>万元【最终结算金额按最终实际完成的地块数量×签订合同单价，本项目采购预算单价为：412元/地块】</w:t>
      </w:r>
      <w:r>
        <w:rPr>
          <w:rFonts w:hint="eastAsia" w:ascii="宋体" w:hAnsi="宋体"/>
          <w:color w:val="auto"/>
          <w:sz w:val="24"/>
          <w:szCs w:val="24"/>
          <w:highlight w:val="none"/>
        </w:rPr>
        <w:t>。</w:t>
      </w:r>
    </w:p>
    <w:p w14:paraId="671A4E16">
      <w:pPr>
        <w:snapToGrid w:val="0"/>
        <w:spacing w:line="440" w:lineRule="exact"/>
        <w:ind w:firstLine="480" w:firstLineChars="200"/>
        <w:rPr>
          <w:rFonts w:ascii="宋体" w:hAnsi="宋体"/>
          <w:color w:val="auto"/>
          <w:sz w:val="24"/>
          <w:szCs w:val="24"/>
          <w:highlight w:val="none"/>
        </w:rPr>
      </w:pPr>
      <w:r>
        <w:rPr>
          <w:rFonts w:ascii="Times New Roman" w:hAnsi="Times New Roman"/>
          <w:color w:val="auto"/>
          <w:sz w:val="24"/>
          <w:szCs w:val="24"/>
          <w:highlight w:val="none"/>
        </w:rPr>
        <w:t>6.最高限价：</w:t>
      </w:r>
      <w:r>
        <w:rPr>
          <w:rFonts w:hint="eastAsia" w:ascii="宋体" w:hAnsi="宋体"/>
          <w:b/>
          <w:bCs/>
          <w:color w:val="auto"/>
          <w:sz w:val="24"/>
          <w:szCs w:val="24"/>
          <w:highlight w:val="none"/>
          <w:u w:val="single"/>
        </w:rPr>
        <w:t>暂定为</w:t>
      </w:r>
      <w:r>
        <w:rPr>
          <w:rFonts w:ascii="宋体" w:hAnsi="宋体"/>
          <w:b/>
          <w:bCs/>
          <w:color w:val="auto"/>
          <w:sz w:val="24"/>
          <w:szCs w:val="24"/>
          <w:highlight w:val="none"/>
          <w:u w:val="single"/>
        </w:rPr>
        <w:t>275</w:t>
      </w:r>
      <w:r>
        <w:rPr>
          <w:rFonts w:hint="eastAsia" w:ascii="宋体" w:hAnsi="宋体"/>
          <w:b/>
          <w:bCs/>
          <w:color w:val="auto"/>
          <w:sz w:val="24"/>
          <w:szCs w:val="24"/>
          <w:highlight w:val="none"/>
          <w:u w:val="single"/>
        </w:rPr>
        <w:t>万元【最终结算金额按最终实际完成的地块数量×签订合同单价，本项目最高限价单价为：412元/地块】，最终报价超过最高限价的</w:t>
      </w:r>
      <w:r>
        <w:rPr>
          <w:rFonts w:ascii="宋体" w:hAnsi="宋体"/>
          <w:b/>
          <w:bCs/>
          <w:color w:val="auto"/>
          <w:sz w:val="24"/>
          <w:szCs w:val="24"/>
          <w:highlight w:val="none"/>
          <w:u w:val="single"/>
        </w:rPr>
        <w:t>为无效投标。</w:t>
      </w:r>
    </w:p>
    <w:p w14:paraId="1F9FF51B">
      <w:pPr>
        <w:spacing w:line="400" w:lineRule="exac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7.采购需求（简介）：</w:t>
      </w:r>
      <w:r>
        <w:rPr>
          <w:rFonts w:ascii="Times New Roman" w:hAnsi="Times New Roman"/>
          <w:color w:val="auto"/>
          <w:kern w:val="0"/>
          <w:sz w:val="24"/>
          <w:szCs w:val="24"/>
          <w:highlight w:val="none"/>
        </w:rPr>
        <w:t>详见磋商文件第四章,请仔细研究。</w:t>
      </w:r>
    </w:p>
    <w:p w14:paraId="57E574B0">
      <w:pPr>
        <w:snapToGrid w:val="0"/>
        <w:spacing w:line="400" w:lineRule="exact"/>
        <w:ind w:firstLine="480" w:firstLineChars="200"/>
        <w:contextualSpacing/>
        <w:rPr>
          <w:rFonts w:ascii="Times New Roman" w:hAnsi="Times New Roman" w:eastAsia="仿宋"/>
          <w:b/>
          <w:color w:val="auto"/>
          <w:sz w:val="28"/>
          <w:szCs w:val="28"/>
          <w:highlight w:val="none"/>
          <w:lang w:val="zh-CN"/>
        </w:rPr>
      </w:pPr>
      <w:r>
        <w:rPr>
          <w:rFonts w:ascii="Times New Roman" w:hAnsi="Times New Roman"/>
          <w:color w:val="auto"/>
          <w:sz w:val="24"/>
          <w:szCs w:val="24"/>
          <w:highlight w:val="none"/>
        </w:rPr>
        <w:t>8.合同履行期限：</w:t>
      </w:r>
      <w:r>
        <w:rPr>
          <w:rFonts w:ascii="Times New Roman" w:hAnsi="Times New Roman"/>
          <w:color w:val="auto"/>
          <w:sz w:val="24"/>
          <w:szCs w:val="24"/>
          <w:highlight w:val="none"/>
          <w:lang w:val="zh-CN"/>
        </w:rPr>
        <w:t>详见</w:t>
      </w:r>
      <w:r>
        <w:rPr>
          <w:rFonts w:hint="eastAsia" w:ascii="Times New Roman" w:hAnsi="Times New Roman"/>
          <w:color w:val="auto"/>
          <w:sz w:val="24"/>
          <w:szCs w:val="24"/>
          <w:highlight w:val="none"/>
        </w:rPr>
        <w:t>磋商</w:t>
      </w:r>
      <w:r>
        <w:rPr>
          <w:rFonts w:ascii="Times New Roman" w:hAnsi="Times New Roman"/>
          <w:color w:val="auto"/>
          <w:sz w:val="24"/>
          <w:szCs w:val="24"/>
          <w:highlight w:val="none"/>
          <w:lang w:val="zh-CN"/>
        </w:rPr>
        <w:t>文件。</w:t>
      </w:r>
    </w:p>
    <w:p w14:paraId="24B1B301">
      <w:pPr>
        <w:snapToGrid w:val="0"/>
        <w:spacing w:line="400" w:lineRule="exact"/>
        <w:ind w:firstLine="482" w:firstLineChars="200"/>
        <w:contextualSpacing/>
        <w:rPr>
          <w:rFonts w:ascii="Times New Roman" w:hAnsi="Times New Roman"/>
          <w:color w:val="auto"/>
          <w:sz w:val="24"/>
          <w:szCs w:val="24"/>
          <w:highlight w:val="none"/>
          <w:lang w:val="zh-CN"/>
        </w:rPr>
      </w:pPr>
      <w:r>
        <w:rPr>
          <w:rFonts w:ascii="Times New Roman" w:hAnsi="Times New Roman"/>
          <w:b/>
          <w:bCs/>
          <w:color w:val="auto"/>
          <w:sz w:val="24"/>
          <w:szCs w:val="24"/>
          <w:highlight w:val="none"/>
        </w:rPr>
        <w:t>9.</w:t>
      </w:r>
      <w:r>
        <w:rPr>
          <w:rFonts w:ascii="Times New Roman" w:hAnsi="Times New Roman"/>
          <w:b/>
          <w:bCs/>
          <w:color w:val="auto"/>
          <w:sz w:val="24"/>
          <w:szCs w:val="24"/>
          <w:highlight w:val="none"/>
          <w:lang w:val="zh-CN"/>
        </w:rPr>
        <w:t>本项目</w:t>
      </w:r>
      <w:r>
        <w:rPr>
          <w:rFonts w:ascii="Times New Roman" w:hAnsi="Times New Roman"/>
          <w:b/>
          <w:bCs/>
          <w:color w:val="auto"/>
          <w:sz w:val="24"/>
          <w:szCs w:val="24"/>
          <w:highlight w:val="none"/>
        </w:rPr>
        <w:t>是否</w:t>
      </w:r>
      <w:r>
        <w:rPr>
          <w:rFonts w:ascii="Times New Roman" w:hAnsi="Times New Roman"/>
          <w:b/>
          <w:bCs/>
          <w:color w:val="auto"/>
          <w:sz w:val="24"/>
          <w:szCs w:val="24"/>
          <w:highlight w:val="none"/>
          <w:lang w:val="zh-CN"/>
        </w:rPr>
        <w:t>接受联合体投标：</w:t>
      </w:r>
      <w:r>
        <w:rPr>
          <w:rFonts w:hint="eastAsia" w:ascii="Times New Roman" w:hAnsi="Times New Roman"/>
          <w:b/>
          <w:bCs/>
          <w:color w:val="auto"/>
          <w:sz w:val="24"/>
          <w:szCs w:val="24"/>
          <w:highlight w:val="none"/>
        </w:rPr>
        <w:t>是</w:t>
      </w:r>
      <w:r>
        <w:rPr>
          <w:rFonts w:ascii="Times New Roman" w:hAnsi="Times New Roman"/>
          <w:b/>
          <w:bCs/>
          <w:color w:val="auto"/>
          <w:sz w:val="24"/>
          <w:szCs w:val="24"/>
          <w:highlight w:val="none"/>
          <w:lang w:val="zh-CN"/>
        </w:rPr>
        <w:t>。</w:t>
      </w:r>
    </w:p>
    <w:p w14:paraId="19390255">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rPr>
        <w:t>10.</w:t>
      </w:r>
      <w:r>
        <w:rPr>
          <w:rFonts w:ascii="Times New Roman" w:hAnsi="Times New Roman"/>
          <w:color w:val="auto"/>
          <w:sz w:val="24"/>
          <w:szCs w:val="24"/>
          <w:highlight w:val="none"/>
          <w:lang w:val="zh-CN"/>
        </w:rPr>
        <w:t xml:space="preserve">本项目是否专门面向中小企业采购: </w:t>
      </w:r>
      <w:r>
        <w:rPr>
          <w:rFonts w:hint="eastAsia" w:ascii="Times New Roman" w:hAnsi="Times New Roman"/>
          <w:color w:val="auto"/>
          <w:sz w:val="24"/>
          <w:szCs w:val="24"/>
          <w:highlight w:val="none"/>
        </w:rPr>
        <w:t>否</w:t>
      </w:r>
      <w:r>
        <w:rPr>
          <w:rFonts w:ascii="Times New Roman" w:hAnsi="Times New Roman"/>
          <w:color w:val="auto"/>
          <w:sz w:val="24"/>
          <w:szCs w:val="24"/>
          <w:highlight w:val="none"/>
          <w:lang w:val="zh-CN"/>
        </w:rPr>
        <w:t>。</w:t>
      </w:r>
    </w:p>
    <w:p w14:paraId="3DA27C6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80"/>
      <w:bookmarkStart w:id="13" w:name="_Toc35393791"/>
      <w:bookmarkStart w:id="14" w:name="_Toc28359003"/>
      <w:bookmarkStart w:id="15" w:name="_Toc38985264"/>
      <w:bookmarkStart w:id="16" w:name="_Toc35393622"/>
      <w:r>
        <w:rPr>
          <w:rFonts w:ascii="Times New Roman" w:hAnsi="Times New Roman"/>
          <w:b/>
          <w:bCs/>
          <w:color w:val="auto"/>
          <w:sz w:val="32"/>
          <w:szCs w:val="32"/>
          <w:highlight w:val="none"/>
        </w:rPr>
        <w:t>二、申请人的资格要求：</w:t>
      </w:r>
      <w:bookmarkEnd w:id="12"/>
      <w:bookmarkEnd w:id="13"/>
      <w:bookmarkEnd w:id="14"/>
      <w:bookmarkEnd w:id="15"/>
      <w:bookmarkEnd w:id="16"/>
    </w:p>
    <w:p w14:paraId="16E31652">
      <w:pPr>
        <w:spacing w:line="400" w:lineRule="exact"/>
        <w:ind w:firstLine="480" w:firstLineChars="200"/>
        <w:rPr>
          <w:rFonts w:ascii="Times New Roman" w:hAnsi="Times New Roman"/>
          <w:color w:val="auto"/>
          <w:sz w:val="24"/>
          <w:szCs w:val="24"/>
          <w:highlight w:val="none"/>
        </w:rPr>
      </w:pPr>
      <w:bookmarkStart w:id="17" w:name="_Toc28359004"/>
      <w:bookmarkStart w:id="18" w:name="_Toc35393792"/>
      <w:bookmarkStart w:id="19" w:name="_Toc28359081"/>
      <w:bookmarkStart w:id="20" w:name="_Toc38985265"/>
      <w:bookmarkStart w:id="21" w:name="_Toc35393623"/>
      <w:r>
        <w:rPr>
          <w:rFonts w:ascii="Times New Roman" w:hAnsi="Times New Roman"/>
          <w:color w:val="auto"/>
          <w:sz w:val="24"/>
          <w:szCs w:val="24"/>
          <w:highlight w:val="none"/>
        </w:rPr>
        <w:t>（一）通用资格要求</w:t>
      </w:r>
    </w:p>
    <w:p w14:paraId="20B0549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67710D65">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16225BD8">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b/>
          <w:bCs/>
          <w:color w:val="auto"/>
          <w:sz w:val="24"/>
          <w:szCs w:val="24"/>
          <w:highlight w:val="none"/>
        </w:rPr>
        <w:t>无。</w:t>
      </w:r>
    </w:p>
    <w:p w14:paraId="24F67F1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06D27899">
      <w:pPr>
        <w:spacing w:line="400" w:lineRule="exact"/>
        <w:ind w:firstLine="361" w:firstLineChars="150"/>
        <w:rPr>
          <w:rFonts w:ascii="Times New Roman" w:hAnsi="Times New Roman"/>
          <w:b/>
          <w:bCs/>
          <w:color w:val="auto"/>
          <w:sz w:val="24"/>
          <w:szCs w:val="24"/>
          <w:highlight w:val="none"/>
        </w:rPr>
      </w:pPr>
      <w:r>
        <w:rPr>
          <w:rFonts w:ascii="Times New Roman" w:hAnsi="Times New Roman"/>
          <w:b/>
          <w:bCs/>
          <w:color w:val="auto"/>
          <w:sz w:val="24"/>
          <w:szCs w:val="24"/>
          <w:highlight w:val="none"/>
        </w:rPr>
        <w:t>本项目特定资格要求：</w:t>
      </w:r>
      <w:r>
        <w:rPr>
          <w:rFonts w:hint="eastAsia" w:ascii="Times New Roman" w:hAnsi="Times New Roman"/>
          <w:b/>
          <w:bCs/>
          <w:color w:val="auto"/>
          <w:sz w:val="24"/>
          <w:szCs w:val="24"/>
          <w:highlight w:val="none"/>
        </w:rPr>
        <w:t>投标供应商必须具备</w:t>
      </w:r>
      <w:r>
        <w:rPr>
          <w:rFonts w:hint="eastAsia" w:ascii="宋体" w:hAnsi="宋体" w:cs="宋体"/>
          <w:b/>
          <w:bCs/>
          <w:color w:val="auto"/>
          <w:sz w:val="24"/>
          <w:szCs w:val="24"/>
          <w:highlight w:val="none"/>
        </w:rPr>
        <w:t>有效期内的</w:t>
      </w:r>
      <w:r>
        <w:rPr>
          <w:rFonts w:hint="eastAsia" w:ascii="Times New Roman" w:hAnsi="Times New Roman"/>
          <w:b/>
          <w:bCs/>
          <w:color w:val="auto"/>
          <w:sz w:val="24"/>
          <w:szCs w:val="24"/>
          <w:highlight w:val="none"/>
        </w:rPr>
        <w:t>甲级测绘资质。</w:t>
      </w:r>
    </w:p>
    <w:p w14:paraId="6C94B65A">
      <w:pPr>
        <w:spacing w:line="400" w:lineRule="exact"/>
        <w:ind w:firstLine="482" w:firstLineChars="200"/>
        <w:rPr>
          <w:rFonts w:ascii="Times New Roman" w:hAnsi="Times New Roman"/>
          <w:b/>
          <w:bCs/>
          <w:color w:val="auto"/>
          <w:sz w:val="24"/>
          <w:szCs w:val="24"/>
          <w:highlight w:val="none"/>
        </w:rPr>
      </w:pPr>
      <w:r>
        <w:rPr>
          <w:rFonts w:hint="eastAsia" w:ascii="Times New Roman" w:hAnsi="Times New Roman"/>
          <w:b/>
          <w:bCs/>
          <w:color w:val="auto"/>
          <w:sz w:val="24"/>
          <w:szCs w:val="24"/>
          <w:highlight w:val="none"/>
        </w:rPr>
        <w:t>（三）本项目接受联合体投标，联合体投标要求如下：</w:t>
      </w:r>
    </w:p>
    <w:p w14:paraId="28F1E71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（1）投标人为联合体的，每个联合体投标人最多由两家单位组成。</w:t>
      </w:r>
    </w:p>
    <w:p w14:paraId="4E4714DA">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（2）联合体中有同类资质的供应商按照联合体分工承担相同工作的，应当按照资质等级较低的供应商确定资质等级。    </w:t>
      </w:r>
    </w:p>
    <w:p w14:paraId="6D53C78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（3）联合体投标的，必须提供联合体协议，明确联合体牵头人和各方权利义务（联合体协议由投标人自拟）。</w:t>
      </w:r>
    </w:p>
    <w:p w14:paraId="520A067A">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（4）联合体各方不得再以自己名义单独或参加其他联合体在同一项目中的投标。</w:t>
      </w:r>
    </w:p>
    <w:p w14:paraId="2AC42228">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（5）联合体各方应共同与采购人签订合同协议书。</w:t>
      </w:r>
    </w:p>
    <w:p w14:paraId="72E8368C">
      <w:pPr>
        <w:keepNext/>
        <w:keepLines/>
        <w:spacing w:before="120" w:beforeLines="50" w:after="120" w:afterLines="50" w:line="400" w:lineRule="exact"/>
        <w:ind w:firstLine="480" w:firstLineChars="200"/>
        <w:outlineLvl w:val="2"/>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（6）联合体协议经采购人确认后作为合同附件。在履行合同过程中，未经采购人同意，不得修改联合体协议。</w:t>
      </w:r>
    </w:p>
    <w:p w14:paraId="707AAC6E">
      <w:pPr>
        <w:keepNext/>
        <w:keepLines/>
        <w:spacing w:before="120" w:beforeLines="50" w:after="120" w:afterLines="50" w:line="400" w:lineRule="exact"/>
        <w:ind w:firstLine="480" w:firstLineChars="200"/>
        <w:outlineLvl w:val="2"/>
        <w:rPr>
          <w:rFonts w:ascii="Times New Roman" w:hAnsi="Times New Roman"/>
          <w:b/>
          <w:bCs/>
          <w:color w:val="auto"/>
          <w:sz w:val="32"/>
          <w:szCs w:val="32"/>
          <w:highlight w:val="none"/>
        </w:rPr>
      </w:pPr>
      <w:r>
        <w:rPr>
          <w:rFonts w:hint="eastAsia" w:asciiTheme="minorEastAsia" w:hAnsiTheme="minorEastAsia" w:eastAsiaTheme="minorEastAsia" w:cstheme="minorEastAsia"/>
          <w:color w:val="auto"/>
          <w:sz w:val="24"/>
          <w:szCs w:val="24"/>
          <w:highlight w:val="none"/>
        </w:rPr>
        <w:t>（7）投标文件由联合体牵头人编制并盖章，对联合体各成员具有约束力。</w:t>
      </w:r>
    </w:p>
    <w:p w14:paraId="0C34AF40">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576F89A6">
      <w:pPr>
        <w:spacing w:line="400" w:lineRule="exact"/>
        <w:ind w:firstLine="480" w:firstLineChars="200"/>
        <w:jc w:val="left"/>
        <w:rPr>
          <w:rFonts w:ascii="Times New Roman" w:hAnsi="Times New Roman"/>
          <w:color w:val="auto"/>
          <w:sz w:val="24"/>
          <w:szCs w:val="24"/>
          <w:highlight w:val="none"/>
        </w:rPr>
      </w:pPr>
      <w:bookmarkStart w:id="22" w:name="_Toc35393624"/>
      <w:bookmarkStart w:id="23" w:name="_Toc38985266"/>
      <w:bookmarkStart w:id="24" w:name="_Toc28359005"/>
      <w:bookmarkStart w:id="25" w:name="_Toc28359082"/>
      <w:bookmarkStart w:id="26" w:name="_Toc35393793"/>
      <w:bookmarkStart w:id="27" w:name="_Toc28359084"/>
      <w:bookmarkStart w:id="28" w:name="_Toc35393625"/>
      <w:bookmarkStart w:id="29" w:name="_Toc35393794"/>
      <w:bookmarkStart w:id="30" w:name="_Toc28359007"/>
      <w:bookmarkStart w:id="31" w:name="_Toc38985267"/>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bCs/>
          <w:color w:val="auto"/>
          <w:sz w:val="24"/>
          <w:szCs w:val="24"/>
          <w:highlight w:val="none"/>
        </w:rPr>
        <w:t>自本公告发布之日起5个工作日。</w:t>
      </w:r>
    </w:p>
    <w:p w14:paraId="5786AEAC">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2.地点：“江苏政府采购网”</w:t>
      </w:r>
    </w:p>
    <w:p w14:paraId="2DDBC596">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3.方式：凡有意参与投标的供应商须登录江苏政府采购网首页点击“苏采云”→ 通过CA锁进行响应确认，并自行在磋商文件有效获取期内及时下载获取。</w:t>
      </w:r>
    </w:p>
    <w:p w14:paraId="14F9ED82">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rPr>
        <w:t>4.售价：免费</w:t>
      </w:r>
    </w:p>
    <w:bookmarkEnd w:id="22"/>
    <w:bookmarkEnd w:id="23"/>
    <w:bookmarkEnd w:id="24"/>
    <w:bookmarkEnd w:id="25"/>
    <w:bookmarkEnd w:id="26"/>
    <w:p w14:paraId="16C3432E">
      <w:pPr>
        <w:adjustRightInd w:val="0"/>
        <w:snapToGrid w:val="0"/>
        <w:spacing w:line="500" w:lineRule="exact"/>
        <w:ind w:firstLine="643" w:firstLineChars="200"/>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四、响应文件提交</w:t>
      </w:r>
    </w:p>
    <w:p w14:paraId="7C3AC79F">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w:t>
      </w:r>
      <w:r>
        <w:rPr>
          <w:rFonts w:ascii="宋体" w:hAnsi="宋体" w:cs="宋体"/>
          <w:b/>
          <w:bCs/>
          <w:color w:val="auto"/>
          <w:sz w:val="24"/>
          <w:szCs w:val="24"/>
          <w:highlight w:val="none"/>
        </w:rPr>
        <w:t>6</w:t>
      </w:r>
      <w:r>
        <w:rPr>
          <w:rFonts w:hint="eastAsia" w:ascii="宋体" w:hAnsi="宋体" w:cs="宋体"/>
          <w:b/>
          <w:bCs/>
          <w:color w:val="auto"/>
          <w:sz w:val="24"/>
          <w:szCs w:val="24"/>
          <w:highlight w:val="none"/>
        </w:rPr>
        <w:t>年</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27</w:t>
      </w:r>
      <w:r>
        <w:rPr>
          <w:rFonts w:hint="eastAsia" w:ascii="宋体" w:hAnsi="宋体" w:cs="宋体"/>
          <w:b/>
          <w:bCs/>
          <w:color w:val="auto"/>
          <w:sz w:val="24"/>
          <w:szCs w:val="24"/>
          <w:highlight w:val="none"/>
        </w:rPr>
        <w:t>日上午9时00分（北京时间）。逾时，系统将拒绝接受上传响应文件电子文档。</w:t>
      </w:r>
      <w:bookmarkStart w:id="190" w:name="_GoBack"/>
      <w:bookmarkEnd w:id="190"/>
    </w:p>
    <w:p w14:paraId="4E228165">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0E2B6A7E">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46DAA2A8">
      <w:pPr>
        <w:spacing w:line="400" w:lineRule="exact"/>
        <w:ind w:firstLine="480" w:firstLineChars="200"/>
        <w:jc w:val="left"/>
        <w:rPr>
          <w:rFonts w:ascii="Times New Roman" w:hAnsi="Times New Roman"/>
          <w:color w:val="auto"/>
          <w:sz w:val="24"/>
          <w:szCs w:val="24"/>
          <w:highlight w:val="none"/>
        </w:rPr>
      </w:pPr>
      <w:bookmarkStart w:id="32" w:name="_Toc38985268"/>
      <w:bookmarkStart w:id="33" w:name="_Toc35393795"/>
      <w:bookmarkStart w:id="34" w:name="_Toc35393626"/>
      <w:r>
        <w:rPr>
          <w:rFonts w:ascii="Times New Roman" w:hAnsi="Times New Roman"/>
          <w:color w:val="auto"/>
          <w:sz w:val="24"/>
          <w:szCs w:val="24"/>
          <w:highlight w:val="none"/>
        </w:rPr>
        <w:t>自本公告发布之日起3个工作日。</w:t>
      </w:r>
    </w:p>
    <w:p w14:paraId="2269BB1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2B07A66B">
      <w:pPr>
        <w:spacing w:line="400" w:lineRule="exact"/>
        <w:ind w:firstLine="480" w:firstLineChars="200"/>
        <w:jc w:val="left"/>
        <w:rPr>
          <w:rFonts w:ascii="Times New Roman" w:hAnsi="Times New Roman"/>
          <w:color w:val="auto"/>
          <w:sz w:val="24"/>
          <w:szCs w:val="24"/>
          <w:highlight w:val="none"/>
        </w:rPr>
      </w:pPr>
      <w:bookmarkStart w:id="35" w:name="_Toc35393627"/>
      <w:bookmarkStart w:id="36" w:name="_Toc35393796"/>
      <w:bookmarkStart w:id="37" w:name="_Toc38985269"/>
      <w:bookmarkStart w:id="38" w:name="_Toc28359008"/>
      <w:bookmarkStart w:id="39" w:name="_Toc28359085"/>
      <w:r>
        <w:rPr>
          <w:rFonts w:ascii="Times New Roman" w:hAnsi="Times New Roman"/>
          <w:color w:val="auto"/>
          <w:sz w:val="24"/>
          <w:szCs w:val="24"/>
          <w:highlight w:val="none"/>
        </w:rPr>
        <w:t>1.项目磋商活动模式：不见面远程磋商模式。</w:t>
      </w:r>
    </w:p>
    <w:p w14:paraId="0B4C30F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3524656A">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788A4F9C">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3FEB1F49">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111A3AB7">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1DAAD46A">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1.采购人信息</w:t>
      </w:r>
    </w:p>
    <w:p w14:paraId="2F20072D">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00D4EBB7">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1FF908EE">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联系人：宋金峰  </w:t>
      </w:r>
    </w:p>
    <w:p w14:paraId="6C8E3749">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联系方式：18251359699 </w:t>
      </w:r>
    </w:p>
    <w:p w14:paraId="207B0852">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1EB77AE4">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2765AE66">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7B682C11">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731C22AB">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联系方式：18662855686/15906291850</w:t>
      </w:r>
    </w:p>
    <w:p w14:paraId="412B46A0">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4F8D4768">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联系人：宋金峰  </w:t>
      </w:r>
    </w:p>
    <w:p w14:paraId="5ADA5822">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联系方式：18251359699 </w:t>
      </w:r>
    </w:p>
    <w:p w14:paraId="601BFB72">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126A7235">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0198B62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6A8D8A92">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1A0557B0">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7C8099EB">
      <w:pPr>
        <w:keepNext/>
        <w:keepLines/>
        <w:spacing w:line="44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20D136DC">
      <w:pPr>
        <w:tabs>
          <w:tab w:val="left" w:pos="900"/>
        </w:tabs>
        <w:spacing w:line="44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5433FBEE">
      <w:pPr>
        <w:tabs>
          <w:tab w:val="left" w:pos="900"/>
        </w:tabs>
        <w:spacing w:line="44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66E0F219">
      <w:pPr>
        <w:tabs>
          <w:tab w:val="left" w:pos="900"/>
        </w:tabs>
        <w:spacing w:line="44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4F3C0572">
      <w:pPr>
        <w:tabs>
          <w:tab w:val="left" w:pos="900"/>
        </w:tabs>
        <w:spacing w:line="44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30809C91">
      <w:pPr>
        <w:widowControl/>
        <w:jc w:val="left"/>
        <w:rPr>
          <w:rFonts w:ascii="Times New Roman" w:hAnsi="Times New Roman"/>
          <w:b/>
          <w:bCs/>
          <w:color w:val="auto"/>
          <w:sz w:val="44"/>
          <w:szCs w:val="44"/>
          <w:highlight w:val="none"/>
        </w:rPr>
      </w:pPr>
    </w:p>
    <w:p w14:paraId="0CC14592">
      <w:pPr>
        <w:keepNext/>
        <w:spacing w:line="400" w:lineRule="exact"/>
        <w:ind w:firstLine="723" w:firstLineChars="200"/>
        <w:jc w:val="center"/>
        <w:outlineLvl w:val="0"/>
        <w:rPr>
          <w:rFonts w:ascii="Times New Roman" w:hAnsi="Times New Roman"/>
          <w:b/>
          <w:bCs/>
          <w:color w:val="auto"/>
          <w:sz w:val="36"/>
          <w:szCs w:val="36"/>
          <w:highlight w:val="none"/>
        </w:rPr>
      </w:pPr>
    </w:p>
    <w:p w14:paraId="30E13333">
      <w:pPr>
        <w:pStyle w:val="2"/>
        <w:rPr>
          <w:rFonts w:ascii="Times New Roman" w:hAnsi="Times New Roman"/>
          <w:color w:val="auto"/>
          <w:sz w:val="36"/>
          <w:szCs w:val="36"/>
          <w:highlight w:val="none"/>
        </w:rPr>
      </w:pPr>
    </w:p>
    <w:p w14:paraId="27D0082C">
      <w:pPr>
        <w:rPr>
          <w:rFonts w:ascii="Times New Roman" w:hAnsi="Times New Roman"/>
          <w:b/>
          <w:bCs/>
          <w:color w:val="auto"/>
          <w:sz w:val="36"/>
          <w:szCs w:val="36"/>
          <w:highlight w:val="none"/>
        </w:rPr>
      </w:pPr>
    </w:p>
    <w:p w14:paraId="5CA7C0E3">
      <w:pPr>
        <w:pStyle w:val="2"/>
        <w:rPr>
          <w:color w:val="auto"/>
          <w:highlight w:val="none"/>
        </w:rPr>
      </w:pPr>
    </w:p>
    <w:p w14:paraId="2FBF067E">
      <w:pPr>
        <w:pStyle w:val="2"/>
        <w:rPr>
          <w:rFonts w:ascii="Times New Roman" w:hAnsi="Times New Roman"/>
          <w:color w:val="auto"/>
          <w:sz w:val="36"/>
          <w:szCs w:val="36"/>
          <w:highlight w:val="none"/>
        </w:rPr>
      </w:pPr>
    </w:p>
    <w:p w14:paraId="18BBB550">
      <w:pPr>
        <w:rPr>
          <w:rFonts w:ascii="Times New Roman" w:hAnsi="Times New Roman"/>
          <w:b/>
          <w:bCs/>
          <w:color w:val="auto"/>
          <w:sz w:val="36"/>
          <w:szCs w:val="36"/>
          <w:highlight w:val="none"/>
        </w:rPr>
      </w:pPr>
    </w:p>
    <w:p w14:paraId="3A732B26">
      <w:pPr>
        <w:pStyle w:val="2"/>
        <w:rPr>
          <w:rFonts w:ascii="Times New Roman" w:hAnsi="Times New Roman"/>
          <w:color w:val="auto"/>
          <w:sz w:val="36"/>
          <w:szCs w:val="36"/>
          <w:highlight w:val="none"/>
        </w:rPr>
      </w:pPr>
    </w:p>
    <w:p w14:paraId="6C793F4C">
      <w:pPr>
        <w:rPr>
          <w:rFonts w:ascii="Times New Roman" w:hAnsi="Times New Roman"/>
          <w:b/>
          <w:bCs/>
          <w:color w:val="auto"/>
          <w:sz w:val="36"/>
          <w:szCs w:val="36"/>
          <w:highlight w:val="none"/>
        </w:rPr>
      </w:pPr>
    </w:p>
    <w:p w14:paraId="61BDADF1">
      <w:pPr>
        <w:keepNext/>
        <w:spacing w:line="400" w:lineRule="exact"/>
        <w:outlineLvl w:val="0"/>
        <w:rPr>
          <w:rFonts w:ascii="Times New Roman" w:hAnsi="Times New Roman"/>
          <w:b/>
          <w:bCs/>
          <w:color w:val="auto"/>
          <w:sz w:val="36"/>
          <w:szCs w:val="36"/>
          <w:highlight w:val="none"/>
        </w:rPr>
      </w:pPr>
    </w:p>
    <w:p w14:paraId="6BDCA37F">
      <w:pPr>
        <w:keepNext/>
        <w:spacing w:line="400" w:lineRule="exact"/>
        <w:ind w:firstLine="723" w:firstLineChars="200"/>
        <w:jc w:val="center"/>
        <w:outlineLvl w:val="0"/>
        <w:rPr>
          <w:rFonts w:ascii="Times New Roman" w:hAnsi="Times New Roman"/>
          <w:b/>
          <w:bCs/>
          <w:color w:val="auto"/>
          <w:sz w:val="36"/>
          <w:szCs w:val="36"/>
          <w:highlight w:val="none"/>
        </w:rPr>
      </w:pPr>
    </w:p>
    <w:p w14:paraId="355BC118">
      <w:pPr>
        <w:keepNext/>
        <w:spacing w:line="400" w:lineRule="exact"/>
        <w:ind w:firstLine="723" w:firstLineChars="200"/>
        <w:jc w:val="center"/>
        <w:outlineLvl w:val="0"/>
        <w:rPr>
          <w:rFonts w:ascii="Times New Roman" w:hAnsi="Times New Roman"/>
          <w:b/>
          <w:bCs/>
          <w:color w:val="auto"/>
          <w:sz w:val="32"/>
          <w:szCs w:val="32"/>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4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bookmarkStart w:id="41" w:name="_Toc20823275"/>
      <w:bookmarkStart w:id="42" w:name="_Toc16938519"/>
      <w:bookmarkStart w:id="43" w:name="_Toc120614214"/>
      <w:bookmarkStart w:id="44" w:name="_Toc513029203"/>
    </w:p>
    <w:p w14:paraId="58A81822">
      <w:pPr>
        <w:keepNext/>
        <w:keepLines/>
        <w:spacing w:before="120" w:beforeLines="50" w:after="120" w:afterLines="50" w:line="400" w:lineRule="exact"/>
        <w:ind w:firstLine="643" w:firstLineChars="200"/>
        <w:outlineLvl w:val="2"/>
        <w:rPr>
          <w:rFonts w:ascii="Times New Roman" w:hAnsi="Times New Roman" w:eastAsia="黑体"/>
          <w:color w:val="auto"/>
          <w:sz w:val="28"/>
          <w:szCs w:val="28"/>
          <w:highlight w:val="none"/>
        </w:rPr>
      </w:pPr>
      <w:r>
        <w:rPr>
          <w:rFonts w:ascii="Times New Roman" w:hAnsi="Times New Roman"/>
          <w:b/>
          <w:bCs/>
          <w:color w:val="auto"/>
          <w:sz w:val="32"/>
          <w:szCs w:val="32"/>
          <w:highlight w:val="none"/>
        </w:rPr>
        <w:t>一、总则</w:t>
      </w:r>
      <w:bookmarkEnd w:id="41"/>
      <w:bookmarkEnd w:id="42"/>
      <w:bookmarkEnd w:id="43"/>
      <w:bookmarkEnd w:id="44"/>
      <w:bookmarkStart w:id="45" w:name="_Hlt16619475"/>
      <w:bookmarkEnd w:id="45"/>
      <w:bookmarkStart w:id="46" w:name="_Toc458694821"/>
      <w:bookmarkStart w:id="47" w:name="_Toc513029204"/>
      <w:bookmarkStart w:id="48" w:name="_Toc20823276"/>
      <w:bookmarkStart w:id="49" w:name="_Toc16938520"/>
    </w:p>
    <w:p w14:paraId="4AC9C632">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69A3EB10">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45CDDF63">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513029205"/>
      <w:bookmarkStart w:id="51" w:name="_Toc16938521"/>
      <w:bookmarkStart w:id="52" w:name="_Toc20823277"/>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3E1E085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31043CF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2571D007">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513029206"/>
      <w:bookmarkStart w:id="54" w:name="_Toc20823278"/>
      <w:bookmarkStart w:id="55" w:name="_Toc16938522"/>
      <w:r>
        <w:rPr>
          <w:rFonts w:ascii="Times New Roman" w:hAnsi="Times New Roman" w:eastAsia="黑体"/>
          <w:color w:val="auto"/>
          <w:sz w:val="28"/>
          <w:szCs w:val="28"/>
          <w:highlight w:val="none"/>
        </w:rPr>
        <w:t>3、适用法律</w:t>
      </w:r>
      <w:bookmarkEnd w:id="53"/>
      <w:bookmarkEnd w:id="54"/>
      <w:bookmarkEnd w:id="55"/>
    </w:p>
    <w:p w14:paraId="5D4749F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071B327D">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16938523"/>
      <w:bookmarkStart w:id="57" w:name="_Toc20823279"/>
      <w:bookmarkStart w:id="58" w:name="_Toc513029207"/>
      <w:bookmarkStart w:id="59" w:name="_Toc462564067"/>
      <w:r>
        <w:rPr>
          <w:rFonts w:ascii="Times New Roman" w:hAnsi="Times New Roman" w:eastAsia="黑体"/>
          <w:color w:val="auto"/>
          <w:sz w:val="28"/>
          <w:szCs w:val="28"/>
          <w:highlight w:val="none"/>
        </w:rPr>
        <w:t>4、磋商费用</w:t>
      </w:r>
      <w:bookmarkEnd w:id="56"/>
      <w:bookmarkEnd w:id="57"/>
      <w:bookmarkEnd w:id="58"/>
      <w:bookmarkEnd w:id="59"/>
    </w:p>
    <w:p w14:paraId="6749E8E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3C34AB4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34FDB896">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根据财政部关于《政府采购代理机构管理暂行办法》的通知，本项目招标代理费由中标单位支付，支付金额按</w:t>
      </w:r>
      <w:r>
        <w:rPr>
          <w:rFonts w:hint="eastAsia" w:ascii="Times New Roman" w:hAnsi="Times New Roman"/>
          <w:b/>
          <w:bCs/>
          <w:color w:val="auto"/>
          <w:sz w:val="24"/>
          <w:szCs w:val="24"/>
          <w:highlight w:val="none"/>
          <w:u w:val="single"/>
          <w:lang w:val="en-US" w:eastAsia="zh-CN"/>
        </w:rPr>
        <w:t>14000</w:t>
      </w:r>
      <w:r>
        <w:rPr>
          <w:rFonts w:hint="eastAsia" w:ascii="Times New Roman" w:hAnsi="Times New Roman"/>
          <w:b/>
          <w:bCs/>
          <w:color w:val="auto"/>
          <w:sz w:val="24"/>
          <w:szCs w:val="24"/>
          <w:highlight w:val="none"/>
          <w:u w:val="single"/>
        </w:rPr>
        <w:t>元整</w:t>
      </w:r>
      <w:r>
        <w:rPr>
          <w:rFonts w:ascii="Times New Roman" w:hAnsi="Times New Roman"/>
          <w:b/>
          <w:bCs/>
          <w:color w:val="auto"/>
          <w:sz w:val="24"/>
          <w:szCs w:val="24"/>
          <w:highlight w:val="none"/>
        </w:rPr>
        <w:t>。请各投标供应商将此费用一并考虑在投标报价中</w:t>
      </w:r>
      <w:r>
        <w:rPr>
          <w:rFonts w:hint="eastAsia" w:ascii="Times New Roman" w:hAnsi="Times New Roman"/>
          <w:b/>
          <w:bCs/>
          <w:color w:val="auto"/>
          <w:sz w:val="24"/>
          <w:szCs w:val="24"/>
          <w:highlight w:val="none"/>
        </w:rPr>
        <w:t>，在领取中标通知书前缴纳至招标代理处。</w:t>
      </w:r>
    </w:p>
    <w:p w14:paraId="7C9D211E">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31FCD4CB">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2927C71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513029209"/>
      <w:bookmarkStart w:id="61" w:name="_Toc16938525"/>
      <w:bookmarkStart w:id="62" w:name="_Toc120614215"/>
      <w:bookmarkStart w:id="63" w:name="_Toc20823281"/>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4351C2F5">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16938526"/>
      <w:bookmarkStart w:id="65" w:name="_Toc20823282"/>
      <w:bookmarkStart w:id="66" w:name="_Toc513029210"/>
      <w:r>
        <w:rPr>
          <w:rFonts w:ascii="Times New Roman" w:hAnsi="Times New Roman" w:eastAsia="黑体"/>
          <w:color w:val="auto"/>
          <w:sz w:val="28"/>
          <w:szCs w:val="28"/>
          <w:highlight w:val="none"/>
        </w:rPr>
        <w:t>6、磋商文件构成</w:t>
      </w:r>
      <w:bookmarkEnd w:id="64"/>
      <w:bookmarkEnd w:id="65"/>
      <w:bookmarkEnd w:id="66"/>
    </w:p>
    <w:p w14:paraId="355E766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10E1F5A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416BA1E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4A9E016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29215A8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121A777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0C21FF9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7F3D349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24C0322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6CD3A38">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16938527"/>
      <w:bookmarkStart w:id="68" w:name="_Toc513029211"/>
      <w:bookmarkStart w:id="69" w:name="_Toc462564070"/>
      <w:bookmarkStart w:id="70" w:name="_Toc20823283"/>
      <w:r>
        <w:rPr>
          <w:rFonts w:ascii="Times New Roman" w:hAnsi="Times New Roman" w:eastAsia="黑体"/>
          <w:color w:val="auto"/>
          <w:sz w:val="28"/>
          <w:szCs w:val="28"/>
          <w:highlight w:val="none"/>
        </w:rPr>
        <w:t>7、磋商文件的澄清</w:t>
      </w:r>
      <w:bookmarkEnd w:id="67"/>
      <w:bookmarkEnd w:id="68"/>
      <w:bookmarkEnd w:id="69"/>
      <w:bookmarkEnd w:id="70"/>
    </w:p>
    <w:p w14:paraId="58BDBA6A">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2E5728C3">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16938528"/>
      <w:bookmarkStart w:id="72" w:name="_Toc462564071"/>
      <w:bookmarkStart w:id="73" w:name="_Toc513029212"/>
      <w:bookmarkStart w:id="74" w:name="_Toc20823284"/>
      <w:r>
        <w:rPr>
          <w:rFonts w:ascii="Times New Roman" w:hAnsi="Times New Roman" w:eastAsia="黑体"/>
          <w:color w:val="auto"/>
          <w:sz w:val="28"/>
          <w:szCs w:val="28"/>
          <w:highlight w:val="none"/>
        </w:rPr>
        <w:t>8、磋商文件的澄清和修改</w:t>
      </w:r>
      <w:bookmarkEnd w:id="71"/>
      <w:bookmarkEnd w:id="72"/>
      <w:bookmarkEnd w:id="73"/>
      <w:bookmarkEnd w:id="74"/>
    </w:p>
    <w:p w14:paraId="72E0B623">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4B5BE1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5E96086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513029213"/>
      <w:bookmarkStart w:id="76" w:name="_Toc20823285"/>
      <w:bookmarkStart w:id="77" w:name="_Toc16938529"/>
      <w:bookmarkStart w:id="78" w:name="_Toc120614216"/>
      <w:bookmarkStart w:id="79" w:name="_Toc462564072"/>
      <w:r>
        <w:rPr>
          <w:rFonts w:ascii="Times New Roman" w:hAnsi="Times New Roman"/>
          <w:b/>
          <w:bCs/>
          <w:color w:val="auto"/>
          <w:sz w:val="32"/>
          <w:szCs w:val="32"/>
          <w:highlight w:val="none"/>
        </w:rPr>
        <w:t>三、响应文件的编制</w:t>
      </w:r>
      <w:bookmarkEnd w:id="75"/>
      <w:bookmarkEnd w:id="76"/>
      <w:bookmarkEnd w:id="77"/>
      <w:bookmarkEnd w:id="78"/>
      <w:bookmarkEnd w:id="79"/>
    </w:p>
    <w:p w14:paraId="0754B046">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513029214"/>
      <w:bookmarkStart w:id="81" w:name="_Toc16938530"/>
      <w:bookmarkStart w:id="82" w:name="_Toc462564073"/>
      <w:bookmarkStart w:id="83" w:name="_Toc20823286"/>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1283D86A">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6976AB1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2FB2A5D1">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20823287"/>
      <w:bookmarkStart w:id="85" w:name="_Toc462564074"/>
      <w:bookmarkStart w:id="86" w:name="_Toc513029215"/>
      <w:bookmarkStart w:id="87" w:name="_Toc16938531"/>
      <w:r>
        <w:rPr>
          <w:rFonts w:ascii="Times New Roman" w:hAnsi="Times New Roman" w:eastAsia="黑体"/>
          <w:color w:val="auto"/>
          <w:sz w:val="28"/>
          <w:szCs w:val="28"/>
          <w:highlight w:val="none"/>
        </w:rPr>
        <w:t>10、响应文件构成</w:t>
      </w:r>
      <w:bookmarkEnd w:id="84"/>
      <w:bookmarkEnd w:id="85"/>
      <w:bookmarkEnd w:id="86"/>
      <w:bookmarkEnd w:id="87"/>
    </w:p>
    <w:p w14:paraId="35E228C5">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w:t>
      </w:r>
      <w:r>
        <w:rPr>
          <w:rFonts w:hint="eastAsia" w:ascii="Times New Roman" w:hAnsi="Times New Roman"/>
          <w:color w:val="auto"/>
          <w:sz w:val="24"/>
          <w:szCs w:val="21"/>
          <w:highlight w:val="none"/>
        </w:rPr>
        <w:t>磋商</w:t>
      </w:r>
      <w:r>
        <w:rPr>
          <w:rFonts w:ascii="Times New Roman" w:hAnsi="Times New Roman"/>
          <w:color w:val="auto"/>
          <w:sz w:val="24"/>
          <w:szCs w:val="21"/>
          <w:highlight w:val="none"/>
        </w:rPr>
        <w:t>报价表、技术要求响应及偏离表、商务要求响应及偏离表、其他证明文件、磋商响应函等部分。</w:t>
      </w:r>
    </w:p>
    <w:p w14:paraId="68E2631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5F59C344">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670360"/>
      <w:bookmarkEnd w:id="88"/>
      <w:bookmarkStart w:id="89" w:name="_Hlt26668975"/>
      <w:bookmarkEnd w:id="89"/>
      <w:bookmarkStart w:id="90" w:name="_Hlt26954838"/>
      <w:bookmarkEnd w:id="90"/>
      <w:bookmarkStart w:id="91" w:name="_Toc49090509"/>
      <w:bookmarkStart w:id="92" w:name="_Toc14577357"/>
      <w:bookmarkStart w:id="93" w:name="_Toc513029219"/>
      <w:bookmarkStart w:id="94" w:name="_Toc14577354"/>
      <w:bookmarkStart w:id="95" w:name="_Toc513029216"/>
      <w:bookmarkStart w:id="96" w:name="_Toc49090507"/>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41D1047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7195FAC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370B36B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1BB1FF7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r>
        <w:rPr>
          <w:rFonts w:hint="eastAsia" w:ascii="Times New Roman" w:hAnsi="Times New Roman"/>
          <w:color w:val="auto"/>
          <w:sz w:val="24"/>
          <w:szCs w:val="21"/>
          <w:highlight w:val="none"/>
        </w:rPr>
        <w:t>（如有）</w:t>
      </w:r>
      <w:r>
        <w:rPr>
          <w:rFonts w:ascii="Times New Roman" w:hAnsi="Times New Roman"/>
          <w:color w:val="auto"/>
          <w:sz w:val="24"/>
          <w:szCs w:val="21"/>
          <w:highlight w:val="none"/>
        </w:rPr>
        <w:t>。</w:t>
      </w:r>
    </w:p>
    <w:p w14:paraId="42308AB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6BDDDCE0">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6"/>
      <w:bookmarkEnd w:id="99"/>
      <w:bookmarkStart w:id="100" w:name="_Hlt26670482"/>
      <w:bookmarkEnd w:id="100"/>
      <w:bookmarkStart w:id="101" w:name="_Hlt26954846"/>
      <w:bookmarkEnd w:id="101"/>
      <w:bookmarkStart w:id="102" w:name="_Hlt26954731"/>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5B977396">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17AEC0D2">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0EB43709">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63A4EFD3">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4AA2C51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254CD41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4D73E11F">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49090510"/>
      <w:bookmarkStart w:id="105" w:name="_Toc14577359"/>
      <w:r>
        <w:rPr>
          <w:rFonts w:ascii="Times New Roman" w:hAnsi="Times New Roman" w:eastAsia="黑体"/>
          <w:color w:val="auto"/>
          <w:sz w:val="28"/>
          <w:szCs w:val="28"/>
          <w:highlight w:val="none"/>
        </w:rPr>
        <w:t>15、磋商响应函</w:t>
      </w:r>
    </w:p>
    <w:p w14:paraId="3EED7BFE">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02E91595">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49090511"/>
      <w:bookmarkStart w:id="107" w:name="_Toc14577360"/>
      <w:r>
        <w:rPr>
          <w:rFonts w:ascii="Times New Roman" w:hAnsi="Times New Roman" w:eastAsia="黑体"/>
          <w:color w:val="auto"/>
          <w:sz w:val="28"/>
          <w:szCs w:val="28"/>
          <w:highlight w:val="none"/>
        </w:rPr>
        <w:t>16、磋商有效期</w:t>
      </w:r>
      <w:bookmarkEnd w:id="106"/>
      <w:bookmarkEnd w:id="107"/>
    </w:p>
    <w:p w14:paraId="277C5BA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74343A01">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64B8F7B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3FA8D53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513029224"/>
      <w:bookmarkStart w:id="111" w:name="_Toc20823296"/>
      <w:bookmarkStart w:id="112" w:name="_Toc120614217"/>
      <w:bookmarkStart w:id="113" w:name="_Toc16938540"/>
      <w:r>
        <w:rPr>
          <w:rFonts w:ascii="Times New Roman" w:hAnsi="Times New Roman"/>
          <w:b/>
          <w:bCs/>
          <w:color w:val="auto"/>
          <w:sz w:val="32"/>
          <w:szCs w:val="32"/>
          <w:highlight w:val="none"/>
        </w:rPr>
        <w:t>四、响应文件的递交</w:t>
      </w:r>
      <w:bookmarkEnd w:id="110"/>
      <w:bookmarkEnd w:id="111"/>
      <w:bookmarkEnd w:id="112"/>
      <w:bookmarkEnd w:id="113"/>
    </w:p>
    <w:p w14:paraId="45A3B708">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16938541"/>
      <w:bookmarkStart w:id="116" w:name="_Toc462564084"/>
      <w:bookmarkStart w:id="117" w:name="_Toc20823297"/>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36A8E9B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20823298"/>
      <w:bookmarkStart w:id="119" w:name="_Toc513029226"/>
      <w:bookmarkStart w:id="120" w:name="_Toc16938542"/>
    </w:p>
    <w:p w14:paraId="00A4DDFC">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72ADE667">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60A82B3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39ABAF87">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1108D658">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20823299"/>
      <w:bookmarkStart w:id="122" w:name="_Toc16938543"/>
      <w:bookmarkStart w:id="123" w:name="_Toc513029227"/>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75325B6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33DE99F7">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16938544"/>
      <w:bookmarkStart w:id="125" w:name="_Toc20823300"/>
      <w:bookmarkStart w:id="126" w:name="_Toc513029228"/>
      <w:r>
        <w:rPr>
          <w:rFonts w:ascii="Times New Roman" w:hAnsi="Times New Roman" w:eastAsia="黑体"/>
          <w:color w:val="auto"/>
          <w:sz w:val="28"/>
          <w:szCs w:val="28"/>
          <w:highlight w:val="none"/>
        </w:rPr>
        <w:t>21、响应文件的撤回和修改</w:t>
      </w:r>
      <w:bookmarkEnd w:id="124"/>
      <w:bookmarkEnd w:id="125"/>
      <w:bookmarkEnd w:id="126"/>
    </w:p>
    <w:p w14:paraId="32C855C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3160759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58A2B1A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00308AB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023F2C5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3E53E6B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5EBDE390">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06ACF8C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28BE985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513029229"/>
      <w:bookmarkStart w:id="128" w:name="_Toc120614218"/>
      <w:bookmarkStart w:id="129" w:name="_Toc16938545"/>
      <w:bookmarkStart w:id="130" w:name="_Toc20823301"/>
      <w:r>
        <w:rPr>
          <w:rFonts w:ascii="Times New Roman" w:hAnsi="Times New Roman"/>
          <w:b/>
          <w:bCs/>
          <w:color w:val="auto"/>
          <w:sz w:val="32"/>
          <w:szCs w:val="32"/>
          <w:highlight w:val="none"/>
        </w:rPr>
        <w:t>五、响应文件的解密与评审</w:t>
      </w:r>
      <w:bookmarkEnd w:id="127"/>
      <w:bookmarkEnd w:id="128"/>
      <w:bookmarkEnd w:id="129"/>
      <w:bookmarkEnd w:id="130"/>
    </w:p>
    <w:p w14:paraId="17EA02DC">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16938546"/>
      <w:bookmarkStart w:id="132" w:name="_Toc513029230"/>
      <w:bookmarkStart w:id="133" w:name="_Toc20823302"/>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2EDD2434">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13D6E346">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16938547"/>
      <w:bookmarkStart w:id="135" w:name="_Toc513029231"/>
      <w:bookmarkStart w:id="136" w:name="_Toc20823303"/>
      <w:r>
        <w:rPr>
          <w:rFonts w:ascii="Times New Roman" w:hAnsi="Times New Roman" w:eastAsia="黑体"/>
          <w:color w:val="auto"/>
          <w:sz w:val="28"/>
          <w:szCs w:val="28"/>
          <w:highlight w:val="none"/>
        </w:rPr>
        <w:t>23、磋商小组</w:t>
      </w:r>
    </w:p>
    <w:p w14:paraId="449395B1">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53BC50B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0545C55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0E0B67F1">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43D9D5B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2FEA482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733A3490">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403D6120">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513029232"/>
      <w:bookmarkStart w:id="138" w:name="_Toc16938548"/>
      <w:bookmarkStart w:id="139" w:name="_Toc20823304"/>
      <w:r>
        <w:rPr>
          <w:rFonts w:ascii="Times New Roman" w:hAnsi="Times New Roman" w:eastAsia="黑体"/>
          <w:color w:val="auto"/>
          <w:sz w:val="28"/>
          <w:szCs w:val="28"/>
          <w:highlight w:val="none"/>
        </w:rPr>
        <w:t>25、评审过程中的的澄清</w:t>
      </w:r>
      <w:bookmarkEnd w:id="137"/>
      <w:bookmarkEnd w:id="138"/>
      <w:bookmarkEnd w:id="139"/>
    </w:p>
    <w:p w14:paraId="535C970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E5077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22E6F3EF">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54B6CF1">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25.3 接到磋商小组澄清、说明和更正要求的供应商如未按规定做出澄清、说明和更正，其风险由供应商自行承担。</w:t>
      </w:r>
    </w:p>
    <w:p w14:paraId="288EEF94">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513029233"/>
      <w:bookmarkStart w:id="141" w:name="_Toc20823305"/>
      <w:bookmarkStart w:id="142" w:name="_Toc16938549"/>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542208B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36F48F8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5906A52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5256F19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15763B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9B878E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47039F3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20FDD36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55CC4DF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43E9C80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75F2D21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0B166EC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7E656CF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59F12F84">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030D3C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3C1B09C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35E2316C">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4E48195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4465BA0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4E01B3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13E20E6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1ACB0283">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3610306B">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405DE021">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53053C1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FC329E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0265C080">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49184E2F">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7E9CEDB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58AADDA9">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621AB4C8">
      <w:pPr>
        <w:spacing w:line="400" w:lineRule="exact"/>
        <w:ind w:firstLine="480" w:firstLineChars="200"/>
        <w:rPr>
          <w:rFonts w:ascii="Times New Roman" w:hAnsi="Times New Roman"/>
          <w:color w:val="auto"/>
          <w:sz w:val="24"/>
          <w:szCs w:val="21"/>
          <w:highlight w:val="none"/>
        </w:rPr>
      </w:pPr>
      <w:bookmarkStart w:id="143" w:name="_Toc20823306"/>
      <w:bookmarkStart w:id="144" w:name="_Toc16938550"/>
      <w:bookmarkStart w:id="145" w:name="_Toc513029234"/>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1D99DE6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7EED38D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36C7CBE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7F7C3481">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14DCC8BA">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w:t>
      </w:r>
      <w:r>
        <w:rPr>
          <w:rFonts w:ascii="Times New Roman" w:hAnsi="Times New Roman"/>
          <w:b/>
          <w:bCs/>
          <w:color w:val="auto"/>
          <w:sz w:val="24"/>
          <w:szCs w:val="24"/>
          <w:highlight w:val="none"/>
        </w:rPr>
        <w:t>0分钟）提交最后报价。</w:t>
      </w:r>
    </w:p>
    <w:p w14:paraId="222D95B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60E8642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0B80D7C8">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D67D4F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271EB9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58A6CC3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5096D20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1394E93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328DE9F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25D86E9A">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0C8ABA6A">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73EFE90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724BA4A4">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14F5D29D">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681AFA88">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20823307"/>
      <w:bookmarkStart w:id="147" w:name="_Toc16938551"/>
      <w:bookmarkStart w:id="148" w:name="_Toc513029235"/>
      <w:bookmarkStart w:id="149" w:name="_Toc120614219"/>
      <w:r>
        <w:rPr>
          <w:rFonts w:ascii="Times New Roman" w:hAnsi="Times New Roman"/>
          <w:color w:val="auto"/>
          <w:sz w:val="24"/>
          <w:szCs w:val="24"/>
          <w:highlight w:val="none"/>
        </w:rPr>
        <w:t>27.3.5因重大变故，采购任务取消的。</w:t>
      </w:r>
    </w:p>
    <w:p w14:paraId="55E4530D">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393EB09D">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1B02B5C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61E165EB">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3D34D18">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257B7402">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2D504D41">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2D96A23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F6FECE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5901D6B3">
      <w:pPr>
        <w:spacing w:line="400" w:lineRule="exact"/>
        <w:ind w:firstLine="482" w:firstLineChars="200"/>
        <w:rPr>
          <w:rFonts w:ascii="Times New Roman" w:hAnsi="Times New Roman"/>
          <w:b/>
          <w:bCs/>
          <w:color w:val="auto"/>
          <w:sz w:val="24"/>
          <w:szCs w:val="21"/>
          <w:highlight w:val="none"/>
        </w:rPr>
      </w:pPr>
      <w:r>
        <w:rPr>
          <w:rFonts w:ascii="Times New Roman" w:hAnsi="Times New Roman"/>
          <w:b/>
          <w:bCs/>
          <w:color w:val="auto"/>
          <w:sz w:val="24"/>
          <w:szCs w:val="21"/>
          <w:highlight w:val="none"/>
        </w:rPr>
        <w:t>28.2采购人授权磋商小组直接确定排名第一的成交候选供应商为成交供应商。确定成交供应商之日起2个工作日内，采购人或代理机构将在“江苏政府采购网”发布成交结果公告，公告期限为1个工作日。</w:t>
      </w:r>
    </w:p>
    <w:p w14:paraId="09627085">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5B88BF4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24F93C7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180A05B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1CA1D73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44DAED9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40F56E8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7E4E8CB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01D75F1E">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5E95EFC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72A56E44">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2A1D7EF1">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7B486E8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2098751A">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213C400A">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21AE0DFE">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4C1166F3">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5C2ABA4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6C699DC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156F7A11">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5D27046F">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6AA39A51">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698CD26F">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1D53D39A">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48DFE703">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20CFA0E3">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34D3EDF3">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198B2CA6">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365D40CE">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5AE239B3">
      <w:pPr>
        <w:keepNext/>
        <w:keepLines/>
        <w:spacing w:line="38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16938552"/>
      <w:bookmarkStart w:id="156" w:name="_Toc513029236"/>
      <w:bookmarkStart w:id="157" w:name="_Toc20823308"/>
      <w:r>
        <w:rPr>
          <w:rFonts w:ascii="Times New Roman" w:hAnsi="Times New Roman"/>
          <w:b/>
          <w:bCs/>
          <w:color w:val="auto"/>
          <w:sz w:val="32"/>
          <w:szCs w:val="32"/>
          <w:highlight w:val="none"/>
        </w:rPr>
        <w:t>七、授予合同</w:t>
      </w:r>
      <w:bookmarkEnd w:id="154"/>
    </w:p>
    <w:bookmarkEnd w:id="155"/>
    <w:bookmarkEnd w:id="156"/>
    <w:bookmarkEnd w:id="157"/>
    <w:p w14:paraId="79101476">
      <w:pPr>
        <w:keepNext/>
        <w:keepLines/>
        <w:spacing w:line="380" w:lineRule="exact"/>
        <w:ind w:firstLine="600" w:firstLineChars="200"/>
        <w:outlineLvl w:val="3"/>
        <w:rPr>
          <w:rFonts w:ascii="Times New Roman" w:hAnsi="Times New Roman" w:eastAsia="黑体"/>
          <w:bCs/>
          <w:color w:val="auto"/>
          <w:sz w:val="30"/>
          <w:szCs w:val="30"/>
          <w:highlight w:val="none"/>
        </w:rPr>
      </w:pPr>
      <w:bookmarkStart w:id="158" w:name="_Toc20823309"/>
      <w:bookmarkStart w:id="159" w:name="_Toc16938553"/>
      <w:bookmarkStart w:id="160" w:name="_Toc513029237"/>
      <w:r>
        <w:rPr>
          <w:rFonts w:ascii="Times New Roman" w:hAnsi="Times New Roman" w:eastAsia="黑体"/>
          <w:bCs/>
          <w:color w:val="auto"/>
          <w:sz w:val="30"/>
          <w:szCs w:val="30"/>
          <w:highlight w:val="none"/>
        </w:rPr>
        <w:t>31. 签订合同</w:t>
      </w:r>
    </w:p>
    <w:p w14:paraId="02BF8C80">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28DA691B">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353B68AE">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786599FD">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2E91B3C7">
      <w:pPr>
        <w:snapToGrid w:val="0"/>
        <w:spacing w:line="380" w:lineRule="exact"/>
        <w:ind w:firstLine="600" w:firstLineChars="250"/>
        <w:rPr>
          <w:rFonts w:ascii="Times New Roman" w:hAnsi="Times New Roman"/>
          <w:color w:val="auto"/>
          <w:sz w:val="24"/>
          <w:szCs w:val="24"/>
          <w:highlight w:val="none"/>
        </w:rPr>
      </w:pPr>
      <w:bookmarkStart w:id="161" w:name="_Toc513029242"/>
      <w:bookmarkStart w:id="162" w:name="_Toc479757207"/>
      <w:bookmarkStart w:id="163" w:name="_Toc20823314"/>
      <w:bookmarkStart w:id="164" w:name="_Toc16938558"/>
      <w:bookmarkStart w:id="165" w:name="_Toc120614221"/>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1869B457">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7FA6FD90">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042C28C9">
      <w:pPr>
        <w:keepNext/>
        <w:adjustRightInd w:val="0"/>
        <w:snapToGrid w:val="0"/>
        <w:spacing w:line="38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7EDD6213">
      <w:pPr>
        <w:spacing w:line="400" w:lineRule="exact"/>
        <w:ind w:firstLine="480" w:firstLineChars="200"/>
        <w:rPr>
          <w:rFonts w:ascii="Times New Roman" w:hAnsi="Times New Roman"/>
          <w:bCs/>
          <w:color w:val="auto"/>
          <w:sz w:val="24"/>
          <w:szCs w:val="24"/>
          <w:highlight w:val="none"/>
        </w:rPr>
      </w:pPr>
    </w:p>
    <w:p w14:paraId="5420CFB9">
      <w:pPr>
        <w:pStyle w:val="53"/>
        <w:ind w:firstLine="420"/>
        <w:rPr>
          <w:color w:val="auto"/>
          <w:highlight w:val="none"/>
        </w:rPr>
      </w:pPr>
    </w:p>
    <w:p w14:paraId="4002BDAF">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4DBBD967">
      <w:pPr>
        <w:spacing w:line="400" w:lineRule="exact"/>
        <w:ind w:firstLine="480" w:firstLineChars="200"/>
        <w:rPr>
          <w:rFonts w:ascii="Times New Roman" w:hAnsi="Times New Roman"/>
          <w:b/>
          <w:color w:val="auto"/>
          <w:sz w:val="30"/>
          <w:szCs w:val="21"/>
          <w:highlight w:val="none"/>
        </w:rPr>
      </w:pPr>
      <w:bookmarkStart w:id="166" w:name="_Toc20823315"/>
      <w:bookmarkStart w:id="167" w:name="_Toc16938559"/>
      <w:bookmarkStart w:id="168" w:name="_Toc513029243"/>
      <w:r>
        <w:rPr>
          <w:rFonts w:ascii="Times New Roman" w:hAnsi="Times New Roman"/>
          <w:bCs/>
          <w:color w:val="auto"/>
          <w:sz w:val="24"/>
          <w:szCs w:val="21"/>
          <w:highlight w:val="none"/>
        </w:rPr>
        <w:t>以下为成交后签定本项目合同的通用条款，成交供应商不得提出实质性的修改。</w:t>
      </w:r>
    </w:p>
    <w:p w14:paraId="3A9D3365">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3316BFF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项目名称：</w:t>
      </w:r>
    </w:p>
    <w:p w14:paraId="712BCD00">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0A960CC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甲方：（买方）</w:t>
      </w:r>
    </w:p>
    <w:p w14:paraId="50301B3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6406A91A">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根据《中华人民共和国民法典（合同编）》、《中华人民共和国政府采购法》等法律法规的规定以及项目采购结果，甲乙双方遵循平等、自愿、公平、诚实信用的原则，就项目事宜经双方协商一致，订立本合同。</w:t>
      </w:r>
    </w:p>
    <w:p w14:paraId="3729692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1A8A806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1.1 标的名称：</w:t>
      </w:r>
    </w:p>
    <w:p w14:paraId="70563715">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1.2标的质量：</w:t>
      </w:r>
    </w:p>
    <w:p w14:paraId="09034246">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31A69A4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1.4 履行时间（期限）：</w:t>
      </w:r>
    </w:p>
    <w:p w14:paraId="066074F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1.5 履行地点：</w:t>
      </w:r>
    </w:p>
    <w:p w14:paraId="4AFA3D65">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1.6履行方式：</w:t>
      </w:r>
    </w:p>
    <w:p w14:paraId="29979CB1">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56B4D45D">
      <w:pPr>
        <w:spacing w:before="120" w:after="120" w:line="400" w:lineRule="exact"/>
        <w:ind w:left="410" w:hanging="410"/>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本合同金额为（大写）：__________________圆（_______________元）人民币。</w:t>
      </w:r>
    </w:p>
    <w:p w14:paraId="43F95AE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5B96E9A4">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7D7E5891">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EEF505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55AF8F12">
      <w:pPr>
        <w:spacing w:before="120" w:after="120"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p>
    <w:p w14:paraId="5BB07340">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5D5358A7">
      <w:pPr>
        <w:spacing w:before="120" w:after="120" w:line="400" w:lineRule="exact"/>
        <w:ind w:left="492" w:hanging="492"/>
        <w:rPr>
          <w:rFonts w:ascii="Times New Roman" w:hAnsi="Times New Roman"/>
          <w:color w:val="auto"/>
          <w:sz w:val="24"/>
          <w:szCs w:val="24"/>
          <w:highlight w:val="none"/>
          <w:u w:val="singl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001E048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六、合同转包</w:t>
      </w:r>
    </w:p>
    <w:p w14:paraId="017CB789">
      <w:pPr>
        <w:spacing w:before="120" w:after="120" w:line="400" w:lineRule="exact"/>
        <w:rPr>
          <w:rFonts w:ascii="Times New Roman" w:hAnsi="Times New Roman"/>
          <w:b/>
          <w:color w:val="auto"/>
          <w:sz w:val="24"/>
          <w:szCs w:val="24"/>
          <w:highlight w:val="none"/>
        </w:rPr>
      </w:pPr>
      <w:r>
        <w:rPr>
          <w:rFonts w:ascii="Times New Roman" w:hAnsi="Times New Roman"/>
          <w:color w:val="auto"/>
          <w:sz w:val="24"/>
          <w:szCs w:val="24"/>
          <w:highlight w:val="none"/>
        </w:rPr>
        <w:t>6.1 乙方不得将合同标的转包给他人履行。</w:t>
      </w:r>
    </w:p>
    <w:p w14:paraId="3A33045C">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七、合同款项支付</w:t>
      </w:r>
    </w:p>
    <w:p w14:paraId="2F7520FD">
      <w:pPr>
        <w:spacing w:line="440" w:lineRule="exact"/>
        <w:ind w:firstLine="480" w:firstLineChars="200"/>
        <w:rPr>
          <w:color w:val="auto"/>
          <w:sz w:val="24"/>
          <w:szCs w:val="24"/>
          <w:highlight w:val="none"/>
        </w:rPr>
      </w:pPr>
      <w:r>
        <w:rPr>
          <w:rFonts w:hint="eastAsia"/>
          <w:color w:val="auto"/>
          <w:sz w:val="24"/>
          <w:szCs w:val="24"/>
          <w:highlight w:val="none"/>
        </w:rPr>
        <w:t>1、付款：在2026年12月31日前，按实际完成的项目数量按实结算，剩余工作内容全部完成后再按实际完成的项目数量一次性付清。</w:t>
      </w:r>
    </w:p>
    <w:p w14:paraId="7D7123EC">
      <w:pPr>
        <w:pStyle w:val="53"/>
        <w:rPr>
          <w:color w:val="auto"/>
          <w:sz w:val="24"/>
          <w:szCs w:val="24"/>
          <w:highlight w:val="none"/>
        </w:rPr>
      </w:pPr>
      <w:r>
        <w:rPr>
          <w:rFonts w:hint="eastAsia"/>
          <w:color w:val="auto"/>
          <w:sz w:val="24"/>
          <w:szCs w:val="24"/>
          <w:highlight w:val="none"/>
        </w:rPr>
        <w:t>2、乙方凭经采购合同、验收单（经验收合格）及正式发票按规定进行资金结算。</w:t>
      </w:r>
    </w:p>
    <w:p w14:paraId="7C60BC5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八、税费</w:t>
      </w:r>
    </w:p>
    <w:p w14:paraId="2AB33FCA">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8.1 本合同执行中相关的一切税费均由乙方负担。</w:t>
      </w:r>
    </w:p>
    <w:p w14:paraId="4A70CD4D">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九、项目验收</w:t>
      </w:r>
    </w:p>
    <w:p w14:paraId="42626B9B">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9.1 甲方依法组织履约验收工作。</w:t>
      </w:r>
    </w:p>
    <w:p w14:paraId="49306ACF">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9.2 甲方在组织履约验收前，乙方应做好相应配合工作。</w:t>
      </w:r>
    </w:p>
    <w:p w14:paraId="08F2E74E">
      <w:pPr>
        <w:spacing w:before="143" w:after="143" w:line="400" w:lineRule="exact"/>
        <w:rPr>
          <w:rFonts w:ascii="Times New Roman" w:hAnsi="Times New Roman"/>
          <w:color w:val="auto"/>
          <w:sz w:val="24"/>
          <w:szCs w:val="24"/>
          <w:highlight w:val="none"/>
        </w:rPr>
      </w:pPr>
      <w:r>
        <w:rPr>
          <w:rFonts w:ascii="Times New Roman" w:hAnsi="Times New Roman"/>
          <w:color w:val="auto"/>
          <w:sz w:val="24"/>
          <w:szCs w:val="24"/>
          <w:highlight w:val="none"/>
        </w:rPr>
        <w:t>9.3 甲方按照采购合同的约定对乙方的履约情况进行验收。验收时,甲方按照采购合同的约定对履约情况进行确认。验收结束后,验收小组出具验收意见,列明验收情况及项目总体评价。验收结果与采购合同约定的资金支付及履约保证金返还条件挂钩。</w:t>
      </w:r>
    </w:p>
    <w:p w14:paraId="50D19E3A">
      <w:pPr>
        <w:spacing w:before="143" w:after="143" w:line="400" w:lineRule="exact"/>
        <w:ind w:left="492" w:hanging="492"/>
        <w:rPr>
          <w:rFonts w:ascii="Times New Roman" w:hAnsi="Times New Roman"/>
          <w:color w:val="auto"/>
          <w:sz w:val="24"/>
          <w:szCs w:val="24"/>
          <w:highlight w:val="none"/>
        </w:rPr>
      </w:pPr>
      <w:r>
        <w:rPr>
          <w:rFonts w:ascii="Times New Roman" w:hAnsi="Times New Roman"/>
          <w:color w:val="auto"/>
          <w:sz w:val="24"/>
          <w:szCs w:val="24"/>
          <w:highlight w:val="none"/>
        </w:rPr>
        <w:t>9.4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4D215F75">
      <w:pPr>
        <w:spacing w:before="120" w:after="120"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十、违约责任</w:t>
      </w:r>
    </w:p>
    <w:p w14:paraId="5B988F21">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10.1 甲方无正当理由拒绝接受乙方提供服务的，甲方向乙方偿付拒绝接受服务合同价款总值的违约金。</w:t>
      </w:r>
    </w:p>
    <w:p w14:paraId="3CEB564F">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10.2 甲方无故逾期验收和办理合同款项支付手续的,甲方应按逾期付款总额每日向乙方支付违约金。</w:t>
      </w:r>
    </w:p>
    <w:p w14:paraId="53D63368">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10.3 乙方逾期提供服务的，乙方应按逾期提供服务合同总额每日向甲方支付违约金，由甲方从待付合同款项中扣除。逾期超过约定日期个工作日不能提供服务的，甲方可解除本合同。乙方因逾期提供服务或因其他违约行为导致甲方解除合同的，乙方应向甲方支付合同价款总额的违约金，如造成甲方损失超过违约金的，超出部分由乙方继续承担赔偿责任。</w:t>
      </w:r>
    </w:p>
    <w:p w14:paraId="504302A5">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10.4 乙方所提供服务的标准不符合合同规定及采购文件规定标准的，甲方有权拒绝接受服务，并可单方面解除合同。</w:t>
      </w:r>
    </w:p>
    <w:p w14:paraId="66017A3A">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十一、不可抗力事件处理</w:t>
      </w:r>
    </w:p>
    <w:p w14:paraId="6A0FEE7D">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11.1 在合同有效期内，任何一方因不可抗力事件导致不能履行合同，则合同履行期可延长，其延长期与不可抗力影响期相同。</w:t>
      </w:r>
    </w:p>
    <w:p w14:paraId="25B9FD16">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11.2 不可抗力事件发生后，应立即通知对方，并寄送有关权威机构出具的证明。</w:t>
      </w:r>
    </w:p>
    <w:p w14:paraId="1144B168">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11.3 不可抗力事件延续120天以上，双方应通过友好协商，确定是否继续履行合同。</w:t>
      </w:r>
    </w:p>
    <w:p w14:paraId="0846CBDE">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十二、诉讼</w:t>
      </w:r>
    </w:p>
    <w:p w14:paraId="32CEFE9D">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12.1 双方在执行合同中所发生的一切争议，应通过协商解决。如协商不成，可向合同签订地法院起诉，合同签订地在此约定为。</w:t>
      </w:r>
    </w:p>
    <w:p w14:paraId="3817C42C">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十三、其他</w:t>
      </w:r>
    </w:p>
    <w:p w14:paraId="3CF1C995">
      <w:pPr>
        <w:spacing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13.1 本合同所有附件、招标文件、投标文件、中标通知书均为合同的有效组成部分，与本合同具有同等法律效力。</w:t>
      </w:r>
    </w:p>
    <w:p w14:paraId="53ADFC0B">
      <w:pPr>
        <w:spacing w:line="400" w:lineRule="exact"/>
        <w:ind w:left="624" w:hanging="624"/>
        <w:rPr>
          <w:rFonts w:ascii="Times New Roman" w:hAnsi="Times New Roman"/>
          <w:color w:val="auto"/>
          <w:sz w:val="24"/>
          <w:szCs w:val="24"/>
          <w:highlight w:val="none"/>
        </w:rPr>
      </w:pPr>
      <w:r>
        <w:rPr>
          <w:rFonts w:ascii="Times New Roman" w:hAnsi="Times New Roman"/>
          <w:color w:val="auto"/>
          <w:sz w:val="24"/>
          <w:szCs w:val="24"/>
          <w:highlight w:val="none"/>
        </w:rPr>
        <w:t>13.3 除甲方事先书面同意外，乙方不得部分或全部转让其应履行的合同项下的义务。</w:t>
      </w:r>
    </w:p>
    <w:p w14:paraId="5712EE22">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13.4本合同未尽事宜，遵照《中华人民共和国民法典（合同编）》有关条文执行。</w:t>
      </w:r>
    </w:p>
    <w:p w14:paraId="2005ABCF">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十四、合同生效</w:t>
      </w:r>
    </w:p>
    <w:p w14:paraId="3BC98FFA">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14.1 合同经双方法定代表人或授权委托代表人签字并加盖单位公章后生效。</w:t>
      </w:r>
    </w:p>
    <w:p w14:paraId="2EBBD597">
      <w:pPr>
        <w:spacing w:line="400" w:lineRule="exact"/>
        <w:ind w:left="612" w:hanging="612"/>
        <w:rPr>
          <w:rFonts w:ascii="Times New Roman" w:hAnsi="Times New Roman"/>
          <w:color w:val="auto"/>
          <w:sz w:val="24"/>
          <w:szCs w:val="24"/>
          <w:highlight w:val="none"/>
        </w:rPr>
      </w:pPr>
      <w:r>
        <w:rPr>
          <w:rFonts w:ascii="Times New Roman" w:hAnsi="Times New Roman"/>
          <w:color w:val="auto"/>
          <w:sz w:val="24"/>
          <w:szCs w:val="24"/>
          <w:highlight w:val="none"/>
        </w:rPr>
        <w:t>14.2 本合同正本一式</w:t>
      </w:r>
      <w:r>
        <w:rPr>
          <w:rFonts w:ascii="Times New Roman" w:hAnsi="Times New Roman"/>
          <w:color w:val="auto"/>
          <w:sz w:val="24"/>
          <w:szCs w:val="24"/>
          <w:highlight w:val="none"/>
          <w:u w:val="single"/>
        </w:rPr>
        <w:t>肆</w:t>
      </w:r>
      <w:r>
        <w:rPr>
          <w:rFonts w:ascii="Times New Roman" w:hAnsi="Times New Roman"/>
          <w:color w:val="auto"/>
          <w:sz w:val="24"/>
          <w:szCs w:val="24"/>
          <w:highlight w:val="none"/>
        </w:rPr>
        <w:t>份。</w:t>
      </w:r>
    </w:p>
    <w:p w14:paraId="41BBBE6C">
      <w:pPr>
        <w:spacing w:before="120" w:after="120" w:line="400" w:lineRule="exact"/>
        <w:rPr>
          <w:rFonts w:ascii="Times New Roman" w:hAnsi="Times New Roman"/>
          <w:color w:val="auto"/>
          <w:sz w:val="24"/>
          <w:szCs w:val="24"/>
          <w:highlight w:val="none"/>
        </w:rPr>
      </w:pPr>
    </w:p>
    <w:p w14:paraId="5F3AE017">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22A20DD8">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59273C3E">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2E5080F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00F1A623">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7ED3AAAE">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371284B2">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20614244"/>
      <w:bookmarkStart w:id="171" w:name="_Toc16938590"/>
      <w:bookmarkStart w:id="172" w:name="_Toc20823346"/>
      <w:bookmarkStart w:id="173" w:name="_Toc479757211"/>
      <w:bookmarkStart w:id="174" w:name="_Toc462564139"/>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26554093"/>
      <w:bookmarkStart w:id="176" w:name="_Toc49090575"/>
    </w:p>
    <w:p w14:paraId="146265A6">
      <w:pPr>
        <w:adjustRightInd w:val="0"/>
        <w:snapToGrid w:val="0"/>
        <w:spacing w:line="360" w:lineRule="auto"/>
        <w:rPr>
          <w:rFonts w:ascii="Times New Roman" w:hAnsi="Times New Roman"/>
          <w:b/>
          <w:color w:val="auto"/>
          <w:sz w:val="24"/>
          <w:szCs w:val="24"/>
          <w:highlight w:val="none"/>
        </w:rPr>
      </w:pPr>
    </w:p>
    <w:p w14:paraId="77C5B050">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1B94D91D">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48A00197">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1F90D5DF">
      <w:pPr>
        <w:spacing w:line="560" w:lineRule="exact"/>
        <w:rPr>
          <w:b/>
          <w:bCs/>
          <w:color w:val="auto"/>
          <w:sz w:val="24"/>
          <w:szCs w:val="24"/>
          <w:highlight w:val="none"/>
        </w:rPr>
      </w:pPr>
      <w:r>
        <w:rPr>
          <w:rFonts w:hint="eastAsia"/>
          <w:b/>
          <w:bCs/>
          <w:color w:val="auto"/>
          <w:sz w:val="24"/>
          <w:szCs w:val="24"/>
          <w:highlight w:val="none"/>
        </w:rPr>
        <w:t>一、项目背景</w:t>
      </w:r>
    </w:p>
    <w:p w14:paraId="4DBEEF69">
      <w:pPr>
        <w:spacing w:line="440" w:lineRule="exact"/>
        <w:ind w:firstLine="480" w:firstLineChars="200"/>
        <w:rPr>
          <w:rFonts w:ascii="宋体" w:hAnsi="宋体"/>
          <w:color w:val="auto"/>
          <w:sz w:val="24"/>
          <w:highlight w:val="none"/>
        </w:rPr>
      </w:pPr>
      <w:r>
        <w:rPr>
          <w:rFonts w:hint="eastAsia" w:ascii="宋体" w:hAnsi="宋体"/>
          <w:color w:val="auto"/>
          <w:sz w:val="24"/>
          <w:szCs w:val="24"/>
          <w:highlight w:val="none"/>
        </w:rPr>
        <w:t>根据《自然资源部办公厅关于进一步加强补充耕地项目管理严格新增耕地核实认定的通知》（自然资办发[2022]36号）、《江苏省自然资源厅关于进一步规范耕地占补平衡管理的通知》（苏自然资发〔2022〕369号）、《南通市补充耕地项目管理办法》（通自然资规发〔2023〕39号）等文件规定，耕地占补平衡项目竣工后，要制作项目区分辨率优于0.2米的高清正射影像图，逐地块调查测量新增耕地位置、面积和利用状况，并提供县级初验照片、项目竣工图、竣工勘界报告、优于0.2米的高清正射影像等报验材料。为严格如东县耕地占补平衡项目实施和验收，确保成果顺利通过上级确认，</w:t>
      </w:r>
      <w:r>
        <w:rPr>
          <w:rFonts w:hint="eastAsia" w:ascii="宋体" w:hAnsi="宋体"/>
          <w:color w:val="auto"/>
          <w:sz w:val="24"/>
          <w:highlight w:val="none"/>
        </w:rPr>
        <w:t>如东县自然资源和规划局决定聘请有资质、有专业能力和技术手段的协作单位开展耕地占补平衡项目竣工验收管理服务工作。2026-2027年全县预计实施验收耕地占补平衡项目约6667个地块</w:t>
      </w:r>
      <w:r>
        <w:rPr>
          <w:rFonts w:hint="eastAsia" w:ascii="宋体" w:hAnsi="宋体"/>
          <w:color w:val="auto"/>
          <w:sz w:val="24"/>
          <w:szCs w:val="24"/>
          <w:highlight w:val="none"/>
        </w:rPr>
        <w:t>。</w:t>
      </w:r>
    </w:p>
    <w:p w14:paraId="71253C55">
      <w:pPr>
        <w:spacing w:line="560" w:lineRule="exact"/>
        <w:rPr>
          <w:b/>
          <w:bCs/>
          <w:color w:val="auto"/>
          <w:sz w:val="24"/>
          <w:szCs w:val="24"/>
          <w:highlight w:val="none"/>
        </w:rPr>
      </w:pPr>
      <w:r>
        <w:rPr>
          <w:rFonts w:hint="eastAsia"/>
          <w:b/>
          <w:bCs/>
          <w:color w:val="auto"/>
          <w:sz w:val="24"/>
          <w:szCs w:val="24"/>
          <w:highlight w:val="none"/>
        </w:rPr>
        <w:t>二、项目主要任务</w:t>
      </w:r>
    </w:p>
    <w:p w14:paraId="6D6CC332">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以国家和省有关法律法规和政策文件为主导，以增加有效耕地面积为目标，以国家和省有关技术规范为依据，提高耕地占补平衡补充耕地项目质量，保障项目的技术可行性、经济合理性和实施可操作性，确保实现补充的耕地数量、质量双平衡。</w:t>
      </w:r>
    </w:p>
    <w:p w14:paraId="3B1B4510">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采用逐个项目地块实地勘测定界、现场拍照和高清正射影像（优于0.2米）相结合的方式，对如东县2026-2027年耕地占补平衡项目进行竣工验收核查，对入库项目地块竣工后进行现场核实范围，并编制符合要求的勘测定界图，勘测定界工作程序包括查阅有关文件、搜集图件和勘测资料、现场踏勘、实地核查、勘测定界、拍摄实地照片、获取高清正射影像（优于0.2米），提交成果资料、编制竣工勘测定界报告，配合验收环节。其技术要求包括控制测量、实地测绘、正射影像图制作、实地核查、实地拍照、面积计算和汇总绘图、配合开展市级验收后整改、报告编写和成果整理归档等。</w:t>
      </w:r>
    </w:p>
    <w:p w14:paraId="244635D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szCs w:val="24"/>
          <w:highlight w:val="none"/>
        </w:rPr>
        <w:t xml:space="preserve"> 控制测量</w:t>
      </w:r>
    </w:p>
    <w:p w14:paraId="2AB94516">
      <w:pPr>
        <w:spacing w:line="360" w:lineRule="auto"/>
        <w:ind w:firstLine="480" w:firstLineChars="200"/>
        <w:rPr>
          <w:rFonts w:ascii="宋体" w:hAnsi="宋体"/>
          <w:color w:val="auto"/>
          <w:sz w:val="24"/>
          <w:highlight w:val="none"/>
        </w:rPr>
      </w:pPr>
      <w:r>
        <w:rPr>
          <w:rFonts w:ascii="宋体" w:hAnsi="宋体"/>
          <w:color w:val="auto"/>
          <w:sz w:val="24"/>
          <w:szCs w:val="24"/>
          <w:highlight w:val="none"/>
        </w:rPr>
        <w:t>一般采用</w:t>
      </w:r>
      <w:r>
        <w:rPr>
          <w:rFonts w:hint="eastAsia" w:ascii="宋体" w:hAnsi="宋体"/>
          <w:color w:val="auto"/>
          <w:sz w:val="24"/>
          <w:szCs w:val="24"/>
          <w:highlight w:val="none"/>
        </w:rPr>
        <w:t>RTK测量方式求解转换参数和布设</w:t>
      </w:r>
      <w:r>
        <w:rPr>
          <w:rFonts w:hint="eastAsia" w:ascii="宋体" w:hAnsi="宋体"/>
          <w:color w:val="auto"/>
          <w:sz w:val="24"/>
          <w:highlight w:val="none"/>
        </w:rPr>
        <w:t>勘测定界和影像获取</w:t>
      </w:r>
      <w:r>
        <w:rPr>
          <w:rFonts w:hint="eastAsia" w:ascii="宋体" w:hAnsi="宋体"/>
          <w:color w:val="auto"/>
          <w:sz w:val="24"/>
          <w:szCs w:val="24"/>
          <w:highlight w:val="none"/>
        </w:rPr>
        <w:t>所需控制点，包含平面及高程。搜集测区及其周边布设的控制点资料（平面精度不低于D级GPS，高程精度不低于二等），选取合理的控制点进行坐标检测。</w:t>
      </w:r>
    </w:p>
    <w:p w14:paraId="7F7A2BB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szCs w:val="24"/>
          <w:highlight w:val="none"/>
        </w:rPr>
        <w:t xml:space="preserve"> 实地测绘</w:t>
      </w:r>
    </w:p>
    <w:p w14:paraId="60A10D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1）一般采用RTK测量，特殊情况时采用全站仪测量。</w:t>
      </w:r>
    </w:p>
    <w:p w14:paraId="3C57F1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2）每次生产作业前后，必须利用布设的控制点对坐标转换参数进行验证（平面不得大于5cm，高程较差不得大于3cm），当满足限差要求后方能实施后续作业。</w:t>
      </w:r>
    </w:p>
    <w:p w14:paraId="0AED2E1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3）使用全站仪测量时，采集距离一般不大于150m，测量后应注意归零和高程检测。 </w:t>
      </w:r>
    </w:p>
    <w:p w14:paraId="00D2F096">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szCs w:val="24"/>
          <w:highlight w:val="none"/>
        </w:rPr>
        <w:t xml:space="preserve"> </w:t>
      </w:r>
      <w:r>
        <w:rPr>
          <w:rFonts w:hint="eastAsia" w:ascii="宋体" w:hAnsi="宋体"/>
          <w:color w:val="auto"/>
          <w:sz w:val="24"/>
          <w:szCs w:val="18"/>
          <w:highlight w:val="none"/>
        </w:rPr>
        <w:t>正射影像图制作</w:t>
      </w:r>
    </w:p>
    <w:p w14:paraId="617A487D">
      <w:pPr>
        <w:spacing w:line="440" w:lineRule="exact"/>
        <w:ind w:firstLine="480" w:firstLineChars="200"/>
        <w:rPr>
          <w:rFonts w:ascii="宋体" w:hAnsi="宋体"/>
          <w:color w:val="auto"/>
          <w:sz w:val="24"/>
          <w:szCs w:val="18"/>
          <w:highlight w:val="none"/>
        </w:rPr>
      </w:pPr>
      <w:r>
        <w:rPr>
          <w:rFonts w:hint="eastAsia" w:ascii="宋体" w:hAnsi="宋体"/>
          <w:color w:val="auto"/>
          <w:sz w:val="24"/>
          <w:szCs w:val="18"/>
          <w:highlight w:val="none"/>
        </w:rPr>
        <w:t>制作各个项目的正射影像图，正射影像图范围不小于项目范围外20米。</w:t>
      </w:r>
    </w:p>
    <w:p w14:paraId="3EF08453">
      <w:pPr>
        <w:spacing w:line="440" w:lineRule="exact"/>
        <w:ind w:firstLine="480" w:firstLineChars="200"/>
        <w:rPr>
          <w:rFonts w:ascii="宋体" w:hAnsi="宋体"/>
          <w:color w:val="auto"/>
          <w:sz w:val="24"/>
          <w:szCs w:val="18"/>
          <w:highlight w:val="none"/>
        </w:rPr>
      </w:pPr>
      <w:r>
        <w:rPr>
          <w:rFonts w:hint="eastAsia" w:ascii="宋体" w:hAnsi="宋体"/>
          <w:color w:val="auto"/>
          <w:sz w:val="24"/>
          <w:szCs w:val="18"/>
          <w:highlight w:val="none"/>
        </w:rPr>
        <w:t>无人机正射影像图制作工作流程主要包括无人机影像数据获取、影像预处理、空中三角测量、正射影像图生成等步骤。</w:t>
      </w:r>
    </w:p>
    <w:p w14:paraId="0BE9CB3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3.1航线设计</w:t>
      </w:r>
    </w:p>
    <w:p w14:paraId="25C8034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在无人机外业获取影像的过程中，航线的设计起着至关重要的作用，合理的航线设计不仅能够确保获取的影像符合行业标准，而且可以在大区域影像获取中减少航飞架次，避免人力、物力的浪费。</w:t>
      </w:r>
    </w:p>
    <w:p w14:paraId="699B1D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（1）航线布设</w:t>
      </w:r>
    </w:p>
    <w:p w14:paraId="4AEF8B3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对于大于1平米千米的区域，航线布设必须要保证足够的航向重叠和旁向重叠，实现无缝航测任务区域。</w:t>
      </w:r>
    </w:p>
    <w:p w14:paraId="540040B0">
      <w:pPr>
        <w:spacing w:line="360" w:lineRule="auto"/>
        <w:ind w:firstLine="480"/>
        <w:rPr>
          <w:rFonts w:ascii="宋体" w:hAnsi="宋体"/>
          <w:color w:val="auto"/>
          <w:sz w:val="24"/>
          <w:highlight w:val="none"/>
        </w:rPr>
      </w:pPr>
      <w:r>
        <w:rPr>
          <w:rFonts w:hint="eastAsia" w:ascii="宋体" w:hAnsi="宋体"/>
          <w:color w:val="auto"/>
          <w:sz w:val="24"/>
          <w:highlight w:val="none"/>
        </w:rPr>
        <w:t>（2）航高</w:t>
      </w:r>
    </w:p>
    <w:p w14:paraId="26F1FCC6">
      <w:pPr>
        <w:spacing w:line="360" w:lineRule="auto"/>
        <w:ind w:firstLine="480" w:firstLineChars="200"/>
        <w:rPr>
          <w:color w:val="auto"/>
          <w:sz w:val="24"/>
          <w:highlight w:val="none"/>
        </w:rPr>
      </w:pPr>
      <w:r>
        <w:rPr>
          <w:rFonts w:hint="eastAsia"/>
          <w:color w:val="auto"/>
          <w:sz w:val="24"/>
          <w:highlight w:val="none"/>
        </w:rPr>
        <w:t>根据航高计算公式进行计算，如下公式：</w:t>
      </w:r>
    </w:p>
    <w:p w14:paraId="26A7C04B">
      <w:pPr>
        <w:jc w:val="center"/>
        <w:rPr>
          <w:color w:val="auto"/>
          <w:highlight w:val="none"/>
        </w:rPr>
      </w:pPr>
      <w:r>
        <w:rPr>
          <w:color w:val="auto"/>
          <w:position w:val="-10"/>
          <w:highlight w:val="none"/>
        </w:rPr>
        <w:object>
          <v:shape id="_x0000_i1025" o:spt="75" type="#_x0000_t75" style="height:15pt;width:71.2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14:paraId="00406852">
      <w:pPr>
        <w:spacing w:line="360" w:lineRule="auto"/>
        <w:rPr>
          <w:color w:val="auto"/>
          <w:sz w:val="24"/>
          <w:highlight w:val="none"/>
        </w:rPr>
      </w:pPr>
      <w:r>
        <w:rPr>
          <w:rFonts w:hint="eastAsia"/>
          <w:color w:val="auto"/>
          <w:sz w:val="24"/>
          <w:highlight w:val="none"/>
        </w:rPr>
        <w:t>式中，</w:t>
      </w:r>
      <w:r>
        <w:rPr>
          <w:color w:val="auto"/>
          <w:sz w:val="24"/>
          <w:highlight w:val="none"/>
        </w:rPr>
        <w:t>h</w:t>
      </w:r>
      <w:r>
        <w:rPr>
          <w:rFonts w:hint="eastAsia"/>
          <w:color w:val="auto"/>
          <w:sz w:val="24"/>
          <w:highlight w:val="none"/>
        </w:rPr>
        <w:t>为相对航高，</w:t>
      </w:r>
      <w:r>
        <w:rPr>
          <w:color w:val="auto"/>
          <w:sz w:val="24"/>
          <w:highlight w:val="none"/>
        </w:rPr>
        <w:t>f</w:t>
      </w:r>
      <w:r>
        <w:rPr>
          <w:rFonts w:hint="eastAsia"/>
          <w:color w:val="auto"/>
          <w:sz w:val="24"/>
          <w:highlight w:val="none"/>
        </w:rPr>
        <w:t>为相机焦距，</w:t>
      </w:r>
      <w:r>
        <w:rPr>
          <w:color w:val="auto"/>
          <w:sz w:val="24"/>
          <w:highlight w:val="none"/>
        </w:rPr>
        <w:t>GSD</w:t>
      </w:r>
      <w:r>
        <w:rPr>
          <w:rFonts w:hint="eastAsia"/>
          <w:color w:val="auto"/>
          <w:sz w:val="24"/>
          <w:highlight w:val="none"/>
        </w:rPr>
        <w:t>为地面分辨率，</w:t>
      </w:r>
      <w:r>
        <w:rPr>
          <w:color w:val="auto"/>
          <w:sz w:val="24"/>
          <w:highlight w:val="none"/>
        </w:rPr>
        <w:t>a</w:t>
      </w:r>
      <w:r>
        <w:rPr>
          <w:rFonts w:hint="eastAsia"/>
          <w:color w:val="auto"/>
          <w:sz w:val="24"/>
          <w:highlight w:val="none"/>
        </w:rPr>
        <w:t>为像元尺寸大小。</w:t>
      </w:r>
    </w:p>
    <w:p w14:paraId="5091B5C2">
      <w:pPr>
        <w:jc w:val="center"/>
        <w:rPr>
          <w:rFonts w:ascii="宋体" w:hAnsi="宋体"/>
          <w:color w:val="auto"/>
          <w:sz w:val="24"/>
          <w:highlight w:val="none"/>
        </w:rPr>
      </w:pPr>
      <w:r>
        <w:rPr>
          <w:rFonts w:hint="eastAsia" w:ascii="宋体" w:hAnsi="宋体"/>
          <w:color w:val="auto"/>
          <w:sz w:val="24"/>
          <w:highlight w:val="none"/>
        </w:rPr>
        <w:t>地面分辨率与成图比例尺对应关系</w:t>
      </w:r>
    </w:p>
    <w:tbl>
      <w:tblPr>
        <w:tblStyle w:val="44"/>
        <w:tblW w:w="91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2"/>
        <w:gridCol w:w="4572"/>
      </w:tblGrid>
      <w:tr w14:paraId="0A5F2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4572" w:type="dxa"/>
            <w:tcBorders>
              <w:top w:val="single" w:color="000000" w:sz="4" w:space="0"/>
              <w:left w:val="single" w:color="000000" w:sz="4" w:space="0"/>
              <w:bottom w:val="single" w:color="000000" w:sz="4" w:space="0"/>
              <w:right w:val="single" w:color="000000" w:sz="4" w:space="0"/>
            </w:tcBorders>
            <w:vAlign w:val="center"/>
          </w:tcPr>
          <w:p w14:paraId="70565C8D">
            <w:pPr>
              <w:jc w:val="center"/>
              <w:rPr>
                <w:color w:val="auto"/>
                <w:szCs w:val="20"/>
                <w:highlight w:val="none"/>
              </w:rPr>
            </w:pPr>
            <w:r>
              <w:rPr>
                <w:rFonts w:hint="eastAsia" w:ascii="宋体" w:hAnsi="宋体" w:cs="宋体"/>
                <w:color w:val="auto"/>
                <w:szCs w:val="20"/>
                <w:highlight w:val="none"/>
              </w:rPr>
              <w:t>测图比例</w:t>
            </w:r>
            <w:r>
              <w:rPr>
                <w:rFonts w:hint="eastAsia"/>
                <w:color w:val="auto"/>
                <w:szCs w:val="20"/>
                <w:highlight w:val="none"/>
              </w:rPr>
              <w:t>尺</w:t>
            </w:r>
          </w:p>
        </w:tc>
        <w:tc>
          <w:tcPr>
            <w:tcW w:w="4572" w:type="dxa"/>
            <w:tcBorders>
              <w:top w:val="single" w:color="000000" w:sz="4" w:space="0"/>
              <w:left w:val="single" w:color="000000" w:sz="4" w:space="0"/>
              <w:bottom w:val="single" w:color="000000" w:sz="4" w:space="0"/>
              <w:right w:val="single" w:color="000000" w:sz="4" w:space="0"/>
            </w:tcBorders>
            <w:vAlign w:val="center"/>
          </w:tcPr>
          <w:p w14:paraId="42C4768A">
            <w:pPr>
              <w:jc w:val="center"/>
              <w:rPr>
                <w:color w:val="auto"/>
                <w:szCs w:val="20"/>
                <w:highlight w:val="none"/>
              </w:rPr>
            </w:pPr>
            <w:r>
              <w:rPr>
                <w:rFonts w:hint="eastAsia" w:ascii="宋体" w:hAnsi="宋体" w:cs="宋体"/>
                <w:color w:val="auto"/>
                <w:szCs w:val="20"/>
                <w:highlight w:val="none"/>
              </w:rPr>
              <w:t>地面分辨率（</w:t>
            </w:r>
            <w:r>
              <w:rPr>
                <w:color w:val="auto"/>
                <w:szCs w:val="20"/>
                <w:highlight w:val="none"/>
              </w:rPr>
              <w:t>米</w:t>
            </w:r>
            <w:r>
              <w:rPr>
                <w:rFonts w:hint="eastAsia"/>
                <w:color w:val="auto"/>
                <w:szCs w:val="20"/>
                <w:highlight w:val="none"/>
              </w:rPr>
              <w:t>）</w:t>
            </w:r>
          </w:p>
        </w:tc>
      </w:tr>
      <w:tr w14:paraId="1154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exact"/>
          <w:jc w:val="center"/>
        </w:trPr>
        <w:tc>
          <w:tcPr>
            <w:tcW w:w="4572" w:type="dxa"/>
            <w:tcBorders>
              <w:top w:val="single" w:color="000000" w:sz="4" w:space="0"/>
              <w:left w:val="single" w:color="000000" w:sz="4" w:space="0"/>
              <w:bottom w:val="single" w:color="000000" w:sz="4" w:space="0"/>
              <w:right w:val="single" w:color="000000" w:sz="4" w:space="0"/>
            </w:tcBorders>
            <w:vAlign w:val="center"/>
          </w:tcPr>
          <w:p w14:paraId="30006DFF">
            <w:pPr>
              <w:jc w:val="center"/>
              <w:rPr>
                <w:color w:val="auto"/>
                <w:szCs w:val="20"/>
                <w:highlight w:val="none"/>
              </w:rPr>
            </w:pPr>
            <w:r>
              <w:rPr>
                <w:color w:val="auto"/>
                <w:szCs w:val="20"/>
                <w:highlight w:val="none"/>
              </w:rPr>
              <w:t>1:500</w:t>
            </w:r>
          </w:p>
        </w:tc>
        <w:tc>
          <w:tcPr>
            <w:tcW w:w="4572" w:type="dxa"/>
            <w:tcBorders>
              <w:top w:val="single" w:color="000000" w:sz="4" w:space="0"/>
              <w:left w:val="single" w:color="000000" w:sz="4" w:space="0"/>
              <w:bottom w:val="single" w:color="000000" w:sz="4" w:space="0"/>
              <w:right w:val="single" w:color="000000" w:sz="4" w:space="0"/>
            </w:tcBorders>
            <w:vAlign w:val="center"/>
          </w:tcPr>
          <w:p w14:paraId="198F93A8">
            <w:pPr>
              <w:jc w:val="center"/>
              <w:rPr>
                <w:color w:val="auto"/>
                <w:szCs w:val="20"/>
                <w:highlight w:val="none"/>
              </w:rPr>
            </w:pPr>
            <w:r>
              <w:rPr>
                <w:rFonts w:hint="eastAsia"/>
                <w:color w:val="auto"/>
                <w:szCs w:val="20"/>
                <w:highlight w:val="none"/>
              </w:rPr>
              <w:t>≤</w:t>
            </w:r>
            <w:r>
              <w:rPr>
                <w:color w:val="auto"/>
                <w:szCs w:val="20"/>
                <w:highlight w:val="none"/>
              </w:rPr>
              <w:t>0.05</w:t>
            </w:r>
          </w:p>
        </w:tc>
      </w:tr>
    </w:tbl>
    <w:p w14:paraId="23118220">
      <w:pPr>
        <w:spacing w:line="360" w:lineRule="auto"/>
        <w:ind w:firstLine="480" w:firstLineChars="200"/>
        <w:rPr>
          <w:color w:val="auto"/>
          <w:sz w:val="24"/>
          <w:highlight w:val="none"/>
        </w:rPr>
      </w:pPr>
      <w:r>
        <w:rPr>
          <w:rFonts w:hint="eastAsia"/>
          <w:color w:val="auto"/>
          <w:sz w:val="24"/>
          <w:highlight w:val="none"/>
        </w:rPr>
        <w:t>在实际航飞过程中，由于地形、限飞区、补摄等限制，存在同一测区有多个不同航高的飞行架次。同一航线上相邻像片的航高差不应大于</w:t>
      </w:r>
      <w:r>
        <w:rPr>
          <w:color w:val="auto"/>
          <w:sz w:val="24"/>
          <w:highlight w:val="none"/>
        </w:rPr>
        <w:t>30米</w:t>
      </w:r>
      <w:r>
        <w:rPr>
          <w:rFonts w:hint="eastAsia"/>
          <w:color w:val="auto"/>
          <w:sz w:val="24"/>
          <w:highlight w:val="none"/>
        </w:rPr>
        <w:t>，最大航高与最小航高之差不应大于</w:t>
      </w:r>
      <w:r>
        <w:rPr>
          <w:color w:val="auto"/>
          <w:sz w:val="24"/>
          <w:highlight w:val="none"/>
        </w:rPr>
        <w:t>50米</w:t>
      </w:r>
      <w:r>
        <w:rPr>
          <w:rFonts w:hint="eastAsia"/>
          <w:color w:val="auto"/>
          <w:sz w:val="24"/>
          <w:highlight w:val="none"/>
        </w:rPr>
        <w:t>，实际航高与设计航高之差不应大于</w:t>
      </w:r>
      <w:r>
        <w:rPr>
          <w:color w:val="auto"/>
          <w:sz w:val="24"/>
          <w:highlight w:val="none"/>
        </w:rPr>
        <w:t>50</w:t>
      </w:r>
      <w:r>
        <w:rPr>
          <w:rFonts w:hint="eastAsia"/>
          <w:color w:val="auto"/>
          <w:sz w:val="24"/>
          <w:highlight w:val="none"/>
        </w:rPr>
        <w:t>米。</w:t>
      </w:r>
    </w:p>
    <w:p w14:paraId="3279E4F1">
      <w:pPr>
        <w:spacing w:line="360" w:lineRule="auto"/>
        <w:ind w:firstLine="200"/>
        <w:rPr>
          <w:color w:val="auto"/>
          <w:sz w:val="24"/>
          <w:highlight w:val="none"/>
        </w:rPr>
      </w:pPr>
      <w:r>
        <w:rPr>
          <w:rFonts w:hint="eastAsia"/>
          <w:color w:val="auto"/>
          <w:sz w:val="24"/>
          <w:highlight w:val="none"/>
        </w:rPr>
        <w:t>（3）旋偏角</w:t>
      </w:r>
    </w:p>
    <w:p w14:paraId="6C5CE0B7">
      <w:pPr>
        <w:spacing w:line="360" w:lineRule="auto"/>
        <w:ind w:firstLine="480" w:firstLineChars="200"/>
        <w:rPr>
          <w:color w:val="auto"/>
          <w:sz w:val="24"/>
          <w:highlight w:val="none"/>
        </w:rPr>
      </w:pPr>
      <w:r>
        <w:rPr>
          <w:rFonts w:hint="eastAsia"/>
          <w:color w:val="auto"/>
          <w:sz w:val="24"/>
          <w:highlight w:val="none"/>
        </w:rPr>
        <w:t>由于无人机体积小、重量轻等特点，使得其旋偏角一般较大，产生的原因主要有以下几个方面：</w:t>
      </w:r>
    </w:p>
    <w:p w14:paraId="37DBDA10">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1 \* GB3</w:instrText>
      </w:r>
      <w:r>
        <w:rPr>
          <w:color w:val="auto"/>
          <w:sz w:val="24"/>
          <w:highlight w:val="none"/>
        </w:rPr>
        <w:fldChar w:fldCharType="separate"/>
      </w:r>
      <w:r>
        <w:rPr>
          <w:rFonts w:hint="eastAsia"/>
          <w:color w:val="auto"/>
          <w:sz w:val="24"/>
          <w:highlight w:val="none"/>
        </w:rPr>
        <w:t>①</w:t>
      </w:r>
      <w:r>
        <w:rPr>
          <w:color w:val="auto"/>
          <w:sz w:val="24"/>
          <w:highlight w:val="none"/>
        </w:rPr>
        <w:fldChar w:fldCharType="end"/>
      </w:r>
      <w:r>
        <w:rPr>
          <w:rFonts w:hint="eastAsia"/>
          <w:color w:val="auto"/>
          <w:sz w:val="24"/>
          <w:highlight w:val="none"/>
        </w:rPr>
        <w:t>云台与机身纵轴的平行关系</w:t>
      </w:r>
    </w:p>
    <w:p w14:paraId="07294593">
      <w:pPr>
        <w:spacing w:line="360" w:lineRule="auto"/>
        <w:ind w:firstLine="480" w:firstLineChars="200"/>
        <w:rPr>
          <w:color w:val="auto"/>
          <w:sz w:val="24"/>
          <w:highlight w:val="none"/>
        </w:rPr>
      </w:pPr>
      <w:r>
        <w:rPr>
          <w:rFonts w:hint="eastAsia"/>
          <w:color w:val="auto"/>
          <w:sz w:val="24"/>
          <w:highlight w:val="none"/>
        </w:rPr>
        <w:t>当云台的纵轴和机身的纵轴存在左右方向的夹角拍摄时，相机的方向则存在一个旋偏角，该旋偏角一般为一个固定值。</w:t>
      </w:r>
    </w:p>
    <w:p w14:paraId="472106E3">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2 \* GB3</w:instrText>
      </w:r>
      <w:r>
        <w:rPr>
          <w:color w:val="auto"/>
          <w:sz w:val="24"/>
          <w:highlight w:val="none"/>
        </w:rPr>
        <w:fldChar w:fldCharType="separate"/>
      </w:r>
      <w:r>
        <w:rPr>
          <w:rFonts w:hint="eastAsia"/>
          <w:color w:val="auto"/>
          <w:sz w:val="24"/>
          <w:highlight w:val="none"/>
        </w:rPr>
        <w:t>②</w:t>
      </w:r>
      <w:r>
        <w:rPr>
          <w:color w:val="auto"/>
          <w:sz w:val="24"/>
          <w:highlight w:val="none"/>
        </w:rPr>
        <w:fldChar w:fldCharType="end"/>
      </w:r>
      <w:r>
        <w:rPr>
          <w:rFonts w:hint="eastAsia"/>
          <w:color w:val="auto"/>
          <w:sz w:val="24"/>
          <w:highlight w:val="none"/>
        </w:rPr>
        <w:t>机身与自驾仪的水平关系</w:t>
      </w:r>
    </w:p>
    <w:p w14:paraId="329DF414">
      <w:pPr>
        <w:spacing w:line="360" w:lineRule="auto"/>
        <w:ind w:firstLine="480" w:firstLineChars="200"/>
        <w:rPr>
          <w:color w:val="auto"/>
          <w:sz w:val="24"/>
          <w:highlight w:val="none"/>
        </w:rPr>
      </w:pPr>
      <w:r>
        <w:rPr>
          <w:rFonts w:hint="eastAsia"/>
          <w:color w:val="auto"/>
          <w:sz w:val="24"/>
          <w:highlight w:val="none"/>
        </w:rPr>
        <w:t>如果自驾仪和机身的纵轴存在夹角，航测时飞机机身始终会与航向存在一个夹角，这就使得相机与航向之间也会存在一个夹角，最终会导致航片产生一个固定值的旋偏角。</w:t>
      </w:r>
    </w:p>
    <w:p w14:paraId="7DC40A63">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3 \* GB3</w:instrText>
      </w:r>
      <w:r>
        <w:rPr>
          <w:color w:val="auto"/>
          <w:sz w:val="24"/>
          <w:highlight w:val="none"/>
        </w:rPr>
        <w:fldChar w:fldCharType="separate"/>
      </w:r>
      <w:r>
        <w:rPr>
          <w:rFonts w:hint="eastAsia"/>
          <w:color w:val="auto"/>
          <w:sz w:val="24"/>
          <w:highlight w:val="none"/>
        </w:rPr>
        <w:t>③</w:t>
      </w:r>
      <w:r>
        <w:rPr>
          <w:color w:val="auto"/>
          <w:sz w:val="24"/>
          <w:highlight w:val="none"/>
        </w:rPr>
        <w:fldChar w:fldCharType="end"/>
      </w:r>
      <w:r>
        <w:rPr>
          <w:rFonts w:hint="eastAsia"/>
          <w:color w:val="auto"/>
          <w:sz w:val="24"/>
          <w:highlight w:val="none"/>
        </w:rPr>
        <w:t>侧风</w:t>
      </w:r>
    </w:p>
    <w:p w14:paraId="606E1A73">
      <w:pPr>
        <w:spacing w:line="360" w:lineRule="auto"/>
        <w:ind w:firstLine="480" w:firstLineChars="200"/>
        <w:rPr>
          <w:color w:val="auto"/>
          <w:sz w:val="24"/>
          <w:highlight w:val="none"/>
        </w:rPr>
      </w:pPr>
      <w:r>
        <w:rPr>
          <w:rFonts w:hint="eastAsia"/>
          <w:color w:val="auto"/>
          <w:sz w:val="24"/>
          <w:highlight w:val="none"/>
        </w:rPr>
        <w:t>当有侧风存在时，机身始终和航向存在着不规律的夹角，将导致相机和航向存在同样不规律的夹角。这种夹角是不固定的，虽然相机云台能及时纠正旋偏角，但由于无人机的云台的灵活性及补偿角度存在较大的误差，结果仍然存在导致相邻航片有着不规律的旋偏角。</w:t>
      </w:r>
    </w:p>
    <w:p w14:paraId="267556E8">
      <w:pPr>
        <w:spacing w:line="360" w:lineRule="auto"/>
        <w:ind w:firstLine="200"/>
        <w:rPr>
          <w:color w:val="auto"/>
          <w:sz w:val="24"/>
          <w:highlight w:val="none"/>
        </w:rPr>
      </w:pPr>
      <w:r>
        <w:rPr>
          <w:rFonts w:hint="eastAsia"/>
          <w:color w:val="auto"/>
          <w:sz w:val="24"/>
          <w:highlight w:val="none"/>
        </w:rPr>
        <w:t>（4）重叠度</w:t>
      </w:r>
    </w:p>
    <w:p w14:paraId="41EB97FE">
      <w:pPr>
        <w:spacing w:line="360" w:lineRule="auto"/>
        <w:ind w:firstLine="200"/>
        <w:rPr>
          <w:color w:val="auto"/>
          <w:sz w:val="24"/>
          <w:highlight w:val="none"/>
        </w:rPr>
      </w:pPr>
      <w:r>
        <w:rPr>
          <w:rFonts w:hint="eastAsia"/>
          <w:color w:val="auto"/>
          <w:sz w:val="24"/>
          <w:highlight w:val="none"/>
        </w:rPr>
        <w:t>确定航高之后，需要确定航向和旁向重叠度，下表所示为低空航空摄影需要达到的重叠度要求。</w:t>
      </w:r>
    </w:p>
    <w:p w14:paraId="7522CC0A">
      <w:pPr>
        <w:spacing w:line="360" w:lineRule="auto"/>
        <w:jc w:val="center"/>
        <w:rPr>
          <w:rFonts w:ascii="宋体" w:hAnsi="宋体"/>
          <w:color w:val="auto"/>
          <w:sz w:val="24"/>
          <w:highlight w:val="none"/>
        </w:rPr>
      </w:pPr>
      <w:r>
        <w:rPr>
          <w:rFonts w:hint="eastAsia" w:ascii="宋体" w:hAnsi="宋体"/>
          <w:color w:val="auto"/>
          <w:sz w:val="24"/>
          <w:highlight w:val="none"/>
        </w:rPr>
        <w:t>重叠度要求</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5"/>
        <w:gridCol w:w="5151"/>
      </w:tblGrid>
      <w:tr w14:paraId="6DE71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75" w:type="dxa"/>
            <w:tcBorders>
              <w:top w:val="single" w:color="000000" w:sz="4" w:space="0"/>
              <w:left w:val="single" w:color="000000" w:sz="4" w:space="0"/>
              <w:bottom w:val="single" w:color="000000" w:sz="4" w:space="0"/>
              <w:right w:val="single" w:color="000000" w:sz="4" w:space="0"/>
            </w:tcBorders>
            <w:vAlign w:val="center"/>
          </w:tcPr>
          <w:p w14:paraId="7EC2EFBC">
            <w:pPr>
              <w:jc w:val="center"/>
              <w:rPr>
                <w:color w:val="auto"/>
                <w:sz w:val="24"/>
                <w:highlight w:val="none"/>
              </w:rPr>
            </w:pPr>
            <w:r>
              <w:rPr>
                <w:rFonts w:hint="eastAsia" w:ascii="宋体" w:hAnsi="宋体" w:cs="宋体"/>
                <w:color w:val="auto"/>
                <w:sz w:val="24"/>
                <w:highlight w:val="none"/>
              </w:rPr>
              <w:t>航向重叠</w:t>
            </w:r>
            <w:r>
              <w:rPr>
                <w:rFonts w:hint="eastAsia"/>
                <w:color w:val="auto"/>
                <w:sz w:val="24"/>
                <w:highlight w:val="none"/>
              </w:rPr>
              <w:t>度</w:t>
            </w:r>
          </w:p>
        </w:tc>
        <w:tc>
          <w:tcPr>
            <w:tcW w:w="5151" w:type="dxa"/>
            <w:tcBorders>
              <w:top w:val="single" w:color="000000" w:sz="4" w:space="0"/>
              <w:left w:val="single" w:color="000000" w:sz="4" w:space="0"/>
              <w:bottom w:val="single" w:color="000000" w:sz="4" w:space="0"/>
              <w:right w:val="single" w:color="000000" w:sz="4" w:space="0"/>
            </w:tcBorders>
            <w:vAlign w:val="center"/>
          </w:tcPr>
          <w:p w14:paraId="746F3E7C">
            <w:pPr>
              <w:jc w:val="center"/>
              <w:rPr>
                <w:color w:val="auto"/>
                <w:sz w:val="24"/>
                <w:highlight w:val="none"/>
              </w:rPr>
            </w:pPr>
            <w:r>
              <w:rPr>
                <w:color w:val="auto"/>
                <w:sz w:val="24"/>
                <w:highlight w:val="none"/>
              </w:rPr>
              <w:t>60%~80%</w:t>
            </w:r>
            <w:r>
              <w:rPr>
                <w:rFonts w:hint="eastAsia" w:ascii="宋体" w:hAnsi="宋体" w:cs="宋体"/>
                <w:color w:val="auto"/>
                <w:sz w:val="24"/>
                <w:highlight w:val="none"/>
              </w:rPr>
              <w:t>，最小不应小于</w:t>
            </w:r>
            <w:r>
              <w:rPr>
                <w:color w:val="auto"/>
                <w:sz w:val="24"/>
                <w:highlight w:val="none"/>
              </w:rPr>
              <w:t>53%</w:t>
            </w:r>
          </w:p>
        </w:tc>
      </w:tr>
      <w:tr w14:paraId="0A802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2375" w:type="dxa"/>
            <w:tcBorders>
              <w:top w:val="single" w:color="000000" w:sz="4" w:space="0"/>
              <w:left w:val="single" w:color="000000" w:sz="4" w:space="0"/>
              <w:bottom w:val="single" w:color="000000" w:sz="4" w:space="0"/>
              <w:right w:val="single" w:color="000000" w:sz="4" w:space="0"/>
            </w:tcBorders>
            <w:vAlign w:val="center"/>
          </w:tcPr>
          <w:p w14:paraId="0137E8C2">
            <w:pPr>
              <w:jc w:val="center"/>
              <w:rPr>
                <w:color w:val="auto"/>
                <w:sz w:val="24"/>
                <w:highlight w:val="none"/>
              </w:rPr>
            </w:pPr>
            <w:r>
              <w:rPr>
                <w:rFonts w:hint="eastAsia" w:ascii="宋体" w:hAnsi="宋体" w:cs="宋体"/>
                <w:color w:val="auto"/>
                <w:sz w:val="24"/>
                <w:highlight w:val="none"/>
              </w:rPr>
              <w:t>旁向重叠</w:t>
            </w:r>
            <w:r>
              <w:rPr>
                <w:rFonts w:hint="eastAsia"/>
                <w:color w:val="auto"/>
                <w:sz w:val="24"/>
                <w:highlight w:val="none"/>
              </w:rPr>
              <w:t>度</w:t>
            </w:r>
          </w:p>
        </w:tc>
        <w:tc>
          <w:tcPr>
            <w:tcW w:w="5151" w:type="dxa"/>
            <w:tcBorders>
              <w:top w:val="single" w:color="000000" w:sz="4" w:space="0"/>
              <w:left w:val="single" w:color="000000" w:sz="4" w:space="0"/>
              <w:bottom w:val="single" w:color="000000" w:sz="4" w:space="0"/>
              <w:right w:val="single" w:color="000000" w:sz="4" w:space="0"/>
            </w:tcBorders>
            <w:vAlign w:val="center"/>
          </w:tcPr>
          <w:p w14:paraId="26D1FF93">
            <w:pPr>
              <w:jc w:val="center"/>
              <w:rPr>
                <w:color w:val="auto"/>
                <w:sz w:val="24"/>
                <w:highlight w:val="none"/>
              </w:rPr>
            </w:pPr>
            <w:r>
              <w:rPr>
                <w:color w:val="auto"/>
                <w:sz w:val="24"/>
                <w:highlight w:val="none"/>
              </w:rPr>
              <w:t>15%~60%</w:t>
            </w:r>
            <w:r>
              <w:rPr>
                <w:rFonts w:hint="eastAsia" w:ascii="宋体" w:hAnsi="宋体" w:cs="宋体"/>
                <w:color w:val="auto"/>
                <w:sz w:val="24"/>
                <w:highlight w:val="none"/>
              </w:rPr>
              <w:t>，最小不应小于</w:t>
            </w:r>
            <w:r>
              <w:rPr>
                <w:color w:val="auto"/>
                <w:sz w:val="24"/>
                <w:highlight w:val="none"/>
              </w:rPr>
              <w:t>8%</w:t>
            </w:r>
          </w:p>
        </w:tc>
      </w:tr>
    </w:tbl>
    <w:p w14:paraId="3B69BCB9">
      <w:pPr>
        <w:spacing w:line="360" w:lineRule="auto"/>
        <w:ind w:firstLine="480" w:firstLineChars="200"/>
        <w:rPr>
          <w:color w:val="auto"/>
          <w:sz w:val="24"/>
          <w:highlight w:val="none"/>
        </w:rPr>
      </w:pPr>
      <w:r>
        <w:rPr>
          <w:rFonts w:hint="eastAsia"/>
          <w:color w:val="auto"/>
          <w:sz w:val="24"/>
          <w:highlight w:val="none"/>
        </w:rPr>
        <w:t>由于无人机在空中的飞行速度一般变化不大，可以认为是匀速飞行，因此根据相机的曝光频率就可以估算出影像的重叠范围，一方面辅助航线制作；另一方面，也可减少后续影像处理的运算量。</w:t>
      </w:r>
    </w:p>
    <w:p w14:paraId="515067FB">
      <w:pPr>
        <w:spacing w:line="360" w:lineRule="auto"/>
        <w:ind w:firstLine="480" w:firstLineChars="200"/>
        <w:rPr>
          <w:color w:val="auto"/>
          <w:sz w:val="24"/>
          <w:highlight w:val="none"/>
        </w:rPr>
      </w:pPr>
      <w:r>
        <w:rPr>
          <w:rFonts w:hint="eastAsia"/>
          <w:color w:val="auto"/>
          <w:sz w:val="24"/>
          <w:highlight w:val="none"/>
        </w:rPr>
        <w:t>影像重叠度的估算不仅可以在航线设计的时候辅助制作航线，而且可为后续影像的特征提取、匹配、拼接提供支持，使得影像特征提取的搜索面积缩小，提高匹配的速度，同时还可减少误匹配的概率。</w:t>
      </w:r>
    </w:p>
    <w:p w14:paraId="792311FF">
      <w:pPr>
        <w:spacing w:line="360" w:lineRule="auto"/>
        <w:ind w:firstLine="200"/>
        <w:rPr>
          <w:color w:val="auto"/>
          <w:sz w:val="24"/>
          <w:highlight w:val="none"/>
        </w:rPr>
      </w:pPr>
      <w:r>
        <w:rPr>
          <w:rFonts w:hint="eastAsia"/>
          <w:color w:val="auto"/>
          <w:sz w:val="24"/>
          <w:highlight w:val="none"/>
        </w:rPr>
        <w:t>（5）无人机参数</w:t>
      </w:r>
      <w:r>
        <w:rPr>
          <w:color w:val="auto"/>
          <w:sz w:val="24"/>
          <w:highlight w:val="none"/>
        </w:rPr>
        <w:t>设计</w:t>
      </w:r>
    </w:p>
    <w:p w14:paraId="58DC5439">
      <w:pPr>
        <w:spacing w:line="360" w:lineRule="auto"/>
        <w:ind w:firstLine="480" w:firstLineChars="200"/>
        <w:rPr>
          <w:color w:val="auto"/>
          <w:sz w:val="24"/>
          <w:highlight w:val="none"/>
        </w:rPr>
      </w:pPr>
      <w:r>
        <w:rPr>
          <w:rFonts w:hint="eastAsia"/>
          <w:color w:val="auto"/>
          <w:sz w:val="24"/>
          <w:highlight w:val="none"/>
        </w:rPr>
        <w:t>无人机主要为DJI精灵系列无人机，主要型号有精灵4、精灵4PRO、精灵4RTK。</w:t>
      </w:r>
    </w:p>
    <w:p w14:paraId="61DCFB2C">
      <w:pPr>
        <w:spacing w:line="360" w:lineRule="auto"/>
        <w:ind w:firstLine="480" w:firstLineChars="200"/>
        <w:rPr>
          <w:color w:val="auto"/>
          <w:sz w:val="24"/>
          <w:highlight w:val="none"/>
        </w:rPr>
      </w:pPr>
      <w:r>
        <w:rPr>
          <w:rFonts w:hint="eastAsia"/>
          <w:color w:val="auto"/>
          <w:sz w:val="24"/>
          <w:highlight w:val="none"/>
        </w:rPr>
        <w:t>本系列无人机装配固定式相机，航测时需进行相关参数设定。由分辨率要求、现场环境、限飞区信息确定飞行高度，通过设定定距拍摄及自动返航以完成航线规划；相机参数中，选择3</w:t>
      </w:r>
      <w:r>
        <w:rPr>
          <w:color w:val="auto"/>
          <w:sz w:val="24"/>
          <w:highlight w:val="none"/>
        </w:rPr>
        <w:t>:2</w:t>
      </w:r>
      <w:r>
        <w:rPr>
          <w:rFonts w:hint="eastAsia"/>
          <w:color w:val="auto"/>
          <w:sz w:val="24"/>
          <w:highlight w:val="none"/>
        </w:rPr>
        <w:t>的照片比例、-90°的云台角度、畸变修正完成相机参数设置；重叠度设置中根据实测区实际情况设置航向及旁向重叠度。</w:t>
      </w:r>
    </w:p>
    <w:p w14:paraId="5911C1B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3.2像控点布设方案</w:t>
      </w:r>
    </w:p>
    <w:p w14:paraId="7E86551B">
      <w:pPr>
        <w:spacing w:line="360" w:lineRule="auto"/>
        <w:ind w:firstLine="480" w:firstLineChars="200"/>
        <w:rPr>
          <w:color w:val="auto"/>
          <w:sz w:val="24"/>
          <w:highlight w:val="none"/>
        </w:rPr>
      </w:pPr>
      <w:r>
        <w:rPr>
          <w:rFonts w:hint="eastAsia"/>
          <w:color w:val="auto"/>
          <w:sz w:val="24"/>
          <w:highlight w:val="none"/>
        </w:rPr>
        <w:t>无人机像控点布设是根据航摄影像、后序工艺流程及成图精度要求确定像片控制点的分布、密度和联测精度，决定了空三，数据采集、编辑和生产成果的各项精度。无人机航测的特点是小像幅、小基高比、大姿态角及高重叠度。</w:t>
      </w:r>
    </w:p>
    <w:p w14:paraId="74F9EDDF">
      <w:pPr>
        <w:spacing w:line="360" w:lineRule="auto"/>
        <w:ind w:firstLine="480" w:firstLineChars="200"/>
        <w:rPr>
          <w:color w:val="auto"/>
          <w:sz w:val="24"/>
          <w:highlight w:val="none"/>
        </w:rPr>
      </w:pPr>
      <w:r>
        <w:rPr>
          <w:rFonts w:hint="eastAsia"/>
          <w:color w:val="auto"/>
          <w:sz w:val="24"/>
          <w:highlight w:val="none"/>
        </w:rPr>
        <w:t>（1）像控点采集要求</w:t>
      </w:r>
    </w:p>
    <w:p w14:paraId="229556BD">
      <w:pPr>
        <w:spacing w:line="360" w:lineRule="auto"/>
        <w:ind w:firstLine="480" w:firstLineChars="200"/>
        <w:rPr>
          <w:color w:val="auto"/>
          <w:sz w:val="24"/>
          <w:highlight w:val="none"/>
        </w:rPr>
      </w:pPr>
      <w:bookmarkStart w:id="177" w:name="_Hlk26488666"/>
      <w:r>
        <w:rPr>
          <w:color w:val="auto"/>
          <w:sz w:val="24"/>
          <w:highlight w:val="none"/>
        </w:rPr>
        <w:fldChar w:fldCharType="begin"/>
      </w:r>
      <w:r>
        <w:rPr>
          <w:rFonts w:hint="eastAsia"/>
          <w:color w:val="auto"/>
          <w:sz w:val="24"/>
          <w:highlight w:val="none"/>
        </w:rPr>
        <w:instrText xml:space="preserve">= 1 \* GB3</w:instrText>
      </w:r>
      <w:r>
        <w:rPr>
          <w:color w:val="auto"/>
          <w:sz w:val="24"/>
          <w:highlight w:val="none"/>
        </w:rPr>
        <w:fldChar w:fldCharType="separate"/>
      </w:r>
      <w:r>
        <w:rPr>
          <w:rFonts w:hint="eastAsia"/>
          <w:color w:val="auto"/>
          <w:sz w:val="24"/>
          <w:highlight w:val="none"/>
        </w:rPr>
        <w:t>①</w:t>
      </w:r>
      <w:r>
        <w:rPr>
          <w:color w:val="auto"/>
          <w:sz w:val="24"/>
          <w:highlight w:val="none"/>
        </w:rPr>
        <w:fldChar w:fldCharType="end"/>
      </w:r>
      <w:r>
        <w:rPr>
          <w:rFonts w:hint="eastAsia"/>
          <w:color w:val="auto"/>
          <w:sz w:val="24"/>
          <w:highlight w:val="none"/>
        </w:rPr>
        <w:t>在外业布设像控点时，应采取两点一组的方式进行采集，各像控点需采集2次，以平滑20秒的标准进行采集，且前后两次采集的x、y、z值差值均不超过2厘米。</w:t>
      </w:r>
    </w:p>
    <w:p w14:paraId="6E899207">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2 \* GB3</w:instrText>
      </w:r>
      <w:r>
        <w:rPr>
          <w:color w:val="auto"/>
          <w:sz w:val="24"/>
          <w:highlight w:val="none"/>
        </w:rPr>
        <w:fldChar w:fldCharType="separate"/>
      </w:r>
      <w:r>
        <w:rPr>
          <w:rFonts w:hint="eastAsia"/>
          <w:color w:val="auto"/>
          <w:sz w:val="24"/>
          <w:highlight w:val="none"/>
        </w:rPr>
        <w:t>②</w:t>
      </w:r>
      <w:r>
        <w:rPr>
          <w:color w:val="auto"/>
          <w:sz w:val="24"/>
          <w:highlight w:val="none"/>
        </w:rPr>
        <w:fldChar w:fldCharType="end"/>
      </w:r>
      <w:r>
        <w:rPr>
          <w:rFonts w:hint="eastAsia"/>
          <w:color w:val="auto"/>
          <w:sz w:val="24"/>
          <w:highlight w:val="none"/>
        </w:rPr>
        <w:t>控制点应选择地物特征明显，杜绝选择墙角等高差变化较大的位置。</w:t>
      </w:r>
    </w:p>
    <w:p w14:paraId="3A01B149">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3 \* GB3</w:instrText>
      </w:r>
      <w:r>
        <w:rPr>
          <w:color w:val="auto"/>
          <w:sz w:val="24"/>
          <w:highlight w:val="none"/>
        </w:rPr>
        <w:fldChar w:fldCharType="separate"/>
      </w:r>
      <w:r>
        <w:rPr>
          <w:rFonts w:hint="eastAsia"/>
          <w:color w:val="auto"/>
          <w:sz w:val="24"/>
          <w:highlight w:val="none"/>
        </w:rPr>
        <w:t>③</w:t>
      </w:r>
      <w:r>
        <w:rPr>
          <w:color w:val="auto"/>
          <w:sz w:val="24"/>
          <w:highlight w:val="none"/>
        </w:rPr>
        <w:fldChar w:fldCharType="end"/>
      </w:r>
      <w:r>
        <w:rPr>
          <w:rFonts w:hint="eastAsia"/>
          <w:color w:val="auto"/>
          <w:sz w:val="24"/>
          <w:highlight w:val="none"/>
        </w:rPr>
        <w:t>高程控制点点位目标应选在高程变化较小的地方，以线状地物的交点和平山头为宜；狭沟、太尖的山顶和高程变化急剧的斜坡等，均不宜选作点位目标。</w:t>
      </w:r>
    </w:p>
    <w:p w14:paraId="60C975EE">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4 \* GB3</w:instrText>
      </w:r>
      <w:r>
        <w:rPr>
          <w:color w:val="auto"/>
          <w:sz w:val="24"/>
          <w:highlight w:val="none"/>
        </w:rPr>
        <w:fldChar w:fldCharType="separate"/>
      </w:r>
      <w:r>
        <w:rPr>
          <w:rFonts w:hint="eastAsia"/>
          <w:color w:val="auto"/>
          <w:sz w:val="24"/>
          <w:highlight w:val="none"/>
        </w:rPr>
        <w:t>④</w:t>
      </w:r>
      <w:r>
        <w:rPr>
          <w:color w:val="auto"/>
          <w:sz w:val="24"/>
          <w:highlight w:val="none"/>
        </w:rPr>
        <w:fldChar w:fldCharType="end"/>
      </w:r>
      <w:r>
        <w:rPr>
          <w:rFonts w:hint="eastAsia"/>
          <w:color w:val="auto"/>
          <w:sz w:val="24"/>
          <w:highlight w:val="none"/>
        </w:rPr>
        <w:t>测区内普遍难以找到合适的像控点目标时，航摄前应铺设地面标志。</w:t>
      </w:r>
    </w:p>
    <w:p w14:paraId="59A04CD2">
      <w:pPr>
        <w:spacing w:line="360" w:lineRule="auto"/>
        <w:ind w:firstLine="480" w:firstLineChars="200"/>
        <w:rPr>
          <w:color w:val="auto"/>
          <w:sz w:val="24"/>
          <w:highlight w:val="none"/>
        </w:rPr>
      </w:pPr>
      <w:bookmarkStart w:id="178" w:name="_Toc19087961"/>
      <w:bookmarkStart w:id="179" w:name="_Toc20125424"/>
      <w:r>
        <w:rPr>
          <w:color w:val="auto"/>
          <w:sz w:val="24"/>
          <w:highlight w:val="none"/>
        </w:rPr>
        <w:fldChar w:fldCharType="begin"/>
      </w:r>
      <w:r>
        <w:rPr>
          <w:rFonts w:hint="eastAsia"/>
          <w:color w:val="auto"/>
          <w:sz w:val="24"/>
          <w:highlight w:val="none"/>
        </w:rPr>
        <w:instrText xml:space="preserve">= 5 \* GB3</w:instrText>
      </w:r>
      <w:r>
        <w:rPr>
          <w:color w:val="auto"/>
          <w:sz w:val="24"/>
          <w:highlight w:val="none"/>
        </w:rPr>
        <w:fldChar w:fldCharType="separate"/>
      </w:r>
      <w:r>
        <w:rPr>
          <w:rFonts w:hint="eastAsia"/>
          <w:color w:val="auto"/>
          <w:sz w:val="24"/>
          <w:highlight w:val="none"/>
        </w:rPr>
        <w:t>⑤</w:t>
      </w:r>
      <w:r>
        <w:rPr>
          <w:color w:val="auto"/>
          <w:sz w:val="24"/>
          <w:highlight w:val="none"/>
        </w:rPr>
        <w:fldChar w:fldCharType="end"/>
      </w:r>
      <w:r>
        <w:rPr>
          <w:rFonts w:hint="eastAsia"/>
          <w:color w:val="auto"/>
          <w:sz w:val="24"/>
          <w:highlight w:val="none"/>
        </w:rPr>
        <w:t>在较高建筑物附近布点时，应与建筑物保持一定距离，避免高楼对信号的干扰以及内业刺点时，控制点受到高楼遮挡。</w:t>
      </w:r>
    </w:p>
    <w:p w14:paraId="20FBD624">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6 \* GB3</w:instrText>
      </w:r>
      <w:r>
        <w:rPr>
          <w:color w:val="auto"/>
          <w:sz w:val="24"/>
          <w:highlight w:val="none"/>
        </w:rPr>
        <w:fldChar w:fldCharType="separate"/>
      </w:r>
      <w:r>
        <w:rPr>
          <w:rFonts w:hint="eastAsia"/>
          <w:color w:val="auto"/>
          <w:sz w:val="24"/>
          <w:highlight w:val="none"/>
        </w:rPr>
        <w:t>⑥</w:t>
      </w:r>
      <w:r>
        <w:rPr>
          <w:color w:val="auto"/>
          <w:sz w:val="24"/>
          <w:highlight w:val="none"/>
        </w:rPr>
        <w:fldChar w:fldCharType="end"/>
      </w:r>
      <w:r>
        <w:rPr>
          <w:rFonts w:hint="eastAsia"/>
          <w:color w:val="auto"/>
          <w:sz w:val="24"/>
          <w:highlight w:val="none"/>
        </w:rPr>
        <w:t>对于重叠度不够的布点：航向重叠度小于53%被视为航摄漏洞，应以漏洞为界分段布点，漏洞部分外业补测。</w:t>
      </w:r>
    </w:p>
    <w:bookmarkEnd w:id="177"/>
    <w:p w14:paraId="291D2088">
      <w:pPr>
        <w:spacing w:line="360" w:lineRule="auto"/>
        <w:ind w:firstLine="480" w:firstLineChars="200"/>
        <w:rPr>
          <w:color w:val="auto"/>
          <w:sz w:val="24"/>
          <w:highlight w:val="none"/>
        </w:rPr>
      </w:pPr>
      <w:r>
        <w:rPr>
          <w:color w:val="auto"/>
          <w:sz w:val="24"/>
          <w:highlight w:val="none"/>
        </w:rPr>
        <w:fldChar w:fldCharType="begin"/>
      </w:r>
      <w:r>
        <w:rPr>
          <w:rFonts w:hint="eastAsia"/>
          <w:color w:val="auto"/>
          <w:sz w:val="24"/>
          <w:highlight w:val="none"/>
        </w:rPr>
        <w:instrText xml:space="preserve">= 7 \* GB3</w:instrText>
      </w:r>
      <w:r>
        <w:rPr>
          <w:color w:val="auto"/>
          <w:sz w:val="24"/>
          <w:highlight w:val="none"/>
        </w:rPr>
        <w:fldChar w:fldCharType="separate"/>
      </w:r>
      <w:r>
        <w:rPr>
          <w:rFonts w:hint="eastAsia"/>
          <w:color w:val="auto"/>
          <w:sz w:val="24"/>
          <w:highlight w:val="none"/>
        </w:rPr>
        <w:t>⑦</w:t>
      </w:r>
      <w:r>
        <w:rPr>
          <w:color w:val="auto"/>
          <w:sz w:val="24"/>
          <w:highlight w:val="none"/>
        </w:rPr>
        <w:fldChar w:fldCharType="end"/>
      </w:r>
      <w:r>
        <w:rPr>
          <w:rFonts w:hint="eastAsia"/>
          <w:color w:val="auto"/>
          <w:sz w:val="24"/>
          <w:highlight w:val="none"/>
        </w:rPr>
        <w:t>对于补飞航线结合处的布点：区域网中补飞航线结合处的布点应保证连接精度，一般可在结合处加布1个平高控制点。</w:t>
      </w:r>
    </w:p>
    <w:bookmarkEnd w:id="178"/>
    <w:bookmarkEnd w:id="179"/>
    <w:p w14:paraId="05564AA5">
      <w:pPr>
        <w:spacing w:line="360" w:lineRule="auto"/>
        <w:ind w:firstLine="480" w:firstLineChars="200"/>
        <w:rPr>
          <w:color w:val="auto"/>
          <w:sz w:val="24"/>
          <w:highlight w:val="none"/>
        </w:rPr>
      </w:pPr>
      <w:r>
        <w:rPr>
          <w:rFonts w:hint="eastAsia"/>
          <w:color w:val="auto"/>
          <w:sz w:val="24"/>
          <w:highlight w:val="none"/>
        </w:rPr>
        <w:t>（2）像控点布设网型</w:t>
      </w:r>
    </w:p>
    <w:p w14:paraId="451B1BA2">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一般有下图几种网型方案，具体根据测区灵活选择。</w:t>
      </w:r>
    </w:p>
    <w:p w14:paraId="365C9347">
      <w:pPr>
        <w:jc w:val="center"/>
        <w:rPr>
          <w:color w:val="auto"/>
          <w:highlight w:val="none"/>
        </w:rPr>
      </w:pPr>
      <w:r>
        <w:rPr>
          <w:color w:val="auto"/>
          <w:highlight w:val="none"/>
        </w:rPr>
        <w:object>
          <v:shape id="_x0000_i1026" o:spt="75" type="#_x0000_t75" style="height:90.75pt;width:186.7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r>
        <w:rPr>
          <w:color w:val="auto"/>
          <w:highlight w:val="none"/>
        </w:rPr>
        <w:object>
          <v:shape id="_x0000_i1027" o:spt="75" type="#_x0000_t75" style="height:119.25pt;width:168pt;" o:ole="t" filled="f" o:preferrelative="t" stroked="f" coordsize="21600,21600">
            <v:path/>
            <v:fill on="f" focussize="0,0"/>
            <v:stroke on="f" joinstyle="miter"/>
            <v:imagedata r:id="rId15" o:title=""/>
            <o:lock v:ext="edit" aspectratio="t"/>
            <w10:wrap type="none"/>
            <w10:anchorlock/>
          </v:shape>
          <o:OLEObject Type="Embed" ProgID="Visio.Drawing.15" ShapeID="_x0000_i1027" DrawAspect="Content" ObjectID="_1468075727" r:id="rId14">
            <o:LockedField>false</o:LockedField>
          </o:OLEObject>
        </w:object>
      </w:r>
    </w:p>
    <w:p w14:paraId="035147F8">
      <w:pPr>
        <w:jc w:val="center"/>
        <w:rPr>
          <w:color w:val="auto"/>
          <w:szCs w:val="20"/>
          <w:highlight w:val="none"/>
        </w:rPr>
      </w:pPr>
      <w:r>
        <w:rPr>
          <w:rFonts w:hint="eastAsia"/>
          <w:color w:val="auto"/>
          <w:szCs w:val="20"/>
          <w:highlight w:val="none"/>
        </w:rPr>
        <w:t>（a）平高控制点6点法         （b）平高控制点8点法</w:t>
      </w:r>
    </w:p>
    <w:p w14:paraId="5B7C971E">
      <w:pPr>
        <w:jc w:val="center"/>
        <w:rPr>
          <w:color w:val="auto"/>
          <w:szCs w:val="20"/>
          <w:highlight w:val="none"/>
        </w:rPr>
      </w:pPr>
    </w:p>
    <w:p w14:paraId="45CB4902">
      <w:pPr>
        <w:jc w:val="center"/>
        <w:rPr>
          <w:color w:val="auto"/>
          <w:highlight w:val="none"/>
        </w:rPr>
      </w:pPr>
      <w:r>
        <w:rPr>
          <w:color w:val="auto"/>
          <w:highlight w:val="none"/>
        </w:rPr>
        <w:object>
          <v:shape id="_x0000_i1028" o:spt="75" type="#_x0000_t75" style="height:98.25pt;width:167.25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p>
    <w:p w14:paraId="6D7F6BFF">
      <w:pPr>
        <w:jc w:val="center"/>
        <w:rPr>
          <w:color w:val="auto"/>
          <w:szCs w:val="20"/>
          <w:highlight w:val="none"/>
        </w:rPr>
      </w:pPr>
      <w:r>
        <w:rPr>
          <w:rFonts w:hint="eastAsia"/>
          <w:color w:val="auto"/>
          <w:szCs w:val="20"/>
          <w:highlight w:val="none"/>
        </w:rPr>
        <w:t>（c）不规则区域网布点</w:t>
      </w:r>
    </w:p>
    <w:p w14:paraId="6D316871">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3.3无人机影像预处理</w:t>
      </w:r>
    </w:p>
    <w:p w14:paraId="056811A1">
      <w:pPr>
        <w:spacing w:line="360" w:lineRule="auto"/>
        <w:ind w:firstLine="480" w:firstLineChars="200"/>
        <w:rPr>
          <w:color w:val="auto"/>
          <w:sz w:val="24"/>
          <w:highlight w:val="none"/>
        </w:rPr>
      </w:pPr>
      <w:r>
        <w:rPr>
          <w:rFonts w:hint="eastAsia"/>
          <w:color w:val="auto"/>
          <w:sz w:val="24"/>
          <w:highlight w:val="none"/>
        </w:rPr>
        <w:t>由于设备、天气和地形条件差异导致拍摄的无人机影像本身存在雾霭、偏色、阴影以及多影像间色调不一等问题，这些将影响正射影像图整体视觉效果和判读效果，已经超出了传统意义上图像噪声对图像品质造成的影响。只有通过匀光匀色过程，在逐个去除这些影响因素的前提下，才能顺利执行后续的数字图像的处理过程，才能保证最后“一张图”成图的效果。</w:t>
      </w:r>
    </w:p>
    <w:p w14:paraId="1F1136F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3.4 Pix4D数据处理</w:t>
      </w:r>
    </w:p>
    <w:p w14:paraId="2C36636D">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（1）资料准备</w:t>
      </w:r>
    </w:p>
    <w:p w14:paraId="1E62A0CF">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原始资料包括影像数据，POS数据及控制点数据。确认原始数据的完整性，检查获取影像中有没有质量不合格的相片。同时查看POS数据文件，主要检查航带变化处的相片号，防止POS数据中相片号与影像数据相片号不对应，出现不对应情况应手动调整。</w:t>
      </w:r>
    </w:p>
    <w:p w14:paraId="150703EE">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在处理软件内建立工程，加入影像数据，设置影像的属性，包括图像坐标系、地理定位和方向、相机型号等。</w:t>
      </w:r>
    </w:p>
    <w:p w14:paraId="0E888F6A">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（2）空三测量</w:t>
      </w:r>
    </w:p>
    <w:p w14:paraId="008B764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使用全数字摄影测量工作站P</w:t>
      </w:r>
      <w:r>
        <w:rPr>
          <w:rFonts w:ascii="宋体" w:hAnsi="宋体"/>
          <w:color w:val="auto"/>
          <w:sz w:val="24"/>
          <w:highlight w:val="none"/>
        </w:rPr>
        <w:t>IX4D</w:t>
      </w:r>
      <w:r>
        <w:rPr>
          <w:rFonts w:hint="eastAsia" w:ascii="宋体" w:hAnsi="宋体"/>
          <w:color w:val="auto"/>
          <w:sz w:val="24"/>
          <w:highlight w:val="none"/>
        </w:rPr>
        <w:t>进行空三加密，经过像点连接、像控点量测、平差计算等过程，具体流程为内定向-&gt;相对定向-&gt;绝对定向-&gt;平差-&gt;输出成果。</w:t>
      </w:r>
    </w:p>
    <w:p w14:paraId="29B9578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内定向：此次采用数码航摄方法，对原始影像先行畸变纠正；</w:t>
      </w:r>
    </w:p>
    <w:p w14:paraId="7BB89A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相对定向：根据曝光点坐标数据，软件自动匹配同名像点；</w:t>
      </w:r>
    </w:p>
    <w:p w14:paraId="2CBFCD5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绝对定向：根据外业获取的像控点坐标，在影像上刺同名点；</w:t>
      </w:r>
    </w:p>
    <w:p w14:paraId="1DB275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光束法平差：对整体的连接点及像控点进行光束法平差，剔除粗差；</w:t>
      </w:r>
    </w:p>
    <w:p w14:paraId="66CE0F9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输出成果：根据平差后的结果，输出每张影像的外方位元素。</w:t>
      </w:r>
    </w:p>
    <w:p w14:paraId="298871E3">
      <w:pPr>
        <w:spacing w:line="360" w:lineRule="auto"/>
        <w:ind w:firstLine="480" w:firstLineChars="200"/>
        <w:rPr>
          <w:rFonts w:ascii="宋体" w:hAnsi="宋体"/>
          <w:color w:val="auto"/>
          <w:sz w:val="24"/>
          <w:szCs w:val="18"/>
          <w:highlight w:val="none"/>
        </w:rPr>
      </w:pPr>
      <w:r>
        <w:rPr>
          <w:rFonts w:hint="eastAsia" w:ascii="宋体" w:hAnsi="宋体"/>
          <w:color w:val="auto"/>
          <w:sz w:val="24"/>
          <w:szCs w:val="18"/>
          <w:highlight w:val="none"/>
        </w:rPr>
        <w:t>（3）影像生成</w:t>
      </w:r>
    </w:p>
    <w:p w14:paraId="6DB82F0E">
      <w:pPr>
        <w:spacing w:line="360" w:lineRule="auto"/>
        <w:ind w:firstLine="480" w:firstLineChars="200"/>
        <w:rPr>
          <w:color w:val="auto"/>
          <w:sz w:val="24"/>
          <w:highlight w:val="none"/>
        </w:rPr>
      </w:pPr>
      <w:r>
        <w:rPr>
          <w:rFonts w:ascii="宋体" w:hAnsi="宋体"/>
          <w:color w:val="auto"/>
          <w:sz w:val="24"/>
          <w:highlight w:val="none"/>
        </w:rPr>
        <w:t>空三加密完成数据，</w:t>
      </w:r>
      <w:r>
        <w:rPr>
          <w:rFonts w:hint="eastAsia" w:ascii="宋体" w:hAnsi="宋体"/>
          <w:color w:val="auto"/>
          <w:sz w:val="24"/>
          <w:highlight w:val="none"/>
        </w:rPr>
        <w:t>在立测下采集特征点线</w:t>
      </w:r>
      <w:r>
        <w:rPr>
          <w:rFonts w:ascii="宋体" w:hAnsi="宋体"/>
          <w:color w:val="auto"/>
          <w:sz w:val="24"/>
          <w:highlight w:val="none"/>
        </w:rPr>
        <w:t>，生成正确DEM数据。</w:t>
      </w:r>
      <w:r>
        <w:rPr>
          <w:rFonts w:hint="eastAsia" w:ascii="宋体" w:hAnsi="宋体"/>
          <w:color w:val="auto"/>
          <w:sz w:val="24"/>
          <w:highlight w:val="none"/>
        </w:rPr>
        <w:t>然后</w:t>
      </w:r>
      <w:r>
        <w:rPr>
          <w:rFonts w:ascii="宋体" w:hAnsi="宋体"/>
          <w:color w:val="auto"/>
          <w:sz w:val="24"/>
          <w:highlight w:val="none"/>
        </w:rPr>
        <w:t>进行正射影像微分纠正，影像拼接调色</w:t>
      </w:r>
      <w:r>
        <w:rPr>
          <w:rFonts w:hint="eastAsia" w:ascii="宋体" w:hAnsi="宋体"/>
          <w:color w:val="auto"/>
          <w:sz w:val="24"/>
          <w:highlight w:val="none"/>
        </w:rPr>
        <w:t>改错、影像分幅、影像套合，</w:t>
      </w:r>
      <w:r>
        <w:rPr>
          <w:rFonts w:ascii="宋体" w:hAnsi="宋体"/>
          <w:color w:val="auto"/>
          <w:sz w:val="24"/>
          <w:highlight w:val="none"/>
        </w:rPr>
        <w:t>最终完成</w:t>
      </w:r>
      <w:r>
        <w:rPr>
          <w:rFonts w:hint="eastAsia" w:ascii="宋体" w:hAnsi="宋体"/>
          <w:color w:val="auto"/>
          <w:sz w:val="24"/>
          <w:highlight w:val="none"/>
        </w:rPr>
        <w:t>正射影像成果</w:t>
      </w:r>
      <w:r>
        <w:rPr>
          <w:rFonts w:ascii="宋体" w:hAnsi="宋体"/>
          <w:color w:val="auto"/>
          <w:sz w:val="24"/>
          <w:highlight w:val="none"/>
        </w:rPr>
        <w:t>。</w:t>
      </w:r>
    </w:p>
    <w:p w14:paraId="1B09A1CC">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szCs w:val="24"/>
          <w:highlight w:val="none"/>
        </w:rPr>
        <w:t xml:space="preserve"> 实地核查</w:t>
      </w:r>
    </w:p>
    <w:p w14:paraId="21D75E08">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根据入库范围线，将地块边界套合在实地地形数据和正射影像上，实地巡视和测绘主要界址点，发现和确定项目范围内不满足新增耕地要求的地物，并对其范围进行测绘。</w:t>
      </w:r>
    </w:p>
    <w:p w14:paraId="1C15583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5.实地拍照</w:t>
      </w:r>
    </w:p>
    <w:p w14:paraId="423DD57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以记录实地现状为原则，按要求完成实地照片拍摄工作，记录项目实施后现状，并按要求制作现场照片成果。</w:t>
      </w:r>
    </w:p>
    <w:p w14:paraId="71EDC44D">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手机或平板拍照要求：</w:t>
      </w:r>
    </w:p>
    <w:p w14:paraId="21F35B65">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（1）照片包括项目不同角度</w:t>
      </w:r>
      <w:r>
        <w:rPr>
          <w:rFonts w:ascii="宋体" w:hAnsi="宋体"/>
          <w:color w:val="auto"/>
          <w:sz w:val="24"/>
          <w:highlight w:val="none"/>
        </w:rPr>
        <w:t>全景照片、局部近景照片。</w:t>
      </w:r>
    </w:p>
    <w:p w14:paraId="0D4A695C">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全景照片</w:t>
      </w:r>
      <w:r>
        <w:rPr>
          <w:rFonts w:hint="eastAsia" w:ascii="宋体" w:hAnsi="宋体"/>
          <w:color w:val="auto"/>
          <w:sz w:val="24"/>
          <w:highlight w:val="none"/>
        </w:rPr>
        <w:t>2</w:t>
      </w:r>
      <w:r>
        <w:rPr>
          <w:rFonts w:ascii="宋体" w:hAnsi="宋体"/>
          <w:color w:val="auto"/>
          <w:sz w:val="24"/>
          <w:highlight w:val="none"/>
        </w:rPr>
        <w:t>张以上，能反映出地类即可，不要拍摄冗余照片。拍摄点位置不要远离</w:t>
      </w:r>
      <w:r>
        <w:rPr>
          <w:rFonts w:hint="eastAsia" w:ascii="宋体" w:hAnsi="宋体"/>
          <w:color w:val="auto"/>
          <w:sz w:val="24"/>
          <w:highlight w:val="none"/>
        </w:rPr>
        <w:t>项目</w:t>
      </w:r>
      <w:r>
        <w:rPr>
          <w:rFonts w:ascii="宋体" w:hAnsi="宋体"/>
          <w:color w:val="auto"/>
          <w:sz w:val="24"/>
          <w:highlight w:val="none"/>
        </w:rPr>
        <w:t>，应在</w:t>
      </w:r>
      <w:r>
        <w:rPr>
          <w:rFonts w:hint="eastAsia" w:ascii="宋体" w:hAnsi="宋体"/>
          <w:color w:val="auto"/>
          <w:sz w:val="24"/>
          <w:highlight w:val="none"/>
        </w:rPr>
        <w:t>项目</w:t>
      </w:r>
      <w:r>
        <w:rPr>
          <w:rFonts w:ascii="宋体" w:hAnsi="宋体"/>
          <w:color w:val="auto"/>
          <w:sz w:val="24"/>
          <w:highlight w:val="none"/>
        </w:rPr>
        <w:t>范围内或边界上。</w:t>
      </w:r>
    </w:p>
    <w:p w14:paraId="5D61B8E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全景照片应在</w:t>
      </w:r>
      <w:r>
        <w:rPr>
          <w:rFonts w:hint="eastAsia" w:ascii="宋体" w:hAnsi="宋体"/>
          <w:color w:val="auto"/>
          <w:sz w:val="24"/>
          <w:highlight w:val="none"/>
        </w:rPr>
        <w:t>项目</w:t>
      </w:r>
      <w:r>
        <w:rPr>
          <w:rFonts w:ascii="宋体" w:hAnsi="宋体"/>
          <w:color w:val="auto"/>
          <w:sz w:val="24"/>
          <w:highlight w:val="none"/>
        </w:rPr>
        <w:t>实地拍摄，含</w:t>
      </w:r>
      <w:r>
        <w:rPr>
          <w:rFonts w:hint="eastAsia" w:ascii="宋体" w:hAnsi="宋体"/>
          <w:color w:val="auto"/>
          <w:sz w:val="24"/>
          <w:highlight w:val="none"/>
        </w:rPr>
        <w:t>项目</w:t>
      </w:r>
      <w:r>
        <w:rPr>
          <w:rFonts w:ascii="宋体" w:hAnsi="宋体"/>
          <w:color w:val="auto"/>
          <w:sz w:val="24"/>
          <w:highlight w:val="none"/>
        </w:rPr>
        <w:t>实地卫星定位坐标、拍摄方位角、拍摄时间，能够反映</w:t>
      </w:r>
      <w:r>
        <w:rPr>
          <w:rFonts w:hint="eastAsia" w:ascii="宋体" w:hAnsi="宋体"/>
          <w:color w:val="auto"/>
          <w:sz w:val="24"/>
          <w:highlight w:val="none"/>
        </w:rPr>
        <w:t>项目</w:t>
      </w:r>
      <w:r>
        <w:rPr>
          <w:rFonts w:ascii="宋体" w:hAnsi="宋体"/>
          <w:color w:val="auto"/>
          <w:sz w:val="24"/>
          <w:highlight w:val="none"/>
        </w:rPr>
        <w:t>实际利用现状。</w:t>
      </w:r>
    </w:p>
    <w:p w14:paraId="6CFF741A">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照片视野地类特征单一，角度必须完整覆盖</w:t>
      </w:r>
      <w:r>
        <w:rPr>
          <w:rFonts w:hint="eastAsia" w:ascii="宋体" w:hAnsi="宋体"/>
          <w:color w:val="auto"/>
          <w:sz w:val="24"/>
          <w:highlight w:val="none"/>
        </w:rPr>
        <w:t>项目</w:t>
      </w:r>
      <w:r>
        <w:rPr>
          <w:rFonts w:ascii="宋体" w:hAnsi="宋体"/>
          <w:color w:val="auto"/>
          <w:sz w:val="24"/>
          <w:highlight w:val="none"/>
        </w:rPr>
        <w:t>，能够准确判读地类。</w:t>
      </w:r>
    </w:p>
    <w:p w14:paraId="681EDDB0">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（5）具体拍摄要求须满足省市有关标准。</w:t>
      </w:r>
    </w:p>
    <w:p w14:paraId="2C7E8526">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6.</w:t>
      </w:r>
      <w:r>
        <w:rPr>
          <w:rFonts w:hint="eastAsia" w:ascii="宋体" w:hAnsi="宋体"/>
          <w:color w:val="auto"/>
          <w:sz w:val="24"/>
          <w:szCs w:val="24"/>
          <w:highlight w:val="none"/>
        </w:rPr>
        <w:t xml:space="preserve"> 面积计算和汇总、绘图</w:t>
      </w:r>
    </w:p>
    <w:p w14:paraId="0FE9DD5F">
      <w:pPr>
        <w:spacing w:line="440" w:lineRule="exact"/>
        <w:ind w:firstLine="480" w:firstLineChars="200"/>
        <w:rPr>
          <w:rFonts w:ascii="宋体" w:hAnsi="宋体"/>
          <w:color w:val="auto"/>
          <w:sz w:val="24"/>
          <w:highlight w:val="none"/>
        </w:rPr>
      </w:pPr>
      <w:r>
        <w:rPr>
          <w:rFonts w:hint="eastAsia" w:ascii="宋体" w:hAnsi="宋体"/>
          <w:color w:val="auto"/>
          <w:sz w:val="24"/>
          <w:szCs w:val="24"/>
          <w:highlight w:val="none"/>
        </w:rPr>
        <w:t>根据入库范围线及现场实际情况，对照土地利用现状图，统计并计算各地类面积，还需根据实际完成施工范围线对比分析同样内容。面积计算表包括项目编号，位置和项目实施前、后地类及相应面积，扣减面积和原因，以及新增地类和相应面积等。</w:t>
      </w:r>
    </w:p>
    <w:p w14:paraId="7678203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7. 配合开展市级验收后整改</w:t>
      </w:r>
    </w:p>
    <w:p w14:paraId="08CFCB5D">
      <w:pPr>
        <w:spacing w:line="440" w:lineRule="exact"/>
        <w:ind w:firstLine="480" w:firstLineChars="200"/>
        <w:rPr>
          <w:rFonts w:ascii="宋体" w:hAnsi="宋体"/>
          <w:color w:val="auto"/>
          <w:sz w:val="24"/>
          <w:highlight w:val="none"/>
        </w:rPr>
      </w:pPr>
      <w:r>
        <w:rPr>
          <w:rFonts w:hint="eastAsia" w:ascii="宋体" w:hAnsi="宋体"/>
          <w:color w:val="auto"/>
          <w:sz w:val="24"/>
          <w:szCs w:val="24"/>
          <w:highlight w:val="none"/>
        </w:rPr>
        <w:t>根据市级验收意见完成整改和重新勘测定界，重新测算相关指标。</w:t>
      </w:r>
    </w:p>
    <w:p w14:paraId="7A590CDD">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8.报告编写和成果整理归档</w:t>
      </w:r>
    </w:p>
    <w:p w14:paraId="09221F3F">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编写</w:t>
      </w:r>
      <w:r>
        <w:rPr>
          <w:rFonts w:hint="eastAsia" w:ascii="宋体" w:hAnsi="宋体"/>
          <w:color w:val="auto"/>
          <w:sz w:val="24"/>
          <w:szCs w:val="24"/>
          <w:highlight w:val="none"/>
        </w:rPr>
        <w:t>竣工勘测定界报告，</w:t>
      </w:r>
      <w:r>
        <w:rPr>
          <w:rFonts w:hint="eastAsia" w:ascii="宋体" w:hAnsi="宋体"/>
          <w:color w:val="auto"/>
          <w:sz w:val="24"/>
          <w:highlight w:val="none"/>
        </w:rPr>
        <w:t>工作报告、技术报告、验收确认报告等文档，整理成果并进行相关统计分析工作，汇总各类统计汇总表和文字成果等，过程中形成的各类档案进行整理归档。</w:t>
      </w:r>
    </w:p>
    <w:p w14:paraId="3F90E2F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数据建库</w:t>
      </w:r>
    </w:p>
    <w:p w14:paraId="453FA28F">
      <w:pPr>
        <w:pStyle w:val="53"/>
        <w:rPr>
          <w:rFonts w:ascii="宋体" w:hAnsi="宋体"/>
          <w:color w:val="auto"/>
          <w:sz w:val="24"/>
          <w:highlight w:val="none"/>
        </w:rPr>
      </w:pPr>
      <w:r>
        <w:rPr>
          <w:rFonts w:hint="eastAsia" w:ascii="宋体" w:hAnsi="宋体"/>
          <w:color w:val="auto"/>
          <w:sz w:val="24"/>
          <w:highlight w:val="none"/>
        </w:rPr>
        <w:t>根据</w:t>
      </w:r>
      <w:r>
        <w:rPr>
          <w:rFonts w:ascii="宋体" w:hAnsi="宋体"/>
          <w:color w:val="auto"/>
          <w:sz w:val="24"/>
          <w:highlight w:val="none"/>
        </w:rPr>
        <w:t>测量数据和地块信息，按省、市</w:t>
      </w:r>
      <w:r>
        <w:rPr>
          <w:rFonts w:hint="eastAsia" w:ascii="宋体" w:hAnsi="宋体"/>
          <w:color w:val="auto"/>
          <w:sz w:val="24"/>
          <w:highlight w:val="none"/>
        </w:rPr>
        <w:t>、</w:t>
      </w:r>
      <w:r>
        <w:rPr>
          <w:rFonts w:ascii="宋体" w:hAnsi="宋体"/>
          <w:color w:val="auto"/>
          <w:sz w:val="24"/>
          <w:highlight w:val="none"/>
        </w:rPr>
        <w:t>县</w:t>
      </w:r>
      <w:r>
        <w:rPr>
          <w:rFonts w:hint="eastAsia" w:ascii="宋体" w:hAnsi="宋体"/>
          <w:color w:val="auto"/>
          <w:sz w:val="24"/>
          <w:highlight w:val="none"/>
        </w:rPr>
        <w:t>相关</w:t>
      </w:r>
      <w:r>
        <w:rPr>
          <w:rFonts w:ascii="宋体" w:hAnsi="宋体"/>
          <w:color w:val="auto"/>
          <w:sz w:val="24"/>
          <w:highlight w:val="none"/>
        </w:rPr>
        <w:t>部门要求，</w:t>
      </w:r>
      <w:r>
        <w:rPr>
          <w:rFonts w:hint="eastAsia" w:ascii="宋体" w:hAnsi="宋体"/>
          <w:color w:val="auto"/>
          <w:sz w:val="24"/>
          <w:highlight w:val="none"/>
        </w:rPr>
        <w:t>建设</w:t>
      </w:r>
      <w:r>
        <w:rPr>
          <w:rFonts w:ascii="宋体" w:hAnsi="宋体"/>
          <w:color w:val="auto"/>
          <w:sz w:val="24"/>
          <w:highlight w:val="none"/>
        </w:rPr>
        <w:t>数据库</w:t>
      </w:r>
      <w:r>
        <w:rPr>
          <w:rFonts w:hint="eastAsia" w:ascii="宋体" w:hAnsi="宋体"/>
          <w:color w:val="auto"/>
          <w:sz w:val="24"/>
          <w:highlight w:val="none"/>
        </w:rPr>
        <w:t>。</w:t>
      </w:r>
    </w:p>
    <w:p w14:paraId="4BBD8B74">
      <w:pPr>
        <w:spacing w:line="440" w:lineRule="exact"/>
        <w:ind w:firstLine="480" w:firstLineChars="200"/>
        <w:rPr>
          <w:rFonts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.其他工作</w:t>
      </w:r>
    </w:p>
    <w:p w14:paraId="4A8134EC">
      <w:pPr>
        <w:spacing w:line="440" w:lineRule="exact"/>
        <w:ind w:firstLine="480" w:firstLineChars="200"/>
        <w:rPr>
          <w:b/>
          <w:bCs/>
          <w:color w:val="auto"/>
          <w:sz w:val="24"/>
          <w:szCs w:val="24"/>
          <w:highlight w:val="none"/>
        </w:rPr>
      </w:pPr>
      <w:r>
        <w:rPr>
          <w:rFonts w:hint="eastAsia" w:ascii="宋体" w:hAnsi="宋体"/>
          <w:color w:val="auto"/>
          <w:sz w:val="24"/>
          <w:highlight w:val="none"/>
        </w:rPr>
        <w:t>如东县自然资源和规划局要求的其他相关工作。</w:t>
      </w:r>
    </w:p>
    <w:p w14:paraId="76854950">
      <w:pPr>
        <w:spacing w:line="560" w:lineRule="exact"/>
        <w:rPr>
          <w:b/>
          <w:bCs/>
          <w:color w:val="auto"/>
          <w:sz w:val="24"/>
          <w:szCs w:val="24"/>
          <w:highlight w:val="none"/>
        </w:rPr>
      </w:pPr>
      <w:r>
        <w:rPr>
          <w:rFonts w:hint="eastAsia"/>
          <w:b/>
          <w:bCs/>
          <w:color w:val="auto"/>
          <w:sz w:val="24"/>
          <w:szCs w:val="24"/>
          <w:highlight w:val="none"/>
        </w:rPr>
        <w:t>三、测绘基准及技术要求</w:t>
      </w:r>
    </w:p>
    <w:p w14:paraId="23149AC7">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1.平面坐标系统：采用2000国家大地坐标系。</w:t>
      </w:r>
    </w:p>
    <w:p w14:paraId="24F05A4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2.高程系统：采用1985国家高程基准。</w:t>
      </w:r>
    </w:p>
    <w:p w14:paraId="32E5B2D9">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3.投影方式：采用高斯-克吕格投影，按3°分带,中央子午线为120°。</w:t>
      </w:r>
    </w:p>
    <w:p w14:paraId="5D13A669">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4.耕地最小上图面积：新增耕地面积不小于4</w:t>
      </w:r>
      <w:r>
        <w:rPr>
          <w:rFonts w:ascii="宋体" w:hAnsi="宋体"/>
          <w:color w:val="auto"/>
          <w:sz w:val="24"/>
          <w:highlight w:val="none"/>
        </w:rPr>
        <w:t>00</w:t>
      </w:r>
      <w:r>
        <w:rPr>
          <w:rFonts w:hint="eastAsia" w:ascii="宋体" w:hAnsi="宋体"/>
          <w:color w:val="auto"/>
          <w:sz w:val="24"/>
          <w:highlight w:val="none"/>
        </w:rPr>
        <w:t>平方米。</w:t>
      </w:r>
    </w:p>
    <w:p w14:paraId="4FE87A64">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5.计量单位</w:t>
      </w:r>
    </w:p>
    <w:p w14:paraId="7D149BF3">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长度单位采用米（</w:t>
      </w:r>
      <w:r>
        <w:rPr>
          <w:rFonts w:ascii="宋体" w:hAnsi="宋体"/>
          <w:color w:val="auto"/>
          <w:sz w:val="24"/>
          <w:highlight w:val="none"/>
        </w:rPr>
        <w:t>m</w:t>
      </w:r>
      <w:r>
        <w:rPr>
          <w:rFonts w:hint="eastAsia" w:ascii="宋体" w:hAnsi="宋体"/>
          <w:color w:val="auto"/>
          <w:sz w:val="24"/>
          <w:highlight w:val="none"/>
        </w:rPr>
        <w:t>）；面积计算单位采用平方米（㎡）；面积统计汇总单位采用公顷（</w:t>
      </w:r>
      <w:r>
        <w:rPr>
          <w:rFonts w:ascii="宋体" w:hAnsi="宋体"/>
          <w:color w:val="auto"/>
          <w:sz w:val="24"/>
          <w:highlight w:val="none"/>
        </w:rPr>
        <w:t>h</w:t>
      </w:r>
      <w:r>
        <w:rPr>
          <w:rFonts w:hint="eastAsia" w:ascii="宋体" w:hAnsi="宋体"/>
          <w:color w:val="auto"/>
          <w:sz w:val="24"/>
          <w:highlight w:val="none"/>
        </w:rPr>
        <w:t>㎡）和亩。</w:t>
      </w:r>
    </w:p>
    <w:p w14:paraId="02DB948B">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6.设备要求</w:t>
      </w:r>
    </w:p>
    <w:p w14:paraId="64A530CC">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设备包括</w:t>
      </w:r>
      <w:r>
        <w:rPr>
          <w:rFonts w:ascii="宋体" w:hAnsi="宋体"/>
          <w:color w:val="auto"/>
          <w:sz w:val="24"/>
          <w:highlight w:val="none"/>
        </w:rPr>
        <w:t>GNSS</w:t>
      </w:r>
      <w:r>
        <w:rPr>
          <w:rFonts w:hint="eastAsia" w:ascii="宋体" w:hAnsi="宋体"/>
          <w:color w:val="auto"/>
          <w:sz w:val="24"/>
          <w:highlight w:val="none"/>
        </w:rPr>
        <w:t>定位测量设备、手持激光测距仪、全站仪、无人机；互联网拍照设备；计算机、平板电脑、软件系统；移动通信设备、交通工具等。</w:t>
      </w:r>
    </w:p>
    <w:p w14:paraId="367F4AE8">
      <w:pPr>
        <w:spacing w:line="560" w:lineRule="exact"/>
        <w:rPr>
          <w:b/>
          <w:bCs/>
          <w:color w:val="auto"/>
          <w:sz w:val="24"/>
          <w:szCs w:val="24"/>
          <w:highlight w:val="none"/>
        </w:rPr>
      </w:pPr>
      <w:r>
        <w:rPr>
          <w:rFonts w:hint="eastAsia"/>
          <w:b/>
          <w:bCs/>
          <w:color w:val="auto"/>
          <w:sz w:val="24"/>
          <w:szCs w:val="24"/>
          <w:highlight w:val="none"/>
        </w:rPr>
        <w:t>四、技术依据要求</w:t>
      </w:r>
    </w:p>
    <w:p w14:paraId="21A541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（1）《城市测量规范》（CJJ/T8-2011）；</w:t>
      </w:r>
    </w:p>
    <w:p w14:paraId="2598D5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（2）《全球定位系统（GPS）测量规范》（GB/T18314-2009）；</w:t>
      </w:r>
    </w:p>
    <w:p w14:paraId="0FA8E1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（3）《全球定位系统实时动态测量（RTK）技术规范》（CH/T 2009-2010）；</w:t>
      </w:r>
    </w:p>
    <w:p w14:paraId="7F201B2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（4）《卫星定位城市测量技术规范》（CJJ/T 73-2019）；</w:t>
      </w:r>
    </w:p>
    <w:p w14:paraId="4EC018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（5）《国家基本比例尺地形图图式 第1部分：1：500 1：1000 1：2000地形图图式》（GB/T 20257.1-2017）；</w:t>
      </w:r>
    </w:p>
    <w:p w14:paraId="7FBA17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1:500 1:1000 1:2000外业</w:t>
      </w:r>
      <w:r>
        <w:rPr>
          <w:rFonts w:ascii="宋体" w:hAnsi="宋体"/>
          <w:color w:val="auto"/>
          <w:sz w:val="24"/>
          <w:szCs w:val="24"/>
          <w:highlight w:val="none"/>
        </w:rPr>
        <w:t>数字测图技术规程》</w:t>
      </w:r>
      <w:r>
        <w:rPr>
          <w:rFonts w:hint="eastAsia" w:ascii="宋体" w:hAnsi="宋体"/>
          <w:color w:val="auto"/>
          <w:sz w:val="24"/>
          <w:szCs w:val="24"/>
          <w:highlight w:val="none"/>
        </w:rPr>
        <w:t>(GB/T14912-2017</w:t>
      </w:r>
      <w:r>
        <w:rPr>
          <w:rFonts w:ascii="宋体" w:hAnsi="宋体"/>
          <w:color w:val="auto"/>
          <w:sz w:val="24"/>
          <w:szCs w:val="24"/>
          <w:highlight w:val="none"/>
        </w:rPr>
        <w:t>)</w:t>
      </w:r>
      <w:r>
        <w:rPr>
          <w:rFonts w:hint="eastAsia" w:ascii="宋体" w:hAnsi="宋体"/>
          <w:color w:val="auto"/>
          <w:sz w:val="24"/>
          <w:szCs w:val="24"/>
          <w:highlight w:val="none"/>
        </w:rPr>
        <w:t>；</w:t>
      </w:r>
    </w:p>
    <w:p w14:paraId="178E9D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（7）《数字</w:t>
      </w:r>
      <w:r>
        <w:rPr>
          <w:rFonts w:ascii="宋体" w:hAnsi="宋体"/>
          <w:color w:val="auto"/>
          <w:sz w:val="24"/>
          <w:szCs w:val="24"/>
          <w:highlight w:val="none"/>
        </w:rPr>
        <w:t>地形图产品基本要求</w:t>
      </w:r>
      <w:r>
        <w:rPr>
          <w:rFonts w:hint="eastAsia" w:ascii="宋体" w:hAnsi="宋体"/>
          <w:color w:val="auto"/>
          <w:sz w:val="24"/>
          <w:szCs w:val="24"/>
          <w:highlight w:val="none"/>
        </w:rPr>
        <w:t>》（GB/T17278-2009）；</w:t>
      </w:r>
    </w:p>
    <w:p w14:paraId="420F5DE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（8）《1:500、1:1000、1:2000地形图航空摄影测量外业规范》（GB/T 7931-2008）</w:t>
      </w:r>
    </w:p>
    <w:p w14:paraId="1D018B10">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（9）《1:500、1:1000、1:2000地形图航空摄影测量内业规范》（GB/T 7930-2008）；</w:t>
      </w:r>
    </w:p>
    <w:p w14:paraId="496E2E4D">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（10）《无人机航摄安全作业基本要求》（CH/Z 3001-2010）；</w:t>
      </w:r>
    </w:p>
    <w:p w14:paraId="50960071">
      <w:pPr>
        <w:spacing w:line="440" w:lineRule="exact"/>
        <w:ind w:firstLine="480" w:firstLineChars="200"/>
        <w:rPr>
          <w:b/>
          <w:bCs/>
          <w:color w:val="auto"/>
          <w:sz w:val="24"/>
          <w:szCs w:val="24"/>
          <w:highlight w:val="none"/>
        </w:rPr>
      </w:pPr>
      <w:r>
        <w:rPr>
          <w:rFonts w:hint="eastAsia" w:ascii="宋体" w:hAnsi="宋体"/>
          <w:color w:val="auto"/>
          <w:sz w:val="24"/>
          <w:szCs w:val="24"/>
          <w:highlight w:val="none"/>
        </w:rPr>
        <w:t>（11）《无人机航摄系统技术要求》（CH/Z 3002-2010）。</w:t>
      </w:r>
    </w:p>
    <w:p w14:paraId="35D046A6">
      <w:pPr>
        <w:spacing w:line="440" w:lineRule="exact"/>
        <w:rPr>
          <w:b/>
          <w:bCs/>
          <w:color w:val="auto"/>
          <w:sz w:val="24"/>
          <w:szCs w:val="24"/>
          <w:highlight w:val="none"/>
        </w:rPr>
      </w:pPr>
      <w:r>
        <w:rPr>
          <w:rFonts w:hint="eastAsia"/>
          <w:b/>
          <w:bCs/>
          <w:color w:val="auto"/>
          <w:sz w:val="24"/>
          <w:szCs w:val="24"/>
          <w:highlight w:val="none"/>
        </w:rPr>
        <w:t>五、项目服务期</w:t>
      </w:r>
    </w:p>
    <w:p w14:paraId="5A322C80">
      <w:pPr>
        <w:spacing w:line="440" w:lineRule="exact"/>
        <w:rPr>
          <w:b/>
          <w:bCs/>
          <w:color w:val="auto"/>
          <w:sz w:val="24"/>
          <w:szCs w:val="24"/>
          <w:highlight w:val="none"/>
        </w:rPr>
      </w:pPr>
      <w:r>
        <w:rPr>
          <w:rFonts w:hint="eastAsia"/>
          <w:b/>
          <w:bCs/>
          <w:color w:val="auto"/>
          <w:sz w:val="24"/>
          <w:szCs w:val="24"/>
          <w:highlight w:val="none"/>
        </w:rPr>
        <w:t xml:space="preserve">    </w:t>
      </w:r>
      <w:r>
        <w:rPr>
          <w:rFonts w:hint="eastAsia" w:ascii="宋体" w:hAnsi="宋体"/>
          <w:b/>
          <w:color w:val="auto"/>
          <w:sz w:val="24"/>
          <w:szCs w:val="24"/>
          <w:highlight w:val="none"/>
        </w:rPr>
        <w:t>合同签订后必须在采购人规定的时间内分期分批完成2026-2027年</w:t>
      </w:r>
      <w:r>
        <w:rPr>
          <w:rFonts w:hint="eastAsia" w:ascii="宋体" w:hAnsi="宋体" w:cs="宋体"/>
          <w:b/>
          <w:color w:val="auto"/>
          <w:sz w:val="24"/>
          <w:szCs w:val="24"/>
          <w:highlight w:val="none"/>
        </w:rPr>
        <w:t>耕地占补平衡项目竣工</w:t>
      </w:r>
      <w:r>
        <w:rPr>
          <w:rFonts w:ascii="宋体" w:hAnsi="宋体" w:cs="宋体"/>
          <w:b/>
          <w:color w:val="auto"/>
          <w:sz w:val="24"/>
          <w:szCs w:val="24"/>
          <w:highlight w:val="none"/>
        </w:rPr>
        <w:t>验收服务</w:t>
      </w:r>
      <w:r>
        <w:rPr>
          <w:rFonts w:hint="eastAsia" w:ascii="宋体" w:hAnsi="宋体" w:cs="宋体"/>
          <w:b/>
          <w:color w:val="auto"/>
          <w:sz w:val="24"/>
          <w:szCs w:val="24"/>
          <w:highlight w:val="none"/>
        </w:rPr>
        <w:t>及其他相关工作</w:t>
      </w:r>
      <w:r>
        <w:rPr>
          <w:rFonts w:hint="eastAsia" w:ascii="宋体" w:hAnsi="宋体"/>
          <w:b/>
          <w:color w:val="auto"/>
          <w:sz w:val="24"/>
          <w:szCs w:val="24"/>
          <w:highlight w:val="none"/>
        </w:rPr>
        <w:t>。</w:t>
      </w:r>
      <w:r>
        <w:rPr>
          <w:rFonts w:hint="eastAsia"/>
          <w:b/>
          <w:bCs/>
          <w:color w:val="auto"/>
          <w:sz w:val="24"/>
          <w:szCs w:val="24"/>
          <w:highlight w:val="none"/>
        </w:rPr>
        <w:t xml:space="preserve">   </w:t>
      </w:r>
    </w:p>
    <w:p w14:paraId="6CC814EA">
      <w:pPr>
        <w:spacing w:line="440" w:lineRule="exact"/>
        <w:rPr>
          <w:b/>
          <w:bCs/>
          <w:color w:val="auto"/>
          <w:sz w:val="24"/>
          <w:szCs w:val="24"/>
          <w:highlight w:val="none"/>
        </w:rPr>
      </w:pPr>
      <w:r>
        <w:rPr>
          <w:rFonts w:hint="eastAsia"/>
          <w:b/>
          <w:bCs/>
          <w:color w:val="auto"/>
          <w:sz w:val="24"/>
          <w:szCs w:val="24"/>
          <w:highlight w:val="none"/>
        </w:rPr>
        <w:t>六、付款方式</w:t>
      </w:r>
    </w:p>
    <w:p w14:paraId="29745B9F">
      <w:pPr>
        <w:spacing w:line="440" w:lineRule="exact"/>
        <w:ind w:firstLine="480" w:firstLineChars="200"/>
        <w:rPr>
          <w:color w:val="auto"/>
          <w:sz w:val="24"/>
          <w:szCs w:val="24"/>
          <w:highlight w:val="none"/>
        </w:rPr>
      </w:pPr>
      <w:r>
        <w:rPr>
          <w:rFonts w:hint="eastAsia"/>
          <w:color w:val="auto"/>
          <w:sz w:val="24"/>
          <w:szCs w:val="24"/>
          <w:highlight w:val="none"/>
        </w:rPr>
        <w:t>1、付款：在2026年12月31日前，按实际完成的项目数量按实结算，剩余工作内容全部完成后再按实际完成的项目数量一次性付清。</w:t>
      </w:r>
    </w:p>
    <w:p w14:paraId="0383D33A">
      <w:pPr>
        <w:pStyle w:val="53"/>
        <w:rPr>
          <w:color w:val="auto"/>
          <w:sz w:val="24"/>
          <w:szCs w:val="24"/>
          <w:highlight w:val="none"/>
        </w:rPr>
      </w:pPr>
      <w:r>
        <w:rPr>
          <w:rFonts w:hint="eastAsia"/>
          <w:color w:val="auto"/>
          <w:sz w:val="24"/>
          <w:szCs w:val="24"/>
          <w:highlight w:val="none"/>
        </w:rPr>
        <w:t>2、中标供应商凭经采购合同、验收单（经验收合格）及正式发票按规定进行资金结算。</w:t>
      </w:r>
    </w:p>
    <w:p w14:paraId="33015CBA">
      <w:pPr>
        <w:pStyle w:val="5"/>
        <w:spacing w:line="400" w:lineRule="exact"/>
        <w:ind w:firstLine="0"/>
        <w:rPr>
          <w:rFonts w:cs="宋体"/>
          <w:color w:val="auto"/>
          <w:sz w:val="24"/>
          <w:szCs w:val="24"/>
          <w:highlight w:val="none"/>
        </w:rPr>
      </w:pPr>
      <w:r>
        <w:rPr>
          <w:rFonts w:hint="eastAsia" w:ascii="宋体" w:hAnsi="宋体" w:cs="宋体"/>
          <w:b/>
          <w:bCs/>
          <w:color w:val="auto"/>
          <w:sz w:val="24"/>
          <w:szCs w:val="24"/>
          <w:highlight w:val="none"/>
        </w:rPr>
        <w:t>七、履约保证金：</w:t>
      </w:r>
      <w:r>
        <w:rPr>
          <w:rFonts w:hint="eastAsia" w:cs="宋体"/>
          <w:b/>
          <w:bCs/>
          <w:color w:val="auto"/>
          <w:sz w:val="24"/>
          <w:szCs w:val="24"/>
          <w:highlight w:val="none"/>
        </w:rPr>
        <w:t>本项目免收履约保证金。</w:t>
      </w:r>
    </w:p>
    <w:p w14:paraId="5C702558">
      <w:pPr>
        <w:adjustRightInd w:val="0"/>
        <w:snapToGrid w:val="0"/>
        <w:spacing w:line="400" w:lineRule="exact"/>
        <w:rPr>
          <w:rFonts w:ascii="宋体" w:hAnsi="宋体" w:cs="宋体"/>
          <w:b/>
          <w:color w:val="auto"/>
          <w:sz w:val="24"/>
          <w:szCs w:val="24"/>
          <w:highlight w:val="none"/>
        </w:rPr>
      </w:pPr>
      <w:r>
        <w:rPr>
          <w:rFonts w:hint="eastAsia" w:ascii="宋体" w:hAnsi="宋体" w:cs="宋体"/>
          <w:b/>
          <w:color w:val="auto"/>
          <w:sz w:val="24"/>
          <w:szCs w:val="24"/>
          <w:highlight w:val="none"/>
        </w:rPr>
        <w:t>八、其他技术、服务等要求（增加商品包装、快递包装的相关要求）；</w:t>
      </w:r>
    </w:p>
    <w:p w14:paraId="39194ABA">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1、商品包装环保要求：应当按《关于印发〈商品包装政府采购需求标准(试行）〉、〈快递包装政府采购需求标准(试行)〉的通知》 (财办库(2020)123号)文件执行。</w:t>
      </w:r>
    </w:p>
    <w:p w14:paraId="56B75627">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（1）商品包装层数不得超过 3 层，空隙率不大于 40%；</w:t>
      </w:r>
    </w:p>
    <w:p w14:paraId="34E5C80F">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（2）商品包装尽可能使用单一材质的包装材料，如因功能需求必需使用不同材质，不同材质间应便于分离；</w:t>
      </w:r>
    </w:p>
    <w:p w14:paraId="35ADF120">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（3）商品包装中铅、汞、镉、六价铬的总含量应不大于100mg/kg；</w:t>
      </w:r>
    </w:p>
    <w:p w14:paraId="50043C9C">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（4）商品包装印刷使用的油墨中挥发性有机化合物(VOCs)含量应不大于 5%（以重量计）；</w:t>
      </w:r>
    </w:p>
    <w:p w14:paraId="70380B33">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（5）塑料材质商品包装上呈现的印刷颜色不得超过 6 色；</w:t>
      </w:r>
    </w:p>
    <w:p w14:paraId="0066C127">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（6）纸质商品包装应使用 75%以上的可再生纤维原料生产；</w:t>
      </w:r>
    </w:p>
    <w:p w14:paraId="39BBABE2">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（7）木质商品包装的原料应来源于可持续性森林。</w:t>
      </w:r>
    </w:p>
    <w:p w14:paraId="2F97AE33">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2、快递包装环保要求：</w:t>
      </w:r>
    </w:p>
    <w:p w14:paraId="61E72D75">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（1）快递包装中重金属（铅、汞、镉、六价铬）总量应不大于 100mg/kg；</w:t>
      </w:r>
    </w:p>
    <w:p w14:paraId="43ADF003">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（2）快递包装印刷使用的油墨中不应添加邻苯二甲酸酯，其挥发性有机化合物(VOCs)含量应不大于5%（以重量计）；</w:t>
      </w:r>
    </w:p>
    <w:p w14:paraId="2FD336DA">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（3）快递包装中使用纸基材的包装材料，纸基材中的有机氯的含量应不大于 150 mg/kg；</w:t>
      </w:r>
    </w:p>
    <w:p w14:paraId="4F800B1C">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（4）快递包装中使用塑料基材的包装材料不得使用邻苯二甲酸二异壬酯、邻苯二甲酸二正辛酯、邻苯二甲酸二(2-乙基)己酯、邻苯二甲酸二异癸酯、邻苯二甲酸丁基苄基酯、邻苯二甲酸二丁酯等作为增塑剂；</w:t>
      </w:r>
    </w:p>
    <w:p w14:paraId="0C3AEAF4">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（5）快递中使用的塑料包装袋不得使用聚氯乙烯作为原料，且原料应为单一材质制成，生物分解率大于60%；</w:t>
      </w:r>
    </w:p>
    <w:p w14:paraId="632DFA8D">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（6）快递中使用的充气类填充物不得使用聚氯乙烯作为 原料，且原料为单一材质制成，生物分解率大于60%；</w:t>
      </w:r>
    </w:p>
    <w:p w14:paraId="5CAD24B5">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（7）快递中使用的集装袋应为单一材质制成，其重复使用次数应不小于 80 次；</w:t>
      </w:r>
    </w:p>
    <w:p w14:paraId="6139521F">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（8）快递中应使用幅宽不大于45mm 的生物降解胶带；</w:t>
      </w:r>
    </w:p>
    <w:p w14:paraId="4B7858C3">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（9）快递包装中不得使用溶剂型胶粘剂；</w:t>
      </w:r>
    </w:p>
    <w:p w14:paraId="5C59633A">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（10）快递应使用电子面单；</w:t>
      </w:r>
    </w:p>
    <w:p w14:paraId="40AB9BAE">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（11）直接使用商品包装作为快递包装的商品，其商品包装满足《商品包装政府采购需求标准（试行）》即可；</w:t>
      </w:r>
    </w:p>
    <w:p w14:paraId="3DAA3AB9">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（12）快递包装产品质量和封装方式应符合相关国家或行业标准技术指标要求。</w:t>
      </w:r>
    </w:p>
    <w:p w14:paraId="7B0EAEF5">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3、绿色数据中心</w:t>
      </w:r>
    </w:p>
    <w:p w14:paraId="5A1F1F2C">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4、低挥发性有机化合物产品：本项目中如有涉及涂料、胶黏剂、油墨、清洗剂等挥发性有机物产品的，属于强制性标准的，供应商应当执行国家和我省VOCs含量限制标准。在通用类货物、家具、印刷、公务车辆维修等采购项目中，供应商应优先使用低挥发性原辅材料，将使用低VOCs含量的涂料、胶黏剂等纳入合同条款。</w:t>
      </w:r>
    </w:p>
    <w:p w14:paraId="435AB46A">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5、节能环保产品：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2D3B7970">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6、绿色低碳管理目标和服务要求：在物业、合同能源管理等服务类采购项目需求中，要强化绿色低碳管理目标和服务要求，促进绿色产品和服务推广应用。</w:t>
      </w:r>
    </w:p>
    <w:p w14:paraId="640BCB30">
      <w:pPr>
        <w:adjustRightInd w:val="0"/>
        <w:snapToGrid w:val="0"/>
        <w:spacing w:line="4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7、采购的货物或者服务属信创产品目录内容内的，须遵照信创产品要求提供货物或服务；</w:t>
      </w:r>
    </w:p>
    <w:p w14:paraId="5A2D709A">
      <w:pPr>
        <w:adjustRightInd w:val="0"/>
        <w:snapToGrid w:val="0"/>
        <w:spacing w:line="4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九、约定事项</w:t>
      </w:r>
    </w:p>
    <w:p w14:paraId="5153D084">
      <w:pPr>
        <w:pStyle w:val="43"/>
        <w:spacing w:line="400" w:lineRule="exact"/>
        <w:ind w:firstLine="480"/>
        <w:rPr>
          <w:rFonts w:cs="宋体"/>
          <w:color w:val="auto"/>
          <w:sz w:val="24"/>
          <w:szCs w:val="24"/>
          <w:highlight w:val="none"/>
        </w:rPr>
      </w:pPr>
      <w:r>
        <w:rPr>
          <w:rFonts w:hint="eastAsia" w:cs="宋体"/>
          <w:color w:val="auto"/>
          <w:sz w:val="24"/>
          <w:szCs w:val="24"/>
          <w:highlight w:val="none"/>
        </w:rPr>
        <w:t>1、本项目实施人员必须是投标文件中提供的人员，中标供应商不得以任何原因和方式将合同转包、分包或雇用其他作业人员进行生产。一经发现有上述情况的，将按违约处理，采购人有权拒付合同额。</w:t>
      </w:r>
    </w:p>
    <w:p w14:paraId="06993819">
      <w:pPr>
        <w:pStyle w:val="43"/>
        <w:spacing w:line="400" w:lineRule="exact"/>
        <w:ind w:firstLine="480"/>
        <w:rPr>
          <w:rFonts w:cs="宋体"/>
          <w:color w:val="auto"/>
          <w:sz w:val="24"/>
          <w:szCs w:val="24"/>
          <w:highlight w:val="none"/>
        </w:rPr>
      </w:pPr>
      <w:r>
        <w:rPr>
          <w:rFonts w:hint="eastAsia" w:cs="宋体"/>
          <w:color w:val="auto"/>
          <w:sz w:val="24"/>
          <w:szCs w:val="24"/>
          <w:highlight w:val="none"/>
        </w:rPr>
        <w:t>2、采购人向中标供应商提供的全部资料及中标供应商的全部成果资料（包括中间资料）其版权归采购人所有，中标供应商不得自留使用或以任何方式转让或提供给第三方使用。</w:t>
      </w:r>
    </w:p>
    <w:p w14:paraId="644954EA">
      <w:pPr>
        <w:pStyle w:val="43"/>
        <w:spacing w:line="400" w:lineRule="exact"/>
        <w:ind w:firstLine="480"/>
        <w:rPr>
          <w:rFonts w:cs="宋体"/>
          <w:color w:val="auto"/>
          <w:sz w:val="24"/>
          <w:szCs w:val="24"/>
          <w:highlight w:val="none"/>
        </w:rPr>
      </w:pPr>
      <w:r>
        <w:rPr>
          <w:rFonts w:hint="eastAsia" w:cs="宋体"/>
          <w:color w:val="auto"/>
          <w:sz w:val="24"/>
          <w:szCs w:val="24"/>
          <w:highlight w:val="none"/>
        </w:rPr>
        <w:t>3、本项目最终成果的检查验收由采购人组织，其经费由中标供应商承担。</w:t>
      </w:r>
    </w:p>
    <w:p w14:paraId="0FD520BB">
      <w:pPr>
        <w:pStyle w:val="43"/>
        <w:spacing w:line="400" w:lineRule="exact"/>
        <w:ind w:firstLine="480"/>
        <w:rPr>
          <w:rFonts w:cs="宋体"/>
          <w:color w:val="auto"/>
          <w:sz w:val="24"/>
          <w:szCs w:val="24"/>
          <w:highlight w:val="none"/>
        </w:rPr>
      </w:pPr>
      <w:r>
        <w:rPr>
          <w:rFonts w:hint="eastAsia" w:cs="宋体"/>
          <w:color w:val="auto"/>
          <w:sz w:val="24"/>
          <w:szCs w:val="24"/>
          <w:highlight w:val="none"/>
        </w:rPr>
        <w:t>4、投标人的投标报价，在合同实施期间，中标价不随国家政策或法规、标准及任何市场因素的变化而进行调整。</w:t>
      </w:r>
    </w:p>
    <w:p w14:paraId="530D3EA5">
      <w:pPr>
        <w:pStyle w:val="43"/>
        <w:spacing w:line="400" w:lineRule="exact"/>
        <w:ind w:firstLine="480"/>
        <w:rPr>
          <w:rFonts w:cs="宋体"/>
          <w:color w:val="auto"/>
          <w:sz w:val="24"/>
          <w:szCs w:val="24"/>
          <w:highlight w:val="none"/>
        </w:rPr>
      </w:pPr>
      <w:r>
        <w:rPr>
          <w:rFonts w:hint="eastAsia" w:cs="宋体"/>
          <w:color w:val="auto"/>
          <w:sz w:val="24"/>
          <w:szCs w:val="24"/>
          <w:highlight w:val="none"/>
        </w:rPr>
        <w:t>5、中标供应商在履行合同过程中，一切事故其责任由中标供应商承担，采购人不承担任何责任。</w:t>
      </w:r>
    </w:p>
    <w:p w14:paraId="124DB632">
      <w:pPr>
        <w:pStyle w:val="43"/>
        <w:spacing w:line="400" w:lineRule="exact"/>
        <w:ind w:firstLine="480"/>
        <w:rPr>
          <w:rFonts w:cs="宋体"/>
          <w:b/>
          <w:bCs/>
          <w:color w:val="auto"/>
          <w:sz w:val="24"/>
          <w:szCs w:val="24"/>
          <w:highlight w:val="none"/>
        </w:rPr>
      </w:pPr>
      <w:r>
        <w:rPr>
          <w:rFonts w:hint="eastAsia" w:cs="宋体"/>
          <w:color w:val="auto"/>
          <w:sz w:val="24"/>
          <w:szCs w:val="24"/>
          <w:highlight w:val="none"/>
        </w:rPr>
        <w:t>6、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0618010E">
      <w:pPr>
        <w:spacing w:line="400" w:lineRule="exact"/>
        <w:rPr>
          <w:rFonts w:ascii="Times New Roman" w:hAnsi="Times New Roman"/>
          <w:color w:val="auto"/>
          <w:highlight w:val="none"/>
        </w:rPr>
      </w:pPr>
      <w:r>
        <w:rPr>
          <w:rFonts w:hint="eastAsia" w:ascii="宋体" w:hAnsi="宋体" w:cs="宋体"/>
          <w:bCs/>
          <w:color w:val="auto"/>
          <w:sz w:val="24"/>
          <w:szCs w:val="24"/>
          <w:highlight w:val="none"/>
        </w:rPr>
        <w:br w:type="page"/>
      </w:r>
    </w:p>
    <w:p w14:paraId="24612467">
      <w:pPr>
        <w:keepNext/>
        <w:spacing w:line="400" w:lineRule="exact"/>
        <w:ind w:firstLine="2530" w:firstLineChars="700"/>
        <w:outlineLvl w:val="0"/>
        <w:rPr>
          <w:rFonts w:ascii="Times New Roman" w:hAnsi="Times New Roman"/>
          <w:color w:val="auto"/>
          <w:szCs w:val="21"/>
          <w:highlight w:val="none"/>
        </w:rPr>
      </w:pPr>
      <w:bookmarkStart w:id="180"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48AFA538">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一、评审方法：</w:t>
      </w:r>
    </w:p>
    <w:p w14:paraId="46774D14">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0371A1A9">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378D150A">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6D2E4141">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0283B6B2">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5053CD50">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1138958A">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2A3FC756">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27570DF7">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3D8AC81A">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45B77AEA">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41637248">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03B49364">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5CF72883">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CC2311C">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50C8E2C9">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61B49671">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51AB8D02">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41C094BB">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7、专门面向中小企业采购的项目或者采购包，不再执行价格评审优惠的扶持政策。</w:t>
      </w:r>
    </w:p>
    <w:p w14:paraId="607467F7">
      <w:pPr>
        <w:pStyle w:val="43"/>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35F472CE">
      <w:pPr>
        <w:pStyle w:val="43"/>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446A40CE">
      <w:pPr>
        <w:spacing w:line="40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分（85分）</w:t>
      </w:r>
    </w:p>
    <w:p w14:paraId="7C673372">
      <w:pPr>
        <w:widowControl/>
        <w:spacing w:line="400" w:lineRule="exact"/>
        <w:ind w:firstLine="241" w:firstLineChars="100"/>
        <w:jc w:val="left"/>
        <w:rPr>
          <w:rFonts w:ascii="宋体" w:hAnsi="宋体" w:cs="宋体"/>
          <w:b/>
          <w:color w:val="auto"/>
          <w:sz w:val="24"/>
          <w:szCs w:val="24"/>
          <w:highlight w:val="none"/>
        </w:rPr>
      </w:pPr>
      <w:r>
        <w:rPr>
          <w:rFonts w:hint="eastAsia" w:ascii="宋体" w:hAnsi="宋体" w:cs="宋体"/>
          <w:b/>
          <w:color w:val="auto"/>
          <w:sz w:val="24"/>
          <w:szCs w:val="24"/>
          <w:highlight w:val="none"/>
        </w:rPr>
        <w:t>商务技术分是所有评委评分的算术平均值，分值保留小数点后两位。</w:t>
      </w:r>
    </w:p>
    <w:p w14:paraId="0FF8309E">
      <w:pPr>
        <w:pStyle w:val="82"/>
        <w:snapToGrid w:val="0"/>
        <w:spacing w:line="600" w:lineRule="exact"/>
        <w:ind w:left="-1" w:firstLine="482" w:firstLineChars="150"/>
        <w:jc w:val="center"/>
        <w:rPr>
          <w:rFonts w:ascii="宋体" w:hAnsi="宋体"/>
          <w:color w:val="auto"/>
          <w:sz w:val="32"/>
          <w:szCs w:val="32"/>
          <w:highlight w:val="none"/>
        </w:rPr>
      </w:pPr>
      <w:r>
        <w:rPr>
          <w:rFonts w:hint="eastAsia" w:ascii="宋体" w:hAnsi="宋体"/>
          <w:color w:val="auto"/>
          <w:sz w:val="32"/>
          <w:szCs w:val="32"/>
          <w:highlight w:val="none"/>
        </w:rPr>
        <w:t>评标标准</w:t>
      </w:r>
    </w:p>
    <w:tbl>
      <w:tblPr>
        <w:tblStyle w:val="44"/>
        <w:tblW w:w="9781"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18"/>
        <w:gridCol w:w="1010"/>
        <w:gridCol w:w="5794"/>
        <w:gridCol w:w="993"/>
        <w:gridCol w:w="866"/>
      </w:tblGrid>
      <w:tr w14:paraId="7EF6F81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blHeader/>
        </w:trPr>
        <w:tc>
          <w:tcPr>
            <w:tcW w:w="2128" w:type="dxa"/>
            <w:gridSpan w:val="2"/>
            <w:tcBorders>
              <w:top w:val="outset" w:color="auto" w:sz="6" w:space="0"/>
              <w:left w:val="outset" w:color="auto" w:sz="6" w:space="0"/>
              <w:bottom w:val="outset" w:color="auto" w:sz="6" w:space="0"/>
              <w:right w:val="outset" w:color="auto" w:sz="6" w:space="0"/>
            </w:tcBorders>
            <w:vAlign w:val="center"/>
          </w:tcPr>
          <w:p w14:paraId="1A6F407C">
            <w:pPr>
              <w:spacing w:line="460" w:lineRule="exact"/>
              <w:jc w:val="center"/>
              <w:rPr>
                <w:rFonts w:ascii="宋体" w:hAnsi="宋体" w:cs="宋体"/>
                <w:color w:val="auto"/>
                <w:highlight w:val="none"/>
              </w:rPr>
            </w:pPr>
            <w:r>
              <w:rPr>
                <w:rFonts w:hint="eastAsia" w:ascii="宋体" w:hAnsi="宋体" w:cs="宋体"/>
                <w:color w:val="auto"/>
                <w:highlight w:val="none"/>
              </w:rPr>
              <w:t>评审因素</w:t>
            </w:r>
          </w:p>
        </w:tc>
        <w:tc>
          <w:tcPr>
            <w:tcW w:w="5794" w:type="dxa"/>
            <w:tcBorders>
              <w:top w:val="outset" w:color="auto" w:sz="6" w:space="0"/>
              <w:left w:val="outset" w:color="auto" w:sz="6" w:space="0"/>
              <w:bottom w:val="outset" w:color="auto" w:sz="6" w:space="0"/>
              <w:right w:val="outset" w:color="auto" w:sz="6" w:space="0"/>
            </w:tcBorders>
            <w:vAlign w:val="center"/>
          </w:tcPr>
          <w:p w14:paraId="7B34743E">
            <w:pPr>
              <w:spacing w:line="460" w:lineRule="exact"/>
              <w:jc w:val="center"/>
              <w:rPr>
                <w:rFonts w:ascii="宋体" w:hAnsi="宋体" w:cs="宋体"/>
                <w:color w:val="auto"/>
                <w:highlight w:val="none"/>
              </w:rPr>
            </w:pPr>
            <w:r>
              <w:rPr>
                <w:rFonts w:hint="eastAsia" w:ascii="宋体" w:hAnsi="宋体" w:cs="宋体"/>
                <w:color w:val="auto"/>
                <w:highlight w:val="none"/>
              </w:rPr>
              <w:t>评审标准</w:t>
            </w:r>
          </w:p>
        </w:tc>
        <w:tc>
          <w:tcPr>
            <w:tcW w:w="993" w:type="dxa"/>
            <w:tcBorders>
              <w:top w:val="outset" w:color="auto" w:sz="6" w:space="0"/>
              <w:left w:val="outset" w:color="auto" w:sz="6" w:space="0"/>
              <w:bottom w:val="outset" w:color="auto" w:sz="6" w:space="0"/>
              <w:right w:val="outset" w:color="auto" w:sz="6" w:space="0"/>
            </w:tcBorders>
            <w:vAlign w:val="center"/>
          </w:tcPr>
          <w:p w14:paraId="4BC2450F">
            <w:pPr>
              <w:spacing w:line="280" w:lineRule="exact"/>
              <w:jc w:val="center"/>
              <w:rPr>
                <w:rFonts w:ascii="宋体" w:hAnsi="宋体"/>
                <w:color w:val="auto"/>
                <w:highlight w:val="none"/>
              </w:rPr>
            </w:pPr>
            <w:r>
              <w:rPr>
                <w:rFonts w:hint="eastAsia" w:ascii="宋体" w:hAnsi="宋体"/>
                <w:color w:val="auto"/>
                <w:highlight w:val="none"/>
              </w:rPr>
              <w:t>单项分值</w:t>
            </w:r>
          </w:p>
        </w:tc>
        <w:tc>
          <w:tcPr>
            <w:tcW w:w="866" w:type="dxa"/>
            <w:tcBorders>
              <w:top w:val="outset" w:color="auto" w:sz="6" w:space="0"/>
              <w:left w:val="outset" w:color="auto" w:sz="6" w:space="0"/>
              <w:bottom w:val="outset" w:color="auto" w:sz="6" w:space="0"/>
              <w:right w:val="outset" w:color="auto" w:sz="6" w:space="0"/>
            </w:tcBorders>
            <w:vAlign w:val="center"/>
          </w:tcPr>
          <w:p w14:paraId="6D152F0C">
            <w:pPr>
              <w:spacing w:line="280" w:lineRule="exact"/>
              <w:jc w:val="center"/>
              <w:rPr>
                <w:rFonts w:ascii="宋体" w:hAnsi="宋体"/>
                <w:color w:val="auto"/>
                <w:highlight w:val="none"/>
              </w:rPr>
            </w:pPr>
            <w:r>
              <w:rPr>
                <w:rFonts w:hint="eastAsia" w:ascii="宋体" w:hAnsi="宋体"/>
                <w:color w:val="auto"/>
                <w:highlight w:val="none"/>
              </w:rPr>
              <w:t>分值小计</w:t>
            </w:r>
          </w:p>
        </w:tc>
      </w:tr>
      <w:tr w14:paraId="34A94F5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591" w:hRule="atLeast"/>
        </w:trPr>
        <w:tc>
          <w:tcPr>
            <w:tcW w:w="1118" w:type="dxa"/>
            <w:vMerge w:val="restart"/>
            <w:tcBorders>
              <w:left w:val="outset" w:color="auto" w:sz="6" w:space="0"/>
              <w:right w:val="outset" w:color="auto" w:sz="6" w:space="0"/>
            </w:tcBorders>
            <w:vAlign w:val="center"/>
          </w:tcPr>
          <w:p w14:paraId="75273A3E">
            <w:pPr>
              <w:spacing w:line="460" w:lineRule="exact"/>
              <w:jc w:val="center"/>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.企业综合实力</w:t>
            </w:r>
          </w:p>
        </w:tc>
        <w:tc>
          <w:tcPr>
            <w:tcW w:w="1010" w:type="dxa"/>
            <w:tcBorders>
              <w:top w:val="outset" w:color="auto" w:sz="6" w:space="0"/>
              <w:left w:val="outset" w:color="auto" w:sz="6" w:space="0"/>
              <w:right w:val="outset" w:color="auto" w:sz="6" w:space="0"/>
            </w:tcBorders>
            <w:vAlign w:val="center"/>
          </w:tcPr>
          <w:p w14:paraId="18381BAE">
            <w:pPr>
              <w:spacing w:line="460" w:lineRule="exact"/>
              <w:jc w:val="center"/>
              <w:rPr>
                <w:rFonts w:ascii="宋体" w:hAnsi="宋体" w:cs="宋体"/>
                <w:color w:val="auto"/>
                <w:highlight w:val="none"/>
              </w:rPr>
            </w:pPr>
            <w:r>
              <w:rPr>
                <w:rFonts w:hint="eastAsia" w:ascii="宋体" w:hAnsi="宋体" w:cs="宋体"/>
                <w:color w:val="auto"/>
                <w:highlight w:val="none"/>
              </w:rPr>
              <w:t>企业业绩</w:t>
            </w:r>
          </w:p>
        </w:tc>
        <w:tc>
          <w:tcPr>
            <w:tcW w:w="5794" w:type="dxa"/>
            <w:tcBorders>
              <w:top w:val="outset" w:color="auto" w:sz="6" w:space="0"/>
              <w:left w:val="outset" w:color="auto" w:sz="6" w:space="0"/>
              <w:right w:val="outset" w:color="auto" w:sz="6" w:space="0"/>
            </w:tcBorders>
            <w:vAlign w:val="center"/>
          </w:tcPr>
          <w:p w14:paraId="1FD413F1">
            <w:pPr>
              <w:jc w:val="left"/>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2022</w:t>
            </w:r>
            <w:r>
              <w:rPr>
                <w:rFonts w:hint="eastAsia" w:ascii="宋体" w:hAnsi="宋体" w:cs="宋体"/>
                <w:color w:val="auto"/>
                <w:highlight w:val="none"/>
              </w:rPr>
              <w:t>年以来（以合同签订时间为准）投标人承担过占补平衡</w:t>
            </w:r>
            <w:r>
              <w:rPr>
                <w:rFonts w:ascii="宋体" w:hAnsi="宋体" w:cs="宋体"/>
                <w:color w:val="auto"/>
                <w:highlight w:val="none"/>
              </w:rPr>
              <w:t>项目</w:t>
            </w:r>
            <w:r>
              <w:rPr>
                <w:rFonts w:hint="eastAsia" w:ascii="宋体" w:hAnsi="宋体" w:cs="宋体"/>
                <w:color w:val="auto"/>
                <w:highlight w:val="none"/>
              </w:rPr>
              <w:t>的，有</w:t>
            </w:r>
            <w:r>
              <w:rPr>
                <w:rFonts w:ascii="宋体" w:hAnsi="宋体" w:cs="宋体"/>
                <w:color w:val="auto"/>
                <w:highlight w:val="none"/>
              </w:rPr>
              <w:t>1</w:t>
            </w:r>
            <w:r>
              <w:rPr>
                <w:rFonts w:hint="eastAsia" w:ascii="宋体" w:hAnsi="宋体" w:cs="宋体"/>
                <w:color w:val="auto"/>
                <w:highlight w:val="none"/>
              </w:rPr>
              <w:t>个得2分</w:t>
            </w:r>
            <w:r>
              <w:rPr>
                <w:rFonts w:ascii="宋体" w:hAnsi="宋体" w:cs="宋体"/>
                <w:color w:val="auto"/>
                <w:highlight w:val="none"/>
              </w:rPr>
              <w:t>，最多得8</w:t>
            </w:r>
            <w:r>
              <w:rPr>
                <w:rFonts w:hint="eastAsia" w:ascii="宋体" w:hAnsi="宋体" w:cs="宋体"/>
                <w:color w:val="auto"/>
                <w:highlight w:val="none"/>
              </w:rPr>
              <w:t>分，没有不得分；</w:t>
            </w:r>
          </w:p>
          <w:p w14:paraId="6A5C385E">
            <w:pPr>
              <w:jc w:val="left"/>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w:t>
            </w:r>
            <w:r>
              <w:rPr>
                <w:rFonts w:ascii="宋体" w:hAnsi="宋体" w:cs="宋体"/>
                <w:color w:val="auto"/>
                <w:highlight w:val="none"/>
              </w:rPr>
              <w:t>2022</w:t>
            </w:r>
            <w:r>
              <w:rPr>
                <w:rFonts w:hint="eastAsia" w:ascii="宋体" w:hAnsi="宋体" w:cs="宋体"/>
                <w:color w:val="auto"/>
                <w:highlight w:val="none"/>
              </w:rPr>
              <w:t>年以来（以合同签订时间为准）投标人承担过违法用地</w:t>
            </w:r>
            <w:r>
              <w:rPr>
                <w:rFonts w:ascii="宋体" w:hAnsi="宋体" w:cs="宋体"/>
                <w:color w:val="auto"/>
                <w:highlight w:val="none"/>
              </w:rPr>
              <w:t>或</w:t>
            </w:r>
            <w:r>
              <w:rPr>
                <w:rFonts w:hint="eastAsia" w:ascii="宋体" w:hAnsi="宋体" w:cs="宋体"/>
                <w:color w:val="auto"/>
                <w:highlight w:val="none"/>
              </w:rPr>
              <w:t>违法</w:t>
            </w:r>
            <w:r>
              <w:rPr>
                <w:rFonts w:ascii="宋体" w:hAnsi="宋体" w:cs="宋体"/>
                <w:color w:val="auto"/>
                <w:highlight w:val="none"/>
              </w:rPr>
              <w:t>建设测量</w:t>
            </w:r>
            <w:r>
              <w:rPr>
                <w:rFonts w:hint="eastAsia" w:ascii="宋体" w:hAnsi="宋体" w:cs="宋体"/>
                <w:color w:val="auto"/>
                <w:highlight w:val="none"/>
              </w:rPr>
              <w:t>项目的，有1个得2分，最多得</w:t>
            </w:r>
            <w:r>
              <w:rPr>
                <w:rFonts w:ascii="宋体" w:hAnsi="宋体" w:cs="宋体"/>
                <w:color w:val="auto"/>
                <w:highlight w:val="none"/>
              </w:rPr>
              <w:t>4</w:t>
            </w:r>
            <w:r>
              <w:rPr>
                <w:rFonts w:hint="eastAsia" w:ascii="宋体" w:hAnsi="宋体" w:cs="宋体"/>
                <w:color w:val="auto"/>
                <w:highlight w:val="none"/>
              </w:rPr>
              <w:t>分，没有不得分；</w:t>
            </w:r>
          </w:p>
          <w:p w14:paraId="4538C11B">
            <w:pPr>
              <w:jc w:val="left"/>
              <w:rPr>
                <w:color w:val="auto"/>
                <w:highlight w:val="none"/>
              </w:rPr>
            </w:pPr>
            <w:r>
              <w:rPr>
                <w:rFonts w:hint="eastAsia"/>
                <w:color w:val="auto"/>
                <w:highlight w:val="none"/>
              </w:rPr>
              <w:t>注：投标人须在投标文件中提供以上业绩合同扫描件，转包、分包合同无效，未按要求提供证明材料的不得分。</w:t>
            </w:r>
          </w:p>
        </w:tc>
        <w:tc>
          <w:tcPr>
            <w:tcW w:w="993" w:type="dxa"/>
            <w:tcBorders>
              <w:top w:val="outset" w:color="auto" w:sz="6" w:space="0"/>
              <w:left w:val="outset" w:color="auto" w:sz="6" w:space="0"/>
              <w:right w:val="outset" w:color="auto" w:sz="6" w:space="0"/>
            </w:tcBorders>
            <w:vAlign w:val="center"/>
          </w:tcPr>
          <w:p w14:paraId="41B662A4">
            <w:pPr>
              <w:jc w:val="center"/>
              <w:rPr>
                <w:color w:val="auto"/>
                <w:highlight w:val="none"/>
              </w:rPr>
            </w:pPr>
            <w:r>
              <w:rPr>
                <w:rFonts w:hint="eastAsia" w:ascii="宋体" w:hAnsi="宋体" w:cs="宋体"/>
                <w:color w:val="auto"/>
                <w:highlight w:val="none"/>
              </w:rPr>
              <w:t>12分</w:t>
            </w:r>
          </w:p>
        </w:tc>
        <w:tc>
          <w:tcPr>
            <w:tcW w:w="866" w:type="dxa"/>
            <w:vMerge w:val="restart"/>
            <w:tcBorders>
              <w:left w:val="outset" w:color="auto" w:sz="6" w:space="0"/>
              <w:right w:val="outset" w:color="auto" w:sz="6" w:space="0"/>
            </w:tcBorders>
            <w:vAlign w:val="center"/>
          </w:tcPr>
          <w:p w14:paraId="11CCB646">
            <w:pPr>
              <w:jc w:val="center"/>
              <w:rPr>
                <w:color w:val="auto"/>
                <w:highlight w:val="none"/>
              </w:rPr>
            </w:pPr>
            <w:r>
              <w:rPr>
                <w:rFonts w:hint="eastAsia" w:ascii="宋体" w:hAnsi="宋体" w:cs="宋体"/>
                <w:color w:val="auto"/>
                <w:highlight w:val="none"/>
              </w:rPr>
              <w:t>27分</w:t>
            </w:r>
          </w:p>
        </w:tc>
      </w:tr>
      <w:tr w14:paraId="31C997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496" w:hRule="atLeast"/>
        </w:trPr>
        <w:tc>
          <w:tcPr>
            <w:tcW w:w="1118" w:type="dxa"/>
            <w:vMerge w:val="continue"/>
            <w:tcBorders>
              <w:left w:val="outset" w:color="auto" w:sz="6" w:space="0"/>
              <w:right w:val="outset" w:color="auto" w:sz="6" w:space="0"/>
            </w:tcBorders>
            <w:vAlign w:val="center"/>
          </w:tcPr>
          <w:p w14:paraId="08D83A5D">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right w:val="outset" w:color="auto" w:sz="6" w:space="0"/>
            </w:tcBorders>
            <w:vAlign w:val="center"/>
          </w:tcPr>
          <w:p w14:paraId="7CF3BCBC">
            <w:pPr>
              <w:spacing w:line="460" w:lineRule="exact"/>
              <w:jc w:val="center"/>
              <w:rPr>
                <w:rFonts w:ascii="宋体" w:hAnsi="宋体" w:cs="宋体"/>
                <w:color w:val="auto"/>
                <w:highlight w:val="none"/>
              </w:rPr>
            </w:pPr>
            <w:r>
              <w:rPr>
                <w:rFonts w:hint="eastAsia" w:ascii="宋体" w:hAnsi="宋体" w:cs="宋体"/>
                <w:color w:val="auto"/>
                <w:highlight w:val="none"/>
              </w:rPr>
              <w:t>企业实力</w:t>
            </w:r>
          </w:p>
        </w:tc>
        <w:tc>
          <w:tcPr>
            <w:tcW w:w="5794" w:type="dxa"/>
            <w:tcBorders>
              <w:top w:val="outset" w:color="auto" w:sz="6" w:space="0"/>
              <w:left w:val="outset" w:color="auto" w:sz="6" w:space="0"/>
              <w:right w:val="outset" w:color="auto" w:sz="6" w:space="0"/>
            </w:tcBorders>
            <w:vAlign w:val="center"/>
          </w:tcPr>
          <w:p w14:paraId="1A506842">
            <w:pPr>
              <w:jc w:val="left"/>
              <w:rPr>
                <w:color w:val="auto"/>
                <w:highlight w:val="none"/>
              </w:rPr>
            </w:pPr>
            <w:r>
              <w:rPr>
                <w:rFonts w:hint="eastAsia"/>
                <w:color w:val="auto"/>
                <w:highlight w:val="none"/>
              </w:rPr>
              <w:t>1.投标人具有中国国家认证认可监督管理委员会认证机构颁发的有效的质量管理体系认证证书、环境管理体系认证证书、安全管理体系认证证书，有1个得</w:t>
            </w:r>
            <w:r>
              <w:rPr>
                <w:color w:val="auto"/>
                <w:highlight w:val="none"/>
              </w:rPr>
              <w:t>1</w:t>
            </w:r>
            <w:r>
              <w:rPr>
                <w:rFonts w:hint="eastAsia"/>
                <w:color w:val="auto"/>
                <w:highlight w:val="none"/>
              </w:rPr>
              <w:t>分，最高得</w:t>
            </w:r>
            <w:r>
              <w:rPr>
                <w:color w:val="auto"/>
                <w:highlight w:val="none"/>
              </w:rPr>
              <w:t>3</w:t>
            </w:r>
            <w:r>
              <w:rPr>
                <w:rFonts w:hint="eastAsia"/>
                <w:color w:val="auto"/>
                <w:highlight w:val="none"/>
              </w:rPr>
              <w:t>分,没有不得分。</w:t>
            </w:r>
          </w:p>
          <w:p w14:paraId="1C4D4479">
            <w:pPr>
              <w:jc w:val="left"/>
              <w:rPr>
                <w:color w:val="auto"/>
                <w:highlight w:val="none"/>
              </w:rPr>
            </w:pPr>
            <w:r>
              <w:rPr>
                <w:rFonts w:hint="eastAsia"/>
                <w:color w:val="auto"/>
                <w:highlight w:val="none"/>
              </w:rPr>
              <w:t>2.</w:t>
            </w:r>
            <w:r>
              <w:rPr>
                <w:color w:val="auto"/>
                <w:highlight w:val="none"/>
              </w:rPr>
              <w:t>2022</w:t>
            </w:r>
            <w:r>
              <w:rPr>
                <w:rFonts w:hint="eastAsia"/>
                <w:color w:val="auto"/>
                <w:highlight w:val="none"/>
              </w:rPr>
              <w:t>年以来投标人承担的测绘类项目获得优秀工程（含测绘或土地学会）奖项的，有1个得</w:t>
            </w:r>
            <w:r>
              <w:rPr>
                <w:color w:val="auto"/>
                <w:highlight w:val="none"/>
              </w:rPr>
              <w:t>1</w:t>
            </w:r>
            <w:r>
              <w:rPr>
                <w:rFonts w:hint="eastAsia"/>
                <w:color w:val="auto"/>
                <w:highlight w:val="none"/>
              </w:rPr>
              <w:t>分，最多得</w:t>
            </w:r>
            <w:r>
              <w:rPr>
                <w:color w:val="auto"/>
                <w:highlight w:val="none"/>
              </w:rPr>
              <w:t>3</w:t>
            </w:r>
            <w:r>
              <w:rPr>
                <w:rFonts w:hint="eastAsia"/>
                <w:color w:val="auto"/>
                <w:highlight w:val="none"/>
              </w:rPr>
              <w:t>分,没有不得分。</w:t>
            </w:r>
          </w:p>
          <w:p w14:paraId="450D045A">
            <w:pPr>
              <w:jc w:val="left"/>
              <w:rPr>
                <w:color w:val="auto"/>
                <w:highlight w:val="none"/>
              </w:rPr>
            </w:pPr>
            <w:r>
              <w:rPr>
                <w:color w:val="auto"/>
                <w:highlight w:val="none"/>
              </w:rPr>
              <w:t>3</w:t>
            </w:r>
            <w:r>
              <w:rPr>
                <w:rFonts w:hint="eastAsia"/>
                <w:color w:val="auto"/>
                <w:highlight w:val="none"/>
              </w:rPr>
              <w:t>.投标人荣获省级主管部门颁发的质量优秀单位的得3分，没有不得分。</w:t>
            </w:r>
          </w:p>
          <w:p w14:paraId="26FAB7F6">
            <w:pPr>
              <w:jc w:val="left"/>
              <w:rPr>
                <w:color w:val="auto"/>
                <w:highlight w:val="none"/>
              </w:rPr>
            </w:pPr>
            <w:r>
              <w:rPr>
                <w:color w:val="auto"/>
                <w:highlight w:val="none"/>
              </w:rPr>
              <w:t>4.</w:t>
            </w:r>
            <w:r>
              <w:rPr>
                <w:rFonts w:hint="eastAsia"/>
                <w:color w:val="auto"/>
                <w:highlight w:val="none"/>
              </w:rPr>
              <w:t>投标人具有ITSS信息技术服务运行维护标准成熟度等级叁级及以上证书（在有效期范围内）的得</w:t>
            </w:r>
            <w:r>
              <w:rPr>
                <w:color w:val="auto"/>
                <w:highlight w:val="none"/>
              </w:rPr>
              <w:t>3</w:t>
            </w:r>
            <w:r>
              <w:rPr>
                <w:rFonts w:hint="eastAsia"/>
                <w:color w:val="auto"/>
                <w:highlight w:val="none"/>
              </w:rPr>
              <w:t>分，没有不得分。</w:t>
            </w:r>
          </w:p>
          <w:p w14:paraId="6FEBBD57">
            <w:pPr>
              <w:jc w:val="left"/>
              <w:rPr>
                <w:color w:val="auto"/>
                <w:highlight w:val="none"/>
              </w:rPr>
            </w:pPr>
            <w:r>
              <w:rPr>
                <w:rFonts w:hint="eastAsia"/>
                <w:color w:val="auto"/>
                <w:highlight w:val="none"/>
              </w:rPr>
              <w:t>5.投标</w:t>
            </w:r>
            <w:r>
              <w:rPr>
                <w:color w:val="auto"/>
                <w:highlight w:val="none"/>
              </w:rPr>
              <w:t>人具有</w:t>
            </w:r>
            <w:r>
              <w:rPr>
                <w:rFonts w:hint="eastAsia"/>
                <w:color w:val="auto"/>
                <w:highlight w:val="none"/>
              </w:rPr>
              <w:t>市场</w:t>
            </w:r>
            <w:r>
              <w:rPr>
                <w:color w:val="auto"/>
                <w:highlight w:val="none"/>
              </w:rPr>
              <w:t>监督管理</w:t>
            </w:r>
            <w:r>
              <w:rPr>
                <w:rFonts w:hint="eastAsia"/>
                <w:color w:val="auto"/>
                <w:highlight w:val="none"/>
              </w:rPr>
              <w:t>部门</w:t>
            </w:r>
            <w:r>
              <w:rPr>
                <w:color w:val="auto"/>
                <w:highlight w:val="none"/>
              </w:rPr>
              <w:t>颁发的</w:t>
            </w:r>
            <w:r>
              <w:rPr>
                <w:rFonts w:hint="eastAsia"/>
                <w:color w:val="auto"/>
                <w:highlight w:val="none"/>
              </w:rPr>
              <w:t>检验检测机构资质认定证书且附表中</w:t>
            </w:r>
            <w:r>
              <w:rPr>
                <w:color w:val="auto"/>
                <w:highlight w:val="none"/>
              </w:rPr>
              <w:t>包含</w:t>
            </w:r>
            <w:r>
              <w:rPr>
                <w:rFonts w:hint="eastAsia"/>
                <w:color w:val="auto"/>
                <w:highlight w:val="none"/>
              </w:rPr>
              <w:t>界址点平面</w:t>
            </w:r>
            <w:r>
              <w:rPr>
                <w:color w:val="auto"/>
                <w:highlight w:val="none"/>
              </w:rPr>
              <w:t>坐标和</w:t>
            </w:r>
            <w:r>
              <w:rPr>
                <w:rFonts w:hint="eastAsia"/>
                <w:color w:val="auto"/>
                <w:highlight w:val="none"/>
              </w:rPr>
              <w:t>界址点边长的得3分</w:t>
            </w:r>
            <w:r>
              <w:rPr>
                <w:color w:val="auto"/>
                <w:highlight w:val="none"/>
              </w:rPr>
              <w:t>。</w:t>
            </w:r>
            <w:r>
              <w:rPr>
                <w:rFonts w:hint="eastAsia"/>
                <w:color w:val="auto"/>
                <w:highlight w:val="none"/>
              </w:rPr>
              <w:t>没有或缺项不得分</w:t>
            </w:r>
            <w:r>
              <w:rPr>
                <w:color w:val="auto"/>
                <w:highlight w:val="none"/>
              </w:rPr>
              <w:t>。</w:t>
            </w:r>
          </w:p>
          <w:p w14:paraId="4F5AD331">
            <w:pPr>
              <w:jc w:val="left"/>
              <w:rPr>
                <w:color w:val="auto"/>
                <w:highlight w:val="none"/>
              </w:rPr>
            </w:pPr>
            <w:r>
              <w:rPr>
                <w:rFonts w:hint="eastAsia"/>
                <w:color w:val="auto"/>
                <w:highlight w:val="none"/>
              </w:rPr>
              <w:t>注：须提供相关证书或证明材料扫描件，否则对应项不得分。</w:t>
            </w:r>
          </w:p>
        </w:tc>
        <w:tc>
          <w:tcPr>
            <w:tcW w:w="993" w:type="dxa"/>
            <w:tcBorders>
              <w:top w:val="outset" w:color="auto" w:sz="6" w:space="0"/>
              <w:left w:val="outset" w:color="auto" w:sz="6" w:space="0"/>
              <w:right w:val="outset" w:color="auto" w:sz="6" w:space="0"/>
            </w:tcBorders>
            <w:vAlign w:val="center"/>
          </w:tcPr>
          <w:p w14:paraId="1AF5F9D2">
            <w:pPr>
              <w:jc w:val="center"/>
              <w:rPr>
                <w:rFonts w:ascii="宋体" w:hAnsi="宋体" w:cs="宋体"/>
                <w:color w:val="auto"/>
                <w:highlight w:val="none"/>
              </w:rPr>
            </w:pPr>
            <w:r>
              <w:rPr>
                <w:rFonts w:hint="eastAsia" w:ascii="宋体" w:hAnsi="宋体" w:cs="宋体"/>
                <w:color w:val="auto"/>
                <w:highlight w:val="none"/>
              </w:rPr>
              <w:t>15分</w:t>
            </w:r>
          </w:p>
        </w:tc>
        <w:tc>
          <w:tcPr>
            <w:tcW w:w="866" w:type="dxa"/>
            <w:vMerge w:val="continue"/>
            <w:tcBorders>
              <w:left w:val="outset" w:color="auto" w:sz="6" w:space="0"/>
              <w:right w:val="outset" w:color="auto" w:sz="6" w:space="0"/>
            </w:tcBorders>
            <w:vAlign w:val="center"/>
          </w:tcPr>
          <w:p w14:paraId="24866D43">
            <w:pPr>
              <w:jc w:val="center"/>
              <w:rPr>
                <w:rFonts w:ascii="宋体" w:hAnsi="宋体" w:cs="宋体"/>
                <w:color w:val="auto"/>
                <w:highlight w:val="none"/>
              </w:rPr>
            </w:pPr>
          </w:p>
        </w:tc>
      </w:tr>
      <w:tr w14:paraId="6B4B08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2" w:hRule="atLeast"/>
        </w:trPr>
        <w:tc>
          <w:tcPr>
            <w:tcW w:w="1118" w:type="dxa"/>
            <w:tcBorders>
              <w:top w:val="outset" w:color="auto" w:sz="6" w:space="0"/>
              <w:left w:val="outset" w:color="auto" w:sz="6" w:space="0"/>
              <w:right w:val="outset" w:color="auto" w:sz="6" w:space="0"/>
            </w:tcBorders>
            <w:vAlign w:val="center"/>
          </w:tcPr>
          <w:p w14:paraId="22EF1959">
            <w:pPr>
              <w:spacing w:line="460" w:lineRule="exact"/>
              <w:jc w:val="center"/>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.团队实力</w:t>
            </w:r>
          </w:p>
        </w:tc>
        <w:tc>
          <w:tcPr>
            <w:tcW w:w="1010" w:type="dxa"/>
            <w:tcBorders>
              <w:top w:val="outset" w:color="auto" w:sz="6" w:space="0"/>
              <w:left w:val="outset" w:color="auto" w:sz="6" w:space="0"/>
              <w:right w:val="outset" w:color="auto" w:sz="6" w:space="0"/>
            </w:tcBorders>
            <w:vAlign w:val="center"/>
          </w:tcPr>
          <w:p w14:paraId="55129ADA">
            <w:pPr>
              <w:spacing w:line="460" w:lineRule="exact"/>
              <w:jc w:val="center"/>
              <w:rPr>
                <w:rFonts w:ascii="宋体" w:hAnsi="宋体" w:cs="宋体"/>
                <w:color w:val="auto"/>
                <w:highlight w:val="none"/>
              </w:rPr>
            </w:pPr>
            <w:r>
              <w:rPr>
                <w:rFonts w:hint="eastAsia" w:ascii="宋体" w:hAnsi="宋体" w:cs="宋体"/>
                <w:color w:val="auto"/>
                <w:highlight w:val="none"/>
              </w:rPr>
              <w:t>人员配置</w:t>
            </w:r>
          </w:p>
        </w:tc>
        <w:tc>
          <w:tcPr>
            <w:tcW w:w="5794" w:type="dxa"/>
            <w:tcBorders>
              <w:top w:val="outset" w:color="auto" w:sz="6" w:space="0"/>
              <w:left w:val="outset" w:color="auto" w:sz="6" w:space="0"/>
              <w:right w:val="outset" w:color="auto" w:sz="6" w:space="0"/>
            </w:tcBorders>
            <w:vAlign w:val="center"/>
          </w:tcPr>
          <w:p w14:paraId="3808BB5B">
            <w:pPr>
              <w:jc w:val="left"/>
              <w:rPr>
                <w:rFonts w:ascii="宋体" w:hAnsi="宋体" w:cs="宋体"/>
                <w:color w:val="auto"/>
                <w:highlight w:val="none"/>
              </w:rPr>
            </w:pPr>
            <w:r>
              <w:rPr>
                <w:rFonts w:hint="eastAsia" w:ascii="宋体" w:hAnsi="宋体" w:cs="宋体"/>
                <w:color w:val="auto"/>
                <w:highlight w:val="none"/>
              </w:rPr>
              <w:t>1.项目负责人同时具有注册测绘师和测绘类高级工程师职称证书的得3分,没有不得分。</w:t>
            </w:r>
          </w:p>
          <w:p w14:paraId="3D879713">
            <w:pPr>
              <w:jc w:val="left"/>
              <w:rPr>
                <w:rFonts w:ascii="宋体" w:hAnsi="宋体" w:cs="宋体"/>
                <w:color w:val="auto"/>
                <w:highlight w:val="none"/>
              </w:rPr>
            </w:pPr>
            <w:r>
              <w:rPr>
                <w:rFonts w:hint="eastAsia" w:ascii="宋体" w:hAnsi="宋体" w:cs="宋体"/>
                <w:color w:val="auto"/>
                <w:highlight w:val="none"/>
              </w:rPr>
              <w:t>2.技术负责人同时具有注册测绘师和测绘类高级工程师职称证书的得3分,没有不得分。</w:t>
            </w:r>
          </w:p>
          <w:p w14:paraId="09259973">
            <w:pPr>
              <w:jc w:val="left"/>
              <w:rPr>
                <w:rFonts w:ascii="宋体" w:hAnsi="宋体" w:cs="宋体"/>
                <w:color w:val="auto"/>
                <w:highlight w:val="none"/>
              </w:rPr>
            </w:pPr>
            <w:r>
              <w:rPr>
                <w:rFonts w:hint="eastAsia" w:ascii="宋体" w:hAnsi="宋体" w:cs="宋体"/>
                <w:color w:val="auto"/>
                <w:highlight w:val="none"/>
              </w:rPr>
              <w:t>3.数据处理负责人同时具有人力资源和社会保障部门颁发的计算机系统分析师高级职称和测绘高级(或以上)工程师职称证书的，得3分,没有不得分。</w:t>
            </w:r>
          </w:p>
          <w:p w14:paraId="69E3328B">
            <w:pPr>
              <w:jc w:val="left"/>
              <w:rPr>
                <w:rFonts w:ascii="宋体" w:hAnsi="宋体" w:cs="宋体"/>
                <w:color w:val="auto"/>
                <w:highlight w:val="none"/>
              </w:rPr>
            </w:pPr>
            <w:r>
              <w:rPr>
                <w:rFonts w:hint="eastAsia" w:ascii="宋体" w:hAnsi="宋体" w:cs="宋体"/>
                <w:color w:val="auto"/>
                <w:highlight w:val="none"/>
              </w:rPr>
              <w:t>4.数据建库负责人同时具有人力资源和社会保障部门颁发的信息系统项目管理师高级职称和测绘中级(或以上)工程师职称证书的，得3分,没有不得分。</w:t>
            </w:r>
          </w:p>
          <w:p w14:paraId="73D5D86A">
            <w:pPr>
              <w:jc w:val="left"/>
              <w:rPr>
                <w:rFonts w:ascii="宋体" w:hAnsi="宋体" w:cs="宋体"/>
                <w:color w:val="auto"/>
                <w:highlight w:val="none"/>
              </w:rPr>
            </w:pPr>
            <w:r>
              <w:rPr>
                <w:rFonts w:hint="eastAsia" w:ascii="宋体" w:hAnsi="宋体" w:cs="宋体"/>
                <w:color w:val="auto"/>
                <w:highlight w:val="none"/>
              </w:rPr>
              <w:t>5.项目组人员中具有测绘类工程师及以上职称证书达4人的得4分，不足或没有不得分。</w:t>
            </w:r>
          </w:p>
          <w:p w14:paraId="1B7C23D3">
            <w:pPr>
              <w:jc w:val="left"/>
              <w:rPr>
                <w:color w:val="auto"/>
                <w:highlight w:val="none"/>
              </w:rPr>
            </w:pPr>
            <w:r>
              <w:rPr>
                <w:rFonts w:hint="eastAsia" w:ascii="宋体" w:hAnsi="宋体" w:cs="宋体"/>
                <w:color w:val="auto"/>
                <w:highlight w:val="none"/>
              </w:rPr>
              <w:t xml:space="preserve">6.项目组人员中具有测绘主管部门颁发的涉密测绘成果管理人员证书达2人的得4分，不足或没有不得分。   </w:t>
            </w:r>
          </w:p>
          <w:p w14:paraId="29EBCD9D">
            <w:pPr>
              <w:jc w:val="left"/>
              <w:rPr>
                <w:color w:val="auto"/>
                <w:highlight w:val="none"/>
              </w:rPr>
            </w:pPr>
            <w:r>
              <w:rPr>
                <w:rFonts w:hint="eastAsia"/>
                <w:color w:val="auto"/>
                <w:highlight w:val="none"/>
              </w:rPr>
              <w:t>注：</w:t>
            </w:r>
            <w:r>
              <w:rPr>
                <w:rFonts w:hint="eastAsia" w:ascii="宋体" w:hAnsi="宋体" w:cs="宋体"/>
                <w:color w:val="auto"/>
                <w:kern w:val="0"/>
                <w:szCs w:val="21"/>
                <w:highlight w:val="none"/>
              </w:rPr>
              <w:t>以上所有人员均不重复计分，按要求提供上述证书扫描件，未提供不得分；同时需提供投标人为上述所有人员缴纳的2025年12月份-2026年2月份中至少一个月的社保证明扫描件，否则不得分。</w:t>
            </w:r>
          </w:p>
        </w:tc>
        <w:tc>
          <w:tcPr>
            <w:tcW w:w="993" w:type="dxa"/>
            <w:tcBorders>
              <w:top w:val="outset" w:color="auto" w:sz="6" w:space="0"/>
              <w:left w:val="outset" w:color="auto" w:sz="6" w:space="0"/>
              <w:bottom w:val="outset" w:color="auto" w:sz="6" w:space="0"/>
              <w:right w:val="outset" w:color="auto" w:sz="6" w:space="0"/>
            </w:tcBorders>
            <w:vAlign w:val="center"/>
          </w:tcPr>
          <w:p w14:paraId="7C48143D">
            <w:pPr>
              <w:jc w:val="center"/>
              <w:rPr>
                <w:rFonts w:ascii="宋体" w:hAnsi="宋体" w:cs="宋体"/>
                <w:color w:val="auto"/>
                <w:highlight w:val="none"/>
              </w:rPr>
            </w:pPr>
            <w:r>
              <w:rPr>
                <w:rFonts w:hint="eastAsia" w:ascii="宋体" w:hAnsi="宋体" w:cs="宋体"/>
                <w:color w:val="auto"/>
                <w:highlight w:val="none"/>
              </w:rPr>
              <w:t>20分</w:t>
            </w:r>
          </w:p>
        </w:tc>
        <w:tc>
          <w:tcPr>
            <w:tcW w:w="866" w:type="dxa"/>
            <w:tcBorders>
              <w:top w:val="outset" w:color="auto" w:sz="6" w:space="0"/>
              <w:left w:val="outset" w:color="auto" w:sz="6" w:space="0"/>
              <w:right w:val="outset" w:color="auto" w:sz="6" w:space="0"/>
            </w:tcBorders>
            <w:vAlign w:val="center"/>
          </w:tcPr>
          <w:p w14:paraId="3760B711">
            <w:pPr>
              <w:jc w:val="center"/>
              <w:rPr>
                <w:color w:val="auto"/>
                <w:highlight w:val="none"/>
              </w:rPr>
            </w:pPr>
            <w:r>
              <w:rPr>
                <w:rFonts w:hint="eastAsia"/>
                <w:color w:val="auto"/>
                <w:highlight w:val="none"/>
              </w:rPr>
              <w:t>20分</w:t>
            </w:r>
          </w:p>
        </w:tc>
      </w:tr>
      <w:tr w14:paraId="347DE9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18" w:type="dxa"/>
            <w:vMerge w:val="restart"/>
            <w:tcBorders>
              <w:top w:val="outset" w:color="auto" w:sz="6" w:space="0"/>
              <w:left w:val="outset" w:color="auto" w:sz="6" w:space="0"/>
              <w:right w:val="outset" w:color="auto" w:sz="6" w:space="0"/>
            </w:tcBorders>
            <w:vAlign w:val="center"/>
          </w:tcPr>
          <w:p w14:paraId="12362F02">
            <w:pPr>
              <w:spacing w:line="460" w:lineRule="exact"/>
              <w:jc w:val="center"/>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.工作方案</w:t>
            </w:r>
          </w:p>
        </w:tc>
        <w:tc>
          <w:tcPr>
            <w:tcW w:w="1010" w:type="dxa"/>
            <w:tcBorders>
              <w:top w:val="outset" w:color="auto" w:sz="6" w:space="0"/>
              <w:left w:val="outset" w:color="auto" w:sz="6" w:space="0"/>
              <w:bottom w:val="outset" w:color="auto" w:sz="6" w:space="0"/>
              <w:right w:val="outset" w:color="auto" w:sz="6" w:space="0"/>
            </w:tcBorders>
            <w:vAlign w:val="center"/>
          </w:tcPr>
          <w:p w14:paraId="1A17DDED">
            <w:pPr>
              <w:spacing w:line="460" w:lineRule="exact"/>
              <w:jc w:val="center"/>
              <w:rPr>
                <w:rFonts w:ascii="宋体" w:hAnsi="宋体" w:cs="宋体"/>
                <w:color w:val="auto"/>
                <w:highlight w:val="none"/>
              </w:rPr>
            </w:pPr>
            <w:r>
              <w:rPr>
                <w:rFonts w:hint="eastAsia" w:ascii="宋体" w:hAnsi="宋体" w:cs="宋体"/>
                <w:color w:val="auto"/>
                <w:highlight w:val="none"/>
              </w:rPr>
              <w:t xml:space="preserve">方案可行性 </w:t>
            </w:r>
          </w:p>
        </w:tc>
        <w:tc>
          <w:tcPr>
            <w:tcW w:w="5794" w:type="dxa"/>
            <w:tcBorders>
              <w:top w:val="outset" w:color="auto" w:sz="6" w:space="0"/>
              <w:left w:val="outset" w:color="auto" w:sz="6" w:space="0"/>
              <w:bottom w:val="outset" w:color="auto" w:sz="6" w:space="0"/>
              <w:right w:val="outset" w:color="auto" w:sz="6" w:space="0"/>
            </w:tcBorders>
            <w:vAlign w:val="center"/>
          </w:tcPr>
          <w:p w14:paraId="70D25BDF">
            <w:pPr>
              <w:jc w:val="left"/>
              <w:rPr>
                <w:color w:val="auto"/>
                <w:highlight w:val="none"/>
              </w:rPr>
            </w:pPr>
            <w:r>
              <w:rPr>
                <w:rFonts w:hint="eastAsia" w:ascii="宋体" w:hAnsi="宋体" w:cs="宋体"/>
                <w:color w:val="auto"/>
                <w:highlight w:val="none"/>
              </w:rPr>
              <w:t xml:space="preserve">方案可行性：根据采购文件及投标文件的相关内容对技术方案的完整性、周密性、思路清晰合理性、可操作性等情况由评委进行横向比较酌情打分。（方案细致全面、合理、先进、完全满足项目需求的，可操作性强得8分；方案较为完整，可操作性较强，基本满足项目需求的得5分；方案一般、可操作性一般得2分。） 没有内容不得分。  </w:t>
            </w:r>
          </w:p>
        </w:tc>
        <w:tc>
          <w:tcPr>
            <w:tcW w:w="993" w:type="dxa"/>
            <w:tcBorders>
              <w:top w:val="outset" w:color="auto" w:sz="6" w:space="0"/>
              <w:left w:val="outset" w:color="auto" w:sz="6" w:space="0"/>
              <w:bottom w:val="outset" w:color="auto" w:sz="6" w:space="0"/>
              <w:right w:val="outset" w:color="auto" w:sz="6" w:space="0"/>
            </w:tcBorders>
            <w:vAlign w:val="center"/>
          </w:tcPr>
          <w:p w14:paraId="420BE23E">
            <w:pPr>
              <w:jc w:val="center"/>
              <w:rPr>
                <w:rFonts w:ascii="宋体" w:hAnsi="宋体" w:cs="宋体"/>
                <w:color w:val="auto"/>
                <w:highlight w:val="none"/>
              </w:rPr>
            </w:pPr>
            <w:r>
              <w:rPr>
                <w:rFonts w:hint="eastAsia" w:ascii="宋体" w:hAnsi="宋体" w:cs="宋体"/>
                <w:color w:val="auto"/>
                <w:highlight w:val="none"/>
              </w:rPr>
              <w:t>8分</w:t>
            </w:r>
          </w:p>
        </w:tc>
        <w:tc>
          <w:tcPr>
            <w:tcW w:w="866" w:type="dxa"/>
            <w:vMerge w:val="restart"/>
            <w:tcBorders>
              <w:top w:val="outset" w:color="auto" w:sz="6" w:space="0"/>
              <w:left w:val="outset" w:color="auto" w:sz="6" w:space="0"/>
              <w:right w:val="outset" w:color="auto" w:sz="6" w:space="0"/>
            </w:tcBorders>
            <w:vAlign w:val="center"/>
          </w:tcPr>
          <w:p w14:paraId="61E3B728">
            <w:pPr>
              <w:jc w:val="center"/>
              <w:rPr>
                <w:color w:val="auto"/>
                <w:highlight w:val="none"/>
              </w:rPr>
            </w:pPr>
            <w:r>
              <w:rPr>
                <w:rFonts w:hint="eastAsia"/>
                <w:color w:val="auto"/>
                <w:highlight w:val="none"/>
              </w:rPr>
              <w:t>38分</w:t>
            </w:r>
          </w:p>
        </w:tc>
      </w:tr>
      <w:tr w14:paraId="3A085FE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118" w:type="dxa"/>
            <w:vMerge w:val="continue"/>
            <w:tcBorders>
              <w:left w:val="outset" w:color="auto" w:sz="6" w:space="0"/>
              <w:right w:val="outset" w:color="auto" w:sz="6" w:space="0"/>
            </w:tcBorders>
            <w:vAlign w:val="center"/>
          </w:tcPr>
          <w:p w14:paraId="36D41965">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bottom w:val="outset" w:color="auto" w:sz="6" w:space="0"/>
              <w:right w:val="outset" w:color="auto" w:sz="6" w:space="0"/>
            </w:tcBorders>
            <w:vAlign w:val="center"/>
          </w:tcPr>
          <w:p w14:paraId="4E4C0453">
            <w:pPr>
              <w:spacing w:line="460" w:lineRule="exact"/>
              <w:jc w:val="center"/>
              <w:rPr>
                <w:rFonts w:ascii="宋体" w:hAnsi="宋体" w:cs="宋体"/>
                <w:color w:val="auto"/>
                <w:highlight w:val="none"/>
              </w:rPr>
            </w:pPr>
            <w:r>
              <w:rPr>
                <w:rFonts w:hint="eastAsia" w:ascii="宋体" w:hAnsi="宋体" w:cs="宋体"/>
                <w:color w:val="auto"/>
                <w:highlight w:val="none"/>
              </w:rPr>
              <w:t>组织管理体系</w:t>
            </w:r>
          </w:p>
        </w:tc>
        <w:tc>
          <w:tcPr>
            <w:tcW w:w="5794" w:type="dxa"/>
            <w:tcBorders>
              <w:top w:val="outset" w:color="auto" w:sz="6" w:space="0"/>
              <w:left w:val="outset" w:color="auto" w:sz="6" w:space="0"/>
              <w:bottom w:val="outset" w:color="auto" w:sz="6" w:space="0"/>
              <w:right w:val="outset" w:color="auto" w:sz="6" w:space="0"/>
            </w:tcBorders>
            <w:vAlign w:val="center"/>
          </w:tcPr>
          <w:p w14:paraId="6312C7D2">
            <w:pPr>
              <w:ind w:left="105"/>
              <w:jc w:val="left"/>
              <w:rPr>
                <w:color w:val="auto"/>
                <w:highlight w:val="none"/>
              </w:rPr>
            </w:pPr>
            <w:r>
              <w:rPr>
                <w:rFonts w:hint="eastAsia"/>
                <w:color w:val="auto"/>
                <w:highlight w:val="none"/>
              </w:rPr>
              <w:t>组织管理体系：对投标人提供的项目组织管理体系的架构及项目的运作规划进行评分，全面、科学、合理等情况由评委进行横向比较酌情打分。（方案细致全面、科学、合理、完全响应项目需求的得5分；方案较为完整，基本响应需求得3分；方案一般的得1分。）</w:t>
            </w:r>
            <w:r>
              <w:rPr>
                <w:rFonts w:hint="eastAsia" w:ascii="宋体" w:hAnsi="宋体" w:cs="宋体"/>
                <w:color w:val="auto"/>
                <w:highlight w:val="none"/>
              </w:rPr>
              <w:t xml:space="preserve"> 没有内容不得分。</w:t>
            </w:r>
          </w:p>
        </w:tc>
        <w:tc>
          <w:tcPr>
            <w:tcW w:w="993" w:type="dxa"/>
            <w:tcBorders>
              <w:top w:val="outset" w:color="auto" w:sz="6" w:space="0"/>
              <w:left w:val="outset" w:color="auto" w:sz="6" w:space="0"/>
              <w:bottom w:val="outset" w:color="auto" w:sz="6" w:space="0"/>
              <w:right w:val="outset" w:color="auto" w:sz="6" w:space="0"/>
            </w:tcBorders>
            <w:vAlign w:val="center"/>
          </w:tcPr>
          <w:p w14:paraId="4A253633">
            <w:pPr>
              <w:jc w:val="center"/>
              <w:rPr>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vAlign w:val="center"/>
          </w:tcPr>
          <w:p w14:paraId="36DA6DAB">
            <w:pPr>
              <w:jc w:val="center"/>
              <w:rPr>
                <w:color w:val="auto"/>
                <w:highlight w:val="none"/>
              </w:rPr>
            </w:pPr>
          </w:p>
        </w:tc>
      </w:tr>
      <w:tr w14:paraId="507B37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18" w:type="dxa"/>
            <w:vMerge w:val="continue"/>
            <w:tcBorders>
              <w:left w:val="outset" w:color="auto" w:sz="6" w:space="0"/>
              <w:right w:val="outset" w:color="auto" w:sz="6" w:space="0"/>
            </w:tcBorders>
            <w:vAlign w:val="center"/>
          </w:tcPr>
          <w:p w14:paraId="56C736FB">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right w:val="outset" w:color="auto" w:sz="6" w:space="0"/>
            </w:tcBorders>
            <w:vAlign w:val="center"/>
          </w:tcPr>
          <w:p w14:paraId="00294C99">
            <w:pPr>
              <w:spacing w:line="460" w:lineRule="exact"/>
              <w:jc w:val="center"/>
              <w:rPr>
                <w:rFonts w:ascii="宋体" w:hAnsi="宋体" w:cs="宋体"/>
                <w:color w:val="auto"/>
                <w:highlight w:val="none"/>
              </w:rPr>
            </w:pPr>
            <w:r>
              <w:rPr>
                <w:rFonts w:hint="eastAsia" w:ascii="宋体" w:hAnsi="宋体" w:cs="宋体"/>
                <w:color w:val="auto"/>
                <w:highlight w:val="none"/>
              </w:rPr>
              <w:t>质量保证措施</w:t>
            </w:r>
          </w:p>
        </w:tc>
        <w:tc>
          <w:tcPr>
            <w:tcW w:w="5794" w:type="dxa"/>
            <w:tcBorders>
              <w:top w:val="outset" w:color="auto" w:sz="6" w:space="0"/>
              <w:left w:val="outset" w:color="auto" w:sz="6" w:space="0"/>
              <w:bottom w:val="outset" w:color="auto" w:sz="6" w:space="0"/>
              <w:right w:val="outset" w:color="auto" w:sz="6" w:space="0"/>
            </w:tcBorders>
            <w:vAlign w:val="center"/>
          </w:tcPr>
          <w:p w14:paraId="2693E64B">
            <w:pPr>
              <w:jc w:val="left"/>
              <w:rPr>
                <w:color w:val="auto"/>
                <w:highlight w:val="none"/>
              </w:rPr>
            </w:pPr>
            <w:r>
              <w:rPr>
                <w:rFonts w:hint="eastAsia"/>
                <w:color w:val="auto"/>
                <w:highlight w:val="none"/>
              </w:rPr>
              <w:t>质量保证措施：对投标人提供的质量保证措施进行评分，质量保证措施全面、具体、安全、合理、切实可行等情况由评委进行横向比较酌情打分。（方案细致全面、安全、合理、完全响应需求，切实可行的得5分；方案较为完整，较可行，基本响应需求得3分；方案一般、可行性一般得1分。）</w:t>
            </w:r>
            <w:r>
              <w:rPr>
                <w:rFonts w:hint="eastAsia" w:ascii="宋体" w:hAnsi="宋体" w:cs="宋体"/>
                <w:color w:val="auto"/>
                <w:highlight w:val="none"/>
              </w:rPr>
              <w:t xml:space="preserve"> 没有内容不得分。</w:t>
            </w:r>
          </w:p>
        </w:tc>
        <w:tc>
          <w:tcPr>
            <w:tcW w:w="993" w:type="dxa"/>
            <w:tcBorders>
              <w:top w:val="outset" w:color="auto" w:sz="6" w:space="0"/>
              <w:left w:val="outset" w:color="auto" w:sz="6" w:space="0"/>
              <w:bottom w:val="outset" w:color="auto" w:sz="6" w:space="0"/>
              <w:right w:val="outset" w:color="auto" w:sz="6" w:space="0"/>
            </w:tcBorders>
            <w:vAlign w:val="center"/>
          </w:tcPr>
          <w:p w14:paraId="534710F0">
            <w:pPr>
              <w:jc w:val="center"/>
              <w:rPr>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tcPr>
          <w:p w14:paraId="31182C84">
            <w:pPr>
              <w:jc w:val="center"/>
              <w:rPr>
                <w:color w:val="auto"/>
                <w:highlight w:val="none"/>
              </w:rPr>
            </w:pPr>
          </w:p>
        </w:tc>
      </w:tr>
      <w:tr w14:paraId="2E9142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118" w:type="dxa"/>
            <w:vMerge w:val="continue"/>
            <w:tcBorders>
              <w:left w:val="outset" w:color="auto" w:sz="6" w:space="0"/>
              <w:right w:val="outset" w:color="auto" w:sz="6" w:space="0"/>
            </w:tcBorders>
            <w:vAlign w:val="center"/>
          </w:tcPr>
          <w:p w14:paraId="46FB4D38">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bottom w:val="outset" w:color="auto" w:sz="6" w:space="0"/>
              <w:right w:val="outset" w:color="auto" w:sz="6" w:space="0"/>
            </w:tcBorders>
            <w:vAlign w:val="center"/>
          </w:tcPr>
          <w:p w14:paraId="556DCF11">
            <w:pPr>
              <w:spacing w:line="460" w:lineRule="exact"/>
              <w:jc w:val="center"/>
              <w:rPr>
                <w:rFonts w:ascii="宋体" w:hAnsi="宋体" w:cs="宋体"/>
                <w:color w:val="auto"/>
                <w:highlight w:val="none"/>
              </w:rPr>
            </w:pPr>
            <w:r>
              <w:rPr>
                <w:rFonts w:hint="eastAsia" w:ascii="宋体" w:hAnsi="宋体" w:cs="宋体"/>
                <w:color w:val="auto"/>
                <w:highlight w:val="none"/>
              </w:rPr>
              <w:t>进度保障措施</w:t>
            </w:r>
          </w:p>
        </w:tc>
        <w:tc>
          <w:tcPr>
            <w:tcW w:w="5794" w:type="dxa"/>
            <w:tcBorders>
              <w:top w:val="outset" w:color="auto" w:sz="6" w:space="0"/>
              <w:left w:val="outset" w:color="auto" w:sz="6" w:space="0"/>
              <w:bottom w:val="outset" w:color="auto" w:sz="6" w:space="0"/>
              <w:right w:val="outset" w:color="auto" w:sz="6" w:space="0"/>
            </w:tcBorders>
            <w:vAlign w:val="center"/>
          </w:tcPr>
          <w:p w14:paraId="289EF942">
            <w:pPr>
              <w:jc w:val="left"/>
              <w:rPr>
                <w:color w:val="auto"/>
                <w:highlight w:val="none"/>
              </w:rPr>
            </w:pPr>
            <w:r>
              <w:rPr>
                <w:color w:val="auto"/>
                <w:highlight w:val="none"/>
              </w:rPr>
              <w:t>进度保障措施：对投标人提供的项目进度安排及进度保障措施进行评分，项目进度安排及保障措施科学合理情况由评委进行横向比较酌情打分。（方案全面、合理、科学、完全响应需求，技术可行性强的得5分</w:t>
            </w:r>
            <w:r>
              <w:rPr>
                <w:rFonts w:hint="eastAsia"/>
                <w:color w:val="auto"/>
                <w:highlight w:val="none"/>
              </w:rPr>
              <w:t>；</w:t>
            </w:r>
            <w:r>
              <w:rPr>
                <w:color w:val="auto"/>
                <w:highlight w:val="none"/>
              </w:rPr>
              <w:t>方案较为完整，技术可行性</w:t>
            </w:r>
            <w:r>
              <w:rPr>
                <w:rFonts w:hint="eastAsia"/>
                <w:color w:val="auto"/>
                <w:highlight w:val="none"/>
              </w:rPr>
              <w:t>较</w:t>
            </w:r>
            <w:r>
              <w:rPr>
                <w:color w:val="auto"/>
                <w:highlight w:val="none"/>
              </w:rPr>
              <w:t>强</w:t>
            </w:r>
            <w:r>
              <w:rPr>
                <w:rFonts w:hint="eastAsia"/>
                <w:color w:val="auto"/>
                <w:highlight w:val="none"/>
              </w:rPr>
              <w:t>，</w:t>
            </w:r>
            <w:r>
              <w:rPr>
                <w:color w:val="auto"/>
                <w:highlight w:val="none"/>
              </w:rPr>
              <w:t>基本响应需求得3分</w:t>
            </w:r>
            <w:r>
              <w:rPr>
                <w:rFonts w:hint="eastAsia"/>
                <w:color w:val="auto"/>
                <w:highlight w:val="none"/>
              </w:rPr>
              <w:t>；</w:t>
            </w:r>
            <w:r>
              <w:rPr>
                <w:color w:val="auto"/>
                <w:highlight w:val="none"/>
              </w:rPr>
              <w:t>方案一般、</w:t>
            </w:r>
            <w:r>
              <w:rPr>
                <w:rFonts w:hint="eastAsia"/>
                <w:color w:val="auto"/>
                <w:highlight w:val="none"/>
              </w:rPr>
              <w:t>技术</w:t>
            </w:r>
            <w:r>
              <w:rPr>
                <w:color w:val="auto"/>
                <w:highlight w:val="none"/>
              </w:rPr>
              <w:t>可行性一般得1分。）</w:t>
            </w:r>
            <w:r>
              <w:rPr>
                <w:rFonts w:hint="eastAsia" w:ascii="宋体" w:hAnsi="宋体" w:cs="宋体"/>
                <w:color w:val="auto"/>
                <w:highlight w:val="none"/>
              </w:rPr>
              <w:t xml:space="preserve"> 没有内容不得分。</w:t>
            </w:r>
          </w:p>
        </w:tc>
        <w:tc>
          <w:tcPr>
            <w:tcW w:w="993" w:type="dxa"/>
            <w:tcBorders>
              <w:top w:val="outset" w:color="auto" w:sz="6" w:space="0"/>
              <w:left w:val="outset" w:color="auto" w:sz="6" w:space="0"/>
              <w:bottom w:val="outset" w:color="auto" w:sz="6" w:space="0"/>
              <w:right w:val="outset" w:color="auto" w:sz="6" w:space="0"/>
            </w:tcBorders>
            <w:vAlign w:val="center"/>
          </w:tcPr>
          <w:p w14:paraId="514D788F">
            <w:pPr>
              <w:jc w:val="center"/>
              <w:rPr>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tcPr>
          <w:p w14:paraId="0824C31A">
            <w:pPr>
              <w:jc w:val="center"/>
              <w:rPr>
                <w:color w:val="auto"/>
                <w:highlight w:val="none"/>
              </w:rPr>
            </w:pPr>
          </w:p>
        </w:tc>
      </w:tr>
      <w:tr w14:paraId="2B0A50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31" w:hRule="atLeast"/>
        </w:trPr>
        <w:tc>
          <w:tcPr>
            <w:tcW w:w="1118" w:type="dxa"/>
            <w:vMerge w:val="continue"/>
            <w:tcBorders>
              <w:left w:val="outset" w:color="auto" w:sz="6" w:space="0"/>
              <w:right w:val="outset" w:color="auto" w:sz="6" w:space="0"/>
            </w:tcBorders>
            <w:vAlign w:val="center"/>
          </w:tcPr>
          <w:p w14:paraId="48968E83">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bottom w:val="outset" w:color="auto" w:sz="6" w:space="0"/>
              <w:right w:val="outset" w:color="auto" w:sz="6" w:space="0"/>
            </w:tcBorders>
            <w:vAlign w:val="center"/>
          </w:tcPr>
          <w:p w14:paraId="2658798F">
            <w:pPr>
              <w:spacing w:line="460" w:lineRule="exact"/>
              <w:jc w:val="center"/>
              <w:rPr>
                <w:rFonts w:ascii="宋体" w:hAnsi="宋体" w:cs="宋体"/>
                <w:color w:val="auto"/>
                <w:highlight w:val="none"/>
              </w:rPr>
            </w:pPr>
            <w:r>
              <w:rPr>
                <w:rFonts w:hint="eastAsia" w:ascii="宋体" w:hAnsi="宋体" w:cs="宋体"/>
                <w:color w:val="auto"/>
                <w:highlight w:val="none"/>
              </w:rPr>
              <w:t>售后服务措施</w:t>
            </w:r>
          </w:p>
        </w:tc>
        <w:tc>
          <w:tcPr>
            <w:tcW w:w="5794" w:type="dxa"/>
            <w:tcBorders>
              <w:top w:val="outset" w:color="auto" w:sz="6" w:space="0"/>
              <w:left w:val="outset" w:color="auto" w:sz="6" w:space="0"/>
              <w:bottom w:val="outset" w:color="auto" w:sz="6" w:space="0"/>
              <w:right w:val="outset" w:color="auto" w:sz="6" w:space="0"/>
            </w:tcBorders>
            <w:vAlign w:val="center"/>
          </w:tcPr>
          <w:p w14:paraId="0DB616FA">
            <w:pPr>
              <w:jc w:val="left"/>
              <w:rPr>
                <w:color w:val="auto"/>
                <w:highlight w:val="none"/>
              </w:rPr>
            </w:pPr>
            <w:r>
              <w:rPr>
                <w:rFonts w:hint="eastAsia"/>
                <w:color w:val="auto"/>
                <w:highlight w:val="none"/>
              </w:rPr>
              <w:t xml:space="preserve">售后服务措施：对投标人提供的售后服务承诺进行评分，售后服务承诺细致，售后服务体系完备，响应时间迅速情况由评委进行横向比较酌情打分。（方案细致全面、合理、完全响应需求，可行性强的得5分；方案较为完整，可行性较强，基本响应需求得3分；方案一般、可行性一般得1分。） </w:t>
            </w:r>
            <w:r>
              <w:rPr>
                <w:rFonts w:hint="eastAsia" w:ascii="宋体" w:hAnsi="宋体" w:cs="宋体"/>
                <w:color w:val="auto"/>
                <w:highlight w:val="none"/>
              </w:rPr>
              <w:t xml:space="preserve"> 没有内容不得分。</w:t>
            </w:r>
            <w:r>
              <w:rPr>
                <w:rFonts w:hint="eastAsia"/>
                <w:color w:val="auto"/>
                <w:highlight w:val="none"/>
              </w:rPr>
              <w:t xml:space="preserve">  </w:t>
            </w:r>
          </w:p>
        </w:tc>
        <w:tc>
          <w:tcPr>
            <w:tcW w:w="993" w:type="dxa"/>
            <w:tcBorders>
              <w:top w:val="outset" w:color="auto" w:sz="6" w:space="0"/>
              <w:left w:val="outset" w:color="auto" w:sz="6" w:space="0"/>
              <w:bottom w:val="outset" w:color="auto" w:sz="6" w:space="0"/>
              <w:right w:val="outset" w:color="auto" w:sz="6" w:space="0"/>
            </w:tcBorders>
            <w:vAlign w:val="center"/>
          </w:tcPr>
          <w:p w14:paraId="7C6F8604">
            <w:pPr>
              <w:jc w:val="center"/>
              <w:rPr>
                <w:rFonts w:ascii="宋体" w:hAnsi="宋体" w:cs="宋体"/>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tcPr>
          <w:p w14:paraId="07850ADA">
            <w:pPr>
              <w:jc w:val="center"/>
              <w:rPr>
                <w:color w:val="auto"/>
                <w:highlight w:val="none"/>
              </w:rPr>
            </w:pPr>
          </w:p>
        </w:tc>
      </w:tr>
      <w:tr w14:paraId="7A3F15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31" w:hRule="atLeast"/>
        </w:trPr>
        <w:tc>
          <w:tcPr>
            <w:tcW w:w="1118" w:type="dxa"/>
            <w:vMerge w:val="continue"/>
            <w:tcBorders>
              <w:left w:val="outset" w:color="auto" w:sz="6" w:space="0"/>
              <w:right w:val="outset" w:color="auto" w:sz="6" w:space="0"/>
            </w:tcBorders>
            <w:vAlign w:val="center"/>
          </w:tcPr>
          <w:p w14:paraId="0E0F5F6C">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bottom w:val="outset" w:color="auto" w:sz="6" w:space="0"/>
              <w:right w:val="outset" w:color="auto" w:sz="6" w:space="0"/>
            </w:tcBorders>
            <w:vAlign w:val="center"/>
          </w:tcPr>
          <w:p w14:paraId="083C85E2">
            <w:pPr>
              <w:spacing w:line="460" w:lineRule="exact"/>
              <w:jc w:val="center"/>
              <w:rPr>
                <w:rFonts w:ascii="宋体" w:hAnsi="宋体" w:cs="宋体"/>
                <w:color w:val="auto"/>
                <w:highlight w:val="none"/>
              </w:rPr>
            </w:pPr>
            <w:r>
              <w:rPr>
                <w:rFonts w:hint="eastAsia" w:ascii="宋体" w:hAnsi="宋体" w:cs="宋体"/>
                <w:color w:val="auto"/>
                <w:highlight w:val="none"/>
              </w:rPr>
              <w:t>安全保密措施</w:t>
            </w:r>
          </w:p>
        </w:tc>
        <w:tc>
          <w:tcPr>
            <w:tcW w:w="5794" w:type="dxa"/>
            <w:tcBorders>
              <w:top w:val="outset" w:color="auto" w:sz="6" w:space="0"/>
              <w:left w:val="outset" w:color="auto" w:sz="6" w:space="0"/>
              <w:bottom w:val="outset" w:color="auto" w:sz="6" w:space="0"/>
              <w:right w:val="outset" w:color="auto" w:sz="6" w:space="0"/>
            </w:tcBorders>
            <w:vAlign w:val="center"/>
          </w:tcPr>
          <w:p w14:paraId="1953ACCF">
            <w:pPr>
              <w:jc w:val="left"/>
              <w:rPr>
                <w:color w:val="auto"/>
                <w:highlight w:val="none"/>
              </w:rPr>
            </w:pPr>
            <w:r>
              <w:rPr>
                <w:rFonts w:hint="eastAsia"/>
                <w:color w:val="auto"/>
                <w:highlight w:val="none"/>
              </w:rPr>
              <w:t>安全保密措施：对投标人安全保密工作是否有专人管理，安全措施是否得当，是否具有涉密管理人员等情况由评委进行横向比较酌情打分。（方案细致全面、安排得当、完全响应需求的得5分；方案较为完整，基本响应需求得3分；方案一般得1分。）</w:t>
            </w:r>
            <w:r>
              <w:rPr>
                <w:rFonts w:hint="eastAsia" w:ascii="宋体" w:hAnsi="宋体" w:cs="宋体"/>
                <w:color w:val="auto"/>
                <w:highlight w:val="none"/>
              </w:rPr>
              <w:t xml:space="preserve"> 没有内容不得分。</w:t>
            </w:r>
          </w:p>
        </w:tc>
        <w:tc>
          <w:tcPr>
            <w:tcW w:w="993" w:type="dxa"/>
            <w:tcBorders>
              <w:top w:val="outset" w:color="auto" w:sz="6" w:space="0"/>
              <w:left w:val="outset" w:color="auto" w:sz="6" w:space="0"/>
              <w:bottom w:val="outset" w:color="auto" w:sz="6" w:space="0"/>
              <w:right w:val="outset" w:color="auto" w:sz="6" w:space="0"/>
            </w:tcBorders>
            <w:vAlign w:val="center"/>
          </w:tcPr>
          <w:p w14:paraId="49DD1FE3">
            <w:pPr>
              <w:jc w:val="center"/>
              <w:rPr>
                <w:rFonts w:ascii="宋体" w:hAnsi="宋体" w:cs="宋体"/>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tcPr>
          <w:p w14:paraId="5A64EB3B">
            <w:pPr>
              <w:jc w:val="center"/>
              <w:rPr>
                <w:color w:val="auto"/>
                <w:highlight w:val="none"/>
              </w:rPr>
            </w:pPr>
          </w:p>
        </w:tc>
      </w:tr>
      <w:tr w14:paraId="251A3CB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31" w:hRule="atLeast"/>
        </w:trPr>
        <w:tc>
          <w:tcPr>
            <w:tcW w:w="1118" w:type="dxa"/>
            <w:vMerge w:val="continue"/>
            <w:tcBorders>
              <w:left w:val="outset" w:color="auto" w:sz="6" w:space="0"/>
              <w:right w:val="outset" w:color="auto" w:sz="6" w:space="0"/>
            </w:tcBorders>
            <w:vAlign w:val="center"/>
          </w:tcPr>
          <w:p w14:paraId="3B51D28D">
            <w:pPr>
              <w:spacing w:line="460" w:lineRule="exact"/>
              <w:jc w:val="center"/>
              <w:rPr>
                <w:rFonts w:ascii="宋体" w:hAnsi="宋体" w:cs="宋体"/>
                <w:color w:val="auto"/>
                <w:highlight w:val="none"/>
              </w:rPr>
            </w:pPr>
          </w:p>
        </w:tc>
        <w:tc>
          <w:tcPr>
            <w:tcW w:w="1010" w:type="dxa"/>
            <w:tcBorders>
              <w:top w:val="outset" w:color="auto" w:sz="6" w:space="0"/>
              <w:left w:val="outset" w:color="auto" w:sz="6" w:space="0"/>
              <w:bottom w:val="outset" w:color="auto" w:sz="6" w:space="0"/>
              <w:right w:val="outset" w:color="auto" w:sz="6" w:space="0"/>
            </w:tcBorders>
            <w:vAlign w:val="center"/>
          </w:tcPr>
          <w:p w14:paraId="184C6577">
            <w:pPr>
              <w:spacing w:line="460" w:lineRule="exact"/>
              <w:jc w:val="center"/>
              <w:rPr>
                <w:rFonts w:ascii="宋体" w:hAnsi="宋体" w:cs="宋体"/>
                <w:color w:val="auto"/>
                <w:highlight w:val="none"/>
              </w:rPr>
            </w:pPr>
            <w:r>
              <w:rPr>
                <w:rFonts w:hint="eastAsia" w:ascii="宋体" w:hAnsi="宋体" w:cs="宋体"/>
                <w:color w:val="auto"/>
                <w:highlight w:val="none"/>
              </w:rPr>
              <w:t>合理化建议</w:t>
            </w:r>
          </w:p>
        </w:tc>
        <w:tc>
          <w:tcPr>
            <w:tcW w:w="5794" w:type="dxa"/>
            <w:tcBorders>
              <w:top w:val="outset" w:color="auto" w:sz="6" w:space="0"/>
              <w:left w:val="outset" w:color="auto" w:sz="6" w:space="0"/>
              <w:bottom w:val="outset" w:color="auto" w:sz="6" w:space="0"/>
              <w:right w:val="outset" w:color="auto" w:sz="6" w:space="0"/>
            </w:tcBorders>
            <w:vAlign w:val="center"/>
          </w:tcPr>
          <w:p w14:paraId="2345C733">
            <w:pPr>
              <w:jc w:val="left"/>
              <w:rPr>
                <w:color w:val="auto"/>
                <w:highlight w:val="none"/>
              </w:rPr>
            </w:pPr>
            <w:r>
              <w:rPr>
                <w:rFonts w:hint="eastAsia"/>
                <w:color w:val="auto"/>
                <w:highlight w:val="none"/>
              </w:rPr>
              <w:t>合理化建议：对投标人提供的项目合理化建议进行评分，项目的重点和难点分析准确、全面，解决措施合理、先进情况由评委进行横向比较酌情打分。（建议方案细致、合理、全面，分析准确、完全响应需求的得5分；方案较细致、较合理、较全面，基本响应需求得3分；方案一般得1分）</w:t>
            </w:r>
            <w:r>
              <w:rPr>
                <w:rFonts w:hint="eastAsia" w:ascii="宋体" w:hAnsi="宋体" w:cs="宋体"/>
                <w:color w:val="auto"/>
                <w:highlight w:val="none"/>
              </w:rPr>
              <w:t>没有内容不得分。</w:t>
            </w:r>
          </w:p>
        </w:tc>
        <w:tc>
          <w:tcPr>
            <w:tcW w:w="993" w:type="dxa"/>
            <w:tcBorders>
              <w:top w:val="outset" w:color="auto" w:sz="6" w:space="0"/>
              <w:left w:val="outset" w:color="auto" w:sz="6" w:space="0"/>
              <w:bottom w:val="outset" w:color="auto" w:sz="6" w:space="0"/>
              <w:right w:val="outset" w:color="auto" w:sz="6" w:space="0"/>
            </w:tcBorders>
            <w:vAlign w:val="center"/>
          </w:tcPr>
          <w:p w14:paraId="73AC78E2">
            <w:pPr>
              <w:jc w:val="center"/>
              <w:rPr>
                <w:rFonts w:ascii="宋体" w:hAnsi="宋体" w:cs="宋体"/>
                <w:color w:val="auto"/>
                <w:highlight w:val="none"/>
              </w:rPr>
            </w:pPr>
            <w:r>
              <w:rPr>
                <w:rFonts w:hint="eastAsia" w:ascii="宋体" w:hAnsi="宋体" w:cs="宋体"/>
                <w:color w:val="auto"/>
                <w:highlight w:val="none"/>
              </w:rPr>
              <w:t>5分</w:t>
            </w:r>
          </w:p>
        </w:tc>
        <w:tc>
          <w:tcPr>
            <w:tcW w:w="866" w:type="dxa"/>
            <w:vMerge w:val="continue"/>
            <w:tcBorders>
              <w:left w:val="outset" w:color="auto" w:sz="6" w:space="0"/>
              <w:right w:val="outset" w:color="auto" w:sz="6" w:space="0"/>
            </w:tcBorders>
          </w:tcPr>
          <w:p w14:paraId="3FEA7610">
            <w:pPr>
              <w:jc w:val="center"/>
              <w:rPr>
                <w:color w:val="auto"/>
                <w:highlight w:val="none"/>
              </w:rPr>
            </w:pPr>
          </w:p>
        </w:tc>
      </w:tr>
    </w:tbl>
    <w:p w14:paraId="65ACAF3C">
      <w:pPr>
        <w:widowControl/>
        <w:spacing w:line="380" w:lineRule="exact"/>
        <w:ind w:firstLine="118" w:firstLineChars="49"/>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如为联合体</w:t>
      </w:r>
      <w:r>
        <w:rPr>
          <w:rFonts w:ascii="宋体" w:hAnsi="宋体" w:cs="宋体"/>
          <w:b/>
          <w:color w:val="auto"/>
          <w:kern w:val="0"/>
          <w:sz w:val="24"/>
          <w:szCs w:val="24"/>
          <w:highlight w:val="none"/>
        </w:rPr>
        <w:t>投标，则只</w:t>
      </w:r>
      <w:r>
        <w:rPr>
          <w:rFonts w:hint="eastAsia" w:ascii="宋体" w:hAnsi="宋体" w:cs="宋体"/>
          <w:b/>
          <w:color w:val="auto"/>
          <w:kern w:val="0"/>
          <w:sz w:val="24"/>
          <w:szCs w:val="24"/>
          <w:highlight w:val="none"/>
        </w:rPr>
        <w:t>接受</w:t>
      </w:r>
      <w:r>
        <w:rPr>
          <w:rFonts w:ascii="宋体" w:hAnsi="宋体" w:cs="宋体"/>
          <w:b/>
          <w:color w:val="auto"/>
          <w:kern w:val="0"/>
          <w:sz w:val="24"/>
          <w:szCs w:val="24"/>
          <w:highlight w:val="none"/>
        </w:rPr>
        <w:t>以</w:t>
      </w:r>
      <w:r>
        <w:rPr>
          <w:rFonts w:hint="eastAsia" w:ascii="宋体" w:hAnsi="宋体" w:cs="宋体"/>
          <w:b/>
          <w:color w:val="auto"/>
          <w:kern w:val="0"/>
          <w:sz w:val="24"/>
          <w:szCs w:val="24"/>
          <w:highlight w:val="none"/>
        </w:rPr>
        <w:t>联合体</w:t>
      </w:r>
      <w:r>
        <w:rPr>
          <w:rFonts w:ascii="宋体" w:hAnsi="宋体" w:cs="宋体"/>
          <w:b/>
          <w:color w:val="auto"/>
          <w:kern w:val="0"/>
          <w:sz w:val="24"/>
          <w:szCs w:val="24"/>
          <w:highlight w:val="none"/>
        </w:rPr>
        <w:t>牵头单位提供的评分资料作为评分依据</w:t>
      </w:r>
      <w:r>
        <w:rPr>
          <w:rFonts w:hint="eastAsia" w:ascii="宋体" w:hAnsi="宋体" w:cs="宋体"/>
          <w:b/>
          <w:color w:val="auto"/>
          <w:kern w:val="0"/>
          <w:sz w:val="24"/>
          <w:szCs w:val="24"/>
          <w:highlight w:val="none"/>
        </w:rPr>
        <w:t>。</w:t>
      </w:r>
    </w:p>
    <w:p w14:paraId="3BCBD62F">
      <w:pPr>
        <w:widowControl/>
        <w:spacing w:line="380" w:lineRule="exact"/>
        <w:ind w:firstLine="118" w:firstLineChars="49"/>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注：</w:t>
      </w:r>
    </w:p>
    <w:p w14:paraId="694E790A">
      <w:pPr>
        <w:widowControl/>
        <w:numPr>
          <w:ilvl w:val="0"/>
          <w:numId w:val="5"/>
        </w:numPr>
        <w:spacing w:line="380" w:lineRule="exact"/>
        <w:ind w:firstLine="482" w:firstLineChars="200"/>
        <w:jc w:val="left"/>
        <w:rPr>
          <w:rFonts w:ascii="宋体" w:hAnsi="宋体" w:cs="宋体"/>
          <w:b/>
          <w:color w:val="auto"/>
          <w:kern w:val="0"/>
          <w:sz w:val="24"/>
          <w:szCs w:val="24"/>
          <w:highlight w:val="none"/>
        </w:rPr>
      </w:pPr>
      <w:r>
        <w:rPr>
          <w:rFonts w:ascii="宋体" w:hAnsi="宋体" w:cs="宋体"/>
          <w:b/>
          <w:color w:val="auto"/>
          <w:kern w:val="0"/>
          <w:sz w:val="24"/>
          <w:szCs w:val="24"/>
          <w:highlight w:val="none"/>
        </w:rPr>
        <w:t>请</w:t>
      </w:r>
      <w:r>
        <w:rPr>
          <w:rFonts w:hint="eastAsia" w:ascii="宋体" w:hAnsi="宋体" w:cs="宋体"/>
          <w:b/>
          <w:color w:val="auto"/>
          <w:kern w:val="0"/>
          <w:sz w:val="24"/>
          <w:szCs w:val="24"/>
          <w:highlight w:val="none"/>
        </w:rPr>
        <w:t>各供应商</w:t>
      </w:r>
      <w:r>
        <w:rPr>
          <w:rFonts w:ascii="宋体" w:hAnsi="宋体" w:cs="宋体"/>
          <w:b/>
          <w:color w:val="auto"/>
          <w:kern w:val="0"/>
          <w:sz w:val="24"/>
          <w:szCs w:val="24"/>
          <w:highlight w:val="none"/>
        </w:rPr>
        <w:t>按照以下文件的要求格式、内容，顺序制作投标文件，并请编制目录及页码，</w:t>
      </w:r>
      <w:r>
        <w:rPr>
          <w:rFonts w:hint="eastAsia" w:ascii="宋体" w:hAnsi="宋体" w:cs="宋体"/>
          <w:b/>
          <w:color w:val="auto"/>
          <w:kern w:val="0"/>
          <w:sz w:val="24"/>
          <w:szCs w:val="24"/>
          <w:highlight w:val="none"/>
        </w:rPr>
        <w:t>以最大限度的避免造成评委误判或漏判。</w:t>
      </w:r>
    </w:p>
    <w:p w14:paraId="31AA3EB8">
      <w:pPr>
        <w:widowControl/>
        <w:numPr>
          <w:ilvl w:val="0"/>
          <w:numId w:val="5"/>
        </w:numPr>
        <w:spacing w:line="380" w:lineRule="exact"/>
        <w:ind w:firstLine="482" w:firstLineChars="200"/>
        <w:jc w:val="left"/>
        <w:rPr>
          <w:rFonts w:ascii="宋体" w:hAnsi="宋体" w:cs="宋体"/>
          <w:b/>
          <w:color w:val="auto"/>
          <w:kern w:val="0"/>
          <w:sz w:val="28"/>
          <w:szCs w:val="28"/>
          <w:highlight w:val="none"/>
        </w:rPr>
      </w:pPr>
      <w:r>
        <w:rPr>
          <w:rFonts w:hint="eastAsia" w:ascii="宋体" w:hAnsi="宋体" w:cs="宋体"/>
          <w:b/>
          <w:color w:val="auto"/>
          <w:kern w:val="0"/>
          <w:sz w:val="24"/>
          <w:szCs w:val="24"/>
          <w:highlight w:val="none"/>
        </w:rPr>
        <w:t xml:space="preserve">投标文件评分标准中未提供涉及的证书证明等资料复印件加盖投标人公章的，相应条款不得分；  </w:t>
      </w:r>
      <w:r>
        <w:rPr>
          <w:rFonts w:hint="eastAsia" w:ascii="宋体" w:hAnsi="宋体" w:cs="宋体"/>
          <w:b/>
          <w:color w:val="auto"/>
          <w:kern w:val="0"/>
          <w:sz w:val="28"/>
          <w:szCs w:val="28"/>
          <w:highlight w:val="none"/>
        </w:rPr>
        <w:t xml:space="preserve"> </w:t>
      </w:r>
    </w:p>
    <w:p w14:paraId="17428058">
      <w:pPr>
        <w:snapToGrid w:val="0"/>
        <w:spacing w:line="440" w:lineRule="exact"/>
        <w:ind w:firstLine="281" w:firstLineChars="100"/>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15</w:t>
      </w:r>
      <w:r>
        <w:rPr>
          <w:rFonts w:ascii="Times New Roman" w:hAnsi="Times New Roman"/>
          <w:b/>
          <w:color w:val="auto"/>
          <w:kern w:val="0"/>
          <w:sz w:val="28"/>
          <w:szCs w:val="28"/>
          <w:highlight w:val="none"/>
        </w:rPr>
        <w:t>分</w:t>
      </w:r>
    </w:p>
    <w:p w14:paraId="21573A62">
      <w:pPr>
        <w:snapToGrid w:val="0"/>
        <w:spacing w:line="440" w:lineRule="exact"/>
        <w:ind w:firstLine="555"/>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3DC41CA6">
      <w:pPr>
        <w:snapToGrid w:val="0"/>
        <w:spacing w:line="440" w:lineRule="exact"/>
        <w:ind w:firstLine="555"/>
        <w:rPr>
          <w:color w:val="auto"/>
          <w:highlight w:val="none"/>
        </w:rPr>
      </w:pPr>
      <w:r>
        <w:rPr>
          <w:rFonts w:ascii="Times New Roman" w:hAnsi="Times New Roman"/>
          <w:b/>
          <w:color w:val="auto"/>
          <w:kern w:val="0"/>
          <w:sz w:val="24"/>
          <w:szCs w:val="24"/>
          <w:highlight w:val="none"/>
        </w:rPr>
        <w:t>磋商报价得分=（磋商基准价/最后磋商报价）×</w:t>
      </w:r>
      <w:r>
        <w:rPr>
          <w:rFonts w:hint="eastAsia" w:ascii="Times New Roman" w:hAnsi="Times New Roman"/>
          <w:b/>
          <w:color w:val="auto"/>
          <w:kern w:val="0"/>
          <w:sz w:val="24"/>
          <w:szCs w:val="24"/>
          <w:highlight w:val="none"/>
        </w:rPr>
        <w:t>15</w:t>
      </w:r>
    </w:p>
    <w:p w14:paraId="29C61EAF">
      <w:pPr>
        <w:snapToGrid w:val="0"/>
        <w:spacing w:line="440" w:lineRule="exact"/>
        <w:ind w:firstLine="555"/>
        <w:rPr>
          <w:rFonts w:ascii="Times New Roman" w:hAnsi="Times New Roman"/>
          <w:b/>
          <w:color w:val="auto"/>
          <w:kern w:val="0"/>
          <w:sz w:val="24"/>
          <w:szCs w:val="24"/>
          <w:highlight w:val="none"/>
        </w:rPr>
        <w:sectPr>
          <w:footerReference r:id="rId4" w:type="default"/>
          <w:pgSz w:w="11906" w:h="16839"/>
          <w:pgMar w:top="1431" w:right="1404" w:bottom="1061" w:left="1182" w:header="0" w:footer="902" w:gutter="0"/>
          <w:pgNumType w:start="1"/>
          <w:cols w:space="720" w:num="1"/>
        </w:sectPr>
      </w:pPr>
      <w:r>
        <w:rPr>
          <w:rFonts w:hint="eastAsia" w:ascii="Times New Roman" w:hAnsi="Times New Roman"/>
          <w:b/>
          <w:color w:val="auto"/>
          <w:kern w:val="0"/>
          <w:sz w:val="24"/>
          <w:szCs w:val="24"/>
          <w:highlight w:val="none"/>
        </w:rPr>
        <w:t>注：上述“最低的投标报价”必须是合理的。如果最低报价属于恶意竞争或明显低于成本价，评审专家将认定为无效投标。</w:t>
      </w:r>
    </w:p>
    <w:p w14:paraId="311223F0">
      <w:pPr>
        <w:keepNext/>
        <w:spacing w:line="400" w:lineRule="exact"/>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第六章</w:t>
      </w:r>
      <w:bookmarkEnd w:id="175"/>
      <w:bookmarkEnd w:id="176"/>
      <w:bookmarkEnd w:id="18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577EF1C8">
      <w:pPr>
        <w:rPr>
          <w:rFonts w:ascii="Times New Roman" w:hAnsi="Times New Roman"/>
          <w:color w:val="auto"/>
          <w:highlight w:val="none"/>
        </w:rPr>
      </w:pPr>
      <w:bookmarkStart w:id="181" w:name="_Hlt26955039"/>
      <w:bookmarkEnd w:id="181"/>
      <w:bookmarkStart w:id="182" w:name="_Hlt26671244"/>
      <w:bookmarkEnd w:id="182"/>
      <w:bookmarkStart w:id="183" w:name="_Toc26554094"/>
      <w:bookmarkStart w:id="184" w:name="_Toc49090576"/>
      <w:bookmarkStart w:id="185" w:name="_Toc120614282"/>
    </w:p>
    <w:p w14:paraId="537B977B">
      <w:pPr>
        <w:spacing w:line="400" w:lineRule="exact"/>
        <w:ind w:firstLine="883" w:firstLineChars="200"/>
        <w:jc w:val="center"/>
        <w:rPr>
          <w:rFonts w:ascii="Times New Roman" w:hAnsi="Times New Roman"/>
          <w:b/>
          <w:color w:val="auto"/>
          <w:sz w:val="44"/>
          <w:szCs w:val="44"/>
          <w:highlight w:val="none"/>
        </w:rPr>
      </w:pPr>
    </w:p>
    <w:p w14:paraId="7EFB875C">
      <w:pPr>
        <w:spacing w:line="400" w:lineRule="exact"/>
        <w:ind w:firstLine="883" w:firstLineChars="200"/>
        <w:jc w:val="center"/>
        <w:rPr>
          <w:rFonts w:ascii="Times New Roman" w:hAnsi="Times New Roman"/>
          <w:b/>
          <w:color w:val="auto"/>
          <w:sz w:val="44"/>
          <w:szCs w:val="44"/>
          <w:highlight w:val="none"/>
        </w:rPr>
      </w:pPr>
    </w:p>
    <w:p w14:paraId="2226010B">
      <w:pPr>
        <w:spacing w:line="400" w:lineRule="exact"/>
        <w:ind w:firstLine="723" w:firstLineChars="200"/>
        <w:jc w:val="center"/>
        <w:rPr>
          <w:rFonts w:ascii="Times New Roman" w:hAnsi="Times New Roman"/>
          <w:b/>
          <w:color w:val="auto"/>
          <w:sz w:val="36"/>
          <w:szCs w:val="36"/>
          <w:highlight w:val="none"/>
        </w:rPr>
      </w:pPr>
    </w:p>
    <w:p w14:paraId="55011709">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1D8C0D10">
      <w:pPr>
        <w:spacing w:line="400" w:lineRule="exact"/>
        <w:ind w:firstLine="1446" w:firstLineChars="200"/>
        <w:jc w:val="center"/>
        <w:rPr>
          <w:rFonts w:ascii="Times New Roman" w:hAnsi="Times New Roman"/>
          <w:b/>
          <w:color w:val="auto"/>
          <w:sz w:val="72"/>
          <w:szCs w:val="21"/>
          <w:highlight w:val="none"/>
        </w:rPr>
      </w:pPr>
    </w:p>
    <w:p w14:paraId="49C218D7">
      <w:pPr>
        <w:spacing w:line="400" w:lineRule="exact"/>
        <w:ind w:firstLine="1446" w:firstLineChars="200"/>
        <w:jc w:val="center"/>
        <w:rPr>
          <w:rFonts w:ascii="Times New Roman" w:hAnsi="Times New Roman"/>
          <w:b/>
          <w:color w:val="auto"/>
          <w:sz w:val="72"/>
          <w:szCs w:val="21"/>
          <w:highlight w:val="none"/>
        </w:rPr>
      </w:pPr>
    </w:p>
    <w:p w14:paraId="4D1B85E0">
      <w:pPr>
        <w:spacing w:line="400" w:lineRule="exact"/>
        <w:ind w:firstLine="723" w:firstLineChars="200"/>
        <w:jc w:val="center"/>
        <w:rPr>
          <w:rFonts w:ascii="Times New Roman" w:hAnsi="Times New Roman"/>
          <w:b/>
          <w:color w:val="auto"/>
          <w:sz w:val="36"/>
          <w:szCs w:val="21"/>
          <w:highlight w:val="none"/>
        </w:rPr>
      </w:pPr>
    </w:p>
    <w:p w14:paraId="688F64EF">
      <w:pPr>
        <w:spacing w:line="400" w:lineRule="exact"/>
        <w:ind w:firstLine="723" w:firstLineChars="200"/>
        <w:jc w:val="center"/>
        <w:rPr>
          <w:rFonts w:ascii="Times New Roman" w:hAnsi="Times New Roman"/>
          <w:b/>
          <w:color w:val="auto"/>
          <w:sz w:val="36"/>
          <w:szCs w:val="21"/>
          <w:highlight w:val="none"/>
        </w:rPr>
      </w:pPr>
    </w:p>
    <w:p w14:paraId="255655CC">
      <w:pPr>
        <w:spacing w:line="400" w:lineRule="exact"/>
        <w:ind w:firstLine="723" w:firstLineChars="200"/>
        <w:jc w:val="center"/>
        <w:rPr>
          <w:rFonts w:ascii="Times New Roman" w:hAnsi="Times New Roman"/>
          <w:b/>
          <w:color w:val="auto"/>
          <w:sz w:val="36"/>
          <w:szCs w:val="21"/>
          <w:highlight w:val="none"/>
        </w:rPr>
      </w:pPr>
    </w:p>
    <w:p w14:paraId="44F6439C">
      <w:pPr>
        <w:spacing w:line="400" w:lineRule="exact"/>
        <w:ind w:firstLine="723" w:firstLineChars="200"/>
        <w:jc w:val="center"/>
        <w:rPr>
          <w:rFonts w:ascii="Times New Roman" w:hAnsi="Times New Roman"/>
          <w:b/>
          <w:color w:val="auto"/>
          <w:sz w:val="36"/>
          <w:szCs w:val="21"/>
          <w:highlight w:val="none"/>
        </w:rPr>
      </w:pPr>
    </w:p>
    <w:p w14:paraId="38D554A2">
      <w:pPr>
        <w:pStyle w:val="43"/>
        <w:ind w:firstLine="723"/>
        <w:rPr>
          <w:rFonts w:ascii="Times New Roman" w:hAnsi="Times New Roman"/>
          <w:b/>
          <w:color w:val="auto"/>
          <w:sz w:val="36"/>
          <w:szCs w:val="21"/>
          <w:highlight w:val="none"/>
        </w:rPr>
      </w:pPr>
    </w:p>
    <w:p w14:paraId="7566CEF8">
      <w:pPr>
        <w:rPr>
          <w:rFonts w:ascii="Times New Roman" w:hAnsi="Times New Roman"/>
          <w:b/>
          <w:color w:val="auto"/>
          <w:sz w:val="36"/>
          <w:szCs w:val="21"/>
          <w:highlight w:val="none"/>
        </w:rPr>
      </w:pPr>
    </w:p>
    <w:p w14:paraId="23E45D1D">
      <w:pPr>
        <w:pStyle w:val="43"/>
        <w:ind w:firstLine="723"/>
        <w:rPr>
          <w:rFonts w:ascii="Times New Roman" w:hAnsi="Times New Roman"/>
          <w:b/>
          <w:color w:val="auto"/>
          <w:sz w:val="36"/>
          <w:szCs w:val="21"/>
          <w:highlight w:val="none"/>
        </w:rPr>
      </w:pPr>
    </w:p>
    <w:p w14:paraId="10FB96DD">
      <w:pPr>
        <w:rPr>
          <w:color w:val="auto"/>
          <w:highlight w:val="none"/>
        </w:rPr>
      </w:pPr>
    </w:p>
    <w:p w14:paraId="76F83531">
      <w:pPr>
        <w:rPr>
          <w:color w:val="auto"/>
          <w:highlight w:val="none"/>
        </w:rPr>
      </w:pPr>
    </w:p>
    <w:p w14:paraId="470D914B">
      <w:pPr>
        <w:rPr>
          <w:color w:val="auto"/>
          <w:highlight w:val="none"/>
        </w:rPr>
      </w:pPr>
    </w:p>
    <w:p w14:paraId="5C57749E">
      <w:pPr>
        <w:rPr>
          <w:color w:val="auto"/>
          <w:highlight w:val="none"/>
        </w:rPr>
      </w:pPr>
    </w:p>
    <w:p w14:paraId="3E12CE64">
      <w:pPr>
        <w:rPr>
          <w:color w:val="auto"/>
          <w:highlight w:val="none"/>
        </w:rPr>
      </w:pPr>
    </w:p>
    <w:p w14:paraId="375C9CDE">
      <w:pPr>
        <w:rPr>
          <w:color w:val="auto"/>
          <w:highlight w:val="none"/>
        </w:rPr>
      </w:pPr>
    </w:p>
    <w:p w14:paraId="67B77588">
      <w:pPr>
        <w:rPr>
          <w:color w:val="auto"/>
          <w:highlight w:val="none"/>
        </w:rPr>
      </w:pPr>
    </w:p>
    <w:p w14:paraId="64AD72C2">
      <w:pPr>
        <w:rPr>
          <w:color w:val="auto"/>
          <w:highlight w:val="none"/>
        </w:rPr>
      </w:pPr>
    </w:p>
    <w:p w14:paraId="1399919C">
      <w:pPr>
        <w:rPr>
          <w:color w:val="auto"/>
          <w:highlight w:val="none"/>
        </w:rPr>
      </w:pPr>
    </w:p>
    <w:p w14:paraId="044003B3">
      <w:pPr>
        <w:rPr>
          <w:color w:val="auto"/>
          <w:highlight w:val="none"/>
        </w:rPr>
      </w:pPr>
    </w:p>
    <w:p w14:paraId="71BF86BA">
      <w:pPr>
        <w:rPr>
          <w:color w:val="auto"/>
          <w:highlight w:val="none"/>
        </w:rPr>
      </w:pPr>
    </w:p>
    <w:p w14:paraId="08C771FE">
      <w:pPr>
        <w:spacing w:line="400" w:lineRule="exact"/>
        <w:ind w:firstLine="723" w:firstLineChars="200"/>
        <w:jc w:val="center"/>
        <w:rPr>
          <w:rFonts w:ascii="Times New Roman" w:hAnsi="Times New Roman"/>
          <w:b/>
          <w:color w:val="auto"/>
          <w:sz w:val="36"/>
          <w:szCs w:val="21"/>
          <w:highlight w:val="none"/>
        </w:rPr>
      </w:pPr>
    </w:p>
    <w:p w14:paraId="666B3CAE">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6CAC5D7B">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62E4658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5E90B8F6">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05773BA7">
      <w:pPr>
        <w:spacing w:line="400" w:lineRule="exact"/>
        <w:rPr>
          <w:rFonts w:ascii="Times New Roman" w:hAnsi="Times New Roman"/>
          <w:b/>
          <w:color w:val="auto"/>
          <w:sz w:val="36"/>
          <w:szCs w:val="21"/>
          <w:highlight w:val="none"/>
          <w:u w:val="single"/>
        </w:rPr>
        <w:sectPr>
          <w:pgSz w:w="11906" w:h="16839"/>
          <w:pgMar w:top="1431" w:right="1404" w:bottom="1061" w:left="1182" w:header="0" w:footer="902" w:gutter="0"/>
          <w:cols w:space="720" w:num="1"/>
        </w:sectPr>
      </w:pPr>
    </w:p>
    <w:p w14:paraId="3CD789F5">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5593C843">
      <w:pPr>
        <w:spacing w:line="400" w:lineRule="exact"/>
        <w:ind w:firstLine="643" w:firstLineChars="200"/>
        <w:jc w:val="center"/>
        <w:rPr>
          <w:rFonts w:ascii="Times New Roman" w:hAnsi="Times New Roman"/>
          <w:b/>
          <w:bCs/>
          <w:color w:val="auto"/>
          <w:sz w:val="32"/>
          <w:szCs w:val="32"/>
          <w:highlight w:val="none"/>
        </w:rPr>
      </w:pPr>
    </w:p>
    <w:p w14:paraId="3D230CC2">
      <w:pPr>
        <w:numPr>
          <w:ilvl w:val="0"/>
          <w:numId w:val="6"/>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4B7A60EF">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316809DC">
      <w:pPr>
        <w:spacing w:line="400" w:lineRule="exact"/>
        <w:ind w:left="480"/>
        <w:rPr>
          <w:rFonts w:ascii="Times New Roman" w:hAnsi="Times New Roman"/>
          <w:b/>
          <w:color w:val="auto"/>
          <w:sz w:val="24"/>
          <w:szCs w:val="21"/>
          <w:highlight w:val="none"/>
        </w:rPr>
      </w:pPr>
      <w:r>
        <w:rPr>
          <w:rFonts w:hint="eastAsia" w:ascii="Times New Roman" w:hAnsi="Times New Roman"/>
          <w:b/>
          <w:color w:val="auto"/>
          <w:sz w:val="24"/>
          <w:szCs w:val="21"/>
          <w:highlight w:val="none"/>
        </w:rPr>
        <w:t>2.分项报价表（格式见附件1）</w:t>
      </w:r>
    </w:p>
    <w:p w14:paraId="560B692F">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0761F58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1.投标人符合《政府采购法》第二十二条规定条件的声明函（</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2）</w:t>
      </w:r>
    </w:p>
    <w:p w14:paraId="5FA6854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.法定代表人身份证明（格式见附件3）</w:t>
      </w:r>
    </w:p>
    <w:p w14:paraId="2D33570F">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.法人授权书（格式见附件4）</w:t>
      </w:r>
    </w:p>
    <w:p w14:paraId="5AA1E16A">
      <w:pPr>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.磋商响应函（格式见附件5）</w:t>
      </w:r>
    </w:p>
    <w:p w14:paraId="37AC5176">
      <w:pPr>
        <w:spacing w:line="400" w:lineRule="exact"/>
        <w:ind w:firstLine="482" w:firstLineChars="200"/>
        <w:rPr>
          <w:rFonts w:ascii="宋体" w:hAnsi="宋体"/>
          <w:b/>
          <w:bCs/>
          <w:color w:val="auto"/>
          <w:sz w:val="24"/>
          <w:szCs w:val="21"/>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78429DFE">
      <w:pPr>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s="宋体"/>
          <w:b/>
          <w:color w:val="auto"/>
          <w:sz w:val="24"/>
          <w:szCs w:val="24"/>
          <w:highlight w:val="none"/>
        </w:rPr>
        <w:t xml:space="preserve">如为联合体投标，须提供联合体协议，格式自拟，相关要求须满足本项目磋商邀请中联合体投标要求； </w:t>
      </w:r>
    </w:p>
    <w:p w14:paraId="146FE48A">
      <w:pPr>
        <w:spacing w:line="500" w:lineRule="exact"/>
        <w:ind w:firstLine="480"/>
        <w:rPr>
          <w:rFonts w:ascii="宋体" w:hAnsi="宋体"/>
          <w:color w:val="auto"/>
          <w:sz w:val="24"/>
          <w:szCs w:val="21"/>
          <w:highlight w:val="none"/>
        </w:rPr>
      </w:pPr>
      <w:r>
        <w:rPr>
          <w:rFonts w:hint="eastAsia" w:ascii="宋体" w:hAnsi="宋体"/>
          <w:color w:val="auto"/>
          <w:sz w:val="24"/>
          <w:szCs w:val="24"/>
          <w:highlight w:val="none"/>
        </w:rPr>
        <w:t>7.其它需要提交的资格审查证明材料。</w:t>
      </w:r>
    </w:p>
    <w:p w14:paraId="23342A4C">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45C69861">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1.商务要求响应及偏离表（格式见附件6）</w:t>
      </w:r>
    </w:p>
    <w:p w14:paraId="2D74A9ED">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2.技术要求响应及偏离表（格式见附件7）</w:t>
      </w:r>
    </w:p>
    <w:p w14:paraId="0C694391">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3F7010F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r>
        <w:rPr>
          <w:rFonts w:hint="eastAsia" w:ascii="Times New Roman" w:hAnsi="Times New Roman"/>
          <w:color w:val="auto"/>
          <w:sz w:val="24"/>
          <w:szCs w:val="21"/>
          <w:highlight w:val="none"/>
          <w:lang w:val="zh-CN"/>
        </w:rPr>
        <w:t>。</w:t>
      </w:r>
    </w:p>
    <w:p w14:paraId="30871749">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7931FF5E">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58FF76A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1.中小企业声明函（格式见附件8）</w:t>
      </w:r>
    </w:p>
    <w:p w14:paraId="54A20B3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2.残疾人福利性单位声明函（格式见附件9）</w:t>
      </w:r>
    </w:p>
    <w:p w14:paraId="4EC804B7">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ascii="Times New Roman" w:hAnsi="Times New Roman"/>
          <w:color w:val="auto"/>
          <w:sz w:val="24"/>
          <w:szCs w:val="21"/>
          <w:highlight w:val="none"/>
        </w:rPr>
        <w:t>10</w:t>
      </w:r>
      <w:r>
        <w:rPr>
          <w:rFonts w:ascii="Times New Roman" w:hAnsi="Times New Roman"/>
          <w:color w:val="auto"/>
          <w:sz w:val="24"/>
          <w:szCs w:val="21"/>
          <w:highlight w:val="none"/>
          <w:lang w:val="zh-CN"/>
        </w:rPr>
        <w:t>）</w:t>
      </w:r>
    </w:p>
    <w:p w14:paraId="4CAE6728">
      <w:pPr>
        <w:spacing w:line="400" w:lineRule="exact"/>
        <w:ind w:firstLine="480" w:firstLineChars="200"/>
        <w:rPr>
          <w:rFonts w:ascii="Times New Roman" w:hAnsi="Times New Roman"/>
          <w:i/>
          <w:color w:val="auto"/>
          <w:sz w:val="24"/>
          <w:szCs w:val="21"/>
          <w:highlight w:val="none"/>
          <w:u w:val="single"/>
        </w:rPr>
      </w:pPr>
    </w:p>
    <w:p w14:paraId="2DFA3C97">
      <w:pPr>
        <w:spacing w:line="400" w:lineRule="exact"/>
        <w:ind w:firstLine="480" w:firstLineChars="200"/>
        <w:rPr>
          <w:rFonts w:ascii="Times New Roman" w:hAnsi="Times New Roman"/>
          <w:color w:val="auto"/>
          <w:sz w:val="24"/>
          <w:szCs w:val="21"/>
          <w:highlight w:val="none"/>
        </w:rPr>
      </w:pPr>
    </w:p>
    <w:p w14:paraId="01BA7369">
      <w:pPr>
        <w:spacing w:line="400" w:lineRule="exact"/>
        <w:ind w:firstLine="480" w:firstLineChars="200"/>
        <w:rPr>
          <w:rFonts w:ascii="Times New Roman" w:hAnsi="Times New Roman"/>
          <w:color w:val="auto"/>
          <w:sz w:val="24"/>
          <w:szCs w:val="21"/>
          <w:highlight w:val="none"/>
        </w:rPr>
      </w:pPr>
    </w:p>
    <w:p w14:paraId="07807AEC">
      <w:pPr>
        <w:spacing w:line="400" w:lineRule="exact"/>
        <w:ind w:firstLine="480" w:firstLineChars="200"/>
        <w:rPr>
          <w:rFonts w:ascii="Times New Roman" w:hAnsi="Times New Roman"/>
          <w:color w:val="auto"/>
          <w:sz w:val="24"/>
          <w:szCs w:val="21"/>
          <w:highlight w:val="none"/>
        </w:rPr>
      </w:pPr>
    </w:p>
    <w:p w14:paraId="679D80F6">
      <w:pPr>
        <w:spacing w:line="400" w:lineRule="exact"/>
        <w:ind w:firstLine="480" w:firstLineChars="200"/>
        <w:rPr>
          <w:rFonts w:ascii="Times New Roman" w:hAnsi="Times New Roman"/>
          <w:color w:val="auto"/>
          <w:sz w:val="24"/>
          <w:szCs w:val="21"/>
          <w:highlight w:val="none"/>
        </w:rPr>
      </w:pPr>
    </w:p>
    <w:p w14:paraId="21E0709B">
      <w:pPr>
        <w:spacing w:line="400" w:lineRule="exact"/>
        <w:ind w:firstLine="480" w:firstLineChars="200"/>
        <w:rPr>
          <w:rFonts w:ascii="Times New Roman" w:hAnsi="Times New Roman"/>
          <w:color w:val="auto"/>
          <w:sz w:val="24"/>
          <w:szCs w:val="21"/>
          <w:highlight w:val="none"/>
        </w:rPr>
      </w:pPr>
    </w:p>
    <w:p w14:paraId="65D1B38D">
      <w:pPr>
        <w:spacing w:line="400" w:lineRule="exact"/>
        <w:ind w:firstLine="480" w:firstLineChars="200"/>
        <w:rPr>
          <w:rFonts w:ascii="Times New Roman" w:hAnsi="Times New Roman"/>
          <w:color w:val="auto"/>
          <w:sz w:val="24"/>
          <w:szCs w:val="21"/>
          <w:highlight w:val="none"/>
        </w:rPr>
      </w:pPr>
    </w:p>
    <w:p w14:paraId="7C6C47C6">
      <w:pPr>
        <w:spacing w:line="400" w:lineRule="exact"/>
        <w:ind w:firstLine="480" w:firstLineChars="200"/>
        <w:rPr>
          <w:rFonts w:ascii="Times New Roman" w:hAnsi="Times New Roman"/>
          <w:color w:val="auto"/>
          <w:sz w:val="24"/>
          <w:szCs w:val="21"/>
          <w:highlight w:val="none"/>
        </w:rPr>
      </w:pPr>
    </w:p>
    <w:bookmarkEnd w:id="173"/>
    <w:bookmarkEnd w:id="174"/>
    <w:bookmarkEnd w:id="183"/>
    <w:bookmarkEnd w:id="184"/>
    <w:bookmarkEnd w:id="185"/>
    <w:p w14:paraId="4897A1AE">
      <w:pPr>
        <w:jc w:val="left"/>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附件1 </w:t>
      </w:r>
    </w:p>
    <w:p w14:paraId="3E56EA28">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分项报价表</w:t>
      </w:r>
    </w:p>
    <w:p w14:paraId="4034B013">
      <w:pPr>
        <w:rPr>
          <w:rFonts w:ascii="宋体" w:hAnsi="宋体" w:cs="宋体"/>
          <w:color w:val="auto"/>
          <w:sz w:val="24"/>
          <w:szCs w:val="24"/>
          <w:highlight w:val="none"/>
        </w:rPr>
      </w:pPr>
      <w:r>
        <w:rPr>
          <w:rFonts w:hint="eastAsia" w:ascii="宋体" w:hAnsi="宋体"/>
          <w:b/>
          <w:bCs/>
          <w:color w:val="auto"/>
          <w:sz w:val="24"/>
          <w:szCs w:val="24"/>
          <w:highlight w:val="none"/>
        </w:rPr>
        <w:t xml:space="preserve">项目名称：如东县2026-2027年耕地占补平衡竣工验收管理服务项目     </w:t>
      </w:r>
      <w:r>
        <w:rPr>
          <w:rFonts w:hint="eastAsia" w:ascii="宋体" w:hAnsi="宋体"/>
          <w:b/>
          <w:color w:val="auto"/>
          <w:sz w:val="24"/>
          <w:szCs w:val="24"/>
          <w:highlight w:val="none"/>
        </w:rPr>
        <w:t xml:space="preserve">     </w:t>
      </w:r>
    </w:p>
    <w:p w14:paraId="4B6363FA">
      <w:pPr>
        <w:rPr>
          <w:rFonts w:ascii="宋体" w:hAnsi="宋体"/>
          <w:b/>
          <w:bCs/>
          <w:color w:val="auto"/>
          <w:sz w:val="24"/>
          <w:szCs w:val="24"/>
          <w:highlight w:val="none"/>
        </w:rPr>
      </w:pPr>
      <w:r>
        <w:rPr>
          <w:rFonts w:hint="eastAsia" w:ascii="宋体" w:hAnsi="宋体"/>
          <w:b/>
          <w:bCs/>
          <w:color w:val="auto"/>
          <w:sz w:val="24"/>
          <w:szCs w:val="24"/>
          <w:highlight w:val="none"/>
        </w:rPr>
        <w:t>单位： 人民币  元</w:t>
      </w:r>
    </w:p>
    <w:tbl>
      <w:tblPr>
        <w:tblStyle w:val="44"/>
        <w:tblpPr w:leftFromText="180" w:rightFromText="180" w:vertAnchor="text" w:horzAnchor="margin" w:tblpY="1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391"/>
        <w:gridCol w:w="1921"/>
        <w:gridCol w:w="1883"/>
        <w:gridCol w:w="1200"/>
      </w:tblGrid>
      <w:tr w14:paraId="00F2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377A125">
            <w:pPr>
              <w:spacing w:line="496" w:lineRule="exact"/>
              <w:jc w:val="center"/>
              <w:rPr>
                <w:rFonts w:ascii="宋体" w:hAnsi="宋体"/>
                <w:color w:val="auto"/>
                <w:highlight w:val="none"/>
              </w:rPr>
            </w:pPr>
            <w:r>
              <w:rPr>
                <w:rFonts w:hint="eastAsia" w:ascii="宋体" w:hAnsi="宋体"/>
                <w:color w:val="auto"/>
                <w:highlight w:val="none"/>
              </w:rPr>
              <w:t>名称</w:t>
            </w:r>
          </w:p>
        </w:tc>
        <w:tc>
          <w:tcPr>
            <w:tcW w:w="2391" w:type="dxa"/>
          </w:tcPr>
          <w:p w14:paraId="1C730380">
            <w:pPr>
              <w:spacing w:line="496" w:lineRule="exact"/>
              <w:jc w:val="center"/>
              <w:rPr>
                <w:rFonts w:ascii="宋体" w:hAnsi="宋体"/>
                <w:color w:val="auto"/>
                <w:highlight w:val="none"/>
              </w:rPr>
            </w:pPr>
            <w:r>
              <w:rPr>
                <w:rFonts w:hint="eastAsia" w:ascii="宋体" w:hAnsi="宋体"/>
                <w:color w:val="auto"/>
                <w:highlight w:val="none"/>
              </w:rPr>
              <w:t>服务内容</w:t>
            </w:r>
          </w:p>
        </w:tc>
        <w:tc>
          <w:tcPr>
            <w:tcW w:w="1921" w:type="dxa"/>
          </w:tcPr>
          <w:p w14:paraId="4FDCDAD7">
            <w:pPr>
              <w:spacing w:line="496" w:lineRule="exact"/>
              <w:jc w:val="center"/>
              <w:rPr>
                <w:rFonts w:ascii="宋体" w:hAnsi="宋体"/>
                <w:color w:val="auto"/>
                <w:highlight w:val="none"/>
              </w:rPr>
            </w:pPr>
            <w:r>
              <w:rPr>
                <w:rFonts w:hint="eastAsia" w:ascii="宋体" w:hAnsi="宋体"/>
                <w:color w:val="auto"/>
                <w:highlight w:val="none"/>
              </w:rPr>
              <w:t>数量</w:t>
            </w:r>
          </w:p>
        </w:tc>
        <w:tc>
          <w:tcPr>
            <w:tcW w:w="1883" w:type="dxa"/>
          </w:tcPr>
          <w:p w14:paraId="05B20DB9">
            <w:pPr>
              <w:spacing w:line="496" w:lineRule="exact"/>
              <w:jc w:val="center"/>
              <w:rPr>
                <w:rFonts w:ascii="宋体" w:hAnsi="宋体"/>
                <w:color w:val="auto"/>
                <w:highlight w:val="none"/>
              </w:rPr>
            </w:pPr>
            <w:r>
              <w:rPr>
                <w:rFonts w:hint="eastAsia" w:ascii="宋体" w:hAnsi="宋体"/>
                <w:color w:val="auto"/>
                <w:highlight w:val="none"/>
              </w:rPr>
              <w:t>单价（元/地块）</w:t>
            </w:r>
          </w:p>
        </w:tc>
        <w:tc>
          <w:tcPr>
            <w:tcW w:w="1200" w:type="dxa"/>
          </w:tcPr>
          <w:p w14:paraId="32579E4C">
            <w:pPr>
              <w:spacing w:line="496" w:lineRule="exact"/>
              <w:jc w:val="center"/>
              <w:rPr>
                <w:rFonts w:ascii="宋体" w:hAnsi="宋体"/>
                <w:color w:val="auto"/>
                <w:highlight w:val="none"/>
              </w:rPr>
            </w:pPr>
            <w:r>
              <w:rPr>
                <w:rFonts w:hint="eastAsia" w:ascii="宋体" w:hAnsi="宋体"/>
                <w:color w:val="auto"/>
                <w:highlight w:val="none"/>
              </w:rPr>
              <w:t>合价（元）</w:t>
            </w:r>
          </w:p>
        </w:tc>
      </w:tr>
      <w:tr w14:paraId="6C9C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488" w:type="dxa"/>
            <w:vAlign w:val="center"/>
          </w:tcPr>
          <w:p w14:paraId="71351A83">
            <w:pPr>
              <w:jc w:val="center"/>
              <w:rPr>
                <w:rFonts w:ascii="宋体" w:hAnsi="宋体"/>
                <w:color w:val="auto"/>
                <w:highlight w:val="none"/>
              </w:rPr>
            </w:pPr>
            <w:r>
              <w:rPr>
                <w:rFonts w:hint="eastAsia" w:ascii="宋体" w:hAnsi="宋体"/>
                <w:color w:val="auto"/>
                <w:highlight w:val="none"/>
              </w:rPr>
              <w:t>如东县2026-2027年耕地占补平衡竣工验收管理服务项目</w:t>
            </w:r>
          </w:p>
        </w:tc>
        <w:tc>
          <w:tcPr>
            <w:tcW w:w="2391" w:type="dxa"/>
            <w:vAlign w:val="center"/>
          </w:tcPr>
          <w:p w14:paraId="3CBE14F2">
            <w:pPr>
              <w:spacing w:line="496" w:lineRule="exact"/>
              <w:jc w:val="center"/>
              <w:rPr>
                <w:rFonts w:ascii="宋体" w:hAnsi="宋体"/>
                <w:color w:val="auto"/>
                <w:highlight w:val="none"/>
              </w:rPr>
            </w:pPr>
            <w:r>
              <w:rPr>
                <w:rFonts w:hint="eastAsia" w:ascii="宋体" w:hAnsi="宋体"/>
                <w:color w:val="auto"/>
                <w:highlight w:val="none"/>
              </w:rPr>
              <w:t>具体详见本项目磋商文件要求</w:t>
            </w:r>
          </w:p>
        </w:tc>
        <w:tc>
          <w:tcPr>
            <w:tcW w:w="1921" w:type="dxa"/>
            <w:vAlign w:val="center"/>
          </w:tcPr>
          <w:p w14:paraId="266B001B">
            <w:pPr>
              <w:spacing w:line="496" w:lineRule="exact"/>
              <w:jc w:val="center"/>
              <w:rPr>
                <w:rFonts w:ascii="宋体" w:hAnsi="宋体"/>
                <w:color w:val="auto"/>
                <w:highlight w:val="none"/>
              </w:rPr>
            </w:pPr>
            <w:r>
              <w:rPr>
                <w:rFonts w:hint="eastAsia" w:ascii="宋体" w:hAnsi="宋体"/>
                <w:color w:val="auto"/>
                <w:highlight w:val="none"/>
              </w:rPr>
              <w:t>约6675个地块</w:t>
            </w:r>
          </w:p>
        </w:tc>
        <w:tc>
          <w:tcPr>
            <w:tcW w:w="1883" w:type="dxa"/>
          </w:tcPr>
          <w:p w14:paraId="308E5276">
            <w:pPr>
              <w:spacing w:line="240" w:lineRule="exact"/>
              <w:jc w:val="center"/>
              <w:rPr>
                <w:rFonts w:ascii="宋体" w:hAnsi="宋体"/>
                <w:color w:val="auto"/>
                <w:highlight w:val="none"/>
              </w:rPr>
            </w:pPr>
          </w:p>
          <w:p w14:paraId="3E85F870">
            <w:pPr>
              <w:spacing w:line="240" w:lineRule="exact"/>
              <w:jc w:val="center"/>
              <w:rPr>
                <w:rFonts w:ascii="宋体" w:hAnsi="宋体"/>
                <w:color w:val="auto"/>
                <w:highlight w:val="none"/>
              </w:rPr>
            </w:pPr>
          </w:p>
        </w:tc>
        <w:tc>
          <w:tcPr>
            <w:tcW w:w="1200" w:type="dxa"/>
          </w:tcPr>
          <w:p w14:paraId="3143F3D8">
            <w:pPr>
              <w:spacing w:line="240" w:lineRule="exact"/>
              <w:rPr>
                <w:rFonts w:ascii="宋体" w:hAnsi="宋体"/>
                <w:color w:val="auto"/>
                <w:highlight w:val="none"/>
              </w:rPr>
            </w:pPr>
          </w:p>
        </w:tc>
      </w:tr>
      <w:tr w14:paraId="4574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83" w:type="dxa"/>
            <w:gridSpan w:val="4"/>
          </w:tcPr>
          <w:p w14:paraId="6379AD4D">
            <w:pPr>
              <w:spacing w:line="496" w:lineRule="exact"/>
              <w:jc w:val="center"/>
              <w:rPr>
                <w:rFonts w:ascii="宋体" w:hAnsi="宋体"/>
                <w:color w:val="auto"/>
                <w:highlight w:val="none"/>
              </w:rPr>
            </w:pPr>
            <w:r>
              <w:rPr>
                <w:rFonts w:hint="eastAsia" w:ascii="宋体" w:hAnsi="宋体"/>
                <w:b/>
                <w:bCs/>
                <w:color w:val="auto"/>
                <w:highlight w:val="none"/>
              </w:rPr>
              <w:t>合计</w:t>
            </w:r>
          </w:p>
        </w:tc>
        <w:tc>
          <w:tcPr>
            <w:tcW w:w="1200" w:type="dxa"/>
          </w:tcPr>
          <w:p w14:paraId="6561052C">
            <w:pPr>
              <w:spacing w:line="496" w:lineRule="exact"/>
              <w:jc w:val="center"/>
              <w:rPr>
                <w:rFonts w:ascii="宋体" w:hAnsi="宋体"/>
                <w:color w:val="auto"/>
                <w:highlight w:val="none"/>
              </w:rPr>
            </w:pPr>
          </w:p>
        </w:tc>
      </w:tr>
    </w:tbl>
    <w:p w14:paraId="1036B5FB">
      <w:pPr>
        <w:pStyle w:val="53"/>
        <w:spacing w:before="0" w:after="0" w:line="540" w:lineRule="exact"/>
        <w:ind w:firstLine="0" w:firstLineChars="0"/>
        <w:rPr>
          <w:rFonts w:ascii="宋体" w:hAnsi="宋体"/>
          <w:color w:val="auto"/>
          <w:sz w:val="28"/>
          <w:szCs w:val="28"/>
          <w:highlight w:val="none"/>
        </w:rPr>
      </w:pPr>
      <w:r>
        <w:rPr>
          <w:rFonts w:ascii="宋体" w:hAnsi="宋体"/>
          <w:b/>
          <w:color w:val="auto"/>
          <w:sz w:val="28"/>
          <w:szCs w:val="28"/>
          <w:highlight w:val="none"/>
        </w:rPr>
        <w:t>注</w:t>
      </w:r>
      <w:r>
        <w:rPr>
          <w:rFonts w:hint="eastAsia" w:ascii="宋体" w:hAnsi="宋体"/>
          <w:b/>
          <w:color w:val="auto"/>
          <w:sz w:val="28"/>
          <w:szCs w:val="28"/>
          <w:highlight w:val="none"/>
        </w:rPr>
        <w:t>：</w:t>
      </w:r>
      <w:r>
        <w:rPr>
          <w:rFonts w:hint="eastAsia" w:ascii="宋体" w:hAnsi="宋体"/>
          <w:color w:val="auto"/>
          <w:sz w:val="24"/>
          <w:szCs w:val="24"/>
          <w:highlight w:val="none"/>
        </w:rPr>
        <w:t>1、投标报价为完成本次采购项目服务的所有费用。</w:t>
      </w:r>
    </w:p>
    <w:p w14:paraId="73DAA513">
      <w:pPr>
        <w:pStyle w:val="53"/>
        <w:numPr>
          <w:ilvl w:val="0"/>
          <w:numId w:val="7"/>
        </w:numPr>
        <w:spacing w:before="0" w:after="0" w:line="540" w:lineRule="exact"/>
        <w:ind w:firstLine="0" w:firstLineChars="0"/>
        <w:rPr>
          <w:rFonts w:ascii="宋体" w:hAnsi="宋体"/>
          <w:color w:val="auto"/>
          <w:sz w:val="28"/>
          <w:szCs w:val="28"/>
          <w:highlight w:val="none"/>
        </w:rPr>
      </w:pPr>
      <w:r>
        <w:rPr>
          <w:rFonts w:hint="eastAsia" w:ascii="宋体" w:hAnsi="宋体"/>
          <w:color w:val="auto"/>
          <w:sz w:val="24"/>
          <w:szCs w:val="24"/>
          <w:highlight w:val="none"/>
        </w:rPr>
        <w:t>如果单价和合价不符时，以单价为准；以上表中合计数量*单价=合价，合价相加=合计。</w:t>
      </w:r>
      <w:r>
        <w:rPr>
          <w:rFonts w:hint="eastAsia" w:ascii="宋体" w:hAnsi="宋体"/>
          <w:b/>
          <w:bCs/>
          <w:color w:val="auto"/>
          <w:sz w:val="24"/>
          <w:szCs w:val="24"/>
          <w:highlight w:val="none"/>
        </w:rPr>
        <w:t>最终结算金额按最终实际完成的地块数量×签订合同单价。</w:t>
      </w:r>
    </w:p>
    <w:p w14:paraId="220A1A97">
      <w:pPr>
        <w:pStyle w:val="53"/>
        <w:spacing w:before="0" w:after="0" w:line="540" w:lineRule="exact"/>
        <w:ind w:firstLine="0" w:firstLineChars="0"/>
        <w:rPr>
          <w:rFonts w:ascii="宋体" w:hAnsi="宋体"/>
          <w:b/>
          <w:color w:val="auto"/>
          <w:sz w:val="24"/>
          <w:szCs w:val="24"/>
          <w:highlight w:val="none"/>
        </w:rPr>
      </w:pPr>
      <w:r>
        <w:rPr>
          <w:rFonts w:hint="eastAsia" w:ascii="宋体" w:hAnsi="宋体"/>
          <w:b/>
          <w:color w:val="auto"/>
          <w:sz w:val="24"/>
          <w:szCs w:val="24"/>
          <w:highlight w:val="none"/>
        </w:rPr>
        <w:t>3.本报价非最后报价，磋商小组将在苏采云系统向实质性响应的供应商发布“最后报价要求函”及最后报价格式表，要求供应商在规定时间内提交最后报价。</w:t>
      </w:r>
    </w:p>
    <w:p w14:paraId="1126F2FB">
      <w:pPr>
        <w:pStyle w:val="53"/>
        <w:spacing w:before="0" w:after="0" w:line="540" w:lineRule="exact"/>
        <w:ind w:firstLine="0" w:firstLineChars="0"/>
        <w:rPr>
          <w:rFonts w:ascii="仿宋" w:hAnsi="仿宋" w:eastAsia="仿宋" w:cs="仿宋"/>
          <w:color w:val="auto"/>
          <w:sz w:val="24"/>
          <w:highlight w:val="none"/>
        </w:rPr>
      </w:pPr>
      <w:r>
        <w:rPr>
          <w:rFonts w:hint="eastAsia" w:ascii="宋体" w:hAnsi="宋体"/>
          <w:b/>
          <w:color w:val="auto"/>
          <w:sz w:val="24"/>
          <w:szCs w:val="24"/>
          <w:highlight w:val="none"/>
        </w:rPr>
        <w:t>4、磋商报价表中的“总价”金额须与分项报价表中的“合计”金额一致。否则作无效投标处理。</w:t>
      </w:r>
    </w:p>
    <w:p w14:paraId="57207AFB">
      <w:pPr>
        <w:pStyle w:val="42"/>
        <w:ind w:firstLine="480"/>
        <w:rPr>
          <w:rFonts w:ascii="仿宋" w:hAnsi="仿宋" w:eastAsia="仿宋" w:cs="仿宋"/>
          <w:color w:val="auto"/>
          <w:sz w:val="24"/>
          <w:highlight w:val="none"/>
        </w:rPr>
      </w:pPr>
    </w:p>
    <w:p w14:paraId="4B60C451">
      <w:pPr>
        <w:spacing w:line="360" w:lineRule="exact"/>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20868E0F">
      <w:pPr>
        <w:spacing w:line="360" w:lineRule="exact"/>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55517E6">
      <w:pPr>
        <w:spacing w:line="360" w:lineRule="exact"/>
        <w:ind w:firstLine="480"/>
        <w:jc w:val="center"/>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14:paraId="4259EEEB">
      <w:pPr>
        <w:pStyle w:val="53"/>
        <w:ind w:firstLine="420"/>
        <w:rPr>
          <w:color w:val="auto"/>
          <w:highlight w:val="none"/>
        </w:rPr>
      </w:pPr>
    </w:p>
    <w:p w14:paraId="3D620CF0">
      <w:pPr>
        <w:pStyle w:val="17"/>
        <w:adjustRightInd w:val="0"/>
        <w:snapToGrid w:val="0"/>
        <w:jc w:val="left"/>
        <w:rPr>
          <w:rFonts w:ascii="宋体" w:hAnsi="宋体" w:eastAsia="宋体"/>
          <w:b/>
          <w:color w:val="auto"/>
          <w:sz w:val="24"/>
          <w:szCs w:val="24"/>
          <w:highlight w:val="none"/>
        </w:rPr>
      </w:pPr>
    </w:p>
    <w:p w14:paraId="012CACEF">
      <w:pPr>
        <w:pStyle w:val="17"/>
        <w:adjustRightInd w:val="0"/>
        <w:snapToGrid w:val="0"/>
        <w:jc w:val="left"/>
        <w:rPr>
          <w:rFonts w:ascii="宋体" w:hAnsi="宋体" w:eastAsia="宋体"/>
          <w:b/>
          <w:color w:val="auto"/>
          <w:sz w:val="24"/>
          <w:szCs w:val="24"/>
          <w:highlight w:val="none"/>
        </w:rPr>
      </w:pPr>
    </w:p>
    <w:p w14:paraId="532CEA9E">
      <w:pPr>
        <w:pStyle w:val="17"/>
        <w:adjustRightInd w:val="0"/>
        <w:snapToGrid w:val="0"/>
        <w:jc w:val="left"/>
        <w:rPr>
          <w:rFonts w:ascii="宋体" w:hAnsi="宋体" w:eastAsia="宋体"/>
          <w:b/>
          <w:color w:val="auto"/>
          <w:sz w:val="24"/>
          <w:szCs w:val="24"/>
          <w:highlight w:val="none"/>
        </w:rPr>
      </w:pPr>
    </w:p>
    <w:p w14:paraId="33AD9333">
      <w:pPr>
        <w:pStyle w:val="17"/>
        <w:adjustRightInd w:val="0"/>
        <w:snapToGrid w:val="0"/>
        <w:jc w:val="left"/>
        <w:rPr>
          <w:rFonts w:ascii="宋体" w:hAnsi="宋体" w:eastAsia="宋体"/>
          <w:b/>
          <w:color w:val="auto"/>
          <w:sz w:val="24"/>
          <w:szCs w:val="24"/>
          <w:highlight w:val="none"/>
        </w:rPr>
      </w:pPr>
    </w:p>
    <w:p w14:paraId="5C9E921D">
      <w:pPr>
        <w:pStyle w:val="17"/>
        <w:adjustRightInd w:val="0"/>
        <w:snapToGrid w:val="0"/>
        <w:jc w:val="left"/>
        <w:rPr>
          <w:rFonts w:ascii="宋体" w:hAnsi="宋体" w:eastAsia="宋体"/>
          <w:b/>
          <w:color w:val="auto"/>
          <w:sz w:val="24"/>
          <w:szCs w:val="24"/>
          <w:highlight w:val="none"/>
        </w:rPr>
      </w:pPr>
    </w:p>
    <w:p w14:paraId="3E50E3EA">
      <w:pPr>
        <w:pStyle w:val="17"/>
        <w:adjustRightInd w:val="0"/>
        <w:snapToGrid w:val="0"/>
        <w:jc w:val="left"/>
        <w:rPr>
          <w:rFonts w:ascii="宋体" w:hAnsi="宋体" w:eastAsia="宋体"/>
          <w:b/>
          <w:color w:val="auto"/>
          <w:sz w:val="24"/>
          <w:szCs w:val="24"/>
          <w:highlight w:val="none"/>
        </w:rPr>
      </w:pPr>
    </w:p>
    <w:p w14:paraId="5940C10C">
      <w:pPr>
        <w:pStyle w:val="17"/>
        <w:adjustRightInd w:val="0"/>
        <w:snapToGrid w:val="0"/>
        <w:jc w:val="left"/>
        <w:rPr>
          <w:rFonts w:ascii="宋体" w:hAnsi="宋体" w:eastAsia="宋体"/>
          <w:b/>
          <w:color w:val="auto"/>
          <w:sz w:val="24"/>
          <w:szCs w:val="24"/>
          <w:highlight w:val="none"/>
        </w:rPr>
      </w:pPr>
    </w:p>
    <w:p w14:paraId="4A0AA30C">
      <w:pPr>
        <w:pStyle w:val="17"/>
        <w:adjustRightInd w:val="0"/>
        <w:snapToGrid w:val="0"/>
        <w:jc w:val="left"/>
        <w:rPr>
          <w:rFonts w:ascii="宋体" w:hAnsi="宋体" w:eastAsia="宋体"/>
          <w:b/>
          <w:color w:val="auto"/>
          <w:sz w:val="24"/>
          <w:szCs w:val="24"/>
          <w:highlight w:val="none"/>
        </w:rPr>
      </w:pPr>
    </w:p>
    <w:p w14:paraId="01F81FA9">
      <w:pPr>
        <w:pStyle w:val="17"/>
        <w:adjustRightInd w:val="0"/>
        <w:snapToGrid w:val="0"/>
        <w:jc w:val="left"/>
        <w:rPr>
          <w:rFonts w:ascii="宋体" w:hAnsi="宋体" w:eastAsia="宋体"/>
          <w:b/>
          <w:color w:val="auto"/>
          <w:sz w:val="24"/>
          <w:szCs w:val="24"/>
          <w:highlight w:val="none"/>
        </w:rPr>
      </w:pPr>
    </w:p>
    <w:p w14:paraId="360F009E">
      <w:pPr>
        <w:pStyle w:val="17"/>
        <w:adjustRightInd w:val="0"/>
        <w:snapToGrid w:val="0"/>
        <w:jc w:val="left"/>
        <w:rPr>
          <w:rFonts w:ascii="宋体" w:hAnsi="宋体" w:eastAsia="宋体"/>
          <w:b/>
          <w:color w:val="auto"/>
          <w:sz w:val="24"/>
          <w:szCs w:val="24"/>
          <w:highlight w:val="none"/>
        </w:rPr>
      </w:pPr>
    </w:p>
    <w:p w14:paraId="614F9078">
      <w:pPr>
        <w:pStyle w:val="17"/>
        <w:adjustRightInd w:val="0"/>
        <w:snapToGrid w:val="0"/>
        <w:jc w:val="left"/>
        <w:rPr>
          <w:rFonts w:ascii="宋体" w:hAnsi="宋体" w:eastAsia="宋体"/>
          <w:b/>
          <w:color w:val="auto"/>
          <w:sz w:val="24"/>
          <w:szCs w:val="24"/>
          <w:highlight w:val="none"/>
        </w:rPr>
      </w:pPr>
    </w:p>
    <w:p w14:paraId="6A53C482">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 xml:space="preserve">附件2     </w:t>
      </w:r>
    </w:p>
    <w:p w14:paraId="75FD0F5B">
      <w:pPr>
        <w:ind w:firstLine="1446" w:firstLineChars="600"/>
        <w:rPr>
          <w:rFonts w:ascii="Times New Roman" w:hAnsi="Times New Roman"/>
          <w:b/>
          <w:color w:val="auto"/>
          <w:sz w:val="24"/>
          <w:szCs w:val="24"/>
          <w:highlight w:val="none"/>
        </w:rPr>
      </w:pPr>
      <w:r>
        <w:rPr>
          <w:rFonts w:ascii="Times New Roman" w:hAnsi="Times New Roman"/>
          <w:b/>
          <w:color w:val="auto"/>
          <w:sz w:val="24"/>
          <w:szCs w:val="24"/>
          <w:highlight w:val="none"/>
        </w:rPr>
        <w:t>投标人符合《政府采购法》第二十二条规定条件的声明函</w:t>
      </w:r>
    </w:p>
    <w:p w14:paraId="27DED038">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（项目名称），_________（项目编号）投标活动。针对《中华人民共和国政府采购法》第二十二条规定做出如下声明：</w:t>
      </w:r>
    </w:p>
    <w:p w14:paraId="2080D4D2">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7EB6D60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16AD57D5">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4FC38DD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18E96F5D">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EEFDDD4">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70156F6B">
      <w:pPr>
        <w:spacing w:line="500" w:lineRule="exact"/>
        <w:ind w:firstLine="482"/>
        <w:rPr>
          <w:rFonts w:ascii="Times New Roman" w:hAnsi="Times New Roman"/>
          <w:color w:val="auto"/>
          <w:sz w:val="24"/>
          <w:highlight w:val="none"/>
        </w:rPr>
      </w:pPr>
    </w:p>
    <w:p w14:paraId="6CC64E5E">
      <w:pPr>
        <w:spacing w:line="500" w:lineRule="exact"/>
        <w:rPr>
          <w:rFonts w:ascii="Times New Roman" w:hAnsi="Times New Roman"/>
          <w:color w:val="auto"/>
          <w:sz w:val="24"/>
          <w:highlight w:val="none"/>
        </w:rPr>
      </w:pPr>
    </w:p>
    <w:p w14:paraId="6EB976BD">
      <w:pPr>
        <w:spacing w:line="500" w:lineRule="exact"/>
        <w:rPr>
          <w:rFonts w:ascii="Times New Roman" w:hAnsi="Times New Roman"/>
          <w:bCs/>
          <w:color w:val="auto"/>
          <w:sz w:val="24"/>
          <w:szCs w:val="21"/>
          <w:highlight w:val="none"/>
        </w:rPr>
      </w:pPr>
    </w:p>
    <w:p w14:paraId="30A8A911">
      <w:pPr>
        <w:spacing w:line="500" w:lineRule="exact"/>
        <w:rPr>
          <w:rFonts w:ascii="Times New Roman" w:hAnsi="Times New Roman"/>
          <w:bCs/>
          <w:color w:val="auto"/>
          <w:sz w:val="24"/>
          <w:szCs w:val="21"/>
          <w:highlight w:val="none"/>
        </w:rPr>
      </w:pPr>
    </w:p>
    <w:p w14:paraId="4F1AB1AA">
      <w:pPr>
        <w:spacing w:line="500" w:lineRule="exact"/>
        <w:rPr>
          <w:rFonts w:ascii="Times New Roman" w:hAnsi="Times New Roman"/>
          <w:bCs/>
          <w:color w:val="auto"/>
          <w:sz w:val="24"/>
          <w:szCs w:val="21"/>
          <w:highlight w:val="none"/>
        </w:rPr>
      </w:pPr>
    </w:p>
    <w:p w14:paraId="72E50F9E">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4FF57537">
      <w:pPr>
        <w:spacing w:line="460" w:lineRule="exact"/>
        <w:jc w:val="right"/>
        <w:rPr>
          <w:rFonts w:ascii="Times New Roman" w:hAnsi="Times New Roman"/>
          <w:bCs/>
          <w:color w:val="auto"/>
          <w:sz w:val="24"/>
          <w:szCs w:val="21"/>
          <w:highlight w:val="none"/>
        </w:rPr>
      </w:pPr>
    </w:p>
    <w:p w14:paraId="75EAF549">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12E07779">
      <w:pPr>
        <w:rPr>
          <w:rFonts w:ascii="Times New Roman" w:hAnsi="Times New Roman"/>
          <w:b/>
          <w:color w:val="auto"/>
          <w:sz w:val="24"/>
          <w:szCs w:val="24"/>
          <w:highlight w:val="none"/>
        </w:rPr>
      </w:pPr>
      <w:r>
        <w:rPr>
          <w:rFonts w:ascii="Times New Roman" w:hAnsi="Times New Roman" w:eastAsia="黑体"/>
          <w:i/>
          <w:color w:val="auto"/>
          <w:sz w:val="32"/>
          <w:szCs w:val="32"/>
          <w:highlight w:val="none"/>
          <w:u w:val="single"/>
        </w:rPr>
        <w:br w:type="page"/>
      </w:r>
      <w:bookmarkStart w:id="186" w:name="_Toc120614284"/>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3</w:t>
      </w:r>
    </w:p>
    <w:p w14:paraId="349E78CC">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3A3EFCD5">
      <w:pPr>
        <w:spacing w:line="480" w:lineRule="exact"/>
        <w:rPr>
          <w:rFonts w:ascii="Times New Roman" w:hAnsi="Times New Roman"/>
          <w:color w:val="auto"/>
          <w:sz w:val="24"/>
          <w:szCs w:val="24"/>
          <w:highlight w:val="none"/>
        </w:rPr>
      </w:pPr>
    </w:p>
    <w:p w14:paraId="42A148C7">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1229569A">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30401888">
      <w:pPr>
        <w:spacing w:line="480" w:lineRule="exact"/>
        <w:ind w:firstLine="480"/>
        <w:rPr>
          <w:rFonts w:ascii="Times New Roman" w:hAnsi="Times New Roman"/>
          <w:color w:val="auto"/>
          <w:sz w:val="24"/>
          <w:szCs w:val="24"/>
          <w:highlight w:val="none"/>
        </w:rPr>
      </w:pPr>
    </w:p>
    <w:p w14:paraId="0091272C">
      <w:pPr>
        <w:spacing w:before="81" w:line="222" w:lineRule="auto"/>
        <w:rPr>
          <w:rFonts w:ascii="等线" w:hAnsi="等线" w:eastAsia="等线" w:cs="等线"/>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bCs/>
          <w:color w:val="auto"/>
          <w:spacing w:val="-2"/>
          <w:sz w:val="24"/>
          <w:szCs w:val="24"/>
          <w:highlight w:val="none"/>
        </w:rPr>
        <w:t>提供法定代表人的身份证扫描件</w:t>
      </w:r>
      <w:r>
        <w:rPr>
          <w:rFonts w:hint="eastAsia" w:asciiTheme="minorEastAsia" w:hAnsiTheme="minorEastAsia" w:eastAsiaTheme="minorEastAsia" w:cstheme="minorEastAsia"/>
          <w:color w:val="auto"/>
          <w:spacing w:val="-2"/>
          <w:sz w:val="24"/>
          <w:szCs w:val="24"/>
          <w:highlight w:val="none"/>
        </w:rPr>
        <w:t>（</w:t>
      </w:r>
      <w:r>
        <w:rPr>
          <w:rFonts w:ascii="等线" w:hAnsi="等线" w:eastAsia="等线" w:cs="等线"/>
          <w:color w:val="auto"/>
          <w:spacing w:val="-2"/>
          <w:sz w:val="24"/>
          <w:szCs w:val="24"/>
          <w:highlight w:val="none"/>
        </w:rPr>
        <w:t>加盖CA电子公章）</w:t>
      </w:r>
    </w:p>
    <w:p w14:paraId="3FD5A3F6">
      <w:pPr>
        <w:spacing w:line="600" w:lineRule="exact"/>
        <w:rPr>
          <w:rFonts w:ascii="Times New Roman" w:hAnsi="Times New Roman"/>
          <w:b/>
          <w:color w:val="auto"/>
          <w:sz w:val="24"/>
          <w:szCs w:val="24"/>
          <w:highlight w:val="none"/>
        </w:rPr>
      </w:pPr>
    </w:p>
    <w:p w14:paraId="6DE7AD91">
      <w:pPr>
        <w:rPr>
          <w:rFonts w:ascii="Times New Roman" w:hAnsi="Times New Roman"/>
          <w:b/>
          <w:color w:val="auto"/>
          <w:sz w:val="24"/>
          <w:szCs w:val="21"/>
          <w:highlight w:val="none"/>
        </w:rPr>
      </w:pPr>
    </w:p>
    <w:p w14:paraId="27AC5F0E">
      <w:pPr>
        <w:jc w:val="left"/>
        <w:rPr>
          <w:rFonts w:ascii="Times New Roman" w:hAnsi="Times New Roman"/>
          <w:b/>
          <w:color w:val="auto"/>
          <w:sz w:val="24"/>
          <w:szCs w:val="21"/>
          <w:highlight w:val="none"/>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附件4</w:t>
      </w:r>
    </w:p>
    <w:p w14:paraId="7D47F711">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3175B849">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w:t>
      </w:r>
      <w:r>
        <w:rPr>
          <w:rFonts w:ascii="等线" w:hAnsi="等线" w:eastAsia="等线" w:cs="等线"/>
          <w:color w:val="auto"/>
          <w:spacing w:val="-1"/>
          <w:sz w:val="24"/>
          <w:szCs w:val="24"/>
          <w:highlight w:val="none"/>
        </w:rPr>
        <w:t>号</w:t>
      </w:r>
      <w:r>
        <w:rPr>
          <w:rFonts w:ascii="等线" w:hAnsi="等线" w:eastAsia="等线" w:cs="等线"/>
          <w:color w:val="auto"/>
          <w:spacing w:val="-1"/>
          <w:sz w:val="24"/>
          <w:szCs w:val="24"/>
          <w:highlight w:val="none"/>
          <w:u w:val="single"/>
        </w:rPr>
        <w:t>）</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3686309C">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6D575798">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1651D17">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060AF9EF">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09A36268">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7643FF0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87" w:name="_Hlt26671380"/>
      <w:bookmarkEnd w:id="187"/>
      <w:bookmarkStart w:id="188" w:name="_格式3__银行出具的资信证明"/>
      <w:bookmarkEnd w:id="188"/>
      <w:bookmarkStart w:id="189" w:name="_Hlt26955070"/>
      <w:bookmarkEnd w:id="189"/>
    </w:p>
    <w:p w14:paraId="1FA7A5BC">
      <w:pPr>
        <w:tabs>
          <w:tab w:val="left" w:pos="360"/>
        </w:tabs>
        <w:ind w:firstLine="480" w:firstLineChars="200"/>
        <w:rPr>
          <w:rFonts w:ascii="Times New Roman" w:hAnsi="Times New Roman"/>
          <w:color w:val="auto"/>
          <w:sz w:val="24"/>
          <w:szCs w:val="24"/>
          <w:highlight w:val="none"/>
          <w:u w:val="single"/>
        </w:rPr>
      </w:pPr>
    </w:p>
    <w:p w14:paraId="5C9B3735">
      <w:pPr>
        <w:rPr>
          <w:rFonts w:ascii="Times New Roman" w:hAnsi="Times New Roman"/>
          <w:i/>
          <w:color w:val="auto"/>
          <w:sz w:val="24"/>
          <w:szCs w:val="24"/>
          <w:highlight w:val="none"/>
          <w:u w:val="single"/>
        </w:rPr>
      </w:pPr>
    </w:p>
    <w:p w14:paraId="210DA499">
      <w:pPr>
        <w:rPr>
          <w:rFonts w:ascii="Times New Roman" w:hAnsi="Times New Roman"/>
          <w:color w:val="auto"/>
          <w:szCs w:val="21"/>
          <w:highlight w:val="none"/>
        </w:rPr>
      </w:pPr>
    </w:p>
    <w:p w14:paraId="6B3E773E">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19691322">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 xml:space="preserve">附件5  </w:t>
      </w:r>
    </w:p>
    <w:p w14:paraId="4323E72B">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24B583E0">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Times New Roman" w:hAnsi="Times New Roman"/>
          <w:color w:val="auto"/>
          <w:sz w:val="24"/>
          <w:szCs w:val="21"/>
          <w:highlight w:val="none"/>
          <w:u w:val="single"/>
        </w:rPr>
        <w:t>如东县自然资源和规划局</w:t>
      </w:r>
    </w:p>
    <w:p w14:paraId="77D713F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5CD55436">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707ACB1E">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51F79E39">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29E5F933">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2A048518">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31B80464">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4B05224F">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7437478D">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7C552EB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D49FCDB">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2D58E98E">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6B74E4A4">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09AD0A05">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35057BA2">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01F1D63F">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3311C03B">
      <w:pPr>
        <w:spacing w:line="560" w:lineRule="exact"/>
        <w:ind w:firstLine="240" w:firstLineChars="100"/>
        <w:jc w:val="center"/>
        <w:rPr>
          <w:rFonts w:ascii="Times New Roman" w:hAnsi="Times New Roman"/>
          <w:bCs/>
          <w:color w:val="auto"/>
          <w:sz w:val="24"/>
          <w:szCs w:val="21"/>
          <w:highlight w:val="none"/>
        </w:rPr>
      </w:pPr>
    </w:p>
    <w:p w14:paraId="271EF6E0">
      <w:pPr>
        <w:spacing w:line="560" w:lineRule="exact"/>
        <w:ind w:firstLine="240" w:firstLineChars="100"/>
        <w:jc w:val="center"/>
        <w:rPr>
          <w:rFonts w:ascii="Times New Roman" w:hAnsi="Times New Roman"/>
          <w:bCs/>
          <w:color w:val="auto"/>
          <w:sz w:val="24"/>
          <w:szCs w:val="21"/>
          <w:highlight w:val="none"/>
        </w:rPr>
      </w:pPr>
    </w:p>
    <w:p w14:paraId="30E65D1E">
      <w:pPr>
        <w:spacing w:line="560" w:lineRule="exact"/>
        <w:ind w:firstLine="240" w:firstLineChars="100"/>
        <w:jc w:val="center"/>
        <w:rPr>
          <w:rFonts w:ascii="Times New Roman" w:hAnsi="Times New Roman"/>
          <w:bCs/>
          <w:color w:val="auto"/>
          <w:sz w:val="24"/>
          <w:szCs w:val="21"/>
          <w:highlight w:val="none"/>
        </w:rPr>
      </w:pPr>
    </w:p>
    <w:p w14:paraId="1016E95C">
      <w:pPr>
        <w:spacing w:line="560" w:lineRule="exact"/>
        <w:ind w:firstLine="240" w:firstLineChars="100"/>
        <w:jc w:val="center"/>
        <w:rPr>
          <w:rFonts w:ascii="Times New Roman" w:hAnsi="Times New Roman"/>
          <w:bCs/>
          <w:color w:val="auto"/>
          <w:sz w:val="24"/>
          <w:szCs w:val="21"/>
          <w:highlight w:val="none"/>
        </w:rPr>
      </w:pPr>
    </w:p>
    <w:p w14:paraId="6D431799">
      <w:pPr>
        <w:jc w:val="center"/>
        <w:rPr>
          <w:rFonts w:ascii="Times New Roman" w:hAnsi="Times New Roman"/>
          <w:bCs/>
          <w:color w:val="auto"/>
          <w:sz w:val="24"/>
          <w:szCs w:val="21"/>
          <w:highlight w:val="none"/>
        </w:rPr>
      </w:pPr>
    </w:p>
    <w:p w14:paraId="70FB86DB">
      <w:pPr>
        <w:pStyle w:val="43"/>
        <w:rPr>
          <w:color w:val="auto"/>
          <w:highlight w:val="none"/>
        </w:rPr>
      </w:pPr>
    </w:p>
    <w:p w14:paraId="63A7757D">
      <w:pPr>
        <w:jc w:val="center"/>
        <w:rPr>
          <w:rFonts w:ascii="Times New Roman" w:hAnsi="Times New Roman"/>
          <w:bCs/>
          <w:color w:val="auto"/>
          <w:sz w:val="24"/>
          <w:szCs w:val="21"/>
          <w:highlight w:val="none"/>
        </w:rPr>
      </w:pPr>
    </w:p>
    <w:p w14:paraId="7C94B3EA">
      <w:pPr>
        <w:rPr>
          <w:rFonts w:ascii="Times New Roman" w:hAnsi="Times New Roman"/>
          <w:b/>
          <w:color w:val="auto"/>
          <w:sz w:val="24"/>
          <w:szCs w:val="21"/>
          <w:highlight w:val="none"/>
        </w:rPr>
      </w:pPr>
      <w:r>
        <w:rPr>
          <w:rFonts w:ascii="Times New Roman" w:hAnsi="Times New Roman"/>
          <w:b/>
          <w:color w:val="auto"/>
          <w:sz w:val="24"/>
          <w:szCs w:val="21"/>
          <w:highlight w:val="none"/>
        </w:rPr>
        <w:t xml:space="preserve">附件6  </w:t>
      </w:r>
    </w:p>
    <w:p w14:paraId="2D14197C">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67CB8240">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6C0F9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AA2B3F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4080399">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91C828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53DFD9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49DD7C2A">
            <w:pPr>
              <w:spacing w:line="340" w:lineRule="exact"/>
              <w:jc w:val="center"/>
              <w:rPr>
                <w:rFonts w:ascii="Times New Roman" w:hAnsi="Times New Roman"/>
                <w:color w:val="auto"/>
                <w:sz w:val="24"/>
                <w:highlight w:val="none"/>
              </w:rPr>
            </w:pPr>
          </w:p>
          <w:p w14:paraId="62E9224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0745C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2DD1CF0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3CF51D9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9C13E9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A55B1A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92B522C">
            <w:pPr>
              <w:spacing w:line="340" w:lineRule="exact"/>
              <w:jc w:val="left"/>
              <w:rPr>
                <w:rFonts w:ascii="Times New Roman" w:hAnsi="Times New Roman"/>
                <w:color w:val="auto"/>
                <w:sz w:val="24"/>
                <w:highlight w:val="none"/>
              </w:rPr>
            </w:pPr>
          </w:p>
        </w:tc>
      </w:tr>
      <w:tr w14:paraId="63C6C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0DCA7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7B848079">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D0B6C2C">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09F994D">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DF9312A">
            <w:pPr>
              <w:spacing w:line="340" w:lineRule="exact"/>
              <w:jc w:val="left"/>
              <w:rPr>
                <w:rFonts w:ascii="Times New Roman" w:hAnsi="Times New Roman"/>
                <w:color w:val="auto"/>
                <w:sz w:val="24"/>
                <w:highlight w:val="none"/>
              </w:rPr>
            </w:pPr>
          </w:p>
        </w:tc>
      </w:tr>
      <w:tr w14:paraId="774B6C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DF60876">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7707AC7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ACF4268">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4FB95521">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0E900628">
            <w:pPr>
              <w:spacing w:line="340" w:lineRule="exact"/>
              <w:jc w:val="left"/>
              <w:rPr>
                <w:rFonts w:ascii="Times New Roman" w:hAnsi="Times New Roman"/>
                <w:color w:val="auto"/>
                <w:sz w:val="24"/>
                <w:highlight w:val="none"/>
              </w:rPr>
            </w:pPr>
          </w:p>
        </w:tc>
      </w:tr>
      <w:tr w14:paraId="012D7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5173F4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0BE64BE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EC6B92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017C18B">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EF1ABBD">
            <w:pPr>
              <w:spacing w:line="340" w:lineRule="exact"/>
              <w:jc w:val="left"/>
              <w:rPr>
                <w:rFonts w:ascii="Times New Roman" w:hAnsi="Times New Roman"/>
                <w:color w:val="auto"/>
                <w:sz w:val="24"/>
                <w:highlight w:val="none"/>
              </w:rPr>
            </w:pPr>
          </w:p>
        </w:tc>
      </w:tr>
    </w:tbl>
    <w:p w14:paraId="32907C48">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00BAF473">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FE2955C">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69B9A298">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07CD1CAA">
      <w:pPr>
        <w:snapToGrid w:val="0"/>
        <w:spacing w:line="300" w:lineRule="auto"/>
        <w:contextualSpacing/>
        <w:rPr>
          <w:rFonts w:ascii="Times New Roman" w:hAnsi="Times New Roman"/>
          <w:b/>
          <w:color w:val="auto"/>
          <w:sz w:val="24"/>
          <w:szCs w:val="24"/>
          <w:highlight w:val="none"/>
        </w:rPr>
      </w:pPr>
    </w:p>
    <w:p w14:paraId="5E37525A">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0F9D299B">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77206D7E">
      <w:pPr>
        <w:snapToGrid w:val="0"/>
        <w:spacing w:line="300" w:lineRule="auto"/>
        <w:contextualSpacing/>
        <w:rPr>
          <w:rFonts w:ascii="Times New Roman" w:hAnsi="Times New Roman"/>
          <w:b/>
          <w:color w:val="auto"/>
          <w:sz w:val="24"/>
          <w:szCs w:val="24"/>
          <w:highlight w:val="none"/>
        </w:rPr>
      </w:pPr>
    </w:p>
    <w:p w14:paraId="40AB5810">
      <w:pPr>
        <w:snapToGrid w:val="0"/>
        <w:spacing w:line="300" w:lineRule="auto"/>
        <w:contextualSpacing/>
        <w:rPr>
          <w:rFonts w:ascii="Times New Roman" w:hAnsi="Times New Roman"/>
          <w:b/>
          <w:color w:val="auto"/>
          <w:sz w:val="24"/>
          <w:szCs w:val="24"/>
          <w:highlight w:val="none"/>
        </w:rPr>
      </w:pPr>
    </w:p>
    <w:p w14:paraId="15934188">
      <w:pPr>
        <w:snapToGrid w:val="0"/>
        <w:spacing w:line="300" w:lineRule="auto"/>
        <w:contextualSpacing/>
        <w:rPr>
          <w:rFonts w:ascii="Times New Roman" w:hAnsi="Times New Roman"/>
          <w:b/>
          <w:color w:val="auto"/>
          <w:sz w:val="24"/>
          <w:szCs w:val="24"/>
          <w:highlight w:val="none"/>
        </w:rPr>
      </w:pPr>
    </w:p>
    <w:p w14:paraId="74CFEF49">
      <w:pPr>
        <w:snapToGrid w:val="0"/>
        <w:spacing w:line="300" w:lineRule="auto"/>
        <w:contextualSpacing/>
        <w:rPr>
          <w:rFonts w:ascii="Times New Roman" w:hAnsi="Times New Roman"/>
          <w:b/>
          <w:color w:val="auto"/>
          <w:sz w:val="24"/>
          <w:szCs w:val="24"/>
          <w:highlight w:val="none"/>
        </w:rPr>
      </w:pPr>
    </w:p>
    <w:p w14:paraId="3B1757DF">
      <w:pPr>
        <w:snapToGrid w:val="0"/>
        <w:spacing w:line="300" w:lineRule="auto"/>
        <w:contextualSpacing/>
        <w:rPr>
          <w:rFonts w:ascii="Times New Roman" w:hAnsi="Times New Roman"/>
          <w:b/>
          <w:color w:val="auto"/>
          <w:sz w:val="24"/>
          <w:szCs w:val="24"/>
          <w:highlight w:val="none"/>
        </w:rPr>
      </w:pPr>
    </w:p>
    <w:p w14:paraId="377F0ADF">
      <w:pPr>
        <w:snapToGrid w:val="0"/>
        <w:spacing w:line="300" w:lineRule="auto"/>
        <w:contextualSpacing/>
        <w:rPr>
          <w:rFonts w:ascii="Times New Roman" w:hAnsi="Times New Roman"/>
          <w:b/>
          <w:color w:val="auto"/>
          <w:sz w:val="24"/>
          <w:szCs w:val="24"/>
          <w:highlight w:val="none"/>
        </w:rPr>
      </w:pPr>
    </w:p>
    <w:p w14:paraId="526F6CD5">
      <w:pPr>
        <w:snapToGrid w:val="0"/>
        <w:spacing w:line="300" w:lineRule="auto"/>
        <w:contextualSpacing/>
        <w:rPr>
          <w:rFonts w:ascii="Times New Roman" w:hAnsi="Times New Roman"/>
          <w:color w:val="auto"/>
          <w:sz w:val="24"/>
          <w:highlight w:val="none"/>
        </w:rPr>
      </w:pPr>
    </w:p>
    <w:p w14:paraId="1892EF04">
      <w:pPr>
        <w:pStyle w:val="43"/>
        <w:rPr>
          <w:rFonts w:ascii="Times New Roman" w:hAnsi="Times New Roman"/>
          <w:color w:val="auto"/>
          <w:highlight w:val="none"/>
        </w:rPr>
      </w:pPr>
    </w:p>
    <w:p w14:paraId="0589BDFC">
      <w:pPr>
        <w:ind w:left="480"/>
        <w:rPr>
          <w:rFonts w:ascii="Times New Roman" w:hAnsi="Times New Roman"/>
          <w:b/>
          <w:i/>
          <w:color w:val="auto"/>
          <w:sz w:val="24"/>
          <w:szCs w:val="21"/>
          <w:highlight w:val="none"/>
          <w:u w:val="single"/>
        </w:rPr>
      </w:pPr>
    </w:p>
    <w:p w14:paraId="369A510D">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附件7</w:t>
      </w:r>
    </w:p>
    <w:p w14:paraId="549ADA42">
      <w:pPr>
        <w:rPr>
          <w:rFonts w:ascii="Times New Roman" w:hAnsi="Times New Roman"/>
          <w:b/>
          <w:color w:val="auto"/>
          <w:sz w:val="24"/>
          <w:szCs w:val="21"/>
          <w:highlight w:val="none"/>
        </w:rPr>
      </w:pPr>
    </w:p>
    <w:p w14:paraId="15F6DAD7">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1908F28B">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612C9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51575A0">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2D6B5D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A8111B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A7D025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F01A77F">
            <w:pPr>
              <w:spacing w:line="340" w:lineRule="exact"/>
              <w:jc w:val="center"/>
              <w:rPr>
                <w:rFonts w:ascii="Times New Roman" w:hAnsi="Times New Roman"/>
                <w:color w:val="auto"/>
                <w:sz w:val="24"/>
                <w:highlight w:val="none"/>
              </w:rPr>
            </w:pPr>
          </w:p>
          <w:p w14:paraId="442EDCC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21851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BD71FA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2F2A56EC">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353598F5">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CDA5FC0">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29449FF">
            <w:pPr>
              <w:spacing w:line="340" w:lineRule="exact"/>
              <w:jc w:val="left"/>
              <w:rPr>
                <w:rFonts w:ascii="Times New Roman" w:hAnsi="Times New Roman"/>
                <w:color w:val="auto"/>
                <w:sz w:val="24"/>
                <w:highlight w:val="none"/>
              </w:rPr>
            </w:pPr>
          </w:p>
        </w:tc>
      </w:tr>
      <w:tr w14:paraId="51D73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BEAC1E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0F8BC2F0">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1958259">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3304740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456FA55">
            <w:pPr>
              <w:spacing w:line="340" w:lineRule="exact"/>
              <w:jc w:val="left"/>
              <w:rPr>
                <w:rFonts w:ascii="Times New Roman" w:hAnsi="Times New Roman"/>
                <w:color w:val="auto"/>
                <w:sz w:val="24"/>
                <w:highlight w:val="none"/>
              </w:rPr>
            </w:pPr>
          </w:p>
        </w:tc>
      </w:tr>
      <w:tr w14:paraId="19A4E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6255F0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282D0323">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39105D4">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EAD5A9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7D9568C8">
            <w:pPr>
              <w:spacing w:line="340" w:lineRule="exact"/>
              <w:jc w:val="left"/>
              <w:rPr>
                <w:rFonts w:ascii="Times New Roman" w:hAnsi="Times New Roman"/>
                <w:color w:val="auto"/>
                <w:sz w:val="24"/>
                <w:highlight w:val="none"/>
              </w:rPr>
            </w:pPr>
          </w:p>
        </w:tc>
      </w:tr>
      <w:tr w14:paraId="7C299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B9B562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5EC4F21">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023D535D">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63A237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4DB4015">
            <w:pPr>
              <w:spacing w:line="340" w:lineRule="exact"/>
              <w:jc w:val="left"/>
              <w:rPr>
                <w:rFonts w:ascii="Times New Roman" w:hAnsi="Times New Roman"/>
                <w:color w:val="auto"/>
                <w:sz w:val="24"/>
                <w:highlight w:val="none"/>
              </w:rPr>
            </w:pPr>
          </w:p>
        </w:tc>
      </w:tr>
    </w:tbl>
    <w:p w14:paraId="1C7A4CF7">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3EDF44B6">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7290DBE9">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3E7BD20B">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20E77FB7">
      <w:pPr>
        <w:rPr>
          <w:rFonts w:ascii="宋体" w:hAnsi="宋体"/>
          <w:b/>
          <w:color w:val="auto"/>
          <w:sz w:val="24"/>
          <w:szCs w:val="21"/>
          <w:highlight w:val="none"/>
        </w:rPr>
      </w:pPr>
    </w:p>
    <w:p w14:paraId="1F578A8C">
      <w:pPr>
        <w:rPr>
          <w:rFonts w:ascii="Times New Roman" w:hAnsi="Times New Roman"/>
          <w:b/>
          <w:color w:val="auto"/>
          <w:sz w:val="24"/>
          <w:szCs w:val="21"/>
          <w:highlight w:val="none"/>
        </w:rPr>
      </w:pPr>
    </w:p>
    <w:p w14:paraId="56A5EA1E">
      <w:pPr>
        <w:rPr>
          <w:rFonts w:ascii="Times New Roman" w:hAnsi="Times New Roman"/>
          <w:b/>
          <w:color w:val="auto"/>
          <w:sz w:val="24"/>
          <w:szCs w:val="21"/>
          <w:highlight w:val="none"/>
        </w:rPr>
      </w:pPr>
    </w:p>
    <w:p w14:paraId="79B544CA">
      <w:pPr>
        <w:rPr>
          <w:rFonts w:ascii="Times New Roman" w:hAnsi="Times New Roman"/>
          <w:b/>
          <w:color w:val="auto"/>
          <w:sz w:val="24"/>
          <w:szCs w:val="21"/>
          <w:highlight w:val="none"/>
        </w:rPr>
      </w:pPr>
    </w:p>
    <w:p w14:paraId="1B9D0823">
      <w:pPr>
        <w:jc w:val="center"/>
        <w:rPr>
          <w:rFonts w:ascii="Times New Roman" w:hAnsi="Times New Roman"/>
          <w:b/>
          <w:color w:val="auto"/>
          <w:sz w:val="24"/>
          <w:szCs w:val="21"/>
          <w:highlight w:val="none"/>
        </w:rPr>
      </w:pPr>
    </w:p>
    <w:p w14:paraId="28F1689F">
      <w:pPr>
        <w:jc w:val="center"/>
        <w:rPr>
          <w:rFonts w:ascii="Times New Roman" w:hAnsi="Times New Roman"/>
          <w:b/>
          <w:color w:val="auto"/>
          <w:sz w:val="24"/>
          <w:szCs w:val="21"/>
          <w:highlight w:val="none"/>
        </w:rPr>
      </w:pPr>
    </w:p>
    <w:p w14:paraId="69FD1F8D">
      <w:pPr>
        <w:jc w:val="center"/>
        <w:rPr>
          <w:rFonts w:ascii="Times New Roman" w:hAnsi="Times New Roman"/>
          <w:b/>
          <w:color w:val="auto"/>
          <w:sz w:val="24"/>
          <w:szCs w:val="21"/>
          <w:highlight w:val="none"/>
        </w:rPr>
      </w:pPr>
    </w:p>
    <w:p w14:paraId="0F6E8C22">
      <w:pPr>
        <w:jc w:val="center"/>
        <w:rPr>
          <w:rFonts w:ascii="Times New Roman" w:hAnsi="Times New Roman"/>
          <w:b/>
          <w:color w:val="auto"/>
          <w:sz w:val="24"/>
          <w:szCs w:val="21"/>
          <w:highlight w:val="none"/>
        </w:rPr>
      </w:pPr>
    </w:p>
    <w:p w14:paraId="441E2B87">
      <w:pPr>
        <w:rPr>
          <w:rFonts w:ascii="Times New Roman" w:hAnsi="Times New Roman"/>
          <w:b/>
          <w:color w:val="auto"/>
          <w:sz w:val="24"/>
          <w:szCs w:val="21"/>
          <w:highlight w:val="none"/>
        </w:rPr>
      </w:pPr>
    </w:p>
    <w:p w14:paraId="0A29B191">
      <w:pPr>
        <w:pStyle w:val="43"/>
        <w:rPr>
          <w:color w:val="auto"/>
          <w:highlight w:val="none"/>
        </w:rPr>
      </w:pPr>
    </w:p>
    <w:p w14:paraId="6BB61B94">
      <w:pPr>
        <w:rPr>
          <w:color w:val="auto"/>
          <w:highlight w:val="none"/>
        </w:rPr>
      </w:pPr>
    </w:p>
    <w:p w14:paraId="0472E460">
      <w:pPr>
        <w:pStyle w:val="43"/>
        <w:rPr>
          <w:color w:val="auto"/>
          <w:highlight w:val="none"/>
        </w:rPr>
      </w:pPr>
    </w:p>
    <w:p w14:paraId="4F0C1559">
      <w:pPr>
        <w:rPr>
          <w:color w:val="auto"/>
          <w:highlight w:val="none"/>
        </w:rPr>
      </w:pPr>
    </w:p>
    <w:p w14:paraId="4FFD0549">
      <w:pPr>
        <w:pStyle w:val="43"/>
        <w:rPr>
          <w:color w:val="auto"/>
          <w:highlight w:val="none"/>
        </w:rPr>
      </w:pPr>
    </w:p>
    <w:p w14:paraId="07178E91">
      <w:pPr>
        <w:rPr>
          <w:color w:val="auto"/>
          <w:highlight w:val="none"/>
        </w:rPr>
      </w:pPr>
    </w:p>
    <w:p w14:paraId="582C1BC5">
      <w:pPr>
        <w:pStyle w:val="43"/>
        <w:rPr>
          <w:color w:val="auto"/>
          <w:highlight w:val="none"/>
        </w:rPr>
      </w:pPr>
    </w:p>
    <w:p w14:paraId="120BCD12">
      <w:pPr>
        <w:rPr>
          <w:color w:val="auto"/>
          <w:highlight w:val="none"/>
        </w:rPr>
      </w:pPr>
    </w:p>
    <w:p w14:paraId="148F525B">
      <w:pPr>
        <w:snapToGrid w:val="0"/>
        <w:spacing w:line="300" w:lineRule="auto"/>
        <w:contextualSpacing/>
        <w:rPr>
          <w:rFonts w:ascii="Times New Roman" w:hAnsi="Times New Roman"/>
          <w:b/>
          <w:color w:val="auto"/>
          <w:sz w:val="24"/>
          <w:szCs w:val="21"/>
          <w:highlight w:val="none"/>
        </w:rPr>
      </w:pPr>
    </w:p>
    <w:p w14:paraId="6B025935">
      <w:pPr>
        <w:snapToGrid w:val="0"/>
        <w:spacing w:line="300" w:lineRule="auto"/>
        <w:contextualSpacing/>
        <w:rPr>
          <w:rFonts w:ascii="Times New Roman" w:hAnsi="Times New Roman"/>
          <w:b/>
          <w:color w:val="auto"/>
          <w:sz w:val="24"/>
          <w:szCs w:val="21"/>
          <w:highlight w:val="none"/>
        </w:rPr>
      </w:pPr>
    </w:p>
    <w:p w14:paraId="74C5E185">
      <w:pPr>
        <w:snapToGrid w:val="0"/>
        <w:spacing w:line="300" w:lineRule="auto"/>
        <w:contextualSpacing/>
        <w:rPr>
          <w:rFonts w:ascii="Times New Roman" w:hAnsi="Times New Roman"/>
          <w:b/>
          <w:color w:val="auto"/>
          <w:sz w:val="32"/>
          <w:szCs w:val="32"/>
          <w:highlight w:val="none"/>
        </w:rPr>
      </w:pPr>
      <w:r>
        <w:rPr>
          <w:rFonts w:ascii="Times New Roman" w:hAnsi="Times New Roman"/>
          <w:b/>
          <w:color w:val="auto"/>
          <w:sz w:val="24"/>
          <w:szCs w:val="21"/>
          <w:highlight w:val="none"/>
        </w:rPr>
        <w:t>附件8</w:t>
      </w:r>
    </w:p>
    <w:p w14:paraId="011FB6BF">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0F03CD87">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56C201C3">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6FD3C648">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 □小型企业 □微型企业）；</w:t>
      </w:r>
    </w:p>
    <w:p w14:paraId="5E834C3D">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4B222281">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51164F80">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E30CB37">
      <w:pPr>
        <w:spacing w:line="400" w:lineRule="exact"/>
        <w:ind w:right="720"/>
        <w:rPr>
          <w:rFonts w:ascii="宋体" w:hAnsi="宋体" w:cs="宋体"/>
          <w:color w:val="auto"/>
          <w:sz w:val="24"/>
          <w:szCs w:val="24"/>
          <w:highlight w:val="none"/>
        </w:rPr>
      </w:pPr>
    </w:p>
    <w:p w14:paraId="0338B812">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65A69EBF">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5C79F7E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2FF7884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6F312C0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3086083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843BF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573A08A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1A94575D">
      <w:pPr>
        <w:spacing w:line="588" w:lineRule="exact"/>
        <w:ind w:firstLine="504" w:firstLineChars="200"/>
        <w:rPr>
          <w:rFonts w:ascii="宋体" w:hAnsi="宋体" w:cs="宋体"/>
          <w:color w:val="auto"/>
          <w:spacing w:val="6"/>
          <w:sz w:val="24"/>
          <w:szCs w:val="24"/>
          <w:highlight w:val="none"/>
        </w:rPr>
      </w:pPr>
    </w:p>
    <w:p w14:paraId="46CE3AFE">
      <w:pPr>
        <w:tabs>
          <w:tab w:val="left" w:pos="4860"/>
        </w:tabs>
        <w:spacing w:line="0" w:lineRule="atLeast"/>
        <w:ind w:right="1559" w:firstLine="480" w:firstLineChars="200"/>
        <w:jc w:val="center"/>
        <w:rPr>
          <w:rFonts w:ascii="宋体" w:hAnsi="宋体" w:cs="宋体"/>
          <w:color w:val="auto"/>
          <w:sz w:val="24"/>
          <w:szCs w:val="24"/>
          <w:highlight w:val="none"/>
        </w:rPr>
      </w:pPr>
    </w:p>
    <w:p w14:paraId="47180001">
      <w:pPr>
        <w:spacing w:line="400" w:lineRule="exact"/>
        <w:ind w:firstLine="482" w:firstLineChars="200"/>
        <w:rPr>
          <w:rFonts w:ascii="宋体" w:hAnsi="宋体" w:cs="宋体"/>
          <w:b/>
          <w:color w:val="auto"/>
          <w:sz w:val="24"/>
          <w:szCs w:val="24"/>
          <w:highlight w:val="none"/>
        </w:rPr>
      </w:pPr>
    </w:p>
    <w:p w14:paraId="723F3234">
      <w:pPr>
        <w:spacing w:line="400" w:lineRule="exact"/>
        <w:rPr>
          <w:rFonts w:ascii="Times New Roman" w:hAnsi="Times New Roman"/>
          <w:b/>
          <w:color w:val="auto"/>
          <w:sz w:val="24"/>
          <w:szCs w:val="24"/>
          <w:highlight w:val="none"/>
        </w:rPr>
      </w:pPr>
    </w:p>
    <w:p w14:paraId="3FF62C4C">
      <w:pPr>
        <w:spacing w:line="400" w:lineRule="exact"/>
        <w:rPr>
          <w:rFonts w:ascii="Times New Roman" w:hAnsi="Times New Roman"/>
          <w:b/>
          <w:color w:val="auto"/>
          <w:sz w:val="24"/>
          <w:szCs w:val="24"/>
          <w:highlight w:val="none"/>
        </w:rPr>
      </w:pPr>
    </w:p>
    <w:p w14:paraId="79BF12D4">
      <w:pPr>
        <w:spacing w:line="400" w:lineRule="exact"/>
        <w:rPr>
          <w:rFonts w:ascii="Times New Roman" w:hAnsi="Times New Roman" w:eastAsia="黑体"/>
          <w:b/>
          <w:color w:val="auto"/>
          <w:sz w:val="32"/>
          <w:szCs w:val="32"/>
          <w:highlight w:val="none"/>
        </w:rPr>
      </w:pPr>
      <w:r>
        <w:rPr>
          <w:rFonts w:ascii="Times New Roman" w:hAnsi="Times New Roman"/>
          <w:b/>
          <w:color w:val="auto"/>
          <w:sz w:val="24"/>
          <w:szCs w:val="24"/>
          <w:highlight w:val="none"/>
        </w:rPr>
        <w:t>附件9</w:t>
      </w:r>
    </w:p>
    <w:p w14:paraId="3AB224E6">
      <w:pPr>
        <w:spacing w:line="460" w:lineRule="exact"/>
        <w:jc w:val="center"/>
        <w:rPr>
          <w:rFonts w:ascii="Times New Roman" w:hAnsi="Times New Roman"/>
          <w:b/>
          <w:color w:val="auto"/>
          <w:kern w:val="0"/>
          <w:sz w:val="32"/>
          <w:szCs w:val="32"/>
          <w:highlight w:val="none"/>
        </w:rPr>
      </w:pPr>
    </w:p>
    <w:p w14:paraId="12D0FE9C">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2EFE2A6F">
      <w:pPr>
        <w:pStyle w:val="43"/>
        <w:rPr>
          <w:color w:val="auto"/>
          <w:highlight w:val="none"/>
        </w:rPr>
      </w:pPr>
    </w:p>
    <w:p w14:paraId="023E970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674206D8">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21B38F83">
      <w:pPr>
        <w:rPr>
          <w:rFonts w:ascii="宋体" w:hAnsi="宋体" w:cs="宋体"/>
          <w:color w:val="auto"/>
          <w:sz w:val="24"/>
          <w:szCs w:val="24"/>
          <w:highlight w:val="none"/>
        </w:rPr>
      </w:pPr>
    </w:p>
    <w:p w14:paraId="7761A2A2">
      <w:pPr>
        <w:pStyle w:val="43"/>
        <w:ind w:firstLine="480"/>
        <w:rPr>
          <w:rFonts w:cs="宋体"/>
          <w:color w:val="auto"/>
          <w:sz w:val="24"/>
          <w:szCs w:val="24"/>
          <w:highlight w:val="none"/>
        </w:rPr>
      </w:pPr>
    </w:p>
    <w:p w14:paraId="4364B85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451D71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395AB61E">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6D6557B6">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2BFB2977">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06B19E7B">
      <w:pPr>
        <w:spacing w:line="588" w:lineRule="exact"/>
        <w:ind w:firstLine="504" w:firstLineChars="200"/>
        <w:rPr>
          <w:rFonts w:ascii="宋体" w:hAnsi="宋体" w:cs="宋体"/>
          <w:color w:val="auto"/>
          <w:spacing w:val="6"/>
          <w:sz w:val="24"/>
          <w:szCs w:val="24"/>
          <w:highlight w:val="none"/>
        </w:rPr>
      </w:pPr>
    </w:p>
    <w:p w14:paraId="37DDB304">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03A393CA">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47005CFA">
      <w:pPr>
        <w:snapToGrid w:val="0"/>
        <w:spacing w:line="420" w:lineRule="exact"/>
        <w:outlineLvl w:val="3"/>
        <w:rPr>
          <w:rFonts w:ascii="宋体" w:hAnsi="宋体" w:cs="宋体"/>
          <w:b/>
          <w:color w:val="auto"/>
          <w:sz w:val="24"/>
          <w:szCs w:val="24"/>
          <w:highlight w:val="none"/>
        </w:rPr>
      </w:pPr>
    </w:p>
    <w:p w14:paraId="0216976E">
      <w:pPr>
        <w:snapToGrid w:val="0"/>
        <w:spacing w:line="420" w:lineRule="exact"/>
        <w:outlineLvl w:val="3"/>
        <w:rPr>
          <w:rFonts w:ascii="宋体" w:hAnsi="宋体" w:cs="宋体"/>
          <w:b/>
          <w:color w:val="auto"/>
          <w:sz w:val="24"/>
          <w:szCs w:val="24"/>
          <w:highlight w:val="none"/>
        </w:rPr>
      </w:pPr>
    </w:p>
    <w:p w14:paraId="6AE068B9">
      <w:pPr>
        <w:snapToGrid w:val="0"/>
        <w:spacing w:line="420" w:lineRule="exact"/>
        <w:outlineLvl w:val="3"/>
        <w:rPr>
          <w:rFonts w:ascii="宋体" w:hAnsi="宋体" w:cs="宋体"/>
          <w:b/>
          <w:color w:val="auto"/>
          <w:sz w:val="24"/>
          <w:szCs w:val="24"/>
          <w:highlight w:val="none"/>
        </w:rPr>
      </w:pPr>
    </w:p>
    <w:p w14:paraId="584AE003">
      <w:pPr>
        <w:snapToGrid w:val="0"/>
        <w:spacing w:line="420" w:lineRule="exact"/>
        <w:outlineLvl w:val="3"/>
        <w:rPr>
          <w:rFonts w:ascii="Times New Roman" w:hAnsi="Times New Roman"/>
          <w:b/>
          <w:color w:val="auto"/>
          <w:sz w:val="24"/>
          <w:szCs w:val="24"/>
          <w:highlight w:val="none"/>
        </w:rPr>
      </w:pPr>
    </w:p>
    <w:p w14:paraId="4758D4AC">
      <w:pPr>
        <w:snapToGrid w:val="0"/>
        <w:spacing w:line="420" w:lineRule="exact"/>
        <w:outlineLvl w:val="3"/>
        <w:rPr>
          <w:rFonts w:ascii="Times New Roman" w:hAnsi="Times New Roman"/>
          <w:b/>
          <w:color w:val="auto"/>
          <w:sz w:val="24"/>
          <w:szCs w:val="24"/>
          <w:highlight w:val="none"/>
        </w:rPr>
      </w:pPr>
    </w:p>
    <w:p w14:paraId="204FBAA0">
      <w:pPr>
        <w:snapToGrid w:val="0"/>
        <w:spacing w:line="420" w:lineRule="exact"/>
        <w:outlineLvl w:val="3"/>
        <w:rPr>
          <w:rFonts w:ascii="Times New Roman" w:hAnsi="Times New Roman"/>
          <w:b/>
          <w:color w:val="auto"/>
          <w:sz w:val="24"/>
          <w:szCs w:val="24"/>
          <w:highlight w:val="none"/>
        </w:rPr>
      </w:pPr>
    </w:p>
    <w:p w14:paraId="31C9EAD7">
      <w:pPr>
        <w:snapToGrid w:val="0"/>
        <w:spacing w:line="420" w:lineRule="exact"/>
        <w:outlineLvl w:val="3"/>
        <w:rPr>
          <w:rFonts w:ascii="Times New Roman" w:hAnsi="Times New Roman"/>
          <w:b/>
          <w:color w:val="auto"/>
          <w:sz w:val="24"/>
          <w:szCs w:val="24"/>
          <w:highlight w:val="none"/>
        </w:rPr>
      </w:pPr>
    </w:p>
    <w:p w14:paraId="4ACD24B9">
      <w:pPr>
        <w:snapToGrid w:val="0"/>
        <w:spacing w:line="420" w:lineRule="exact"/>
        <w:outlineLvl w:val="3"/>
        <w:rPr>
          <w:rFonts w:ascii="Times New Roman" w:hAnsi="Times New Roman"/>
          <w:b/>
          <w:color w:val="auto"/>
          <w:sz w:val="24"/>
          <w:szCs w:val="24"/>
          <w:highlight w:val="none"/>
        </w:rPr>
      </w:pPr>
    </w:p>
    <w:p w14:paraId="6C170345">
      <w:pPr>
        <w:snapToGrid w:val="0"/>
        <w:spacing w:line="420" w:lineRule="exact"/>
        <w:outlineLvl w:val="3"/>
        <w:rPr>
          <w:rFonts w:ascii="Times New Roman" w:hAnsi="Times New Roman"/>
          <w:b/>
          <w:color w:val="auto"/>
          <w:sz w:val="24"/>
          <w:szCs w:val="24"/>
          <w:highlight w:val="none"/>
        </w:rPr>
      </w:pPr>
    </w:p>
    <w:p w14:paraId="30D4BE34">
      <w:pPr>
        <w:snapToGrid w:val="0"/>
        <w:spacing w:line="420" w:lineRule="exact"/>
        <w:outlineLvl w:val="3"/>
        <w:rPr>
          <w:rFonts w:ascii="Times New Roman" w:hAnsi="Times New Roman"/>
          <w:b/>
          <w:color w:val="auto"/>
          <w:sz w:val="24"/>
          <w:szCs w:val="24"/>
          <w:highlight w:val="none"/>
        </w:rPr>
      </w:pPr>
    </w:p>
    <w:p w14:paraId="4B2CC1DE">
      <w:pPr>
        <w:snapToGrid w:val="0"/>
        <w:spacing w:line="420" w:lineRule="exact"/>
        <w:outlineLvl w:val="3"/>
        <w:rPr>
          <w:rFonts w:ascii="Times New Roman" w:hAnsi="Times New Roman"/>
          <w:b/>
          <w:color w:val="auto"/>
          <w:sz w:val="24"/>
          <w:szCs w:val="24"/>
          <w:highlight w:val="none"/>
        </w:rPr>
      </w:pPr>
    </w:p>
    <w:p w14:paraId="66B1DBC8">
      <w:pPr>
        <w:pStyle w:val="53"/>
        <w:ind w:firstLine="420"/>
        <w:rPr>
          <w:color w:val="auto"/>
          <w:highlight w:val="none"/>
        </w:rPr>
      </w:pPr>
    </w:p>
    <w:p w14:paraId="048A1D75">
      <w:pPr>
        <w:snapToGrid w:val="0"/>
        <w:spacing w:line="420" w:lineRule="exact"/>
        <w:outlineLvl w:val="3"/>
        <w:rPr>
          <w:rFonts w:ascii="Times New Roman" w:hAnsi="Times New Roman"/>
          <w:b/>
          <w:color w:val="auto"/>
          <w:sz w:val="24"/>
          <w:szCs w:val="24"/>
          <w:highlight w:val="none"/>
        </w:rPr>
      </w:pPr>
      <w:r>
        <w:rPr>
          <w:rFonts w:ascii="Times New Roman" w:hAnsi="Times New Roman"/>
          <w:b/>
          <w:color w:val="auto"/>
          <w:sz w:val="24"/>
          <w:szCs w:val="24"/>
          <w:highlight w:val="none"/>
        </w:rPr>
        <w:t>附件10</w:t>
      </w:r>
    </w:p>
    <w:p w14:paraId="669575C1">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1F8E67E5">
      <w:pPr>
        <w:snapToGrid w:val="0"/>
        <w:spacing w:line="420" w:lineRule="exact"/>
        <w:ind w:firstLine="495" w:firstLineChars="177"/>
        <w:rPr>
          <w:rFonts w:ascii="Times New Roman" w:hAnsi="Times New Roman"/>
          <w:color w:val="auto"/>
          <w:sz w:val="28"/>
          <w:szCs w:val="28"/>
          <w:highlight w:val="none"/>
        </w:rPr>
      </w:pPr>
    </w:p>
    <w:p w14:paraId="63C8E22A">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7DB42C04">
      <w:pPr>
        <w:snapToGrid w:val="0"/>
        <w:spacing w:line="420" w:lineRule="exact"/>
        <w:ind w:firstLine="424" w:firstLineChars="177"/>
        <w:rPr>
          <w:rFonts w:ascii="Times New Roman" w:hAnsi="Times New Roman"/>
          <w:color w:val="auto"/>
          <w:sz w:val="24"/>
          <w:szCs w:val="24"/>
          <w:highlight w:val="none"/>
        </w:rPr>
      </w:pPr>
    </w:p>
    <w:p w14:paraId="6D3A0FAE">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E50CF0B">
      <w:pPr>
        <w:snapToGrid w:val="0"/>
        <w:spacing w:line="300" w:lineRule="auto"/>
        <w:outlineLvl w:val="0"/>
        <w:rPr>
          <w:rFonts w:ascii="Times New Roman" w:hAnsi="Times New Roman"/>
          <w:color w:val="auto"/>
          <w:sz w:val="24"/>
          <w:szCs w:val="24"/>
          <w:highlight w:val="none"/>
        </w:rPr>
      </w:pPr>
    </w:p>
    <w:p w14:paraId="5E4DFA61">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51710C26">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54B99FD5">
      <w:pPr>
        <w:snapToGrid w:val="0"/>
        <w:spacing w:line="420" w:lineRule="exact"/>
        <w:ind w:firstLine="566" w:firstLineChars="236"/>
        <w:rPr>
          <w:rFonts w:ascii="Times New Roman" w:hAnsi="Times New Roman"/>
          <w:color w:val="auto"/>
          <w:sz w:val="24"/>
          <w:szCs w:val="24"/>
          <w:highlight w:val="none"/>
        </w:rPr>
      </w:pPr>
    </w:p>
    <w:p w14:paraId="7848DE66">
      <w:pPr>
        <w:spacing w:line="560" w:lineRule="exact"/>
        <w:jc w:val="center"/>
        <w:rPr>
          <w:rFonts w:ascii="Times New Roman" w:hAnsi="Times New Roman"/>
          <w:b/>
          <w:color w:val="auto"/>
          <w:sz w:val="24"/>
          <w:szCs w:val="24"/>
          <w:highlight w:val="none"/>
        </w:rPr>
      </w:pPr>
    </w:p>
    <w:p w14:paraId="4F4FDAE0">
      <w:pPr>
        <w:spacing w:line="560" w:lineRule="exact"/>
        <w:rPr>
          <w:rFonts w:ascii="Times New Roman" w:hAnsi="Times New Roman"/>
          <w:b/>
          <w:color w:val="auto"/>
          <w:sz w:val="24"/>
          <w:szCs w:val="24"/>
          <w:highlight w:val="none"/>
        </w:rPr>
      </w:pPr>
    </w:p>
    <w:p w14:paraId="77CE5DB2">
      <w:pPr>
        <w:rPr>
          <w:rFonts w:ascii="Times New Roman" w:hAnsi="Times New Roman"/>
          <w:b/>
          <w:color w:val="auto"/>
          <w:sz w:val="24"/>
          <w:szCs w:val="24"/>
          <w:highlight w:val="none"/>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86"/>
      <w:r>
        <w:rPr>
          <w:rFonts w:ascii="Times New Roman" w:hAnsi="Times New Roman"/>
          <w:b/>
          <w:color w:val="auto"/>
          <w:sz w:val="24"/>
          <w:szCs w:val="24"/>
          <w:highlight w:val="none"/>
        </w:rPr>
        <w:t>11</w:t>
      </w:r>
    </w:p>
    <w:p w14:paraId="00493659">
      <w:pPr>
        <w:jc w:val="left"/>
        <w:rPr>
          <w:rFonts w:ascii="Times New Roman" w:hAnsi="Times New Roman"/>
          <w:b/>
          <w:bCs/>
          <w:color w:val="auto"/>
          <w:sz w:val="32"/>
          <w:szCs w:val="32"/>
          <w:highlight w:val="none"/>
        </w:rPr>
      </w:pPr>
    </w:p>
    <w:p w14:paraId="155B8835">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2E4DED21">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3B6B476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3FF0E0ED">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0CFC42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46078ED7">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436A95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7954FF5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40E57AF1">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0F54133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10E6BA86">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09B68986">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703EA6C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15ACFCFD">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6F61288D">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46FD9742">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700E2676">
      <w:pPr>
        <w:adjustRightInd w:val="0"/>
        <w:snapToGrid w:val="0"/>
        <w:spacing w:line="360" w:lineRule="auto"/>
        <w:rPr>
          <w:rFonts w:ascii="Times New Roman" w:hAnsi="Times New Roman"/>
          <w:color w:val="auto"/>
          <w:sz w:val="24"/>
          <w:szCs w:val="24"/>
          <w:highlight w:val="none"/>
        </w:rPr>
      </w:pPr>
    </w:p>
    <w:p w14:paraId="3EC07BE1">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7BE6DD81">
      <w:pPr>
        <w:adjustRightInd w:val="0"/>
        <w:snapToGrid w:val="0"/>
        <w:spacing w:line="360" w:lineRule="auto"/>
        <w:rPr>
          <w:rFonts w:ascii="Times New Roman" w:hAnsi="Times New Roman"/>
          <w:color w:val="auto"/>
          <w:sz w:val="24"/>
          <w:szCs w:val="24"/>
          <w:highlight w:val="none"/>
          <w:u w:val="dotted"/>
        </w:rPr>
      </w:pPr>
    </w:p>
    <w:p w14:paraId="48BEE58B">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57BC9942">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41F958F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67B8C391">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35A12B77">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0CD97A6A">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675805A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5DD1DFD8">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80383EA">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1423C8EB">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6FFC8A6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23BD3ACE">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321DDC14">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6FBFD60">
      <w:pPr>
        <w:ind w:firstLine="420"/>
        <w:rPr>
          <w:rFonts w:ascii="Times New Roman" w:hAnsi="Times New Roman"/>
          <w:color w:val="auto"/>
          <w:sz w:val="24"/>
          <w:szCs w:val="24"/>
          <w:highlight w:val="none"/>
        </w:rPr>
      </w:pPr>
    </w:p>
    <w:p w14:paraId="22093501">
      <w:pPr>
        <w:ind w:firstLine="420"/>
        <w:rPr>
          <w:rFonts w:ascii="Times New Roman" w:hAnsi="Times New Roman"/>
          <w:color w:val="auto"/>
          <w:sz w:val="24"/>
          <w:szCs w:val="24"/>
          <w:highlight w:val="none"/>
        </w:rPr>
      </w:pPr>
    </w:p>
    <w:p w14:paraId="3767C621">
      <w:pPr>
        <w:ind w:firstLine="420"/>
        <w:rPr>
          <w:rFonts w:ascii="Times New Roman" w:hAnsi="Times New Roman"/>
          <w:color w:val="auto"/>
          <w:sz w:val="24"/>
          <w:szCs w:val="24"/>
          <w:highlight w:val="none"/>
        </w:rPr>
      </w:pPr>
    </w:p>
    <w:p w14:paraId="40E1C7EE">
      <w:pPr>
        <w:ind w:firstLine="420"/>
        <w:rPr>
          <w:rFonts w:ascii="Times New Roman" w:hAnsi="Times New Roman"/>
          <w:color w:val="auto"/>
          <w:sz w:val="24"/>
          <w:szCs w:val="24"/>
          <w:highlight w:val="none"/>
        </w:rPr>
      </w:pPr>
    </w:p>
    <w:p w14:paraId="63588024">
      <w:pPr>
        <w:ind w:firstLine="420"/>
        <w:rPr>
          <w:rFonts w:ascii="Times New Roman" w:hAnsi="Times New Roman"/>
          <w:color w:val="auto"/>
          <w:sz w:val="24"/>
          <w:szCs w:val="24"/>
          <w:highlight w:val="none"/>
        </w:rPr>
      </w:pPr>
    </w:p>
    <w:p w14:paraId="53669ED2">
      <w:pPr>
        <w:ind w:firstLine="420"/>
        <w:rPr>
          <w:rFonts w:ascii="Times New Roman" w:hAnsi="Times New Roman"/>
          <w:color w:val="auto"/>
          <w:sz w:val="24"/>
          <w:szCs w:val="24"/>
          <w:highlight w:val="none"/>
        </w:rPr>
      </w:pPr>
    </w:p>
    <w:p w14:paraId="3ACE84F1">
      <w:pPr>
        <w:ind w:firstLine="420"/>
        <w:rPr>
          <w:rFonts w:ascii="Times New Roman" w:hAnsi="Times New Roman"/>
          <w:color w:val="auto"/>
          <w:sz w:val="24"/>
          <w:szCs w:val="24"/>
          <w:highlight w:val="none"/>
        </w:rPr>
      </w:pPr>
    </w:p>
    <w:p w14:paraId="6BC50AA0">
      <w:pPr>
        <w:ind w:firstLine="420"/>
        <w:rPr>
          <w:rFonts w:ascii="Times New Roman" w:hAnsi="Times New Roman"/>
          <w:color w:val="auto"/>
          <w:sz w:val="24"/>
          <w:szCs w:val="24"/>
          <w:highlight w:val="none"/>
        </w:rPr>
      </w:pPr>
    </w:p>
    <w:p w14:paraId="03A08F36">
      <w:pPr>
        <w:ind w:firstLine="420"/>
        <w:rPr>
          <w:rFonts w:ascii="Times New Roman" w:hAnsi="Times New Roman"/>
          <w:color w:val="auto"/>
          <w:sz w:val="24"/>
          <w:szCs w:val="24"/>
          <w:highlight w:val="none"/>
        </w:rPr>
      </w:pPr>
    </w:p>
    <w:p w14:paraId="2B2A014B">
      <w:pPr>
        <w:ind w:firstLine="420"/>
        <w:rPr>
          <w:rFonts w:ascii="Times New Roman" w:hAnsi="Times New Roman"/>
          <w:color w:val="auto"/>
          <w:sz w:val="24"/>
          <w:szCs w:val="24"/>
          <w:highlight w:val="none"/>
        </w:rPr>
      </w:pPr>
    </w:p>
    <w:p w14:paraId="444C05C1">
      <w:pPr>
        <w:ind w:firstLine="420"/>
        <w:rPr>
          <w:rFonts w:ascii="Times New Roman" w:hAnsi="Times New Roman"/>
          <w:color w:val="auto"/>
          <w:sz w:val="24"/>
          <w:szCs w:val="24"/>
          <w:highlight w:val="none"/>
        </w:rPr>
      </w:pPr>
    </w:p>
    <w:p w14:paraId="5812F41E">
      <w:pPr>
        <w:ind w:firstLine="420"/>
        <w:rPr>
          <w:rFonts w:ascii="Times New Roman" w:hAnsi="Times New Roman"/>
          <w:color w:val="auto"/>
          <w:sz w:val="24"/>
          <w:szCs w:val="24"/>
          <w:highlight w:val="none"/>
        </w:rPr>
      </w:pPr>
    </w:p>
    <w:p w14:paraId="73736A25">
      <w:pPr>
        <w:ind w:firstLine="420"/>
        <w:rPr>
          <w:rFonts w:ascii="Times New Roman" w:hAnsi="Times New Roman"/>
          <w:color w:val="auto"/>
          <w:sz w:val="24"/>
          <w:szCs w:val="24"/>
          <w:highlight w:val="none"/>
        </w:rPr>
      </w:pPr>
    </w:p>
    <w:p w14:paraId="45AD16B7">
      <w:pPr>
        <w:ind w:firstLine="420"/>
        <w:rPr>
          <w:rFonts w:ascii="Times New Roman" w:hAnsi="Times New Roman"/>
          <w:color w:val="auto"/>
          <w:sz w:val="24"/>
          <w:szCs w:val="24"/>
          <w:highlight w:val="none"/>
        </w:rPr>
      </w:pPr>
    </w:p>
    <w:p w14:paraId="7A3B6E84">
      <w:pPr>
        <w:ind w:firstLine="420"/>
        <w:rPr>
          <w:rFonts w:ascii="Times New Roman" w:hAnsi="Times New Roman"/>
          <w:color w:val="auto"/>
          <w:sz w:val="24"/>
          <w:szCs w:val="24"/>
          <w:highlight w:val="none"/>
        </w:rPr>
      </w:pPr>
    </w:p>
    <w:p w14:paraId="7DD1A876">
      <w:pPr>
        <w:ind w:firstLine="420"/>
        <w:rPr>
          <w:rFonts w:ascii="Times New Roman" w:hAnsi="Times New Roman"/>
          <w:color w:val="auto"/>
          <w:sz w:val="24"/>
          <w:szCs w:val="24"/>
          <w:highlight w:val="none"/>
        </w:rPr>
      </w:pPr>
    </w:p>
    <w:p w14:paraId="0D08B1D8">
      <w:pPr>
        <w:ind w:firstLine="420"/>
        <w:rPr>
          <w:rFonts w:ascii="Times New Roman" w:hAnsi="Times New Roman"/>
          <w:color w:val="auto"/>
          <w:sz w:val="24"/>
          <w:szCs w:val="24"/>
          <w:highlight w:val="none"/>
        </w:rPr>
      </w:pPr>
    </w:p>
    <w:p w14:paraId="1D32CC35">
      <w:pPr>
        <w:ind w:firstLine="420"/>
        <w:rPr>
          <w:rFonts w:ascii="Times New Roman" w:hAnsi="Times New Roman"/>
          <w:color w:val="auto"/>
          <w:sz w:val="24"/>
          <w:szCs w:val="24"/>
          <w:highlight w:val="none"/>
        </w:rPr>
      </w:pPr>
    </w:p>
    <w:p w14:paraId="76ACC651">
      <w:pPr>
        <w:ind w:firstLine="420"/>
        <w:rPr>
          <w:rFonts w:ascii="Times New Roman" w:hAnsi="Times New Roman"/>
          <w:color w:val="auto"/>
          <w:sz w:val="24"/>
          <w:szCs w:val="24"/>
          <w:highlight w:val="none"/>
        </w:rPr>
      </w:pPr>
    </w:p>
    <w:p w14:paraId="2F93658E">
      <w:pPr>
        <w:ind w:firstLine="420"/>
        <w:rPr>
          <w:rFonts w:ascii="Times New Roman" w:hAnsi="Times New Roman"/>
          <w:color w:val="auto"/>
          <w:sz w:val="24"/>
          <w:szCs w:val="24"/>
          <w:highlight w:val="none"/>
        </w:rPr>
      </w:pPr>
    </w:p>
    <w:p w14:paraId="45E51505">
      <w:pPr>
        <w:ind w:firstLine="420"/>
        <w:rPr>
          <w:rFonts w:ascii="Times New Roman" w:hAnsi="Times New Roman"/>
          <w:color w:val="auto"/>
          <w:sz w:val="24"/>
          <w:szCs w:val="24"/>
          <w:highlight w:val="none"/>
        </w:rPr>
      </w:pPr>
    </w:p>
    <w:p w14:paraId="0B71B250">
      <w:pPr>
        <w:ind w:firstLine="420"/>
        <w:rPr>
          <w:rFonts w:ascii="Times New Roman" w:hAnsi="Times New Roman"/>
          <w:color w:val="auto"/>
          <w:sz w:val="24"/>
          <w:szCs w:val="24"/>
          <w:highlight w:val="none"/>
        </w:rPr>
      </w:pPr>
    </w:p>
    <w:p w14:paraId="126EA668">
      <w:pPr>
        <w:ind w:firstLine="420"/>
        <w:rPr>
          <w:rFonts w:ascii="Times New Roman" w:hAnsi="Times New Roman"/>
          <w:color w:val="auto"/>
          <w:sz w:val="24"/>
          <w:szCs w:val="24"/>
          <w:highlight w:val="none"/>
        </w:rPr>
      </w:pPr>
    </w:p>
    <w:p w14:paraId="63B76A1A">
      <w:pPr>
        <w:ind w:firstLine="420"/>
        <w:rPr>
          <w:rFonts w:ascii="Times New Roman" w:hAnsi="Times New Roman"/>
          <w:color w:val="auto"/>
          <w:sz w:val="24"/>
          <w:szCs w:val="24"/>
          <w:highlight w:val="none"/>
        </w:rPr>
      </w:pPr>
    </w:p>
    <w:p w14:paraId="78481967">
      <w:pPr>
        <w:ind w:firstLine="420"/>
        <w:rPr>
          <w:rFonts w:ascii="Times New Roman" w:hAnsi="Times New Roman"/>
          <w:color w:val="auto"/>
          <w:sz w:val="24"/>
          <w:szCs w:val="24"/>
          <w:highlight w:val="none"/>
        </w:rPr>
      </w:pPr>
    </w:p>
    <w:p w14:paraId="72F870A0">
      <w:pPr>
        <w:ind w:firstLine="420"/>
        <w:rPr>
          <w:rFonts w:ascii="Times New Roman" w:hAnsi="Times New Roman"/>
          <w:color w:val="auto"/>
          <w:sz w:val="24"/>
          <w:szCs w:val="24"/>
          <w:highlight w:val="none"/>
        </w:rPr>
      </w:pPr>
    </w:p>
    <w:p w14:paraId="0CCE6509">
      <w:pPr>
        <w:ind w:firstLine="420"/>
        <w:rPr>
          <w:rFonts w:ascii="Times New Roman" w:hAnsi="Times New Roman"/>
          <w:color w:val="auto"/>
          <w:sz w:val="24"/>
          <w:szCs w:val="24"/>
          <w:highlight w:val="none"/>
        </w:rPr>
      </w:pPr>
    </w:p>
    <w:p w14:paraId="641973E6">
      <w:pPr>
        <w:ind w:firstLine="420"/>
        <w:rPr>
          <w:rFonts w:ascii="Times New Roman" w:hAnsi="Times New Roman"/>
          <w:color w:val="auto"/>
          <w:sz w:val="24"/>
          <w:szCs w:val="24"/>
          <w:highlight w:val="none"/>
        </w:rPr>
      </w:pPr>
    </w:p>
    <w:p w14:paraId="0997E8AF">
      <w:pPr>
        <w:ind w:firstLine="420"/>
        <w:rPr>
          <w:rFonts w:ascii="Times New Roman" w:hAnsi="Times New Roman"/>
          <w:color w:val="auto"/>
          <w:sz w:val="24"/>
          <w:szCs w:val="24"/>
          <w:highlight w:val="none"/>
        </w:rPr>
      </w:pPr>
    </w:p>
    <w:p w14:paraId="3CEA29B9">
      <w:pPr>
        <w:ind w:firstLine="420"/>
        <w:rPr>
          <w:rFonts w:ascii="Times New Roman" w:hAnsi="Times New Roman"/>
          <w:color w:val="auto"/>
          <w:sz w:val="24"/>
          <w:szCs w:val="24"/>
          <w:highlight w:val="none"/>
        </w:rPr>
      </w:pPr>
    </w:p>
    <w:p w14:paraId="02FB9C89">
      <w:pPr>
        <w:ind w:firstLine="420"/>
        <w:rPr>
          <w:rFonts w:ascii="Times New Roman" w:hAnsi="Times New Roman"/>
          <w:color w:val="auto"/>
          <w:sz w:val="24"/>
          <w:szCs w:val="24"/>
          <w:highlight w:val="none"/>
        </w:rPr>
      </w:pPr>
    </w:p>
    <w:p w14:paraId="4D4227BF">
      <w:pPr>
        <w:ind w:firstLine="420"/>
        <w:rPr>
          <w:rFonts w:ascii="Times New Roman" w:hAnsi="Times New Roman"/>
          <w:color w:val="auto"/>
          <w:sz w:val="24"/>
          <w:szCs w:val="24"/>
          <w:highlight w:val="none"/>
        </w:rPr>
      </w:pPr>
    </w:p>
    <w:p w14:paraId="48378321">
      <w:pPr>
        <w:ind w:firstLine="420"/>
        <w:rPr>
          <w:rFonts w:ascii="Times New Roman" w:hAnsi="Times New Roman"/>
          <w:color w:val="auto"/>
          <w:sz w:val="24"/>
          <w:szCs w:val="24"/>
          <w:highlight w:val="none"/>
        </w:rPr>
      </w:pPr>
    </w:p>
    <w:p w14:paraId="703BB979">
      <w:pPr>
        <w:rPr>
          <w:rFonts w:ascii="Times New Roman" w:hAnsi="Times New Roman"/>
          <w:color w:val="auto"/>
          <w:sz w:val="28"/>
          <w:szCs w:val="28"/>
          <w:highlight w:val="none"/>
        </w:rPr>
      </w:pPr>
    </w:p>
    <w:p w14:paraId="082D70BB">
      <w:pPr>
        <w:rPr>
          <w:rFonts w:ascii="Times New Roman" w:hAnsi="Times New Roman"/>
          <w:b/>
          <w:color w:val="auto"/>
          <w:sz w:val="24"/>
          <w:szCs w:val="24"/>
          <w:highlight w:val="none"/>
        </w:rPr>
      </w:pPr>
      <w:r>
        <w:rPr>
          <w:rFonts w:ascii="Times New Roman" w:hAnsi="Times New Roman"/>
          <w:b/>
          <w:color w:val="auto"/>
          <w:sz w:val="24"/>
          <w:szCs w:val="24"/>
          <w:highlight w:val="none"/>
        </w:rPr>
        <w:t>附件1</w:t>
      </w:r>
      <w:r>
        <w:rPr>
          <w:rFonts w:hint="eastAsia" w:ascii="Times New Roman" w:hAnsi="Times New Roman"/>
          <w:b/>
          <w:color w:val="auto"/>
          <w:sz w:val="24"/>
          <w:szCs w:val="24"/>
          <w:highlight w:val="none"/>
        </w:rPr>
        <w:t>2</w:t>
      </w:r>
    </w:p>
    <w:p w14:paraId="1F2EB74E">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68211B00">
      <w:pPr>
        <w:widowControl/>
        <w:jc w:val="left"/>
        <w:rPr>
          <w:rFonts w:ascii="Times New Roman" w:hAnsi="Times New Roman" w:eastAsia="仿宋_GB2312"/>
          <w:color w:val="auto"/>
          <w:kern w:val="0"/>
          <w:sz w:val="28"/>
          <w:szCs w:val="28"/>
          <w:highlight w:val="none"/>
          <w:lang w:val="zh-CN"/>
        </w:rPr>
      </w:pPr>
    </w:p>
    <w:p w14:paraId="2B445B46">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51F06581">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449E02E9">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F29C2AD">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583366288"/>
          <w:lang w:val="zh-CN"/>
        </w:rPr>
        <w:t>http：</w:t>
      </w:r>
      <w:r>
        <w:rPr>
          <w:rFonts w:hint="eastAsia" w:ascii="宋体" w:hAnsi="宋体" w:cs="宋体"/>
          <w:color w:val="auto"/>
          <w:spacing w:val="1"/>
          <w:w w:val="72"/>
          <w:kern w:val="0"/>
          <w:sz w:val="28"/>
          <w:szCs w:val="28"/>
          <w:highlight w:val="none"/>
          <w:fitText w:val="5611" w:id="583366288"/>
        </w:rPr>
        <w:t>//</w:t>
      </w:r>
      <w:r>
        <w:rPr>
          <w:rFonts w:hint="eastAsia" w:ascii="宋体" w:hAnsi="宋体" w:cs="宋体"/>
          <w:color w:val="auto"/>
          <w:spacing w:val="1"/>
          <w:w w:val="72"/>
          <w:kern w:val="0"/>
          <w:sz w:val="28"/>
          <w:szCs w:val="28"/>
          <w:highlight w:val="none"/>
          <w:fitText w:val="5611" w:id="583366288"/>
          <w:lang w:val="zh-CN"/>
        </w:rPr>
        <w:t>ggzyjy.nantong.gov.cn／NTdzbhweb／supermarket</w:t>
      </w:r>
      <w:r>
        <w:rPr>
          <w:rFonts w:hint="eastAsia" w:ascii="宋体" w:hAnsi="宋体" w:cs="宋体"/>
          <w:color w:val="auto"/>
          <w:spacing w:val="7"/>
          <w:w w:val="72"/>
          <w:kern w:val="0"/>
          <w:sz w:val="28"/>
          <w:szCs w:val="28"/>
          <w:highlight w:val="none"/>
          <w:fitText w:val="5611" w:id="583366288"/>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65C4872B">
      <w:pPr>
        <w:pStyle w:val="43"/>
        <w:ind w:firstLine="560"/>
        <w:rPr>
          <w:rFonts w:ascii="Times New Roman" w:hAnsi="Times New Roman"/>
          <w:color w:val="auto"/>
          <w:kern w:val="0"/>
          <w:sz w:val="28"/>
          <w:szCs w:val="28"/>
          <w:highlight w:val="none"/>
          <w:lang w:val="zh-CN"/>
        </w:rPr>
      </w:pPr>
    </w:p>
    <w:p w14:paraId="473A572E">
      <w:pPr>
        <w:rPr>
          <w:rFonts w:ascii="Times New Roman" w:hAnsi="Times New Roman"/>
          <w:color w:val="auto"/>
          <w:kern w:val="0"/>
          <w:sz w:val="28"/>
          <w:szCs w:val="28"/>
          <w:highlight w:val="none"/>
          <w:lang w:val="zh-CN"/>
        </w:rPr>
      </w:pPr>
    </w:p>
    <w:p w14:paraId="28591079">
      <w:pPr>
        <w:rPr>
          <w:rFonts w:ascii="Times New Roman" w:hAnsi="Times New Roman"/>
          <w:color w:val="auto"/>
          <w:kern w:val="0"/>
          <w:sz w:val="28"/>
          <w:szCs w:val="28"/>
          <w:highlight w:val="none"/>
          <w:lang w:val="zh-CN"/>
        </w:rPr>
      </w:pPr>
    </w:p>
    <w:p w14:paraId="028709C8">
      <w:pPr>
        <w:widowControl/>
        <w:spacing w:line="700" w:lineRule="exact"/>
        <w:jc w:val="left"/>
        <w:rPr>
          <w:rFonts w:ascii="Times New Roman" w:hAnsi="Times New Roman"/>
          <w:color w:val="auto"/>
          <w:kern w:val="0"/>
          <w:sz w:val="28"/>
          <w:szCs w:val="28"/>
          <w:highlight w:val="none"/>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rPr>
        <w:t>3</w:t>
      </w:r>
    </w:p>
    <w:p w14:paraId="110E4A3F">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455B220F">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71D08FCA">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04556143">
      <w:pPr>
        <w:pStyle w:val="43"/>
        <w:ind w:firstLine="560"/>
        <w:rPr>
          <w:rFonts w:cs="宋体"/>
          <w:color w:val="auto"/>
          <w:sz w:val="28"/>
          <w:szCs w:val="28"/>
          <w:highlight w:val="none"/>
          <w:lang w:val="zh-CN"/>
        </w:rPr>
      </w:pPr>
    </w:p>
    <w:p w14:paraId="00BA4CB7">
      <w:pPr>
        <w:snapToGrid w:val="0"/>
        <w:spacing w:line="300" w:lineRule="auto"/>
        <w:outlineLvl w:val="0"/>
        <w:rPr>
          <w:rFonts w:ascii="宋体" w:hAnsi="宋体" w:cs="宋体"/>
          <w:color w:val="auto"/>
          <w:sz w:val="28"/>
          <w:szCs w:val="28"/>
          <w:highlight w:val="none"/>
        </w:rPr>
      </w:pPr>
    </w:p>
    <w:p w14:paraId="6D552C7F">
      <w:pPr>
        <w:snapToGrid w:val="0"/>
        <w:spacing w:line="300" w:lineRule="auto"/>
        <w:outlineLvl w:val="0"/>
        <w:rPr>
          <w:rFonts w:ascii="Times New Roman" w:hAnsi="Times New Roman"/>
          <w:color w:val="auto"/>
          <w:sz w:val="28"/>
          <w:szCs w:val="28"/>
          <w:highlight w:val="none"/>
        </w:rPr>
      </w:pPr>
    </w:p>
    <w:p w14:paraId="7CB5BC79">
      <w:pPr>
        <w:snapToGrid w:val="0"/>
        <w:spacing w:line="500" w:lineRule="exact"/>
        <w:rPr>
          <w:rFonts w:ascii="Times New Roman" w:hAnsi="Times New Roman"/>
          <w:b/>
          <w:color w:val="auto"/>
          <w:sz w:val="28"/>
          <w:szCs w:val="28"/>
          <w:highlight w:val="none"/>
        </w:rPr>
      </w:pPr>
    </w:p>
    <w:p w14:paraId="0EBEE3DD">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538844E2">
      <w:pPr>
        <w:snapToGrid w:val="0"/>
        <w:spacing w:line="500" w:lineRule="exact"/>
        <w:ind w:firstLine="562" w:firstLineChars="200"/>
        <w:contextualSpacing/>
        <w:outlineLvl w:val="0"/>
        <w:rPr>
          <w:rFonts w:ascii="Times New Roman" w:hAnsi="Times New Roman" w:eastAsia="仿宋"/>
          <w:b/>
          <w:color w:val="auto"/>
          <w:sz w:val="28"/>
          <w:szCs w:val="28"/>
          <w:highlight w:val="none"/>
        </w:rPr>
      </w:pPr>
    </w:p>
    <w:p w14:paraId="12CD040A">
      <w:pPr>
        <w:spacing w:line="400" w:lineRule="exact"/>
        <w:ind w:firstLine="420" w:firstLineChars="200"/>
        <w:rPr>
          <w:rFonts w:ascii="Times New Roman" w:hAnsi="Times New Roman"/>
          <w:color w:val="auto"/>
          <w:highlight w:val="none"/>
        </w:rPr>
      </w:pPr>
    </w:p>
    <w:p w14:paraId="20452836">
      <w:pPr>
        <w:pStyle w:val="53"/>
        <w:ind w:firstLine="420"/>
        <w:rPr>
          <w:color w:val="auto"/>
          <w:highlight w:val="none"/>
        </w:rPr>
      </w:pPr>
    </w:p>
    <w:p w14:paraId="1454820B">
      <w:pPr>
        <w:pStyle w:val="53"/>
        <w:ind w:firstLine="420"/>
        <w:rPr>
          <w:color w:val="auto"/>
          <w:highlight w:val="none"/>
        </w:rPr>
      </w:pPr>
    </w:p>
    <w:p w14:paraId="340C69B6">
      <w:pPr>
        <w:pStyle w:val="53"/>
        <w:ind w:firstLine="420"/>
        <w:rPr>
          <w:color w:val="auto"/>
          <w:highlight w:val="none"/>
        </w:rPr>
      </w:pPr>
    </w:p>
    <w:p w14:paraId="6BFAB468">
      <w:pPr>
        <w:pStyle w:val="53"/>
        <w:ind w:firstLine="420"/>
        <w:rPr>
          <w:color w:val="auto"/>
          <w:highlight w:val="none"/>
        </w:rPr>
      </w:pPr>
    </w:p>
    <w:p w14:paraId="7531E08A">
      <w:pPr>
        <w:pStyle w:val="53"/>
        <w:ind w:firstLine="420"/>
        <w:rPr>
          <w:color w:val="auto"/>
          <w:highlight w:val="none"/>
        </w:rPr>
      </w:pPr>
    </w:p>
    <w:p w14:paraId="338A75FC">
      <w:pPr>
        <w:pStyle w:val="53"/>
        <w:ind w:firstLine="0" w:firstLineChars="0"/>
        <w:rPr>
          <w:color w:val="auto"/>
          <w:highlight w:val="none"/>
        </w:rPr>
      </w:pPr>
    </w:p>
    <w:sectPr>
      <w:footerReference r:id="rId8" w:type="first"/>
      <w:headerReference r:id="rId5" w:type="default"/>
      <w:footerReference r:id="rId6" w:type="default"/>
      <w:footerReference r:id="rId7" w:type="even"/>
      <w:pgSz w:w="11906" w:h="16838"/>
      <w:pgMar w:top="1440" w:right="1080" w:bottom="1440" w:left="1080" w:header="851" w:footer="907" w:gutter="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0000000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1A9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4DCF7">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6350">
                        <a:noFill/>
                      </a:ln>
                    </wps:spPr>
                    <wps:txbx>
                      <w:txbxContent>
                        <w:p w14:paraId="38457950">
                          <w:pPr>
                            <w:pStyle w:val="2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8.7pt;mso-position-horizontal:center;mso-position-horizontal-relative:margin;mso-wrap-style:none;z-index:251659264;mso-width-relative:page;mso-height-relative:page;" filled="f" stroked="f" coordsize="21600,21600" o:gfxdata="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q3CnPRAAAAAwEAAA8AAAAAAAAAAQAgAAAAIgAAAGRycy9kb3ducmV2LnhtbFBLAQIUABQA&#10;AAAIAIdO4kASrRMbMAIAAFMEAAAOAAAAAAAAAAEAIAAAACABAABkcnMvZTJvRG9jLnhtbFBLBQYA&#10;AAAABgAGAFkBAADCBQAAAAA=&#10;">
              <v:fill on="f" focussize="0,0"/>
              <v:stroke on="f" weight="0.5pt"/>
              <v:imagedata o:title=""/>
              <o:lock v:ext="edit" aspectratio="f"/>
              <v:textbox inset="0mm,0mm,0mm,0mm" style="mso-fit-shape-to-text:t;">
                <w:txbxContent>
                  <w:p w14:paraId="38457950">
                    <w:pPr>
                      <w:pStyle w:val="2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B484A">
    <w:pPr>
      <w:pStyle w:val="28"/>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38F55CD9">
                          <w:pPr>
                            <w:pStyle w:val="2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Y0S8z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DFMY8HP37+d&#10;f/w6//xKJ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eY0S8zACAABTBAAADgAAAAAAAAABACAAAAAhAQAAZHJzL2Uyb0RvYy54bWxQSwUG&#10;AAAAAAYABgBZAQAAwwUAAAAA&#10;">
              <v:fill on="f" focussize="0,0"/>
              <v:stroke on="f" weight="0.5pt"/>
              <v:imagedata o:title=""/>
              <o:lock v:ext="edit" aspectratio="f"/>
              <v:textbox inset="0mm,0mm,0mm,0mm" style="mso-fit-shape-to-text:t;">
                <w:txbxContent>
                  <w:p w14:paraId="38F55CD9">
                    <w:pPr>
                      <w:pStyle w:val="2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83A1">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6C5127A7">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3087C">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2E57961C">
                          <w:pPr>
                            <w:pStyle w:val="2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j+3b1j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TFMY8HP37+d&#10;f/w6//xKp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j+3b1jACAABTBAAADgAAAAAAAAABACAAAAAhAQAAZHJzL2Uyb0RvYy54bWxQSwUG&#10;AAAAAAYABgBZAQAAwwUAAAAA&#10;">
              <v:fill on="f" focussize="0,0"/>
              <v:stroke on="f" weight="0.5pt"/>
              <v:imagedata o:title=""/>
              <o:lock v:ext="edit" aspectratio="f"/>
              <v:textbox inset="0mm,0mm,0mm,0mm" style="mso-fit-shape-to-text:t;">
                <w:txbxContent>
                  <w:p w14:paraId="2E57961C">
                    <w:pPr>
                      <w:pStyle w:val="2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0867A">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0E275"/>
    <w:multiLevelType w:val="singleLevel"/>
    <w:tmpl w:val="92E0E275"/>
    <w:lvl w:ilvl="0" w:tentative="0">
      <w:start w:val="2"/>
      <w:numFmt w:val="decimal"/>
      <w:suff w:val="nothing"/>
      <w:lvlText w:val="%1、"/>
      <w:lvlJc w:val="left"/>
    </w:lvl>
  </w:abstractNum>
  <w:abstractNum w:abstractNumId="1">
    <w:nsid w:val="B91D49EC"/>
    <w:multiLevelType w:val="singleLevel"/>
    <w:tmpl w:val="B91D49EC"/>
    <w:lvl w:ilvl="0" w:tentative="0">
      <w:start w:val="1"/>
      <w:numFmt w:val="decimal"/>
      <w:suff w:val="nothing"/>
      <w:lvlText w:val="%1、"/>
      <w:lvlJc w:val="left"/>
    </w:lvl>
  </w:abstractNum>
  <w:abstractNum w:abstractNumId="2">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3">
    <w:nsid w:val="232E4713"/>
    <w:multiLevelType w:val="singleLevel"/>
    <w:tmpl w:val="232E4713"/>
    <w:lvl w:ilvl="0" w:tentative="0">
      <w:start w:val="1"/>
      <w:numFmt w:val="chineseCounting"/>
      <w:suff w:val="nothing"/>
      <w:lvlText w:val="%1、"/>
      <w:lvlJc w:val="left"/>
      <w:rPr>
        <w:rFonts w:hint="eastAsia"/>
      </w:rPr>
    </w:lvl>
  </w:abstractNum>
  <w:abstractNum w:abstractNumId="4">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5D14"/>
    <w:rsid w:val="000264B7"/>
    <w:rsid w:val="00026E26"/>
    <w:rsid w:val="00027039"/>
    <w:rsid w:val="00032CC0"/>
    <w:rsid w:val="000536B9"/>
    <w:rsid w:val="00057C41"/>
    <w:rsid w:val="00061DE6"/>
    <w:rsid w:val="000724AE"/>
    <w:rsid w:val="000749E3"/>
    <w:rsid w:val="00076BA9"/>
    <w:rsid w:val="000849FF"/>
    <w:rsid w:val="00092509"/>
    <w:rsid w:val="0009313A"/>
    <w:rsid w:val="000C1408"/>
    <w:rsid w:val="000C1FF9"/>
    <w:rsid w:val="000C60E9"/>
    <w:rsid w:val="000F0563"/>
    <w:rsid w:val="000F0809"/>
    <w:rsid w:val="000F16FF"/>
    <w:rsid w:val="00100C0A"/>
    <w:rsid w:val="001063A8"/>
    <w:rsid w:val="001113BD"/>
    <w:rsid w:val="00120EAC"/>
    <w:rsid w:val="00140BDC"/>
    <w:rsid w:val="00143232"/>
    <w:rsid w:val="001466EC"/>
    <w:rsid w:val="00150CFE"/>
    <w:rsid w:val="00160065"/>
    <w:rsid w:val="00170367"/>
    <w:rsid w:val="00173852"/>
    <w:rsid w:val="0017477D"/>
    <w:rsid w:val="00180B9A"/>
    <w:rsid w:val="00184803"/>
    <w:rsid w:val="001969FD"/>
    <w:rsid w:val="001A11D6"/>
    <w:rsid w:val="001A3A69"/>
    <w:rsid w:val="001B5590"/>
    <w:rsid w:val="001C36B7"/>
    <w:rsid w:val="001E75D2"/>
    <w:rsid w:val="001F41F3"/>
    <w:rsid w:val="0020098A"/>
    <w:rsid w:val="0020504B"/>
    <w:rsid w:val="00207469"/>
    <w:rsid w:val="00220CB6"/>
    <w:rsid w:val="002235A0"/>
    <w:rsid w:val="002235CA"/>
    <w:rsid w:val="002255F2"/>
    <w:rsid w:val="00233A55"/>
    <w:rsid w:val="00235799"/>
    <w:rsid w:val="002630BB"/>
    <w:rsid w:val="00266D94"/>
    <w:rsid w:val="00272473"/>
    <w:rsid w:val="00273386"/>
    <w:rsid w:val="00277D22"/>
    <w:rsid w:val="00285793"/>
    <w:rsid w:val="002A555B"/>
    <w:rsid w:val="002B289A"/>
    <w:rsid w:val="002B5927"/>
    <w:rsid w:val="002C799B"/>
    <w:rsid w:val="002D2E41"/>
    <w:rsid w:val="002D3245"/>
    <w:rsid w:val="002E6413"/>
    <w:rsid w:val="0030198B"/>
    <w:rsid w:val="00310E90"/>
    <w:rsid w:val="003139F1"/>
    <w:rsid w:val="00321B84"/>
    <w:rsid w:val="00322DF7"/>
    <w:rsid w:val="00325F9A"/>
    <w:rsid w:val="00342183"/>
    <w:rsid w:val="00347661"/>
    <w:rsid w:val="00347BFC"/>
    <w:rsid w:val="003532FE"/>
    <w:rsid w:val="00356DC7"/>
    <w:rsid w:val="00360C7C"/>
    <w:rsid w:val="00361463"/>
    <w:rsid w:val="0036346F"/>
    <w:rsid w:val="00363D77"/>
    <w:rsid w:val="0037154D"/>
    <w:rsid w:val="003752C8"/>
    <w:rsid w:val="003753FE"/>
    <w:rsid w:val="0038400C"/>
    <w:rsid w:val="0039694C"/>
    <w:rsid w:val="003B4718"/>
    <w:rsid w:val="003B616C"/>
    <w:rsid w:val="003C24C5"/>
    <w:rsid w:val="003C28DE"/>
    <w:rsid w:val="003E1B12"/>
    <w:rsid w:val="003E2713"/>
    <w:rsid w:val="003E43B2"/>
    <w:rsid w:val="003F424C"/>
    <w:rsid w:val="003F634F"/>
    <w:rsid w:val="004020F4"/>
    <w:rsid w:val="004023E0"/>
    <w:rsid w:val="00416C14"/>
    <w:rsid w:val="00424EF3"/>
    <w:rsid w:val="0044282D"/>
    <w:rsid w:val="00446202"/>
    <w:rsid w:val="00455355"/>
    <w:rsid w:val="0046177F"/>
    <w:rsid w:val="00463653"/>
    <w:rsid w:val="00463674"/>
    <w:rsid w:val="00465F99"/>
    <w:rsid w:val="004672B9"/>
    <w:rsid w:val="00474FBE"/>
    <w:rsid w:val="00484935"/>
    <w:rsid w:val="00486885"/>
    <w:rsid w:val="004A0049"/>
    <w:rsid w:val="004A6279"/>
    <w:rsid w:val="004B43E4"/>
    <w:rsid w:val="004B581B"/>
    <w:rsid w:val="004E0DDF"/>
    <w:rsid w:val="004F689F"/>
    <w:rsid w:val="005029F9"/>
    <w:rsid w:val="005035A2"/>
    <w:rsid w:val="005037A9"/>
    <w:rsid w:val="005039E4"/>
    <w:rsid w:val="0051410F"/>
    <w:rsid w:val="0051778F"/>
    <w:rsid w:val="00541EC4"/>
    <w:rsid w:val="00557649"/>
    <w:rsid w:val="005714C6"/>
    <w:rsid w:val="00575DB5"/>
    <w:rsid w:val="005835B7"/>
    <w:rsid w:val="005841C7"/>
    <w:rsid w:val="00585964"/>
    <w:rsid w:val="00591701"/>
    <w:rsid w:val="00594B5D"/>
    <w:rsid w:val="005957BC"/>
    <w:rsid w:val="005A0BCB"/>
    <w:rsid w:val="005B288A"/>
    <w:rsid w:val="005C7758"/>
    <w:rsid w:val="005E40E8"/>
    <w:rsid w:val="0060367A"/>
    <w:rsid w:val="00610597"/>
    <w:rsid w:val="00612345"/>
    <w:rsid w:val="0063338D"/>
    <w:rsid w:val="00651A78"/>
    <w:rsid w:val="00652127"/>
    <w:rsid w:val="00663D8B"/>
    <w:rsid w:val="006836D3"/>
    <w:rsid w:val="00697806"/>
    <w:rsid w:val="006A60FA"/>
    <w:rsid w:val="006B6A50"/>
    <w:rsid w:val="006B7849"/>
    <w:rsid w:val="006C654B"/>
    <w:rsid w:val="006D0CE9"/>
    <w:rsid w:val="006D1429"/>
    <w:rsid w:val="006D1480"/>
    <w:rsid w:val="006E45D7"/>
    <w:rsid w:val="006F0627"/>
    <w:rsid w:val="006F15A5"/>
    <w:rsid w:val="00725197"/>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D6EED"/>
    <w:rsid w:val="007D7B95"/>
    <w:rsid w:val="007E27E5"/>
    <w:rsid w:val="007E3412"/>
    <w:rsid w:val="007E3B1F"/>
    <w:rsid w:val="007E4CA5"/>
    <w:rsid w:val="007F0527"/>
    <w:rsid w:val="007F27CB"/>
    <w:rsid w:val="007F3F9C"/>
    <w:rsid w:val="00803A8A"/>
    <w:rsid w:val="00804624"/>
    <w:rsid w:val="00816543"/>
    <w:rsid w:val="00836EA4"/>
    <w:rsid w:val="00840D19"/>
    <w:rsid w:val="00872D5A"/>
    <w:rsid w:val="008748FE"/>
    <w:rsid w:val="00880208"/>
    <w:rsid w:val="00880709"/>
    <w:rsid w:val="00881EE9"/>
    <w:rsid w:val="00883BAA"/>
    <w:rsid w:val="008905EC"/>
    <w:rsid w:val="008B4354"/>
    <w:rsid w:val="008B59DF"/>
    <w:rsid w:val="008B73C2"/>
    <w:rsid w:val="008C0698"/>
    <w:rsid w:val="008C40A8"/>
    <w:rsid w:val="008D186B"/>
    <w:rsid w:val="008D4EE8"/>
    <w:rsid w:val="008D7567"/>
    <w:rsid w:val="008E172C"/>
    <w:rsid w:val="008E405B"/>
    <w:rsid w:val="008F28AA"/>
    <w:rsid w:val="0090143B"/>
    <w:rsid w:val="00902C2A"/>
    <w:rsid w:val="00904CA4"/>
    <w:rsid w:val="0093170A"/>
    <w:rsid w:val="009344AC"/>
    <w:rsid w:val="00942F94"/>
    <w:rsid w:val="00952782"/>
    <w:rsid w:val="0096113C"/>
    <w:rsid w:val="00962E5B"/>
    <w:rsid w:val="00963E8A"/>
    <w:rsid w:val="00965EB4"/>
    <w:rsid w:val="009736FA"/>
    <w:rsid w:val="00974995"/>
    <w:rsid w:val="00976210"/>
    <w:rsid w:val="0098388D"/>
    <w:rsid w:val="00993D73"/>
    <w:rsid w:val="009962EB"/>
    <w:rsid w:val="009A3210"/>
    <w:rsid w:val="009A4A42"/>
    <w:rsid w:val="009A5F73"/>
    <w:rsid w:val="009E0905"/>
    <w:rsid w:val="009E7631"/>
    <w:rsid w:val="009E7B90"/>
    <w:rsid w:val="009F6320"/>
    <w:rsid w:val="009F6AF5"/>
    <w:rsid w:val="00A10C1A"/>
    <w:rsid w:val="00A128B5"/>
    <w:rsid w:val="00A229A5"/>
    <w:rsid w:val="00A255F5"/>
    <w:rsid w:val="00A33D32"/>
    <w:rsid w:val="00A40D96"/>
    <w:rsid w:val="00A671CB"/>
    <w:rsid w:val="00A77F41"/>
    <w:rsid w:val="00A805A6"/>
    <w:rsid w:val="00A931D4"/>
    <w:rsid w:val="00AA51C6"/>
    <w:rsid w:val="00AC6346"/>
    <w:rsid w:val="00AD10E6"/>
    <w:rsid w:val="00AE1340"/>
    <w:rsid w:val="00AE42A7"/>
    <w:rsid w:val="00AE5B4A"/>
    <w:rsid w:val="00AE5D7D"/>
    <w:rsid w:val="00AF3B3C"/>
    <w:rsid w:val="00B00BD6"/>
    <w:rsid w:val="00B07570"/>
    <w:rsid w:val="00B14FAD"/>
    <w:rsid w:val="00B20E4D"/>
    <w:rsid w:val="00B27B48"/>
    <w:rsid w:val="00B341F0"/>
    <w:rsid w:val="00B40C22"/>
    <w:rsid w:val="00B45371"/>
    <w:rsid w:val="00B61DD9"/>
    <w:rsid w:val="00B7759F"/>
    <w:rsid w:val="00B779DA"/>
    <w:rsid w:val="00B80FE4"/>
    <w:rsid w:val="00B81C1C"/>
    <w:rsid w:val="00B832C7"/>
    <w:rsid w:val="00BA07F0"/>
    <w:rsid w:val="00BA5739"/>
    <w:rsid w:val="00BA6714"/>
    <w:rsid w:val="00BA6A67"/>
    <w:rsid w:val="00BC3A1F"/>
    <w:rsid w:val="00BC4D63"/>
    <w:rsid w:val="00BC5CC1"/>
    <w:rsid w:val="00BC74EA"/>
    <w:rsid w:val="00BD17CA"/>
    <w:rsid w:val="00BD65A8"/>
    <w:rsid w:val="00BD6C6F"/>
    <w:rsid w:val="00BE1545"/>
    <w:rsid w:val="00BF09F3"/>
    <w:rsid w:val="00C05548"/>
    <w:rsid w:val="00C11475"/>
    <w:rsid w:val="00C135B2"/>
    <w:rsid w:val="00C41608"/>
    <w:rsid w:val="00C43FB0"/>
    <w:rsid w:val="00C45D9F"/>
    <w:rsid w:val="00C47499"/>
    <w:rsid w:val="00C52BF4"/>
    <w:rsid w:val="00C60621"/>
    <w:rsid w:val="00C93600"/>
    <w:rsid w:val="00CA1620"/>
    <w:rsid w:val="00CA7CF5"/>
    <w:rsid w:val="00CB21FC"/>
    <w:rsid w:val="00CB38E4"/>
    <w:rsid w:val="00CB3C62"/>
    <w:rsid w:val="00CB5A10"/>
    <w:rsid w:val="00CC0889"/>
    <w:rsid w:val="00CC4B22"/>
    <w:rsid w:val="00CC5A19"/>
    <w:rsid w:val="00CE6B07"/>
    <w:rsid w:val="00CF3752"/>
    <w:rsid w:val="00CF5500"/>
    <w:rsid w:val="00D0558A"/>
    <w:rsid w:val="00D11E62"/>
    <w:rsid w:val="00D13191"/>
    <w:rsid w:val="00D235C1"/>
    <w:rsid w:val="00D2666C"/>
    <w:rsid w:val="00D464B3"/>
    <w:rsid w:val="00D576B1"/>
    <w:rsid w:val="00D57B9A"/>
    <w:rsid w:val="00D608C0"/>
    <w:rsid w:val="00D63077"/>
    <w:rsid w:val="00D634B1"/>
    <w:rsid w:val="00D64556"/>
    <w:rsid w:val="00D64AE1"/>
    <w:rsid w:val="00D717B8"/>
    <w:rsid w:val="00D97BAA"/>
    <w:rsid w:val="00DA62E7"/>
    <w:rsid w:val="00DC284C"/>
    <w:rsid w:val="00DC4541"/>
    <w:rsid w:val="00DC66A3"/>
    <w:rsid w:val="00DD1530"/>
    <w:rsid w:val="00DD4F45"/>
    <w:rsid w:val="00DD7D78"/>
    <w:rsid w:val="00DE6152"/>
    <w:rsid w:val="00DF63C2"/>
    <w:rsid w:val="00E02160"/>
    <w:rsid w:val="00E11954"/>
    <w:rsid w:val="00E13C87"/>
    <w:rsid w:val="00E171DB"/>
    <w:rsid w:val="00E17648"/>
    <w:rsid w:val="00E22E84"/>
    <w:rsid w:val="00E25C8C"/>
    <w:rsid w:val="00E3448F"/>
    <w:rsid w:val="00E357E3"/>
    <w:rsid w:val="00E5248A"/>
    <w:rsid w:val="00E71A60"/>
    <w:rsid w:val="00E72142"/>
    <w:rsid w:val="00E9102B"/>
    <w:rsid w:val="00E9583F"/>
    <w:rsid w:val="00EA016A"/>
    <w:rsid w:val="00EB0960"/>
    <w:rsid w:val="00EB42F3"/>
    <w:rsid w:val="00EB60B2"/>
    <w:rsid w:val="00ED26BB"/>
    <w:rsid w:val="00ED3881"/>
    <w:rsid w:val="00ED4F92"/>
    <w:rsid w:val="00EE7958"/>
    <w:rsid w:val="00EF16FF"/>
    <w:rsid w:val="00EF59D3"/>
    <w:rsid w:val="00F12654"/>
    <w:rsid w:val="00F14E7E"/>
    <w:rsid w:val="00F15D7E"/>
    <w:rsid w:val="00F16DB1"/>
    <w:rsid w:val="00F22693"/>
    <w:rsid w:val="00F23881"/>
    <w:rsid w:val="00F2447C"/>
    <w:rsid w:val="00F40337"/>
    <w:rsid w:val="00F458DC"/>
    <w:rsid w:val="00F51CFF"/>
    <w:rsid w:val="00F62EBC"/>
    <w:rsid w:val="00F76805"/>
    <w:rsid w:val="00F96700"/>
    <w:rsid w:val="00F96D46"/>
    <w:rsid w:val="00F97365"/>
    <w:rsid w:val="00FA679F"/>
    <w:rsid w:val="00FD181D"/>
    <w:rsid w:val="00FE0002"/>
    <w:rsid w:val="00FE2F14"/>
    <w:rsid w:val="00FF4E10"/>
    <w:rsid w:val="0100390C"/>
    <w:rsid w:val="010333FC"/>
    <w:rsid w:val="01042CD0"/>
    <w:rsid w:val="010C0502"/>
    <w:rsid w:val="01154EDD"/>
    <w:rsid w:val="012D0479"/>
    <w:rsid w:val="013712F7"/>
    <w:rsid w:val="014A2DD9"/>
    <w:rsid w:val="01541EA9"/>
    <w:rsid w:val="015772A4"/>
    <w:rsid w:val="015B6D94"/>
    <w:rsid w:val="016043AA"/>
    <w:rsid w:val="016519C1"/>
    <w:rsid w:val="016D6AC7"/>
    <w:rsid w:val="01791910"/>
    <w:rsid w:val="018362EB"/>
    <w:rsid w:val="019B3634"/>
    <w:rsid w:val="01A26771"/>
    <w:rsid w:val="01B2185F"/>
    <w:rsid w:val="01C761D7"/>
    <w:rsid w:val="01D17056"/>
    <w:rsid w:val="01E52B01"/>
    <w:rsid w:val="01FD609D"/>
    <w:rsid w:val="02025461"/>
    <w:rsid w:val="02056D00"/>
    <w:rsid w:val="02184C85"/>
    <w:rsid w:val="021B6523"/>
    <w:rsid w:val="0224187C"/>
    <w:rsid w:val="0224362A"/>
    <w:rsid w:val="022B0E5C"/>
    <w:rsid w:val="023D293E"/>
    <w:rsid w:val="024C492F"/>
    <w:rsid w:val="024C688A"/>
    <w:rsid w:val="024E06A7"/>
    <w:rsid w:val="025D08EA"/>
    <w:rsid w:val="02647ECA"/>
    <w:rsid w:val="026659F0"/>
    <w:rsid w:val="02691984"/>
    <w:rsid w:val="026E2AF7"/>
    <w:rsid w:val="0270686F"/>
    <w:rsid w:val="027345B1"/>
    <w:rsid w:val="0281653D"/>
    <w:rsid w:val="028D5673"/>
    <w:rsid w:val="02902A6D"/>
    <w:rsid w:val="029307AF"/>
    <w:rsid w:val="02A05E21"/>
    <w:rsid w:val="02A46519"/>
    <w:rsid w:val="02A8425B"/>
    <w:rsid w:val="02A93B2F"/>
    <w:rsid w:val="02C40969"/>
    <w:rsid w:val="02C62933"/>
    <w:rsid w:val="02C95F7F"/>
    <w:rsid w:val="02D212D8"/>
    <w:rsid w:val="02D97086"/>
    <w:rsid w:val="02DE5ECF"/>
    <w:rsid w:val="02FA438B"/>
    <w:rsid w:val="02FE20CD"/>
    <w:rsid w:val="03060F81"/>
    <w:rsid w:val="030A0A72"/>
    <w:rsid w:val="03127926"/>
    <w:rsid w:val="031418F0"/>
    <w:rsid w:val="03144708"/>
    <w:rsid w:val="031713E0"/>
    <w:rsid w:val="03174F3D"/>
    <w:rsid w:val="031C07A5"/>
    <w:rsid w:val="031C2553"/>
    <w:rsid w:val="03253AFD"/>
    <w:rsid w:val="032C4E8C"/>
    <w:rsid w:val="03353615"/>
    <w:rsid w:val="034B2E38"/>
    <w:rsid w:val="034C108A"/>
    <w:rsid w:val="03595555"/>
    <w:rsid w:val="036363D4"/>
    <w:rsid w:val="036D2DAF"/>
    <w:rsid w:val="036F6B27"/>
    <w:rsid w:val="03726617"/>
    <w:rsid w:val="0374238F"/>
    <w:rsid w:val="03773C2D"/>
    <w:rsid w:val="03792426"/>
    <w:rsid w:val="0385459C"/>
    <w:rsid w:val="03870314"/>
    <w:rsid w:val="0388408C"/>
    <w:rsid w:val="03B86720"/>
    <w:rsid w:val="03C54999"/>
    <w:rsid w:val="03CC3F79"/>
    <w:rsid w:val="03CF5817"/>
    <w:rsid w:val="03E05C76"/>
    <w:rsid w:val="03E2554B"/>
    <w:rsid w:val="03E272F9"/>
    <w:rsid w:val="03E80687"/>
    <w:rsid w:val="03F359AA"/>
    <w:rsid w:val="040000C7"/>
    <w:rsid w:val="04025BED"/>
    <w:rsid w:val="04137DFA"/>
    <w:rsid w:val="04180F6C"/>
    <w:rsid w:val="041871BE"/>
    <w:rsid w:val="04194CE4"/>
    <w:rsid w:val="041A1188"/>
    <w:rsid w:val="041F679F"/>
    <w:rsid w:val="04221DEB"/>
    <w:rsid w:val="04293179"/>
    <w:rsid w:val="04363AE8"/>
    <w:rsid w:val="043D4E77"/>
    <w:rsid w:val="0442423B"/>
    <w:rsid w:val="044B7594"/>
    <w:rsid w:val="044E0E32"/>
    <w:rsid w:val="04620439"/>
    <w:rsid w:val="04697A1A"/>
    <w:rsid w:val="047343F5"/>
    <w:rsid w:val="0475016D"/>
    <w:rsid w:val="04912D27"/>
    <w:rsid w:val="04B62533"/>
    <w:rsid w:val="04B769D7"/>
    <w:rsid w:val="04C17856"/>
    <w:rsid w:val="04C630A7"/>
    <w:rsid w:val="04C9495C"/>
    <w:rsid w:val="04D01847"/>
    <w:rsid w:val="04DB7527"/>
    <w:rsid w:val="04DC4690"/>
    <w:rsid w:val="04DF0FED"/>
    <w:rsid w:val="04EE6171"/>
    <w:rsid w:val="04F03C97"/>
    <w:rsid w:val="04FC088E"/>
    <w:rsid w:val="04FE4606"/>
    <w:rsid w:val="04FF3EDA"/>
    <w:rsid w:val="05081719"/>
    <w:rsid w:val="050B287F"/>
    <w:rsid w:val="05104339"/>
    <w:rsid w:val="051A51B8"/>
    <w:rsid w:val="051F457C"/>
    <w:rsid w:val="05355B4E"/>
    <w:rsid w:val="053A3164"/>
    <w:rsid w:val="053F077B"/>
    <w:rsid w:val="0548762F"/>
    <w:rsid w:val="05597A8E"/>
    <w:rsid w:val="056106F1"/>
    <w:rsid w:val="056621AB"/>
    <w:rsid w:val="056D52E8"/>
    <w:rsid w:val="057A48CB"/>
    <w:rsid w:val="05860158"/>
    <w:rsid w:val="058A5E9A"/>
    <w:rsid w:val="05972365"/>
    <w:rsid w:val="05A14F91"/>
    <w:rsid w:val="05A36F5B"/>
    <w:rsid w:val="05B253F0"/>
    <w:rsid w:val="05B2719F"/>
    <w:rsid w:val="05BE3D95"/>
    <w:rsid w:val="05C84C14"/>
    <w:rsid w:val="05CA098C"/>
    <w:rsid w:val="05D03D42"/>
    <w:rsid w:val="05D15877"/>
    <w:rsid w:val="05D610DF"/>
    <w:rsid w:val="05EA4B8A"/>
    <w:rsid w:val="05ED01D7"/>
    <w:rsid w:val="05F11A75"/>
    <w:rsid w:val="05F72E03"/>
    <w:rsid w:val="0603741A"/>
    <w:rsid w:val="0607573C"/>
    <w:rsid w:val="060774EA"/>
    <w:rsid w:val="06113EC5"/>
    <w:rsid w:val="061E65E2"/>
    <w:rsid w:val="06257970"/>
    <w:rsid w:val="062C0CFF"/>
    <w:rsid w:val="062E4A77"/>
    <w:rsid w:val="063127B9"/>
    <w:rsid w:val="063B3638"/>
    <w:rsid w:val="06400C4E"/>
    <w:rsid w:val="06420522"/>
    <w:rsid w:val="064424ED"/>
    <w:rsid w:val="06497B03"/>
    <w:rsid w:val="064A387B"/>
    <w:rsid w:val="066309FF"/>
    <w:rsid w:val="067F1777"/>
    <w:rsid w:val="069074E0"/>
    <w:rsid w:val="06936FD0"/>
    <w:rsid w:val="0694782D"/>
    <w:rsid w:val="06976AC0"/>
    <w:rsid w:val="06A42F8B"/>
    <w:rsid w:val="06A74829"/>
    <w:rsid w:val="06A92350"/>
    <w:rsid w:val="06B058C5"/>
    <w:rsid w:val="06B331CE"/>
    <w:rsid w:val="06B70F10"/>
    <w:rsid w:val="06B86A37"/>
    <w:rsid w:val="06BF6017"/>
    <w:rsid w:val="06D51397"/>
    <w:rsid w:val="06DD024B"/>
    <w:rsid w:val="06E25862"/>
    <w:rsid w:val="06FF01C2"/>
    <w:rsid w:val="070E2AFA"/>
    <w:rsid w:val="07153E89"/>
    <w:rsid w:val="07195F0C"/>
    <w:rsid w:val="071C5217"/>
    <w:rsid w:val="071F2612"/>
    <w:rsid w:val="072A7934"/>
    <w:rsid w:val="07300CC3"/>
    <w:rsid w:val="0748600C"/>
    <w:rsid w:val="07506C6F"/>
    <w:rsid w:val="075449B1"/>
    <w:rsid w:val="075B5D40"/>
    <w:rsid w:val="075C3866"/>
    <w:rsid w:val="07610F29"/>
    <w:rsid w:val="076369A2"/>
    <w:rsid w:val="076562D9"/>
    <w:rsid w:val="0766313B"/>
    <w:rsid w:val="076F17EB"/>
    <w:rsid w:val="076F5347"/>
    <w:rsid w:val="07702E6D"/>
    <w:rsid w:val="077741FC"/>
    <w:rsid w:val="077E37DC"/>
    <w:rsid w:val="07830DF3"/>
    <w:rsid w:val="078608E3"/>
    <w:rsid w:val="078D3A1F"/>
    <w:rsid w:val="0799745A"/>
    <w:rsid w:val="079B25E0"/>
    <w:rsid w:val="079D243D"/>
    <w:rsid w:val="07A174CB"/>
    <w:rsid w:val="07B05960"/>
    <w:rsid w:val="07B45450"/>
    <w:rsid w:val="07BB058C"/>
    <w:rsid w:val="07C5765D"/>
    <w:rsid w:val="07D23B28"/>
    <w:rsid w:val="07DE071F"/>
    <w:rsid w:val="07E15B19"/>
    <w:rsid w:val="07EC2E3C"/>
    <w:rsid w:val="07ED0962"/>
    <w:rsid w:val="07EF46DA"/>
    <w:rsid w:val="07F65A68"/>
    <w:rsid w:val="07F92E63"/>
    <w:rsid w:val="07FF744E"/>
    <w:rsid w:val="08002443"/>
    <w:rsid w:val="08057A5A"/>
    <w:rsid w:val="080F2686"/>
    <w:rsid w:val="08122176"/>
    <w:rsid w:val="081B102B"/>
    <w:rsid w:val="081D44E6"/>
    <w:rsid w:val="081E6D6D"/>
    <w:rsid w:val="08236132"/>
    <w:rsid w:val="086230FE"/>
    <w:rsid w:val="08670714"/>
    <w:rsid w:val="0869623A"/>
    <w:rsid w:val="087B41C0"/>
    <w:rsid w:val="08844E22"/>
    <w:rsid w:val="088840F9"/>
    <w:rsid w:val="0889068B"/>
    <w:rsid w:val="089808CE"/>
    <w:rsid w:val="089F7EAE"/>
    <w:rsid w:val="08AF5C17"/>
    <w:rsid w:val="08B84ACC"/>
    <w:rsid w:val="08BB280E"/>
    <w:rsid w:val="08C96CD9"/>
    <w:rsid w:val="08CB2A51"/>
    <w:rsid w:val="08D15B8E"/>
    <w:rsid w:val="08DD2784"/>
    <w:rsid w:val="08EB6C4F"/>
    <w:rsid w:val="08EE04EE"/>
    <w:rsid w:val="08F57ACE"/>
    <w:rsid w:val="08F61060"/>
    <w:rsid w:val="08FB2C0B"/>
    <w:rsid w:val="08FC0E5C"/>
    <w:rsid w:val="09012917"/>
    <w:rsid w:val="090146C5"/>
    <w:rsid w:val="09016473"/>
    <w:rsid w:val="090B72F2"/>
    <w:rsid w:val="091268D2"/>
    <w:rsid w:val="09137F54"/>
    <w:rsid w:val="0915377C"/>
    <w:rsid w:val="09246605"/>
    <w:rsid w:val="09267C87"/>
    <w:rsid w:val="09273A00"/>
    <w:rsid w:val="092C1016"/>
    <w:rsid w:val="092E1232"/>
    <w:rsid w:val="09377D33"/>
    <w:rsid w:val="093D1475"/>
    <w:rsid w:val="09526CCE"/>
    <w:rsid w:val="09532A47"/>
    <w:rsid w:val="09630EDC"/>
    <w:rsid w:val="09750C0F"/>
    <w:rsid w:val="097C3D4B"/>
    <w:rsid w:val="098470A4"/>
    <w:rsid w:val="09863240"/>
    <w:rsid w:val="098A290C"/>
    <w:rsid w:val="099472E7"/>
    <w:rsid w:val="099866AB"/>
    <w:rsid w:val="099A2423"/>
    <w:rsid w:val="09AA6B0A"/>
    <w:rsid w:val="09BE6112"/>
    <w:rsid w:val="09C86F91"/>
    <w:rsid w:val="09CD0A4B"/>
    <w:rsid w:val="09ED69F7"/>
    <w:rsid w:val="09F77876"/>
    <w:rsid w:val="0A0106F5"/>
    <w:rsid w:val="0A081A83"/>
    <w:rsid w:val="0A0F696E"/>
    <w:rsid w:val="0A110938"/>
    <w:rsid w:val="0A157CFC"/>
    <w:rsid w:val="0A171CC6"/>
    <w:rsid w:val="0A195A3E"/>
    <w:rsid w:val="0A2F0DBE"/>
    <w:rsid w:val="0A334D52"/>
    <w:rsid w:val="0A4725AB"/>
    <w:rsid w:val="0A4F76B2"/>
    <w:rsid w:val="0A590531"/>
    <w:rsid w:val="0A5E16A3"/>
    <w:rsid w:val="0A782765"/>
    <w:rsid w:val="0A79472F"/>
    <w:rsid w:val="0A84735B"/>
    <w:rsid w:val="0A8A06EA"/>
    <w:rsid w:val="0A9357F1"/>
    <w:rsid w:val="0A9652E1"/>
    <w:rsid w:val="0A982E07"/>
    <w:rsid w:val="0AA20035"/>
    <w:rsid w:val="0AA95014"/>
    <w:rsid w:val="0AB3379D"/>
    <w:rsid w:val="0AB85257"/>
    <w:rsid w:val="0ABD461B"/>
    <w:rsid w:val="0AC77248"/>
    <w:rsid w:val="0AC8421B"/>
    <w:rsid w:val="0ACE6829"/>
    <w:rsid w:val="0ACF434F"/>
    <w:rsid w:val="0AD21468"/>
    <w:rsid w:val="0AD96F7B"/>
    <w:rsid w:val="0ADF4592"/>
    <w:rsid w:val="0AE30D6F"/>
    <w:rsid w:val="0AE95411"/>
    <w:rsid w:val="0AEE2A27"/>
    <w:rsid w:val="0AF12517"/>
    <w:rsid w:val="0AF3003D"/>
    <w:rsid w:val="0AFB5144"/>
    <w:rsid w:val="0B0E30C9"/>
    <w:rsid w:val="0B1B1342"/>
    <w:rsid w:val="0B204882"/>
    <w:rsid w:val="0B225FBF"/>
    <w:rsid w:val="0B316DB7"/>
    <w:rsid w:val="0B3C7C36"/>
    <w:rsid w:val="0B4474F0"/>
    <w:rsid w:val="0B510EC7"/>
    <w:rsid w:val="0B550CF8"/>
    <w:rsid w:val="0B5A00BC"/>
    <w:rsid w:val="0B5F1B77"/>
    <w:rsid w:val="0B626F71"/>
    <w:rsid w:val="0B756CA4"/>
    <w:rsid w:val="0B8415DD"/>
    <w:rsid w:val="0B892750"/>
    <w:rsid w:val="0B896BF3"/>
    <w:rsid w:val="0B996E37"/>
    <w:rsid w:val="0B9E269F"/>
    <w:rsid w:val="0B9E444D"/>
    <w:rsid w:val="0BA852CC"/>
    <w:rsid w:val="0BBA0B5B"/>
    <w:rsid w:val="0BC1319E"/>
    <w:rsid w:val="0BC47C2C"/>
    <w:rsid w:val="0BC65752"/>
    <w:rsid w:val="0BCB2D68"/>
    <w:rsid w:val="0BCB4B16"/>
    <w:rsid w:val="0BD8750F"/>
    <w:rsid w:val="0BDB255D"/>
    <w:rsid w:val="0BE61950"/>
    <w:rsid w:val="0BE91440"/>
    <w:rsid w:val="0BF24799"/>
    <w:rsid w:val="0C085D6A"/>
    <w:rsid w:val="0C1110C3"/>
    <w:rsid w:val="0C131071"/>
    <w:rsid w:val="0C142961"/>
    <w:rsid w:val="0C175FAD"/>
    <w:rsid w:val="0C1E10EA"/>
    <w:rsid w:val="0C1E733C"/>
    <w:rsid w:val="0C2A044F"/>
    <w:rsid w:val="0C3B6140"/>
    <w:rsid w:val="0C4843B9"/>
    <w:rsid w:val="0C4A1EDF"/>
    <w:rsid w:val="0C525237"/>
    <w:rsid w:val="0C550884"/>
    <w:rsid w:val="0C5745FC"/>
    <w:rsid w:val="0C6531BD"/>
    <w:rsid w:val="0C760F26"/>
    <w:rsid w:val="0C825B1D"/>
    <w:rsid w:val="0C931AD8"/>
    <w:rsid w:val="0C937D2A"/>
    <w:rsid w:val="0C9870EE"/>
    <w:rsid w:val="0CA535B9"/>
    <w:rsid w:val="0CB33F28"/>
    <w:rsid w:val="0CBB2DDD"/>
    <w:rsid w:val="0CBD4DA7"/>
    <w:rsid w:val="0CBE3ADF"/>
    <w:rsid w:val="0CC04897"/>
    <w:rsid w:val="0CC25F19"/>
    <w:rsid w:val="0CC954FA"/>
    <w:rsid w:val="0CCA3020"/>
    <w:rsid w:val="0CCF4ADA"/>
    <w:rsid w:val="0CCF6888"/>
    <w:rsid w:val="0CD22280"/>
    <w:rsid w:val="0CDA7707"/>
    <w:rsid w:val="0CDB347F"/>
    <w:rsid w:val="0CE40585"/>
    <w:rsid w:val="0CE57E5A"/>
    <w:rsid w:val="0CE73BD2"/>
    <w:rsid w:val="0CE95936"/>
    <w:rsid w:val="0CF956B3"/>
    <w:rsid w:val="0CFD1647"/>
    <w:rsid w:val="0D006A41"/>
    <w:rsid w:val="0D054058"/>
    <w:rsid w:val="0D1B387B"/>
    <w:rsid w:val="0D2B61B4"/>
    <w:rsid w:val="0D314E4D"/>
    <w:rsid w:val="0D32523E"/>
    <w:rsid w:val="0D3861DB"/>
    <w:rsid w:val="0D3C216F"/>
    <w:rsid w:val="0D4032E2"/>
    <w:rsid w:val="0D4234FE"/>
    <w:rsid w:val="0D4508F8"/>
    <w:rsid w:val="0D461432"/>
    <w:rsid w:val="0D4B4161"/>
    <w:rsid w:val="0D4C1C87"/>
    <w:rsid w:val="0D5079C9"/>
    <w:rsid w:val="0D5A25F6"/>
    <w:rsid w:val="0D5A43A4"/>
    <w:rsid w:val="0D6671EC"/>
    <w:rsid w:val="0D682F64"/>
    <w:rsid w:val="0D7336B7"/>
    <w:rsid w:val="0D7D0092"/>
    <w:rsid w:val="0D7F205C"/>
    <w:rsid w:val="0D814026"/>
    <w:rsid w:val="0D841421"/>
    <w:rsid w:val="0D8E6743"/>
    <w:rsid w:val="0D933D59"/>
    <w:rsid w:val="0D98311E"/>
    <w:rsid w:val="0D991370"/>
    <w:rsid w:val="0D9C2C0E"/>
    <w:rsid w:val="0DA10224"/>
    <w:rsid w:val="0DA864B6"/>
    <w:rsid w:val="0DB02216"/>
    <w:rsid w:val="0DB8731C"/>
    <w:rsid w:val="0DBF4B4E"/>
    <w:rsid w:val="0DC64C17"/>
    <w:rsid w:val="0DD04666"/>
    <w:rsid w:val="0DD73C46"/>
    <w:rsid w:val="0DD95C10"/>
    <w:rsid w:val="0DEE2D3E"/>
    <w:rsid w:val="0DF04D08"/>
    <w:rsid w:val="0DF447F8"/>
    <w:rsid w:val="0E034A3B"/>
    <w:rsid w:val="0E0407B3"/>
    <w:rsid w:val="0E083E00"/>
    <w:rsid w:val="0E0B1B42"/>
    <w:rsid w:val="0E0F1632"/>
    <w:rsid w:val="0E0F5672"/>
    <w:rsid w:val="0E100F06"/>
    <w:rsid w:val="0E1529C0"/>
    <w:rsid w:val="0E216CB2"/>
    <w:rsid w:val="0E2B3F92"/>
    <w:rsid w:val="0E2F3A82"/>
    <w:rsid w:val="0E3015A8"/>
    <w:rsid w:val="0E455054"/>
    <w:rsid w:val="0E484B44"/>
    <w:rsid w:val="0E4868F2"/>
    <w:rsid w:val="0E5434E9"/>
    <w:rsid w:val="0E5C1D0F"/>
    <w:rsid w:val="0E664FCA"/>
    <w:rsid w:val="0E6A2D0C"/>
    <w:rsid w:val="0E6B438E"/>
    <w:rsid w:val="0E7E40C2"/>
    <w:rsid w:val="0E8370C7"/>
    <w:rsid w:val="0E87741A"/>
    <w:rsid w:val="0E9438E5"/>
    <w:rsid w:val="0E9B1118"/>
    <w:rsid w:val="0EA855E3"/>
    <w:rsid w:val="0EAA3109"/>
    <w:rsid w:val="0EB6385C"/>
    <w:rsid w:val="0EBC4BEA"/>
    <w:rsid w:val="0EC75A69"/>
    <w:rsid w:val="0EC817E1"/>
    <w:rsid w:val="0ECA5559"/>
    <w:rsid w:val="0ECD1618"/>
    <w:rsid w:val="0ECF0DC1"/>
    <w:rsid w:val="0ED10695"/>
    <w:rsid w:val="0ED20405"/>
    <w:rsid w:val="0EFB1BB6"/>
    <w:rsid w:val="0EFD76DC"/>
    <w:rsid w:val="0EFE5203"/>
    <w:rsid w:val="0F0071CD"/>
    <w:rsid w:val="0F032819"/>
    <w:rsid w:val="0F1113DA"/>
    <w:rsid w:val="0F242EBB"/>
    <w:rsid w:val="0F3330FE"/>
    <w:rsid w:val="0F3D3F7D"/>
    <w:rsid w:val="0F3D5D2B"/>
    <w:rsid w:val="0F3F1AA3"/>
    <w:rsid w:val="0F421593"/>
    <w:rsid w:val="0F44355D"/>
    <w:rsid w:val="0F4C5A29"/>
    <w:rsid w:val="0F4C6A04"/>
    <w:rsid w:val="0F672DA8"/>
    <w:rsid w:val="0F735BF1"/>
    <w:rsid w:val="0F76123D"/>
    <w:rsid w:val="0F7A0D2D"/>
    <w:rsid w:val="0F7A2ADB"/>
    <w:rsid w:val="0F7B4AA5"/>
    <w:rsid w:val="0F7F00F1"/>
    <w:rsid w:val="0F7F4595"/>
    <w:rsid w:val="0F81030D"/>
    <w:rsid w:val="0F825E34"/>
    <w:rsid w:val="0F827BE2"/>
    <w:rsid w:val="0F917E25"/>
    <w:rsid w:val="0F96368D"/>
    <w:rsid w:val="0F9C5147"/>
    <w:rsid w:val="0F9D4A1B"/>
    <w:rsid w:val="0F9F0794"/>
    <w:rsid w:val="0FA933C0"/>
    <w:rsid w:val="0FA94FB4"/>
    <w:rsid w:val="0FAE6C29"/>
    <w:rsid w:val="0FB029A1"/>
    <w:rsid w:val="0FBA55CD"/>
    <w:rsid w:val="0FD03043"/>
    <w:rsid w:val="0FD7617F"/>
    <w:rsid w:val="0FE12B5A"/>
    <w:rsid w:val="0FE64614"/>
    <w:rsid w:val="0FED59A3"/>
    <w:rsid w:val="0FF00C1C"/>
    <w:rsid w:val="0FF02D9D"/>
    <w:rsid w:val="0FF3288D"/>
    <w:rsid w:val="0FF7412C"/>
    <w:rsid w:val="0FFF1232"/>
    <w:rsid w:val="101D790A"/>
    <w:rsid w:val="102313C5"/>
    <w:rsid w:val="1025513D"/>
    <w:rsid w:val="102A2753"/>
    <w:rsid w:val="10545A22"/>
    <w:rsid w:val="10594DE6"/>
    <w:rsid w:val="10596B94"/>
    <w:rsid w:val="105E035B"/>
    <w:rsid w:val="105F2D4E"/>
    <w:rsid w:val="106B4B1A"/>
    <w:rsid w:val="106D43EE"/>
    <w:rsid w:val="10797237"/>
    <w:rsid w:val="108341D3"/>
    <w:rsid w:val="109220A6"/>
    <w:rsid w:val="10945E1E"/>
    <w:rsid w:val="10A36062"/>
    <w:rsid w:val="10AB4F16"/>
    <w:rsid w:val="10AE35A2"/>
    <w:rsid w:val="10B4026F"/>
    <w:rsid w:val="10C500F9"/>
    <w:rsid w:val="10C81F6C"/>
    <w:rsid w:val="10DD5A17"/>
    <w:rsid w:val="10E02E12"/>
    <w:rsid w:val="10E16B8A"/>
    <w:rsid w:val="10E8616A"/>
    <w:rsid w:val="10EF2973"/>
    <w:rsid w:val="10EF574B"/>
    <w:rsid w:val="10F22B45"/>
    <w:rsid w:val="10F7015B"/>
    <w:rsid w:val="110765F0"/>
    <w:rsid w:val="110A60E1"/>
    <w:rsid w:val="11164A85"/>
    <w:rsid w:val="11205904"/>
    <w:rsid w:val="11292A0B"/>
    <w:rsid w:val="112A6783"/>
    <w:rsid w:val="11357601"/>
    <w:rsid w:val="114E06C3"/>
    <w:rsid w:val="114E2471"/>
    <w:rsid w:val="11567578"/>
    <w:rsid w:val="11574FD2"/>
    <w:rsid w:val="116E2B13"/>
    <w:rsid w:val="116F23E8"/>
    <w:rsid w:val="117143B2"/>
    <w:rsid w:val="1173012A"/>
    <w:rsid w:val="118440E5"/>
    <w:rsid w:val="118934A9"/>
    <w:rsid w:val="118C2F9A"/>
    <w:rsid w:val="118F39B2"/>
    <w:rsid w:val="11911FF2"/>
    <w:rsid w:val="11987B90"/>
    <w:rsid w:val="11A2456B"/>
    <w:rsid w:val="11AF44AC"/>
    <w:rsid w:val="11B04EDA"/>
    <w:rsid w:val="11B20C52"/>
    <w:rsid w:val="11BD3153"/>
    <w:rsid w:val="11CB1D14"/>
    <w:rsid w:val="11D34725"/>
    <w:rsid w:val="11E76422"/>
    <w:rsid w:val="11F12DFD"/>
    <w:rsid w:val="11F528ED"/>
    <w:rsid w:val="120B2110"/>
    <w:rsid w:val="12192A7F"/>
    <w:rsid w:val="122136E2"/>
    <w:rsid w:val="12232628"/>
    <w:rsid w:val="122B4561"/>
    <w:rsid w:val="12303925"/>
    <w:rsid w:val="123553DF"/>
    <w:rsid w:val="123C051C"/>
    <w:rsid w:val="123F5759"/>
    <w:rsid w:val="1255782F"/>
    <w:rsid w:val="125A6BF4"/>
    <w:rsid w:val="125C296C"/>
    <w:rsid w:val="12704669"/>
    <w:rsid w:val="1272218F"/>
    <w:rsid w:val="12753A2E"/>
    <w:rsid w:val="127A1044"/>
    <w:rsid w:val="127E6D86"/>
    <w:rsid w:val="127F665A"/>
    <w:rsid w:val="12883761"/>
    <w:rsid w:val="12972790"/>
    <w:rsid w:val="129739A4"/>
    <w:rsid w:val="12A14823"/>
    <w:rsid w:val="12A644BF"/>
    <w:rsid w:val="12AA36D7"/>
    <w:rsid w:val="12B02CB8"/>
    <w:rsid w:val="12BA7692"/>
    <w:rsid w:val="12BF0434"/>
    <w:rsid w:val="12C0739F"/>
    <w:rsid w:val="12C34799"/>
    <w:rsid w:val="12C549B5"/>
    <w:rsid w:val="12D40754"/>
    <w:rsid w:val="12E3308D"/>
    <w:rsid w:val="12E52961"/>
    <w:rsid w:val="12EC1F42"/>
    <w:rsid w:val="12F64B6E"/>
    <w:rsid w:val="13054DB2"/>
    <w:rsid w:val="13113756"/>
    <w:rsid w:val="13160D6D"/>
    <w:rsid w:val="131E40C5"/>
    <w:rsid w:val="13257202"/>
    <w:rsid w:val="132F270C"/>
    <w:rsid w:val="1331204B"/>
    <w:rsid w:val="13313DF9"/>
    <w:rsid w:val="133E2072"/>
    <w:rsid w:val="13405DEA"/>
    <w:rsid w:val="13533D6F"/>
    <w:rsid w:val="1356560D"/>
    <w:rsid w:val="135950FD"/>
    <w:rsid w:val="13655850"/>
    <w:rsid w:val="13743CE5"/>
    <w:rsid w:val="13806B2E"/>
    <w:rsid w:val="138228A6"/>
    <w:rsid w:val="138561F1"/>
    <w:rsid w:val="13857CA0"/>
    <w:rsid w:val="13914897"/>
    <w:rsid w:val="1394398D"/>
    <w:rsid w:val="1399374C"/>
    <w:rsid w:val="139A7BF0"/>
    <w:rsid w:val="139D184F"/>
    <w:rsid w:val="13A33B33"/>
    <w:rsid w:val="13A445CA"/>
    <w:rsid w:val="13AB3A56"/>
    <w:rsid w:val="13B10A95"/>
    <w:rsid w:val="13BD743A"/>
    <w:rsid w:val="13C54541"/>
    <w:rsid w:val="13CA1B57"/>
    <w:rsid w:val="13CC1D73"/>
    <w:rsid w:val="13CE7899"/>
    <w:rsid w:val="13E175CD"/>
    <w:rsid w:val="13E640E2"/>
    <w:rsid w:val="13E9022F"/>
    <w:rsid w:val="14025795"/>
    <w:rsid w:val="14065285"/>
    <w:rsid w:val="140E5EE8"/>
    <w:rsid w:val="14123C2A"/>
    <w:rsid w:val="14151024"/>
    <w:rsid w:val="142179C9"/>
    <w:rsid w:val="14270D58"/>
    <w:rsid w:val="14276FAA"/>
    <w:rsid w:val="142E0338"/>
    <w:rsid w:val="14302302"/>
    <w:rsid w:val="14324F46"/>
    <w:rsid w:val="14373691"/>
    <w:rsid w:val="143D67CD"/>
    <w:rsid w:val="14447B5C"/>
    <w:rsid w:val="1448764C"/>
    <w:rsid w:val="144933C4"/>
    <w:rsid w:val="144E2788"/>
    <w:rsid w:val="145004CF"/>
    <w:rsid w:val="145F04F1"/>
    <w:rsid w:val="14602C66"/>
    <w:rsid w:val="14612B95"/>
    <w:rsid w:val="146B50E8"/>
    <w:rsid w:val="146D70B2"/>
    <w:rsid w:val="146E6986"/>
    <w:rsid w:val="146F2E2A"/>
    <w:rsid w:val="14757D15"/>
    <w:rsid w:val="147C10A3"/>
    <w:rsid w:val="148B578A"/>
    <w:rsid w:val="149C7998"/>
    <w:rsid w:val="149D101A"/>
    <w:rsid w:val="14B60A59"/>
    <w:rsid w:val="14C12F5A"/>
    <w:rsid w:val="14C173FE"/>
    <w:rsid w:val="14CB3DD9"/>
    <w:rsid w:val="14E07884"/>
    <w:rsid w:val="14E32ED1"/>
    <w:rsid w:val="14E46C49"/>
    <w:rsid w:val="14E76E65"/>
    <w:rsid w:val="14ED768B"/>
    <w:rsid w:val="14EE1926"/>
    <w:rsid w:val="14F41582"/>
    <w:rsid w:val="14F448DE"/>
    <w:rsid w:val="14F72E20"/>
    <w:rsid w:val="14FB2910"/>
    <w:rsid w:val="14FB4921"/>
    <w:rsid w:val="14FC0436"/>
    <w:rsid w:val="150C0679"/>
    <w:rsid w:val="15156B6F"/>
    <w:rsid w:val="152139F9"/>
    <w:rsid w:val="152F4368"/>
    <w:rsid w:val="15406575"/>
    <w:rsid w:val="154A73F4"/>
    <w:rsid w:val="154D47EE"/>
    <w:rsid w:val="155D0ED5"/>
    <w:rsid w:val="15612B32"/>
    <w:rsid w:val="15793835"/>
    <w:rsid w:val="15842905"/>
    <w:rsid w:val="15897F1C"/>
    <w:rsid w:val="159348F7"/>
    <w:rsid w:val="15A24B3A"/>
    <w:rsid w:val="15AF54A9"/>
    <w:rsid w:val="15AF6136"/>
    <w:rsid w:val="15B11221"/>
    <w:rsid w:val="15B163F0"/>
    <w:rsid w:val="15B8435D"/>
    <w:rsid w:val="15C50828"/>
    <w:rsid w:val="15D32F45"/>
    <w:rsid w:val="15DA2525"/>
    <w:rsid w:val="15DD2016"/>
    <w:rsid w:val="15ED7568"/>
    <w:rsid w:val="15F630D7"/>
    <w:rsid w:val="15FF3D3A"/>
    <w:rsid w:val="1606156C"/>
    <w:rsid w:val="16132CC4"/>
    <w:rsid w:val="161377E5"/>
    <w:rsid w:val="16161084"/>
    <w:rsid w:val="16223083"/>
    <w:rsid w:val="164B51D1"/>
    <w:rsid w:val="16500A3A"/>
    <w:rsid w:val="165D6CB3"/>
    <w:rsid w:val="165E4F6A"/>
    <w:rsid w:val="1664769B"/>
    <w:rsid w:val="166D15EC"/>
    <w:rsid w:val="16704C38"/>
    <w:rsid w:val="167504A0"/>
    <w:rsid w:val="16827E53"/>
    <w:rsid w:val="168D7598"/>
    <w:rsid w:val="16921052"/>
    <w:rsid w:val="169C77DB"/>
    <w:rsid w:val="16AA639C"/>
    <w:rsid w:val="16AB2114"/>
    <w:rsid w:val="16AD4750"/>
    <w:rsid w:val="16B014D8"/>
    <w:rsid w:val="16B72867"/>
    <w:rsid w:val="16B965DF"/>
    <w:rsid w:val="16C84A74"/>
    <w:rsid w:val="16CD3E38"/>
    <w:rsid w:val="16D276A1"/>
    <w:rsid w:val="16EB0762"/>
    <w:rsid w:val="16FE0496"/>
    <w:rsid w:val="170610F8"/>
    <w:rsid w:val="1706734A"/>
    <w:rsid w:val="170D06D9"/>
    <w:rsid w:val="170F26A3"/>
    <w:rsid w:val="171A4BA4"/>
    <w:rsid w:val="171E6442"/>
    <w:rsid w:val="171F505E"/>
    <w:rsid w:val="17215F32"/>
    <w:rsid w:val="172577D0"/>
    <w:rsid w:val="172A3039"/>
    <w:rsid w:val="17375756"/>
    <w:rsid w:val="173914CE"/>
    <w:rsid w:val="173B5246"/>
    <w:rsid w:val="17451C21"/>
    <w:rsid w:val="1763479D"/>
    <w:rsid w:val="17773DA4"/>
    <w:rsid w:val="17852965"/>
    <w:rsid w:val="178A795A"/>
    <w:rsid w:val="178D1819"/>
    <w:rsid w:val="178F7340"/>
    <w:rsid w:val="17966920"/>
    <w:rsid w:val="179901BE"/>
    <w:rsid w:val="17991F6C"/>
    <w:rsid w:val="179B7A92"/>
    <w:rsid w:val="179D7CAF"/>
    <w:rsid w:val="17A10E21"/>
    <w:rsid w:val="17A70B2D"/>
    <w:rsid w:val="17A821AF"/>
    <w:rsid w:val="17AD5A18"/>
    <w:rsid w:val="17B374D2"/>
    <w:rsid w:val="17B40B54"/>
    <w:rsid w:val="17B648CC"/>
    <w:rsid w:val="17BF2702"/>
    <w:rsid w:val="17D15BAA"/>
    <w:rsid w:val="17E4768B"/>
    <w:rsid w:val="17E51656"/>
    <w:rsid w:val="17E72CD8"/>
    <w:rsid w:val="17FB49D5"/>
    <w:rsid w:val="17FB6783"/>
    <w:rsid w:val="180970F2"/>
    <w:rsid w:val="180E4708"/>
    <w:rsid w:val="18100480"/>
    <w:rsid w:val="181141F9"/>
    <w:rsid w:val="1816180F"/>
    <w:rsid w:val="1820443C"/>
    <w:rsid w:val="1821268E"/>
    <w:rsid w:val="182C1032"/>
    <w:rsid w:val="185145F5"/>
    <w:rsid w:val="18543B9A"/>
    <w:rsid w:val="185D2F9A"/>
    <w:rsid w:val="18610CDC"/>
    <w:rsid w:val="186662F2"/>
    <w:rsid w:val="186802BC"/>
    <w:rsid w:val="18714C97"/>
    <w:rsid w:val="187A3B4C"/>
    <w:rsid w:val="187D53EA"/>
    <w:rsid w:val="188026EA"/>
    <w:rsid w:val="188D1AD1"/>
    <w:rsid w:val="188E75F7"/>
    <w:rsid w:val="18910E95"/>
    <w:rsid w:val="189866C8"/>
    <w:rsid w:val="18B057C0"/>
    <w:rsid w:val="18B43502"/>
    <w:rsid w:val="18B84674"/>
    <w:rsid w:val="18BC5F12"/>
    <w:rsid w:val="18BF1EA7"/>
    <w:rsid w:val="18C33745"/>
    <w:rsid w:val="18C96881"/>
    <w:rsid w:val="18CD45C3"/>
    <w:rsid w:val="18CD6371"/>
    <w:rsid w:val="18CE5C46"/>
    <w:rsid w:val="18D45952"/>
    <w:rsid w:val="18E01A75"/>
    <w:rsid w:val="18E34F27"/>
    <w:rsid w:val="18E66D04"/>
    <w:rsid w:val="18E86D07"/>
    <w:rsid w:val="18EB2C9C"/>
    <w:rsid w:val="18EB4A4A"/>
    <w:rsid w:val="18F03E0E"/>
    <w:rsid w:val="18FA4C8D"/>
    <w:rsid w:val="190855FC"/>
    <w:rsid w:val="19145D4E"/>
    <w:rsid w:val="191E097B"/>
    <w:rsid w:val="191E6BCD"/>
    <w:rsid w:val="19204FCE"/>
    <w:rsid w:val="19404D95"/>
    <w:rsid w:val="19466124"/>
    <w:rsid w:val="195425EF"/>
    <w:rsid w:val="19636CD6"/>
    <w:rsid w:val="197113F3"/>
    <w:rsid w:val="19744A3F"/>
    <w:rsid w:val="197B7B7C"/>
    <w:rsid w:val="19866520"/>
    <w:rsid w:val="198B3B37"/>
    <w:rsid w:val="19923117"/>
    <w:rsid w:val="19960E59"/>
    <w:rsid w:val="19962C07"/>
    <w:rsid w:val="19A5109C"/>
    <w:rsid w:val="19AD7F51"/>
    <w:rsid w:val="19AF7825"/>
    <w:rsid w:val="19B27315"/>
    <w:rsid w:val="19B65058"/>
    <w:rsid w:val="19BD0194"/>
    <w:rsid w:val="19C57049"/>
    <w:rsid w:val="19CF6119"/>
    <w:rsid w:val="19D454DE"/>
    <w:rsid w:val="19DB686C"/>
    <w:rsid w:val="19DC4392"/>
    <w:rsid w:val="19EF2318"/>
    <w:rsid w:val="19F3005A"/>
    <w:rsid w:val="19F65454"/>
    <w:rsid w:val="1A045DC3"/>
    <w:rsid w:val="1A073B05"/>
    <w:rsid w:val="1A18186E"/>
    <w:rsid w:val="1A226249"/>
    <w:rsid w:val="1A231FC1"/>
    <w:rsid w:val="1A295829"/>
    <w:rsid w:val="1A2B77F4"/>
    <w:rsid w:val="1A2E4BEE"/>
    <w:rsid w:val="1A2F0966"/>
    <w:rsid w:val="1A497C7A"/>
    <w:rsid w:val="1A4F0ED2"/>
    <w:rsid w:val="1A512FD2"/>
    <w:rsid w:val="1A5328A6"/>
    <w:rsid w:val="1A5605E9"/>
    <w:rsid w:val="1A562397"/>
    <w:rsid w:val="1A5B175B"/>
    <w:rsid w:val="1A644AB4"/>
    <w:rsid w:val="1A750A6F"/>
    <w:rsid w:val="1A7F342E"/>
    <w:rsid w:val="1A8E2F23"/>
    <w:rsid w:val="1A930EF5"/>
    <w:rsid w:val="1A977F74"/>
    <w:rsid w:val="1A9C424D"/>
    <w:rsid w:val="1AB1581F"/>
    <w:rsid w:val="1AB71087"/>
    <w:rsid w:val="1AB8095B"/>
    <w:rsid w:val="1ABD2416"/>
    <w:rsid w:val="1AC335AD"/>
    <w:rsid w:val="1ACE017F"/>
    <w:rsid w:val="1AD5150D"/>
    <w:rsid w:val="1AE31E7C"/>
    <w:rsid w:val="1AE41750"/>
    <w:rsid w:val="1AF8344E"/>
    <w:rsid w:val="1B0B373B"/>
    <w:rsid w:val="1B102545"/>
    <w:rsid w:val="1B157B5C"/>
    <w:rsid w:val="1B1738D4"/>
    <w:rsid w:val="1B244243"/>
    <w:rsid w:val="1B281F85"/>
    <w:rsid w:val="1B375D24"/>
    <w:rsid w:val="1B5A7C65"/>
    <w:rsid w:val="1B5E1503"/>
    <w:rsid w:val="1B6063DC"/>
    <w:rsid w:val="1B707CB3"/>
    <w:rsid w:val="1B762CF0"/>
    <w:rsid w:val="1B7725C5"/>
    <w:rsid w:val="1B7C407F"/>
    <w:rsid w:val="1B7D7150"/>
    <w:rsid w:val="1B841D1D"/>
    <w:rsid w:val="1B862808"/>
    <w:rsid w:val="1B8C2514"/>
    <w:rsid w:val="1BC577D4"/>
    <w:rsid w:val="1BCA6B98"/>
    <w:rsid w:val="1BD6378F"/>
    <w:rsid w:val="1BD73063"/>
    <w:rsid w:val="1BDE669C"/>
    <w:rsid w:val="1BE0016A"/>
    <w:rsid w:val="1BE85270"/>
    <w:rsid w:val="1BF73705"/>
    <w:rsid w:val="1BFE4A94"/>
    <w:rsid w:val="1C1B4E17"/>
    <w:rsid w:val="1C2344FA"/>
    <w:rsid w:val="1C316C17"/>
    <w:rsid w:val="1C3861F8"/>
    <w:rsid w:val="1C3B1844"/>
    <w:rsid w:val="1C4A7433"/>
    <w:rsid w:val="1C4B14C5"/>
    <w:rsid w:val="1C4C1CA3"/>
    <w:rsid w:val="1C4E77C9"/>
    <w:rsid w:val="1C4F3541"/>
    <w:rsid w:val="1C6A3ED7"/>
    <w:rsid w:val="1C6C773B"/>
    <w:rsid w:val="1C6F14EE"/>
    <w:rsid w:val="1C7B60E4"/>
    <w:rsid w:val="1C7D3C0B"/>
    <w:rsid w:val="1C7F3E27"/>
    <w:rsid w:val="1C9D605B"/>
    <w:rsid w:val="1C9E33AA"/>
    <w:rsid w:val="1C9F1DD3"/>
    <w:rsid w:val="1CAB4C1C"/>
    <w:rsid w:val="1CB515F6"/>
    <w:rsid w:val="1CBC1555"/>
    <w:rsid w:val="1CBF06C7"/>
    <w:rsid w:val="1CC47A8B"/>
    <w:rsid w:val="1CD35F20"/>
    <w:rsid w:val="1CD37CCF"/>
    <w:rsid w:val="1CE81E71"/>
    <w:rsid w:val="1D0B1216"/>
    <w:rsid w:val="1D0D567D"/>
    <w:rsid w:val="1D104A7F"/>
    <w:rsid w:val="1D1E55C9"/>
    <w:rsid w:val="1D2247B2"/>
    <w:rsid w:val="1D2B3667"/>
    <w:rsid w:val="1D2D3883"/>
    <w:rsid w:val="1D2E13A9"/>
    <w:rsid w:val="1D322C47"/>
    <w:rsid w:val="1D41732E"/>
    <w:rsid w:val="1D556936"/>
    <w:rsid w:val="1D594678"/>
    <w:rsid w:val="1D5A03F0"/>
    <w:rsid w:val="1D6848BB"/>
    <w:rsid w:val="1D6D0123"/>
    <w:rsid w:val="1D813BCE"/>
    <w:rsid w:val="1D862F93"/>
    <w:rsid w:val="1D8965DF"/>
    <w:rsid w:val="1D94745E"/>
    <w:rsid w:val="1D976F4E"/>
    <w:rsid w:val="1D9E208B"/>
    <w:rsid w:val="1DA04055"/>
    <w:rsid w:val="1DA17DCD"/>
    <w:rsid w:val="1DA376A1"/>
    <w:rsid w:val="1DB418AE"/>
    <w:rsid w:val="1DC839D2"/>
    <w:rsid w:val="1DCB6BF8"/>
    <w:rsid w:val="1DD71A40"/>
    <w:rsid w:val="1DD97567"/>
    <w:rsid w:val="1DEF6D8A"/>
    <w:rsid w:val="1DF443A0"/>
    <w:rsid w:val="1DF60118"/>
    <w:rsid w:val="1DF919B7"/>
    <w:rsid w:val="1E0A5972"/>
    <w:rsid w:val="1E0C3498"/>
    <w:rsid w:val="1E0C793C"/>
    <w:rsid w:val="1E0F2F88"/>
    <w:rsid w:val="1E11610A"/>
    <w:rsid w:val="1E1D56A5"/>
    <w:rsid w:val="1E236A34"/>
    <w:rsid w:val="1E3F16B2"/>
    <w:rsid w:val="1E432C32"/>
    <w:rsid w:val="1E480248"/>
    <w:rsid w:val="1E48649A"/>
    <w:rsid w:val="1E58492F"/>
    <w:rsid w:val="1E62130A"/>
    <w:rsid w:val="1E62755C"/>
    <w:rsid w:val="1E682698"/>
    <w:rsid w:val="1E6C3F37"/>
    <w:rsid w:val="1E7828DC"/>
    <w:rsid w:val="1E875215"/>
    <w:rsid w:val="1E90231B"/>
    <w:rsid w:val="1E91399D"/>
    <w:rsid w:val="1E9B481C"/>
    <w:rsid w:val="1EA731C1"/>
    <w:rsid w:val="1EBE2D89"/>
    <w:rsid w:val="1ECC2C27"/>
    <w:rsid w:val="1ECC70CB"/>
    <w:rsid w:val="1ED3045A"/>
    <w:rsid w:val="1ED815CC"/>
    <w:rsid w:val="1EDF6DFF"/>
    <w:rsid w:val="1EF67CA4"/>
    <w:rsid w:val="1EFB52BB"/>
    <w:rsid w:val="1F0028D1"/>
    <w:rsid w:val="1F06438B"/>
    <w:rsid w:val="1F0D5A54"/>
    <w:rsid w:val="1F143C6C"/>
    <w:rsid w:val="1F234F3D"/>
    <w:rsid w:val="1F2760B0"/>
    <w:rsid w:val="1F2F7577"/>
    <w:rsid w:val="1F330EF8"/>
    <w:rsid w:val="1F3C1B5B"/>
    <w:rsid w:val="1F426F65"/>
    <w:rsid w:val="1F4B4494"/>
    <w:rsid w:val="1F552C1D"/>
    <w:rsid w:val="1F5C0367"/>
    <w:rsid w:val="1F642E60"/>
    <w:rsid w:val="1F680BA2"/>
    <w:rsid w:val="1F705CA9"/>
    <w:rsid w:val="1F7363E0"/>
    <w:rsid w:val="1F775289"/>
    <w:rsid w:val="1F7E2174"/>
    <w:rsid w:val="1F861028"/>
    <w:rsid w:val="1F8B4890"/>
    <w:rsid w:val="1F8B663F"/>
    <w:rsid w:val="1F8B7238"/>
    <w:rsid w:val="1F8F25D3"/>
    <w:rsid w:val="1F974FE3"/>
    <w:rsid w:val="1F9A0F77"/>
    <w:rsid w:val="1F9A2D26"/>
    <w:rsid w:val="1FA0658E"/>
    <w:rsid w:val="1FA6791C"/>
    <w:rsid w:val="1FA83694"/>
    <w:rsid w:val="1FA94D17"/>
    <w:rsid w:val="1FAB6CE1"/>
    <w:rsid w:val="1FC63DF0"/>
    <w:rsid w:val="1FC738D0"/>
    <w:rsid w:val="1FCD6C57"/>
    <w:rsid w:val="1FCF0C21"/>
    <w:rsid w:val="1FD04999"/>
    <w:rsid w:val="1FD476E5"/>
    <w:rsid w:val="1FD71884"/>
    <w:rsid w:val="1FD91AA0"/>
    <w:rsid w:val="1FDC6E9A"/>
    <w:rsid w:val="1FE346CD"/>
    <w:rsid w:val="1FE61F20"/>
    <w:rsid w:val="1FF22B62"/>
    <w:rsid w:val="1FF561AE"/>
    <w:rsid w:val="1FFC12EA"/>
    <w:rsid w:val="20232D1B"/>
    <w:rsid w:val="203211B0"/>
    <w:rsid w:val="203B62B7"/>
    <w:rsid w:val="204213F3"/>
    <w:rsid w:val="2059673D"/>
    <w:rsid w:val="205D447F"/>
    <w:rsid w:val="206155F1"/>
    <w:rsid w:val="20684BD2"/>
    <w:rsid w:val="206D3F96"/>
    <w:rsid w:val="207673DB"/>
    <w:rsid w:val="208F03B0"/>
    <w:rsid w:val="209239FD"/>
    <w:rsid w:val="20AC2D10"/>
    <w:rsid w:val="20B6593D"/>
    <w:rsid w:val="20D65FDF"/>
    <w:rsid w:val="20ED20DF"/>
    <w:rsid w:val="210654A0"/>
    <w:rsid w:val="211F1734"/>
    <w:rsid w:val="21313216"/>
    <w:rsid w:val="21380A48"/>
    <w:rsid w:val="213D7E0C"/>
    <w:rsid w:val="214271D1"/>
    <w:rsid w:val="21470C8B"/>
    <w:rsid w:val="21472A39"/>
    <w:rsid w:val="2148051F"/>
    <w:rsid w:val="214B42D7"/>
    <w:rsid w:val="21667363"/>
    <w:rsid w:val="21723F5A"/>
    <w:rsid w:val="2173382E"/>
    <w:rsid w:val="21771570"/>
    <w:rsid w:val="218D48F0"/>
    <w:rsid w:val="2197576F"/>
    <w:rsid w:val="219A0DBB"/>
    <w:rsid w:val="219C4B33"/>
    <w:rsid w:val="21A63C04"/>
    <w:rsid w:val="21AB121A"/>
    <w:rsid w:val="21B55BF5"/>
    <w:rsid w:val="21BF6A73"/>
    <w:rsid w:val="21C67E02"/>
    <w:rsid w:val="21CB262D"/>
    <w:rsid w:val="21CD4745"/>
    <w:rsid w:val="21CF4F08"/>
    <w:rsid w:val="21D05231"/>
    <w:rsid w:val="21D544E9"/>
    <w:rsid w:val="21E8421C"/>
    <w:rsid w:val="21E85FCA"/>
    <w:rsid w:val="21EB7868"/>
    <w:rsid w:val="21EE1107"/>
    <w:rsid w:val="21F91F85"/>
    <w:rsid w:val="220B7F0B"/>
    <w:rsid w:val="220E7CE5"/>
    <w:rsid w:val="2210107D"/>
    <w:rsid w:val="22146DBF"/>
    <w:rsid w:val="22274D44"/>
    <w:rsid w:val="222A213F"/>
    <w:rsid w:val="222B5EB7"/>
    <w:rsid w:val="222F1E4B"/>
    <w:rsid w:val="223E5BEA"/>
    <w:rsid w:val="22405E06"/>
    <w:rsid w:val="22433200"/>
    <w:rsid w:val="22462CF1"/>
    <w:rsid w:val="224A0A33"/>
    <w:rsid w:val="224A27E1"/>
    <w:rsid w:val="22552F34"/>
    <w:rsid w:val="226A4C31"/>
    <w:rsid w:val="226F7696"/>
    <w:rsid w:val="22761828"/>
    <w:rsid w:val="227B0BEC"/>
    <w:rsid w:val="227C6712"/>
    <w:rsid w:val="22835CF3"/>
    <w:rsid w:val="22851A6B"/>
    <w:rsid w:val="229677D4"/>
    <w:rsid w:val="229879F0"/>
    <w:rsid w:val="22AA7723"/>
    <w:rsid w:val="22AC524A"/>
    <w:rsid w:val="22AD4B1E"/>
    <w:rsid w:val="22AF0896"/>
    <w:rsid w:val="22B10AB2"/>
    <w:rsid w:val="22B12860"/>
    <w:rsid w:val="22B20386"/>
    <w:rsid w:val="22B61C24"/>
    <w:rsid w:val="22BC1436"/>
    <w:rsid w:val="22C500B9"/>
    <w:rsid w:val="22CD065A"/>
    <w:rsid w:val="22CF0F38"/>
    <w:rsid w:val="22D327D6"/>
    <w:rsid w:val="22EC3898"/>
    <w:rsid w:val="22F664C5"/>
    <w:rsid w:val="22F83FEB"/>
    <w:rsid w:val="23072480"/>
    <w:rsid w:val="230B3A9D"/>
    <w:rsid w:val="232A43C0"/>
    <w:rsid w:val="232E2103"/>
    <w:rsid w:val="233319E5"/>
    <w:rsid w:val="23376A8B"/>
    <w:rsid w:val="233F60BE"/>
    <w:rsid w:val="23447230"/>
    <w:rsid w:val="23492A98"/>
    <w:rsid w:val="23531B69"/>
    <w:rsid w:val="235651B5"/>
    <w:rsid w:val="235A2EF8"/>
    <w:rsid w:val="235D02F2"/>
    <w:rsid w:val="236D2C2B"/>
    <w:rsid w:val="237D6BE6"/>
    <w:rsid w:val="23863CED"/>
    <w:rsid w:val="23983A20"/>
    <w:rsid w:val="23A02DE9"/>
    <w:rsid w:val="23A10B26"/>
    <w:rsid w:val="23A75A11"/>
    <w:rsid w:val="23A979DB"/>
    <w:rsid w:val="23B4085A"/>
    <w:rsid w:val="23BA1BE8"/>
    <w:rsid w:val="23C810A3"/>
    <w:rsid w:val="23C93BD9"/>
    <w:rsid w:val="23CD510E"/>
    <w:rsid w:val="23CF07AE"/>
    <w:rsid w:val="23DA6CA9"/>
    <w:rsid w:val="23DC390D"/>
    <w:rsid w:val="23DF33FD"/>
    <w:rsid w:val="23E10F23"/>
    <w:rsid w:val="23E12CD1"/>
    <w:rsid w:val="23E26A49"/>
    <w:rsid w:val="23E7405F"/>
    <w:rsid w:val="23ED5B1A"/>
    <w:rsid w:val="23F073B8"/>
    <w:rsid w:val="23F549CE"/>
    <w:rsid w:val="240D3AC6"/>
    <w:rsid w:val="24125580"/>
    <w:rsid w:val="2425011E"/>
    <w:rsid w:val="242D23BA"/>
    <w:rsid w:val="2432177F"/>
    <w:rsid w:val="243C25FD"/>
    <w:rsid w:val="244020ED"/>
    <w:rsid w:val="24443260"/>
    <w:rsid w:val="244A6AC8"/>
    <w:rsid w:val="2452597D"/>
    <w:rsid w:val="24547947"/>
    <w:rsid w:val="245E2574"/>
    <w:rsid w:val="24747E1D"/>
    <w:rsid w:val="24765B0F"/>
    <w:rsid w:val="2479115B"/>
    <w:rsid w:val="247B3126"/>
    <w:rsid w:val="247D50F0"/>
    <w:rsid w:val="24822706"/>
    <w:rsid w:val="249146F7"/>
    <w:rsid w:val="2492046F"/>
    <w:rsid w:val="24A501A2"/>
    <w:rsid w:val="24AF2DCF"/>
    <w:rsid w:val="24B11358"/>
    <w:rsid w:val="24B2466D"/>
    <w:rsid w:val="24B25078"/>
    <w:rsid w:val="24BE3012"/>
    <w:rsid w:val="24C50845"/>
    <w:rsid w:val="24C62B31"/>
    <w:rsid w:val="24CD14A7"/>
    <w:rsid w:val="24D97E4C"/>
    <w:rsid w:val="24E30CCB"/>
    <w:rsid w:val="24E52C95"/>
    <w:rsid w:val="24EE1B49"/>
    <w:rsid w:val="25014CD3"/>
    <w:rsid w:val="250273A3"/>
    <w:rsid w:val="250749B9"/>
    <w:rsid w:val="251133E5"/>
    <w:rsid w:val="25184E18"/>
    <w:rsid w:val="251B0465"/>
    <w:rsid w:val="251B66B7"/>
    <w:rsid w:val="253357AE"/>
    <w:rsid w:val="254C4AC2"/>
    <w:rsid w:val="255120D8"/>
    <w:rsid w:val="25545725"/>
    <w:rsid w:val="25553977"/>
    <w:rsid w:val="255F47F5"/>
    <w:rsid w:val="256B7B2F"/>
    <w:rsid w:val="256C2A6E"/>
    <w:rsid w:val="257F09F3"/>
    <w:rsid w:val="25891872"/>
    <w:rsid w:val="25911C34"/>
    <w:rsid w:val="259124D5"/>
    <w:rsid w:val="25A91F14"/>
    <w:rsid w:val="25B34B41"/>
    <w:rsid w:val="25B82157"/>
    <w:rsid w:val="25C32FD6"/>
    <w:rsid w:val="25C60739"/>
    <w:rsid w:val="25DF5936"/>
    <w:rsid w:val="25E44CFA"/>
    <w:rsid w:val="25FC0296"/>
    <w:rsid w:val="26086C3B"/>
    <w:rsid w:val="260E1D77"/>
    <w:rsid w:val="260E7FC9"/>
    <w:rsid w:val="261206FC"/>
    <w:rsid w:val="26170C2C"/>
    <w:rsid w:val="26190E48"/>
    <w:rsid w:val="261A4BC0"/>
    <w:rsid w:val="26243349"/>
    <w:rsid w:val="2629095F"/>
    <w:rsid w:val="262D66A1"/>
    <w:rsid w:val="262E5F76"/>
    <w:rsid w:val="26301CEE"/>
    <w:rsid w:val="26345C82"/>
    <w:rsid w:val="265359DC"/>
    <w:rsid w:val="26571970"/>
    <w:rsid w:val="265C1CFC"/>
    <w:rsid w:val="265C6F87"/>
    <w:rsid w:val="2661634B"/>
    <w:rsid w:val="2666570F"/>
    <w:rsid w:val="2668592C"/>
    <w:rsid w:val="266876DA"/>
    <w:rsid w:val="266F0A68"/>
    <w:rsid w:val="266F2816"/>
    <w:rsid w:val="267047E0"/>
    <w:rsid w:val="26747E2C"/>
    <w:rsid w:val="26775B6F"/>
    <w:rsid w:val="267918E7"/>
    <w:rsid w:val="26822B98"/>
    <w:rsid w:val="26881B2A"/>
    <w:rsid w:val="268C786C"/>
    <w:rsid w:val="269009DE"/>
    <w:rsid w:val="2694227D"/>
    <w:rsid w:val="26946721"/>
    <w:rsid w:val="26993FF3"/>
    <w:rsid w:val="26997893"/>
    <w:rsid w:val="269E759F"/>
    <w:rsid w:val="269F0C21"/>
    <w:rsid w:val="26A06E73"/>
    <w:rsid w:val="26A60202"/>
    <w:rsid w:val="26A83F7A"/>
    <w:rsid w:val="26B4291F"/>
    <w:rsid w:val="26B446CD"/>
    <w:rsid w:val="26B91CE3"/>
    <w:rsid w:val="26B96187"/>
    <w:rsid w:val="26C2328E"/>
    <w:rsid w:val="26CC7C68"/>
    <w:rsid w:val="26CD1C32"/>
    <w:rsid w:val="26CF1507"/>
    <w:rsid w:val="26D177A7"/>
    <w:rsid w:val="26D27249"/>
    <w:rsid w:val="26E2748C"/>
    <w:rsid w:val="26EA6341"/>
    <w:rsid w:val="26EF7DFB"/>
    <w:rsid w:val="26F61189"/>
    <w:rsid w:val="26F61BE2"/>
    <w:rsid w:val="26FD2518"/>
    <w:rsid w:val="26FE003E"/>
    <w:rsid w:val="270317DA"/>
    <w:rsid w:val="27054F28"/>
    <w:rsid w:val="270A253F"/>
    <w:rsid w:val="270F224B"/>
    <w:rsid w:val="27127645"/>
    <w:rsid w:val="27171CC2"/>
    <w:rsid w:val="27257379"/>
    <w:rsid w:val="272950BB"/>
    <w:rsid w:val="27337CE7"/>
    <w:rsid w:val="273E043A"/>
    <w:rsid w:val="27400656"/>
    <w:rsid w:val="27421CD9"/>
    <w:rsid w:val="274F2647"/>
    <w:rsid w:val="2751016E"/>
    <w:rsid w:val="27514612"/>
    <w:rsid w:val="275639D6"/>
    <w:rsid w:val="276E6F72"/>
    <w:rsid w:val="277B51EB"/>
    <w:rsid w:val="277F117F"/>
    <w:rsid w:val="27814EF7"/>
    <w:rsid w:val="278247CB"/>
    <w:rsid w:val="278B7B24"/>
    <w:rsid w:val="278E4F1E"/>
    <w:rsid w:val="278F0C96"/>
    <w:rsid w:val="27912C60"/>
    <w:rsid w:val="279D1605"/>
    <w:rsid w:val="27A40D9A"/>
    <w:rsid w:val="27A42993"/>
    <w:rsid w:val="27A72484"/>
    <w:rsid w:val="27A97FAA"/>
    <w:rsid w:val="27B444A9"/>
    <w:rsid w:val="27B65BE3"/>
    <w:rsid w:val="27B70919"/>
    <w:rsid w:val="27BA1BD2"/>
    <w:rsid w:val="27BA5D13"/>
    <w:rsid w:val="27C65D96"/>
    <w:rsid w:val="27CB7F20"/>
    <w:rsid w:val="27D50D9F"/>
    <w:rsid w:val="27D74B17"/>
    <w:rsid w:val="27DC212D"/>
    <w:rsid w:val="27E72880"/>
    <w:rsid w:val="27E9484A"/>
    <w:rsid w:val="27F07987"/>
    <w:rsid w:val="280B47C0"/>
    <w:rsid w:val="280E2503"/>
    <w:rsid w:val="2810229D"/>
    <w:rsid w:val="2826784C"/>
    <w:rsid w:val="282835C4"/>
    <w:rsid w:val="282C4737"/>
    <w:rsid w:val="283755B5"/>
    <w:rsid w:val="283D7E81"/>
    <w:rsid w:val="284321AC"/>
    <w:rsid w:val="284E28FF"/>
    <w:rsid w:val="28506677"/>
    <w:rsid w:val="285717B4"/>
    <w:rsid w:val="2858552C"/>
    <w:rsid w:val="286345FC"/>
    <w:rsid w:val="28697739"/>
    <w:rsid w:val="287560DE"/>
    <w:rsid w:val="287A1946"/>
    <w:rsid w:val="28884063"/>
    <w:rsid w:val="28902F18"/>
    <w:rsid w:val="2899001E"/>
    <w:rsid w:val="28AD3ACA"/>
    <w:rsid w:val="28AF339E"/>
    <w:rsid w:val="28B52B84"/>
    <w:rsid w:val="28B704A4"/>
    <w:rsid w:val="28CB3F50"/>
    <w:rsid w:val="28CD7CC8"/>
    <w:rsid w:val="28CF1C92"/>
    <w:rsid w:val="28E53263"/>
    <w:rsid w:val="28E868B0"/>
    <w:rsid w:val="28F25980"/>
    <w:rsid w:val="28F33BD2"/>
    <w:rsid w:val="28FE60D3"/>
    <w:rsid w:val="2903193C"/>
    <w:rsid w:val="290336EA"/>
    <w:rsid w:val="291B0A33"/>
    <w:rsid w:val="292C2C40"/>
    <w:rsid w:val="293164A9"/>
    <w:rsid w:val="293D4E4D"/>
    <w:rsid w:val="294A756A"/>
    <w:rsid w:val="29567CBD"/>
    <w:rsid w:val="29583A35"/>
    <w:rsid w:val="29634188"/>
    <w:rsid w:val="296E14AB"/>
    <w:rsid w:val="2976035F"/>
    <w:rsid w:val="297B7724"/>
    <w:rsid w:val="298E7457"/>
    <w:rsid w:val="298F1421"/>
    <w:rsid w:val="29977B6E"/>
    <w:rsid w:val="299E3412"/>
    <w:rsid w:val="29A273A6"/>
    <w:rsid w:val="29AF561F"/>
    <w:rsid w:val="29B02BED"/>
    <w:rsid w:val="29BD1AEA"/>
    <w:rsid w:val="29C16373"/>
    <w:rsid w:val="29C235A5"/>
    <w:rsid w:val="29C54E43"/>
    <w:rsid w:val="29C63095"/>
    <w:rsid w:val="29C94B05"/>
    <w:rsid w:val="29D1062D"/>
    <w:rsid w:val="29DA6B40"/>
    <w:rsid w:val="29F01EC0"/>
    <w:rsid w:val="29F51284"/>
    <w:rsid w:val="29F86FC6"/>
    <w:rsid w:val="29FC0E24"/>
    <w:rsid w:val="2A006D56"/>
    <w:rsid w:val="2A027E45"/>
    <w:rsid w:val="2A043BBD"/>
    <w:rsid w:val="2A093747"/>
    <w:rsid w:val="2A0C4820"/>
    <w:rsid w:val="2A1B4A63"/>
    <w:rsid w:val="2A1F09F7"/>
    <w:rsid w:val="2A2D4EC2"/>
    <w:rsid w:val="2A314286"/>
    <w:rsid w:val="2A336250"/>
    <w:rsid w:val="2A505BBC"/>
    <w:rsid w:val="2A5A1A2F"/>
    <w:rsid w:val="2A614B6C"/>
    <w:rsid w:val="2A6428AE"/>
    <w:rsid w:val="2A662182"/>
    <w:rsid w:val="2A6B1546"/>
    <w:rsid w:val="2A7A5C2D"/>
    <w:rsid w:val="2A88659C"/>
    <w:rsid w:val="2A8B3997"/>
    <w:rsid w:val="2A9071FF"/>
    <w:rsid w:val="2A924D25"/>
    <w:rsid w:val="2A9C5BA4"/>
    <w:rsid w:val="2AA44A58"/>
    <w:rsid w:val="2AA607D0"/>
    <w:rsid w:val="2AAE58D7"/>
    <w:rsid w:val="2AB729DE"/>
    <w:rsid w:val="2AC11AAE"/>
    <w:rsid w:val="2AC1385C"/>
    <w:rsid w:val="2ADC2444"/>
    <w:rsid w:val="2AF92FF6"/>
    <w:rsid w:val="2AFC6642"/>
    <w:rsid w:val="2B157704"/>
    <w:rsid w:val="2B1716CE"/>
    <w:rsid w:val="2B195446"/>
    <w:rsid w:val="2B1F7D54"/>
    <w:rsid w:val="2B261911"/>
    <w:rsid w:val="2B2C517A"/>
    <w:rsid w:val="2B2F4C6A"/>
    <w:rsid w:val="2B3E30FF"/>
    <w:rsid w:val="2B406E77"/>
    <w:rsid w:val="2B4104F9"/>
    <w:rsid w:val="2B4A3852"/>
    <w:rsid w:val="2B667F60"/>
    <w:rsid w:val="2B6D7540"/>
    <w:rsid w:val="2B6F4C50"/>
    <w:rsid w:val="2B6F5AD4"/>
    <w:rsid w:val="2B774B23"/>
    <w:rsid w:val="2B795EE5"/>
    <w:rsid w:val="2B9176D3"/>
    <w:rsid w:val="2B964CE9"/>
    <w:rsid w:val="2BA07916"/>
    <w:rsid w:val="2BA72A52"/>
    <w:rsid w:val="2BAC1E16"/>
    <w:rsid w:val="2BAD5B8F"/>
    <w:rsid w:val="2BB86A0D"/>
    <w:rsid w:val="2BBD4024"/>
    <w:rsid w:val="2BBE5B76"/>
    <w:rsid w:val="2BCE6231"/>
    <w:rsid w:val="2BD55811"/>
    <w:rsid w:val="2BDF21EC"/>
    <w:rsid w:val="2BE23A8A"/>
    <w:rsid w:val="2BE94E19"/>
    <w:rsid w:val="2BEC4909"/>
    <w:rsid w:val="2BEE242F"/>
    <w:rsid w:val="2BF51A0F"/>
    <w:rsid w:val="2BF8505C"/>
    <w:rsid w:val="2BFC24BF"/>
    <w:rsid w:val="2BFD2672"/>
    <w:rsid w:val="2BFD6B16"/>
    <w:rsid w:val="2C052EDC"/>
    <w:rsid w:val="2C071743"/>
    <w:rsid w:val="2C183950"/>
    <w:rsid w:val="2C2045B2"/>
    <w:rsid w:val="2C2B3683"/>
    <w:rsid w:val="2C412EA7"/>
    <w:rsid w:val="2C4604BD"/>
    <w:rsid w:val="2C4B162F"/>
    <w:rsid w:val="2C5030EA"/>
    <w:rsid w:val="2C576226"/>
    <w:rsid w:val="2C5A7AC4"/>
    <w:rsid w:val="2C5D1363"/>
    <w:rsid w:val="2C5F50DB"/>
    <w:rsid w:val="2C6721E1"/>
    <w:rsid w:val="2C6D5A4A"/>
    <w:rsid w:val="2C7F577D"/>
    <w:rsid w:val="2C82701B"/>
    <w:rsid w:val="2C932FD6"/>
    <w:rsid w:val="2C972AC7"/>
    <w:rsid w:val="2C9C17E1"/>
    <w:rsid w:val="2CA43435"/>
    <w:rsid w:val="2CA46F92"/>
    <w:rsid w:val="2CB35427"/>
    <w:rsid w:val="2CCD0296"/>
    <w:rsid w:val="2CDE6947"/>
    <w:rsid w:val="2CDF621C"/>
    <w:rsid w:val="2CE37ABA"/>
    <w:rsid w:val="2CF27769"/>
    <w:rsid w:val="2CF41CC7"/>
    <w:rsid w:val="2CF717B7"/>
    <w:rsid w:val="2CF77A09"/>
    <w:rsid w:val="2CFA4E04"/>
    <w:rsid w:val="2D0B0DBF"/>
    <w:rsid w:val="2D177764"/>
    <w:rsid w:val="2D346567"/>
    <w:rsid w:val="2D360531"/>
    <w:rsid w:val="2D371BB4"/>
    <w:rsid w:val="2D412A32"/>
    <w:rsid w:val="2D426ED6"/>
    <w:rsid w:val="2D430559"/>
    <w:rsid w:val="2D4349FC"/>
    <w:rsid w:val="2D4C1B03"/>
    <w:rsid w:val="2D621C05"/>
    <w:rsid w:val="2D7E77E3"/>
    <w:rsid w:val="2D8E2BB9"/>
    <w:rsid w:val="2D960468"/>
    <w:rsid w:val="2D9E1C33"/>
    <w:rsid w:val="2DA3549B"/>
    <w:rsid w:val="2DB80F46"/>
    <w:rsid w:val="2DBB4593"/>
    <w:rsid w:val="2DC4273E"/>
    <w:rsid w:val="2DD35D80"/>
    <w:rsid w:val="2DE03FF9"/>
    <w:rsid w:val="2DE25FC3"/>
    <w:rsid w:val="2DE51610"/>
    <w:rsid w:val="2DE81100"/>
    <w:rsid w:val="2DEF06E0"/>
    <w:rsid w:val="2DF6381D"/>
    <w:rsid w:val="2DF81343"/>
    <w:rsid w:val="2E093550"/>
    <w:rsid w:val="2E1B3283"/>
    <w:rsid w:val="2E271C28"/>
    <w:rsid w:val="2E2A34C6"/>
    <w:rsid w:val="2E3507E9"/>
    <w:rsid w:val="2E400F3C"/>
    <w:rsid w:val="2E4E5407"/>
    <w:rsid w:val="2E5B7B24"/>
    <w:rsid w:val="2E620EB2"/>
    <w:rsid w:val="2E644C2A"/>
    <w:rsid w:val="2E652751"/>
    <w:rsid w:val="2E6609A2"/>
    <w:rsid w:val="2E666BF4"/>
    <w:rsid w:val="2E6764C9"/>
    <w:rsid w:val="2E7035CF"/>
    <w:rsid w:val="2E756E38"/>
    <w:rsid w:val="2E786928"/>
    <w:rsid w:val="2E813A2E"/>
    <w:rsid w:val="2E840E29"/>
    <w:rsid w:val="2E8A13DC"/>
    <w:rsid w:val="2E905A1F"/>
    <w:rsid w:val="2E960B5C"/>
    <w:rsid w:val="2EA9088F"/>
    <w:rsid w:val="2EAC037F"/>
    <w:rsid w:val="2EB711FE"/>
    <w:rsid w:val="2ED40002"/>
    <w:rsid w:val="2ED973C6"/>
    <w:rsid w:val="2EDE49DD"/>
    <w:rsid w:val="2EE93382"/>
    <w:rsid w:val="2EF57F78"/>
    <w:rsid w:val="2EF73CF0"/>
    <w:rsid w:val="2F0B154A"/>
    <w:rsid w:val="2F193C67"/>
    <w:rsid w:val="2F1A353B"/>
    <w:rsid w:val="2F204FF5"/>
    <w:rsid w:val="2F230642"/>
    <w:rsid w:val="2F2443BA"/>
    <w:rsid w:val="2F2D14C0"/>
    <w:rsid w:val="2F2D326E"/>
    <w:rsid w:val="2F302D5E"/>
    <w:rsid w:val="2F3A5849"/>
    <w:rsid w:val="2F3C1703"/>
    <w:rsid w:val="2F4800A8"/>
    <w:rsid w:val="2F642A08"/>
    <w:rsid w:val="2F6649D2"/>
    <w:rsid w:val="2F6824F8"/>
    <w:rsid w:val="2F6C023B"/>
    <w:rsid w:val="2F6D5D61"/>
    <w:rsid w:val="2F7467BD"/>
    <w:rsid w:val="2F776BDF"/>
    <w:rsid w:val="2F792957"/>
    <w:rsid w:val="2F860BD0"/>
    <w:rsid w:val="2F8C4439"/>
    <w:rsid w:val="2F917CA1"/>
    <w:rsid w:val="2F94153F"/>
    <w:rsid w:val="2F984477"/>
    <w:rsid w:val="2FA15A0A"/>
    <w:rsid w:val="2FA379D4"/>
    <w:rsid w:val="2FAD43AF"/>
    <w:rsid w:val="2FCA6D0F"/>
    <w:rsid w:val="2FD7142C"/>
    <w:rsid w:val="2FDB716E"/>
    <w:rsid w:val="2FE06533"/>
    <w:rsid w:val="2FE322A7"/>
    <w:rsid w:val="2FE36023"/>
    <w:rsid w:val="2FE37DD1"/>
    <w:rsid w:val="2FE53B49"/>
    <w:rsid w:val="2FE778C1"/>
    <w:rsid w:val="2FE83639"/>
    <w:rsid w:val="2FE853E7"/>
    <w:rsid w:val="2FE9188B"/>
    <w:rsid w:val="2FED0C50"/>
    <w:rsid w:val="2FFA689C"/>
    <w:rsid w:val="2FFE4C0B"/>
    <w:rsid w:val="30095CB8"/>
    <w:rsid w:val="30105A39"/>
    <w:rsid w:val="30191A45"/>
    <w:rsid w:val="301F52AD"/>
    <w:rsid w:val="3025488D"/>
    <w:rsid w:val="302A1EA4"/>
    <w:rsid w:val="302E53C7"/>
    <w:rsid w:val="302F3016"/>
    <w:rsid w:val="303845C1"/>
    <w:rsid w:val="30474804"/>
    <w:rsid w:val="3049232A"/>
    <w:rsid w:val="304940D8"/>
    <w:rsid w:val="304D0EBF"/>
    <w:rsid w:val="305D7B83"/>
    <w:rsid w:val="306233EC"/>
    <w:rsid w:val="306929CC"/>
    <w:rsid w:val="30705B08"/>
    <w:rsid w:val="307A0735"/>
    <w:rsid w:val="307A24E3"/>
    <w:rsid w:val="307B625B"/>
    <w:rsid w:val="307D1FD3"/>
    <w:rsid w:val="308B2942"/>
    <w:rsid w:val="308E2433"/>
    <w:rsid w:val="308E41E1"/>
    <w:rsid w:val="30A77D27"/>
    <w:rsid w:val="30A92647"/>
    <w:rsid w:val="30B26121"/>
    <w:rsid w:val="30D36097"/>
    <w:rsid w:val="30EC0F07"/>
    <w:rsid w:val="30F4201C"/>
    <w:rsid w:val="31061FC9"/>
    <w:rsid w:val="311A1F18"/>
    <w:rsid w:val="31224929"/>
    <w:rsid w:val="31232B7B"/>
    <w:rsid w:val="31293F09"/>
    <w:rsid w:val="31342FDA"/>
    <w:rsid w:val="313F54DB"/>
    <w:rsid w:val="31412E1B"/>
    <w:rsid w:val="31436D79"/>
    <w:rsid w:val="315947EF"/>
    <w:rsid w:val="316136A3"/>
    <w:rsid w:val="316513E5"/>
    <w:rsid w:val="316F5DC0"/>
    <w:rsid w:val="317653A0"/>
    <w:rsid w:val="31772EC7"/>
    <w:rsid w:val="31774C75"/>
    <w:rsid w:val="317B29B7"/>
    <w:rsid w:val="317E24A7"/>
    <w:rsid w:val="31886E82"/>
    <w:rsid w:val="3192160B"/>
    <w:rsid w:val="31927D00"/>
    <w:rsid w:val="319475D5"/>
    <w:rsid w:val="31AA329C"/>
    <w:rsid w:val="31AC0DC2"/>
    <w:rsid w:val="31BA0D5D"/>
    <w:rsid w:val="31BE0AF5"/>
    <w:rsid w:val="31D2634F"/>
    <w:rsid w:val="31D420C7"/>
    <w:rsid w:val="31DB3455"/>
    <w:rsid w:val="31E3055C"/>
    <w:rsid w:val="31E56082"/>
    <w:rsid w:val="3200580A"/>
    <w:rsid w:val="320A7897"/>
    <w:rsid w:val="3212499D"/>
    <w:rsid w:val="322E5C7B"/>
    <w:rsid w:val="323048E9"/>
    <w:rsid w:val="323668DE"/>
    <w:rsid w:val="3239017C"/>
    <w:rsid w:val="323B5CA2"/>
    <w:rsid w:val="323D7C6C"/>
    <w:rsid w:val="324803BF"/>
    <w:rsid w:val="324A2389"/>
    <w:rsid w:val="32537490"/>
    <w:rsid w:val="32586854"/>
    <w:rsid w:val="325B4596"/>
    <w:rsid w:val="325D030E"/>
    <w:rsid w:val="325E7BE3"/>
    <w:rsid w:val="3264169D"/>
    <w:rsid w:val="32805DAB"/>
    <w:rsid w:val="32870EE7"/>
    <w:rsid w:val="328C0BF4"/>
    <w:rsid w:val="32931F82"/>
    <w:rsid w:val="329A50BF"/>
    <w:rsid w:val="32AE46C6"/>
    <w:rsid w:val="32B048E2"/>
    <w:rsid w:val="32B617CD"/>
    <w:rsid w:val="32C1089D"/>
    <w:rsid w:val="32C51A10"/>
    <w:rsid w:val="32CB26D6"/>
    <w:rsid w:val="32CE2FBA"/>
    <w:rsid w:val="32DD4FAB"/>
    <w:rsid w:val="32F12805"/>
    <w:rsid w:val="32FA3DAF"/>
    <w:rsid w:val="32FB3683"/>
    <w:rsid w:val="3300373A"/>
    <w:rsid w:val="33014DEF"/>
    <w:rsid w:val="330734E0"/>
    <w:rsid w:val="33154745"/>
    <w:rsid w:val="331704BD"/>
    <w:rsid w:val="331A61FF"/>
    <w:rsid w:val="331F17EA"/>
    <w:rsid w:val="331F55C4"/>
    <w:rsid w:val="332930F1"/>
    <w:rsid w:val="334F40FB"/>
    <w:rsid w:val="3353526D"/>
    <w:rsid w:val="335C4122"/>
    <w:rsid w:val="335F3C12"/>
    <w:rsid w:val="336D632F"/>
    <w:rsid w:val="33751688"/>
    <w:rsid w:val="337C2A16"/>
    <w:rsid w:val="337E053C"/>
    <w:rsid w:val="338813BB"/>
    <w:rsid w:val="33925D96"/>
    <w:rsid w:val="33951EF8"/>
    <w:rsid w:val="33B43F5E"/>
    <w:rsid w:val="33DC34B5"/>
    <w:rsid w:val="33F24A86"/>
    <w:rsid w:val="34030A42"/>
    <w:rsid w:val="34117602"/>
    <w:rsid w:val="341449FD"/>
    <w:rsid w:val="342235BE"/>
    <w:rsid w:val="3422536C"/>
    <w:rsid w:val="34272982"/>
    <w:rsid w:val="342866FA"/>
    <w:rsid w:val="343155AF"/>
    <w:rsid w:val="343E1A7A"/>
    <w:rsid w:val="344C063B"/>
    <w:rsid w:val="344E43B3"/>
    <w:rsid w:val="34572B3B"/>
    <w:rsid w:val="346D235F"/>
    <w:rsid w:val="348002E4"/>
    <w:rsid w:val="348F0527"/>
    <w:rsid w:val="349B3370"/>
    <w:rsid w:val="349E076A"/>
    <w:rsid w:val="34A35D81"/>
    <w:rsid w:val="34B05393"/>
    <w:rsid w:val="34B33D14"/>
    <w:rsid w:val="34B47F8E"/>
    <w:rsid w:val="34B87A7E"/>
    <w:rsid w:val="34BE7006"/>
    <w:rsid w:val="34BF705E"/>
    <w:rsid w:val="34C24459"/>
    <w:rsid w:val="34C91C8B"/>
    <w:rsid w:val="34CC52D7"/>
    <w:rsid w:val="34D67F04"/>
    <w:rsid w:val="34D80120"/>
    <w:rsid w:val="34DB376C"/>
    <w:rsid w:val="34E70363"/>
    <w:rsid w:val="34FD7B87"/>
    <w:rsid w:val="351053DE"/>
    <w:rsid w:val="3519786C"/>
    <w:rsid w:val="351B1DBB"/>
    <w:rsid w:val="3521576F"/>
    <w:rsid w:val="35236CE8"/>
    <w:rsid w:val="352B0250"/>
    <w:rsid w:val="352C5D76"/>
    <w:rsid w:val="352E1AEE"/>
    <w:rsid w:val="35374E47"/>
    <w:rsid w:val="353C06AF"/>
    <w:rsid w:val="353D61D5"/>
    <w:rsid w:val="353F5AA9"/>
    <w:rsid w:val="35447564"/>
    <w:rsid w:val="355377A7"/>
    <w:rsid w:val="355C5846"/>
    <w:rsid w:val="35610116"/>
    <w:rsid w:val="356279EA"/>
    <w:rsid w:val="356D0868"/>
    <w:rsid w:val="3579545F"/>
    <w:rsid w:val="357A4D33"/>
    <w:rsid w:val="358D4A67"/>
    <w:rsid w:val="3597161C"/>
    <w:rsid w:val="359A3628"/>
    <w:rsid w:val="359C73A0"/>
    <w:rsid w:val="359F479A"/>
    <w:rsid w:val="35A973C7"/>
    <w:rsid w:val="35B71AE4"/>
    <w:rsid w:val="35B77D36"/>
    <w:rsid w:val="35BE7316"/>
    <w:rsid w:val="35C12B12"/>
    <w:rsid w:val="35CA5CBB"/>
    <w:rsid w:val="35CB37E1"/>
    <w:rsid w:val="35CD1307"/>
    <w:rsid w:val="35E93C67"/>
    <w:rsid w:val="35EA1FC5"/>
    <w:rsid w:val="35F07A71"/>
    <w:rsid w:val="35FC399A"/>
    <w:rsid w:val="35FC7E3E"/>
    <w:rsid w:val="36034D29"/>
    <w:rsid w:val="36080591"/>
    <w:rsid w:val="360A3C9A"/>
    <w:rsid w:val="361231BE"/>
    <w:rsid w:val="36142D48"/>
    <w:rsid w:val="36160F00"/>
    <w:rsid w:val="36237179"/>
    <w:rsid w:val="36260A17"/>
    <w:rsid w:val="3628478F"/>
    <w:rsid w:val="36321AB2"/>
    <w:rsid w:val="36323860"/>
    <w:rsid w:val="36341386"/>
    <w:rsid w:val="36392E40"/>
    <w:rsid w:val="36394BEF"/>
    <w:rsid w:val="363C023B"/>
    <w:rsid w:val="3643781B"/>
    <w:rsid w:val="364A0BAA"/>
    <w:rsid w:val="364C66D0"/>
    <w:rsid w:val="364D069A"/>
    <w:rsid w:val="36625EF3"/>
    <w:rsid w:val="368045CB"/>
    <w:rsid w:val="368816D2"/>
    <w:rsid w:val="36A04C6E"/>
    <w:rsid w:val="36A22794"/>
    <w:rsid w:val="36A4475E"/>
    <w:rsid w:val="36A91D74"/>
    <w:rsid w:val="36BD75CE"/>
    <w:rsid w:val="36C24BE4"/>
    <w:rsid w:val="36D02516"/>
    <w:rsid w:val="36D16BD5"/>
    <w:rsid w:val="36E36908"/>
    <w:rsid w:val="36E42DAC"/>
    <w:rsid w:val="36E96615"/>
    <w:rsid w:val="36EA7C97"/>
    <w:rsid w:val="36F32FEF"/>
    <w:rsid w:val="370945C1"/>
    <w:rsid w:val="371511B8"/>
    <w:rsid w:val="371A67CE"/>
    <w:rsid w:val="3720190B"/>
    <w:rsid w:val="37270EEB"/>
    <w:rsid w:val="3727713D"/>
    <w:rsid w:val="37353608"/>
    <w:rsid w:val="37377380"/>
    <w:rsid w:val="373F6235"/>
    <w:rsid w:val="37476E97"/>
    <w:rsid w:val="375021F0"/>
    <w:rsid w:val="37517D16"/>
    <w:rsid w:val="37537F32"/>
    <w:rsid w:val="3757357E"/>
    <w:rsid w:val="376D2DA2"/>
    <w:rsid w:val="37704640"/>
    <w:rsid w:val="377C4D93"/>
    <w:rsid w:val="378123A9"/>
    <w:rsid w:val="37893954"/>
    <w:rsid w:val="37895702"/>
    <w:rsid w:val="379D4EBE"/>
    <w:rsid w:val="379D65F7"/>
    <w:rsid w:val="37A97B52"/>
    <w:rsid w:val="37AE5168"/>
    <w:rsid w:val="37B502A5"/>
    <w:rsid w:val="37BC7885"/>
    <w:rsid w:val="37BF1123"/>
    <w:rsid w:val="37D01583"/>
    <w:rsid w:val="37D20E57"/>
    <w:rsid w:val="37DC7F27"/>
    <w:rsid w:val="37E34E12"/>
    <w:rsid w:val="37E64902"/>
    <w:rsid w:val="37E961A0"/>
    <w:rsid w:val="37EB016A"/>
    <w:rsid w:val="37EB1F18"/>
    <w:rsid w:val="38080D1C"/>
    <w:rsid w:val="38190834"/>
    <w:rsid w:val="382B67B9"/>
    <w:rsid w:val="382E3860"/>
    <w:rsid w:val="38361DA2"/>
    <w:rsid w:val="384855BD"/>
    <w:rsid w:val="385B52F0"/>
    <w:rsid w:val="38657F1D"/>
    <w:rsid w:val="386C12AB"/>
    <w:rsid w:val="38767A34"/>
    <w:rsid w:val="387939C8"/>
    <w:rsid w:val="387B329C"/>
    <w:rsid w:val="387B504A"/>
    <w:rsid w:val="38877E93"/>
    <w:rsid w:val="388A34DF"/>
    <w:rsid w:val="388C54AA"/>
    <w:rsid w:val="388C7957"/>
    <w:rsid w:val="389737F8"/>
    <w:rsid w:val="38AC16A8"/>
    <w:rsid w:val="38AD5420"/>
    <w:rsid w:val="38B30C88"/>
    <w:rsid w:val="38B36EDA"/>
    <w:rsid w:val="38C70290"/>
    <w:rsid w:val="38DF7CCF"/>
    <w:rsid w:val="38E250CA"/>
    <w:rsid w:val="38EE1CC0"/>
    <w:rsid w:val="38EF77E6"/>
    <w:rsid w:val="38F17A02"/>
    <w:rsid w:val="38F31085"/>
    <w:rsid w:val="38FB618B"/>
    <w:rsid w:val="38FD0155"/>
    <w:rsid w:val="390A2872"/>
    <w:rsid w:val="390C77BE"/>
    <w:rsid w:val="390F7E89"/>
    <w:rsid w:val="39162FC5"/>
    <w:rsid w:val="391A0D07"/>
    <w:rsid w:val="391B05DB"/>
    <w:rsid w:val="39203E44"/>
    <w:rsid w:val="39205BF2"/>
    <w:rsid w:val="39237490"/>
    <w:rsid w:val="39253208"/>
    <w:rsid w:val="39311BAD"/>
    <w:rsid w:val="39317DFF"/>
    <w:rsid w:val="39333B77"/>
    <w:rsid w:val="39364146"/>
    <w:rsid w:val="39396CB4"/>
    <w:rsid w:val="393A4F06"/>
    <w:rsid w:val="394C69E7"/>
    <w:rsid w:val="394E09B1"/>
    <w:rsid w:val="395F496C"/>
    <w:rsid w:val="39657AA9"/>
    <w:rsid w:val="39897C3B"/>
    <w:rsid w:val="39932868"/>
    <w:rsid w:val="39A131D7"/>
    <w:rsid w:val="39B12CEE"/>
    <w:rsid w:val="39B20F40"/>
    <w:rsid w:val="39BC0814"/>
    <w:rsid w:val="39C26CA9"/>
    <w:rsid w:val="39C96289"/>
    <w:rsid w:val="39D864CC"/>
    <w:rsid w:val="39DB4726"/>
    <w:rsid w:val="39E44E71"/>
    <w:rsid w:val="39E921A3"/>
    <w:rsid w:val="39F257E0"/>
    <w:rsid w:val="39FA6443"/>
    <w:rsid w:val="3A053765"/>
    <w:rsid w:val="3A092B2A"/>
    <w:rsid w:val="3A0D6176"/>
    <w:rsid w:val="3A0E1EEE"/>
    <w:rsid w:val="3A10210A"/>
    <w:rsid w:val="3A26548A"/>
    <w:rsid w:val="3A2E433E"/>
    <w:rsid w:val="3A3951BD"/>
    <w:rsid w:val="3A3E0A25"/>
    <w:rsid w:val="3A3E6C77"/>
    <w:rsid w:val="3A3F02FA"/>
    <w:rsid w:val="3A4A1178"/>
    <w:rsid w:val="3A4B4EF0"/>
    <w:rsid w:val="3A59760D"/>
    <w:rsid w:val="3A60099C"/>
    <w:rsid w:val="3A655FB2"/>
    <w:rsid w:val="3A663AD8"/>
    <w:rsid w:val="3A6A35C8"/>
    <w:rsid w:val="3A960861"/>
    <w:rsid w:val="3A971EE4"/>
    <w:rsid w:val="3A993EAE"/>
    <w:rsid w:val="3AA12D62"/>
    <w:rsid w:val="3AB75147"/>
    <w:rsid w:val="3AC0143A"/>
    <w:rsid w:val="3AC058DE"/>
    <w:rsid w:val="3AC56A51"/>
    <w:rsid w:val="3AD35612"/>
    <w:rsid w:val="3AD849D6"/>
    <w:rsid w:val="3AD924FC"/>
    <w:rsid w:val="3ADE5D64"/>
    <w:rsid w:val="3AF45588"/>
    <w:rsid w:val="3AFB6916"/>
    <w:rsid w:val="3B0357CB"/>
    <w:rsid w:val="3B141786"/>
    <w:rsid w:val="3B143534"/>
    <w:rsid w:val="3B1D063B"/>
    <w:rsid w:val="3B20637D"/>
    <w:rsid w:val="3B2C2F74"/>
    <w:rsid w:val="3B3140E6"/>
    <w:rsid w:val="3B343BD6"/>
    <w:rsid w:val="3B44206B"/>
    <w:rsid w:val="3B450DF0"/>
    <w:rsid w:val="3B561D9F"/>
    <w:rsid w:val="3B583D69"/>
    <w:rsid w:val="3B5B5607"/>
    <w:rsid w:val="3B651FE2"/>
    <w:rsid w:val="3B892174"/>
    <w:rsid w:val="3B893F22"/>
    <w:rsid w:val="3B9A7EDD"/>
    <w:rsid w:val="3B9D79CE"/>
    <w:rsid w:val="3BAE09F6"/>
    <w:rsid w:val="3BB05953"/>
    <w:rsid w:val="3BC35686"/>
    <w:rsid w:val="3BDA29D0"/>
    <w:rsid w:val="3BDF3B42"/>
    <w:rsid w:val="3BE15B0C"/>
    <w:rsid w:val="3BE92C13"/>
    <w:rsid w:val="3BE949C1"/>
    <w:rsid w:val="3BF55114"/>
    <w:rsid w:val="3C047A4D"/>
    <w:rsid w:val="3C125CC6"/>
    <w:rsid w:val="3C283A82"/>
    <w:rsid w:val="3C2B6D87"/>
    <w:rsid w:val="3C3245BA"/>
    <w:rsid w:val="3C4165AB"/>
    <w:rsid w:val="3C460065"/>
    <w:rsid w:val="3C5462DE"/>
    <w:rsid w:val="3C5F4C83"/>
    <w:rsid w:val="3C616C4D"/>
    <w:rsid w:val="3C6D114E"/>
    <w:rsid w:val="3C74072E"/>
    <w:rsid w:val="3C746980"/>
    <w:rsid w:val="3C777004"/>
    <w:rsid w:val="3C7C75E3"/>
    <w:rsid w:val="3C885F88"/>
    <w:rsid w:val="3C8A1D00"/>
    <w:rsid w:val="3C8D359E"/>
    <w:rsid w:val="3C97441D"/>
    <w:rsid w:val="3C9B3F0D"/>
    <w:rsid w:val="3CA1529C"/>
    <w:rsid w:val="3CA31014"/>
    <w:rsid w:val="3CA56B3A"/>
    <w:rsid w:val="3CA628B2"/>
    <w:rsid w:val="3CAA4150"/>
    <w:rsid w:val="3CB43221"/>
    <w:rsid w:val="3CB7061B"/>
    <w:rsid w:val="3CBC20D5"/>
    <w:rsid w:val="3CC72F54"/>
    <w:rsid w:val="3CCB40C7"/>
    <w:rsid w:val="3CD70CBD"/>
    <w:rsid w:val="3CDA7DA7"/>
    <w:rsid w:val="3CE05DC4"/>
    <w:rsid w:val="3CF74EBC"/>
    <w:rsid w:val="3CF90C34"/>
    <w:rsid w:val="3D085E9A"/>
    <w:rsid w:val="3D0E0B83"/>
    <w:rsid w:val="3D0F48FB"/>
    <w:rsid w:val="3D1837B0"/>
    <w:rsid w:val="3D18555E"/>
    <w:rsid w:val="3D22462E"/>
    <w:rsid w:val="3D324146"/>
    <w:rsid w:val="3D367828"/>
    <w:rsid w:val="3D385C00"/>
    <w:rsid w:val="3D3E2AEA"/>
    <w:rsid w:val="3D4070E8"/>
    <w:rsid w:val="3D42082D"/>
    <w:rsid w:val="3D4A5933"/>
    <w:rsid w:val="3D4C16AB"/>
    <w:rsid w:val="3D4D7F85"/>
    <w:rsid w:val="3D510A70"/>
    <w:rsid w:val="3D536596"/>
    <w:rsid w:val="3D567E34"/>
    <w:rsid w:val="3D5F318D"/>
    <w:rsid w:val="3D624A2B"/>
    <w:rsid w:val="3D6E1622"/>
    <w:rsid w:val="3D8449A1"/>
    <w:rsid w:val="3D93654B"/>
    <w:rsid w:val="3DA6700D"/>
    <w:rsid w:val="3DA908AC"/>
    <w:rsid w:val="3DB17760"/>
    <w:rsid w:val="3DBA03C3"/>
    <w:rsid w:val="3DC456E6"/>
    <w:rsid w:val="3DDC5A94"/>
    <w:rsid w:val="3DE43692"/>
    <w:rsid w:val="3DE85EB5"/>
    <w:rsid w:val="3DE96EFA"/>
    <w:rsid w:val="3DF338D5"/>
    <w:rsid w:val="3DF37D79"/>
    <w:rsid w:val="3DFA4C63"/>
    <w:rsid w:val="3E1D4DF6"/>
    <w:rsid w:val="3E1F46CA"/>
    <w:rsid w:val="3E2A5C68"/>
    <w:rsid w:val="3E2B306F"/>
    <w:rsid w:val="3E2D45E9"/>
    <w:rsid w:val="3E2E0DB1"/>
    <w:rsid w:val="3E3143FD"/>
    <w:rsid w:val="3E3A1504"/>
    <w:rsid w:val="3E42660A"/>
    <w:rsid w:val="3E524E74"/>
    <w:rsid w:val="3E611186"/>
    <w:rsid w:val="3E7569E0"/>
    <w:rsid w:val="3E834C59"/>
    <w:rsid w:val="3E886713"/>
    <w:rsid w:val="3EA80B63"/>
    <w:rsid w:val="3EAA48DB"/>
    <w:rsid w:val="3EAD7F28"/>
    <w:rsid w:val="3EB23790"/>
    <w:rsid w:val="3EBB0897"/>
    <w:rsid w:val="3EBD6E70"/>
    <w:rsid w:val="3EBE3EE3"/>
    <w:rsid w:val="3ECD05CA"/>
    <w:rsid w:val="3ECF60F0"/>
    <w:rsid w:val="3EDE27D7"/>
    <w:rsid w:val="3EE33949"/>
    <w:rsid w:val="3EEE3F97"/>
    <w:rsid w:val="3EF43DA9"/>
    <w:rsid w:val="3EF47905"/>
    <w:rsid w:val="3F052628"/>
    <w:rsid w:val="3F0833B0"/>
    <w:rsid w:val="3F255D10"/>
    <w:rsid w:val="3F2A5A1C"/>
    <w:rsid w:val="3F47212A"/>
    <w:rsid w:val="3F473ED8"/>
    <w:rsid w:val="3F4D34B9"/>
    <w:rsid w:val="3F512FA9"/>
    <w:rsid w:val="3F52287D"/>
    <w:rsid w:val="3F620D12"/>
    <w:rsid w:val="3F6251B6"/>
    <w:rsid w:val="3F67457A"/>
    <w:rsid w:val="3F6A7BC7"/>
    <w:rsid w:val="3F710F55"/>
    <w:rsid w:val="3F746C97"/>
    <w:rsid w:val="3F7722E4"/>
    <w:rsid w:val="3F791367"/>
    <w:rsid w:val="3F7B1DD4"/>
    <w:rsid w:val="3F7D5B4C"/>
    <w:rsid w:val="3F8073EA"/>
    <w:rsid w:val="3F84512C"/>
    <w:rsid w:val="3F850EA5"/>
    <w:rsid w:val="3F8E1B07"/>
    <w:rsid w:val="3F8F3AD1"/>
    <w:rsid w:val="3FA255B3"/>
    <w:rsid w:val="3FAC01DF"/>
    <w:rsid w:val="3FAF1A7E"/>
    <w:rsid w:val="3FB84DD6"/>
    <w:rsid w:val="3FB86B84"/>
    <w:rsid w:val="3FBD419A"/>
    <w:rsid w:val="3FBE7F13"/>
    <w:rsid w:val="3FC90D91"/>
    <w:rsid w:val="3FC92B3F"/>
    <w:rsid w:val="3FCA4B09"/>
    <w:rsid w:val="3FCF3ECE"/>
    <w:rsid w:val="3FD339BE"/>
    <w:rsid w:val="3FD37E62"/>
    <w:rsid w:val="3FD61700"/>
    <w:rsid w:val="3FDF4418"/>
    <w:rsid w:val="3FF878C8"/>
    <w:rsid w:val="400D3374"/>
    <w:rsid w:val="4024421A"/>
    <w:rsid w:val="402E32EA"/>
    <w:rsid w:val="403A57EB"/>
    <w:rsid w:val="403B3CF9"/>
    <w:rsid w:val="403C77B5"/>
    <w:rsid w:val="403F2E01"/>
    <w:rsid w:val="40460634"/>
    <w:rsid w:val="404E1296"/>
    <w:rsid w:val="4050500F"/>
    <w:rsid w:val="405F5252"/>
    <w:rsid w:val="4061721C"/>
    <w:rsid w:val="406E5EF3"/>
    <w:rsid w:val="407D392A"/>
    <w:rsid w:val="40833567"/>
    <w:rsid w:val="40860A30"/>
    <w:rsid w:val="40890521"/>
    <w:rsid w:val="408E606F"/>
    <w:rsid w:val="40953369"/>
    <w:rsid w:val="409A0980"/>
    <w:rsid w:val="40A35A86"/>
    <w:rsid w:val="40C8729B"/>
    <w:rsid w:val="40CE4185"/>
    <w:rsid w:val="40D7128C"/>
    <w:rsid w:val="40D95004"/>
    <w:rsid w:val="40DA0D7C"/>
    <w:rsid w:val="40E816EB"/>
    <w:rsid w:val="40E83499"/>
    <w:rsid w:val="40EB4D37"/>
    <w:rsid w:val="40F0234E"/>
    <w:rsid w:val="40F167F2"/>
    <w:rsid w:val="40F94DDB"/>
    <w:rsid w:val="40FC5196"/>
    <w:rsid w:val="410A340F"/>
    <w:rsid w:val="410F4ECA"/>
    <w:rsid w:val="410F6C78"/>
    <w:rsid w:val="41110C42"/>
    <w:rsid w:val="41230975"/>
    <w:rsid w:val="41285F8B"/>
    <w:rsid w:val="41313092"/>
    <w:rsid w:val="413B7A6D"/>
    <w:rsid w:val="416C5E78"/>
    <w:rsid w:val="416F3BBA"/>
    <w:rsid w:val="418036D2"/>
    <w:rsid w:val="418121C3"/>
    <w:rsid w:val="418D5DEE"/>
    <w:rsid w:val="41986C6D"/>
    <w:rsid w:val="41AF045B"/>
    <w:rsid w:val="41B82E6B"/>
    <w:rsid w:val="41C07F72"/>
    <w:rsid w:val="41D103D1"/>
    <w:rsid w:val="41D56723"/>
    <w:rsid w:val="41D67795"/>
    <w:rsid w:val="41DB1250"/>
    <w:rsid w:val="41EC0D67"/>
    <w:rsid w:val="41F36599"/>
    <w:rsid w:val="41F52311"/>
    <w:rsid w:val="41FB36A0"/>
    <w:rsid w:val="4202058A"/>
    <w:rsid w:val="420460B1"/>
    <w:rsid w:val="420E5181"/>
    <w:rsid w:val="4226071D"/>
    <w:rsid w:val="422E75D1"/>
    <w:rsid w:val="422F08A0"/>
    <w:rsid w:val="423069EF"/>
    <w:rsid w:val="42350960"/>
    <w:rsid w:val="42383761"/>
    <w:rsid w:val="423C1CEE"/>
    <w:rsid w:val="423D15C3"/>
    <w:rsid w:val="423F533B"/>
    <w:rsid w:val="424010B3"/>
    <w:rsid w:val="42440BA3"/>
    <w:rsid w:val="425A2175"/>
    <w:rsid w:val="42660B19"/>
    <w:rsid w:val="4267663F"/>
    <w:rsid w:val="426C1EA8"/>
    <w:rsid w:val="426E79CE"/>
    <w:rsid w:val="42707BEA"/>
    <w:rsid w:val="42734FE4"/>
    <w:rsid w:val="427A6373"/>
    <w:rsid w:val="42817701"/>
    <w:rsid w:val="428F13D0"/>
    <w:rsid w:val="42984A4B"/>
    <w:rsid w:val="429A4C67"/>
    <w:rsid w:val="429A6A15"/>
    <w:rsid w:val="42A11B51"/>
    <w:rsid w:val="42A258CA"/>
    <w:rsid w:val="42AD6748"/>
    <w:rsid w:val="42B23D5F"/>
    <w:rsid w:val="42BA2C13"/>
    <w:rsid w:val="42C615B8"/>
    <w:rsid w:val="42C910A8"/>
    <w:rsid w:val="42C972FA"/>
    <w:rsid w:val="42CB3072"/>
    <w:rsid w:val="42D00689"/>
    <w:rsid w:val="42F06635"/>
    <w:rsid w:val="42F26851"/>
    <w:rsid w:val="42F56341"/>
    <w:rsid w:val="42FD26E6"/>
    <w:rsid w:val="42FF4ACA"/>
    <w:rsid w:val="430B16C1"/>
    <w:rsid w:val="4315253F"/>
    <w:rsid w:val="43234C5C"/>
    <w:rsid w:val="43252782"/>
    <w:rsid w:val="432804C5"/>
    <w:rsid w:val="43291B47"/>
    <w:rsid w:val="432B3B11"/>
    <w:rsid w:val="4333000A"/>
    <w:rsid w:val="433B01F8"/>
    <w:rsid w:val="435412BA"/>
    <w:rsid w:val="43670FED"/>
    <w:rsid w:val="4368266F"/>
    <w:rsid w:val="436A288B"/>
    <w:rsid w:val="43741014"/>
    <w:rsid w:val="437C611B"/>
    <w:rsid w:val="43851473"/>
    <w:rsid w:val="438751EB"/>
    <w:rsid w:val="439045B0"/>
    <w:rsid w:val="4391606A"/>
    <w:rsid w:val="43943464"/>
    <w:rsid w:val="439C4706"/>
    <w:rsid w:val="43A63197"/>
    <w:rsid w:val="43AC4C52"/>
    <w:rsid w:val="43B21B3C"/>
    <w:rsid w:val="43B41D58"/>
    <w:rsid w:val="43B6162D"/>
    <w:rsid w:val="43BB3579"/>
    <w:rsid w:val="43CB512D"/>
    <w:rsid w:val="43D16466"/>
    <w:rsid w:val="43D9356D"/>
    <w:rsid w:val="43F16B09"/>
    <w:rsid w:val="43F565F9"/>
    <w:rsid w:val="4404683C"/>
    <w:rsid w:val="44077BDE"/>
    <w:rsid w:val="44114AB5"/>
    <w:rsid w:val="44136A7F"/>
    <w:rsid w:val="44191BBB"/>
    <w:rsid w:val="441B3B85"/>
    <w:rsid w:val="441D78FE"/>
    <w:rsid w:val="442C7B41"/>
    <w:rsid w:val="442E38B9"/>
    <w:rsid w:val="444906F3"/>
    <w:rsid w:val="444A7FC7"/>
    <w:rsid w:val="445552E9"/>
    <w:rsid w:val="445F3A72"/>
    <w:rsid w:val="44692B43"/>
    <w:rsid w:val="446C74E3"/>
    <w:rsid w:val="447514E8"/>
    <w:rsid w:val="44780FD8"/>
    <w:rsid w:val="4488746D"/>
    <w:rsid w:val="44A703AC"/>
    <w:rsid w:val="44C22253"/>
    <w:rsid w:val="44D37FBC"/>
    <w:rsid w:val="44DB5F9C"/>
    <w:rsid w:val="44DE708D"/>
    <w:rsid w:val="44E4666D"/>
    <w:rsid w:val="44F3065E"/>
    <w:rsid w:val="44F7014F"/>
    <w:rsid w:val="44FF0DB1"/>
    <w:rsid w:val="45034D45"/>
    <w:rsid w:val="450B1E4C"/>
    <w:rsid w:val="45105EDB"/>
    <w:rsid w:val="45107462"/>
    <w:rsid w:val="45132AAF"/>
    <w:rsid w:val="4514742D"/>
    <w:rsid w:val="45196317"/>
    <w:rsid w:val="452E7FD4"/>
    <w:rsid w:val="45343151"/>
    <w:rsid w:val="45482758"/>
    <w:rsid w:val="45486BFC"/>
    <w:rsid w:val="454A4722"/>
    <w:rsid w:val="4554734F"/>
    <w:rsid w:val="455A248C"/>
    <w:rsid w:val="455B692F"/>
    <w:rsid w:val="456652D4"/>
    <w:rsid w:val="456926CF"/>
    <w:rsid w:val="457E43CC"/>
    <w:rsid w:val="458319E2"/>
    <w:rsid w:val="45B20519"/>
    <w:rsid w:val="45B61DB8"/>
    <w:rsid w:val="45C344D5"/>
    <w:rsid w:val="45C5024D"/>
    <w:rsid w:val="45C862BC"/>
    <w:rsid w:val="45D1274E"/>
    <w:rsid w:val="45D65FB6"/>
    <w:rsid w:val="45D87F80"/>
    <w:rsid w:val="45DB35CC"/>
    <w:rsid w:val="45E16709"/>
    <w:rsid w:val="45E2495B"/>
    <w:rsid w:val="45E306D3"/>
    <w:rsid w:val="45E36925"/>
    <w:rsid w:val="45E701C3"/>
    <w:rsid w:val="45ED3300"/>
    <w:rsid w:val="45F823D0"/>
    <w:rsid w:val="46041FB3"/>
    <w:rsid w:val="460A2104"/>
    <w:rsid w:val="4613720A"/>
    <w:rsid w:val="4629258A"/>
    <w:rsid w:val="463F7FFF"/>
    <w:rsid w:val="46401681"/>
    <w:rsid w:val="46454EEA"/>
    <w:rsid w:val="46472A10"/>
    <w:rsid w:val="46492C2C"/>
    <w:rsid w:val="464C0026"/>
    <w:rsid w:val="464F5D68"/>
    <w:rsid w:val="46517D32"/>
    <w:rsid w:val="465A6BE7"/>
    <w:rsid w:val="465D0485"/>
    <w:rsid w:val="467D4684"/>
    <w:rsid w:val="46827EEC"/>
    <w:rsid w:val="468B4FF2"/>
    <w:rsid w:val="468B5AEE"/>
    <w:rsid w:val="46911EDD"/>
    <w:rsid w:val="4699566E"/>
    <w:rsid w:val="469D0882"/>
    <w:rsid w:val="46C16C66"/>
    <w:rsid w:val="46C422B2"/>
    <w:rsid w:val="46C978C9"/>
    <w:rsid w:val="46D149CF"/>
    <w:rsid w:val="46D63D94"/>
    <w:rsid w:val="46DA1AD6"/>
    <w:rsid w:val="46F10BCE"/>
    <w:rsid w:val="46FC37FA"/>
    <w:rsid w:val="46FD7572"/>
    <w:rsid w:val="47022DDB"/>
    <w:rsid w:val="47084895"/>
    <w:rsid w:val="470D3C59"/>
    <w:rsid w:val="471F1BDF"/>
    <w:rsid w:val="47290367"/>
    <w:rsid w:val="472B2331"/>
    <w:rsid w:val="472D42FC"/>
    <w:rsid w:val="473A07C7"/>
    <w:rsid w:val="473C453F"/>
    <w:rsid w:val="473E02B7"/>
    <w:rsid w:val="474653BD"/>
    <w:rsid w:val="474927B8"/>
    <w:rsid w:val="474B6530"/>
    <w:rsid w:val="474D04FA"/>
    <w:rsid w:val="475A6773"/>
    <w:rsid w:val="4766336A"/>
    <w:rsid w:val="47685334"/>
    <w:rsid w:val="47723ABC"/>
    <w:rsid w:val="47835CCA"/>
    <w:rsid w:val="47855EE6"/>
    <w:rsid w:val="478B2DD0"/>
    <w:rsid w:val="47A65E5C"/>
    <w:rsid w:val="47AF4D11"/>
    <w:rsid w:val="47B440D5"/>
    <w:rsid w:val="47BC567F"/>
    <w:rsid w:val="47C22C96"/>
    <w:rsid w:val="47C6205A"/>
    <w:rsid w:val="47CE2EEB"/>
    <w:rsid w:val="47CF53B3"/>
    <w:rsid w:val="47D604EF"/>
    <w:rsid w:val="47D91D8D"/>
    <w:rsid w:val="47D93B3C"/>
    <w:rsid w:val="47DD7AD0"/>
    <w:rsid w:val="47EA5D49"/>
    <w:rsid w:val="47EA7AF7"/>
    <w:rsid w:val="47EC1AC1"/>
    <w:rsid w:val="47F170D7"/>
    <w:rsid w:val="47F60B91"/>
    <w:rsid w:val="480C5CBF"/>
    <w:rsid w:val="481E3C44"/>
    <w:rsid w:val="482079BC"/>
    <w:rsid w:val="4823125B"/>
    <w:rsid w:val="48286871"/>
    <w:rsid w:val="482D3E87"/>
    <w:rsid w:val="483416BA"/>
    <w:rsid w:val="48427933"/>
    <w:rsid w:val="485F6737"/>
    <w:rsid w:val="486024AF"/>
    <w:rsid w:val="486755EB"/>
    <w:rsid w:val="48677399"/>
    <w:rsid w:val="486E697A"/>
    <w:rsid w:val="487877F8"/>
    <w:rsid w:val="48825F81"/>
    <w:rsid w:val="48873598"/>
    <w:rsid w:val="488F68F0"/>
    <w:rsid w:val="489D2DBB"/>
    <w:rsid w:val="48A26623"/>
    <w:rsid w:val="48A64365"/>
    <w:rsid w:val="48A86E60"/>
    <w:rsid w:val="48C26CC5"/>
    <w:rsid w:val="48C90054"/>
    <w:rsid w:val="48CB3DCC"/>
    <w:rsid w:val="48E24C72"/>
    <w:rsid w:val="48E7759C"/>
    <w:rsid w:val="48E94252"/>
    <w:rsid w:val="48FC21D7"/>
    <w:rsid w:val="49050213"/>
    <w:rsid w:val="49164517"/>
    <w:rsid w:val="491C0184"/>
    <w:rsid w:val="491D214E"/>
    <w:rsid w:val="4921031A"/>
    <w:rsid w:val="492B03C7"/>
    <w:rsid w:val="492B486B"/>
    <w:rsid w:val="495A6EFE"/>
    <w:rsid w:val="496C0591"/>
    <w:rsid w:val="49A168DB"/>
    <w:rsid w:val="49A81A17"/>
    <w:rsid w:val="49B27967"/>
    <w:rsid w:val="49C36851"/>
    <w:rsid w:val="49C5081B"/>
    <w:rsid w:val="49CD147E"/>
    <w:rsid w:val="49D2118A"/>
    <w:rsid w:val="49D4280C"/>
    <w:rsid w:val="49DD3471"/>
    <w:rsid w:val="49E62540"/>
    <w:rsid w:val="49EA0282"/>
    <w:rsid w:val="49ED38CE"/>
    <w:rsid w:val="49F033BE"/>
    <w:rsid w:val="49F41101"/>
    <w:rsid w:val="49F64E79"/>
    <w:rsid w:val="49FA5FEB"/>
    <w:rsid w:val="4A0C644A"/>
    <w:rsid w:val="4A121587"/>
    <w:rsid w:val="4A1452FF"/>
    <w:rsid w:val="4A176B9D"/>
    <w:rsid w:val="4A1946C3"/>
    <w:rsid w:val="4A1E617D"/>
    <w:rsid w:val="4A282B58"/>
    <w:rsid w:val="4A2A2D74"/>
    <w:rsid w:val="4A443E36"/>
    <w:rsid w:val="4A455009"/>
    <w:rsid w:val="4A4C4A99"/>
    <w:rsid w:val="4A5B2F2E"/>
    <w:rsid w:val="4A5D6CA6"/>
    <w:rsid w:val="4A677B24"/>
    <w:rsid w:val="4A6E0EB3"/>
    <w:rsid w:val="4A6E2C61"/>
    <w:rsid w:val="4A743FEF"/>
    <w:rsid w:val="4A8B6CBC"/>
    <w:rsid w:val="4A8C1339"/>
    <w:rsid w:val="4A8E6E5F"/>
    <w:rsid w:val="4A8F4985"/>
    <w:rsid w:val="4A980693"/>
    <w:rsid w:val="4A993A56"/>
    <w:rsid w:val="4A9D70A2"/>
    <w:rsid w:val="4A9E2E1A"/>
    <w:rsid w:val="4AA02F8B"/>
    <w:rsid w:val="4AA20B5D"/>
    <w:rsid w:val="4AA448D5"/>
    <w:rsid w:val="4AB8212E"/>
    <w:rsid w:val="4ABA5EA6"/>
    <w:rsid w:val="4ABD7744"/>
    <w:rsid w:val="4AC40AD3"/>
    <w:rsid w:val="4AC97E97"/>
    <w:rsid w:val="4ADD1B95"/>
    <w:rsid w:val="4AE2447F"/>
    <w:rsid w:val="4AE747C1"/>
    <w:rsid w:val="4AF76666"/>
    <w:rsid w:val="4B005883"/>
    <w:rsid w:val="4B047E79"/>
    <w:rsid w:val="4B071F90"/>
    <w:rsid w:val="4B094738"/>
    <w:rsid w:val="4B105AC6"/>
    <w:rsid w:val="4B217CD3"/>
    <w:rsid w:val="4B2477C4"/>
    <w:rsid w:val="4B2652EA"/>
    <w:rsid w:val="4B3317B5"/>
    <w:rsid w:val="4B35377F"/>
    <w:rsid w:val="4B3A2B43"/>
    <w:rsid w:val="4B4D612E"/>
    <w:rsid w:val="4B55797D"/>
    <w:rsid w:val="4B5C0D0B"/>
    <w:rsid w:val="4B5D4A84"/>
    <w:rsid w:val="4B614574"/>
    <w:rsid w:val="4B693428"/>
    <w:rsid w:val="4B6D116B"/>
    <w:rsid w:val="4B7324F9"/>
    <w:rsid w:val="4B736055"/>
    <w:rsid w:val="4B773D97"/>
    <w:rsid w:val="4B8B7843"/>
    <w:rsid w:val="4B8D7117"/>
    <w:rsid w:val="4B8E10E1"/>
    <w:rsid w:val="4B971D44"/>
    <w:rsid w:val="4B9C55AC"/>
    <w:rsid w:val="4B9F509C"/>
    <w:rsid w:val="4BA97CC9"/>
    <w:rsid w:val="4BAF1783"/>
    <w:rsid w:val="4BB24DCF"/>
    <w:rsid w:val="4BB74194"/>
    <w:rsid w:val="4BBF74EC"/>
    <w:rsid w:val="4BC0573E"/>
    <w:rsid w:val="4BC44B03"/>
    <w:rsid w:val="4BC93EC7"/>
    <w:rsid w:val="4BCA036B"/>
    <w:rsid w:val="4BD20FCE"/>
    <w:rsid w:val="4BDE69FD"/>
    <w:rsid w:val="4BE40D01"/>
    <w:rsid w:val="4BEE392E"/>
    <w:rsid w:val="4BF278C2"/>
    <w:rsid w:val="4BF90C50"/>
    <w:rsid w:val="4C0554CB"/>
    <w:rsid w:val="4C0A69B9"/>
    <w:rsid w:val="4C0F5D7E"/>
    <w:rsid w:val="4C147838"/>
    <w:rsid w:val="4C1C493F"/>
    <w:rsid w:val="4C21145A"/>
    <w:rsid w:val="4C231829"/>
    <w:rsid w:val="4C371778"/>
    <w:rsid w:val="4C39104D"/>
    <w:rsid w:val="4C392DFB"/>
    <w:rsid w:val="4C40671A"/>
    <w:rsid w:val="4C485734"/>
    <w:rsid w:val="4C4A1A57"/>
    <w:rsid w:val="4C4A5008"/>
    <w:rsid w:val="4C4F0870"/>
    <w:rsid w:val="4C547C35"/>
    <w:rsid w:val="4C577725"/>
    <w:rsid w:val="4C6065D9"/>
    <w:rsid w:val="4C6C11C3"/>
    <w:rsid w:val="4C6C1422"/>
    <w:rsid w:val="4C856040"/>
    <w:rsid w:val="4C8749CF"/>
    <w:rsid w:val="4C8B732C"/>
    <w:rsid w:val="4C9170DB"/>
    <w:rsid w:val="4C9646F1"/>
    <w:rsid w:val="4C975D73"/>
    <w:rsid w:val="4C982217"/>
    <w:rsid w:val="4C9D15DC"/>
    <w:rsid w:val="4CA02E7A"/>
    <w:rsid w:val="4CA7245A"/>
    <w:rsid w:val="4CA94424"/>
    <w:rsid w:val="4CAE1754"/>
    <w:rsid w:val="4CAE37E9"/>
    <w:rsid w:val="4CB45235"/>
    <w:rsid w:val="4CB9218D"/>
    <w:rsid w:val="4CB94791"/>
    <w:rsid w:val="4CBE1552"/>
    <w:rsid w:val="4CC34DBA"/>
    <w:rsid w:val="4CC528E0"/>
    <w:rsid w:val="4CCC0113"/>
    <w:rsid w:val="4CCF19B1"/>
    <w:rsid w:val="4CD07C03"/>
    <w:rsid w:val="4CD60F91"/>
    <w:rsid w:val="4CD82614"/>
    <w:rsid w:val="4CE76CFB"/>
    <w:rsid w:val="4CF66F3E"/>
    <w:rsid w:val="4CF80F08"/>
    <w:rsid w:val="4CFF2296"/>
    <w:rsid w:val="4D023B34"/>
    <w:rsid w:val="4D166283"/>
    <w:rsid w:val="4D186EB4"/>
    <w:rsid w:val="4D245859"/>
    <w:rsid w:val="4D265A75"/>
    <w:rsid w:val="4D2E66D8"/>
    <w:rsid w:val="4D330192"/>
    <w:rsid w:val="4D3874B5"/>
    <w:rsid w:val="4D3A507C"/>
    <w:rsid w:val="4D4128AF"/>
    <w:rsid w:val="4D4B54DB"/>
    <w:rsid w:val="4D5679DC"/>
    <w:rsid w:val="4D61085B"/>
    <w:rsid w:val="4D671BE9"/>
    <w:rsid w:val="4D697710"/>
    <w:rsid w:val="4D7A191D"/>
    <w:rsid w:val="4D7B5AD0"/>
    <w:rsid w:val="4D84279B"/>
    <w:rsid w:val="4D8929FB"/>
    <w:rsid w:val="4D9A5B1B"/>
    <w:rsid w:val="4DA1374B"/>
    <w:rsid w:val="4DA47990"/>
    <w:rsid w:val="4DA63BE4"/>
    <w:rsid w:val="4DBB438C"/>
    <w:rsid w:val="4DBE3EFF"/>
    <w:rsid w:val="4DC1754C"/>
    <w:rsid w:val="4DC709FA"/>
    <w:rsid w:val="4DC82688"/>
    <w:rsid w:val="4DCA28A4"/>
    <w:rsid w:val="4DCB03CA"/>
    <w:rsid w:val="4DD0778F"/>
    <w:rsid w:val="4DD51249"/>
    <w:rsid w:val="4DD54DA5"/>
    <w:rsid w:val="4DDA685F"/>
    <w:rsid w:val="4DE25B1A"/>
    <w:rsid w:val="4DEA6AA2"/>
    <w:rsid w:val="4E0336C0"/>
    <w:rsid w:val="4E0F02B7"/>
    <w:rsid w:val="4E2875CB"/>
    <w:rsid w:val="4E4125AE"/>
    <w:rsid w:val="4E4769A2"/>
    <w:rsid w:val="4E4C150B"/>
    <w:rsid w:val="4E52289A"/>
    <w:rsid w:val="4E5263F6"/>
    <w:rsid w:val="4E676345"/>
    <w:rsid w:val="4E710F72"/>
    <w:rsid w:val="4E74636C"/>
    <w:rsid w:val="4E797E26"/>
    <w:rsid w:val="4E865398"/>
    <w:rsid w:val="4E8A2033"/>
    <w:rsid w:val="4E8C5DAC"/>
    <w:rsid w:val="4E920EE8"/>
    <w:rsid w:val="4E9E788D"/>
    <w:rsid w:val="4EA07161"/>
    <w:rsid w:val="4EA36C51"/>
    <w:rsid w:val="4EB64BD7"/>
    <w:rsid w:val="4EBD5F65"/>
    <w:rsid w:val="4EBE65E6"/>
    <w:rsid w:val="4EC85307"/>
    <w:rsid w:val="4EC92B5C"/>
    <w:rsid w:val="4ECC61A8"/>
    <w:rsid w:val="4ECD3CCE"/>
    <w:rsid w:val="4ED4505D"/>
    <w:rsid w:val="4EE334F2"/>
    <w:rsid w:val="4EF43951"/>
    <w:rsid w:val="4EF7784F"/>
    <w:rsid w:val="4EFB4CDF"/>
    <w:rsid w:val="4EFE20DA"/>
    <w:rsid w:val="4F082F58"/>
    <w:rsid w:val="4F1418FD"/>
    <w:rsid w:val="4F18319B"/>
    <w:rsid w:val="4F1C5F3C"/>
    <w:rsid w:val="4F2E5FF2"/>
    <w:rsid w:val="4F2E6E63"/>
    <w:rsid w:val="4F35067F"/>
    <w:rsid w:val="4F3855EC"/>
    <w:rsid w:val="4F3B50DC"/>
    <w:rsid w:val="4F3D70A6"/>
    <w:rsid w:val="4F426946"/>
    <w:rsid w:val="4F4C553B"/>
    <w:rsid w:val="4F4E12B3"/>
    <w:rsid w:val="4F587A3C"/>
    <w:rsid w:val="4F7C3172"/>
    <w:rsid w:val="4F7E394E"/>
    <w:rsid w:val="4F8214A1"/>
    <w:rsid w:val="4F8E345D"/>
    <w:rsid w:val="4F9071D6"/>
    <w:rsid w:val="4F9111A0"/>
    <w:rsid w:val="4F9273F2"/>
    <w:rsid w:val="4F960564"/>
    <w:rsid w:val="4FA113E3"/>
    <w:rsid w:val="4FA233AD"/>
    <w:rsid w:val="4FA26F09"/>
    <w:rsid w:val="4FA42C81"/>
    <w:rsid w:val="4FA62E9D"/>
    <w:rsid w:val="4FAE58AE"/>
    <w:rsid w:val="4FB01626"/>
    <w:rsid w:val="4FC27377"/>
    <w:rsid w:val="4FD86DCF"/>
    <w:rsid w:val="4FE439C5"/>
    <w:rsid w:val="4FE70DC0"/>
    <w:rsid w:val="4FE94B38"/>
    <w:rsid w:val="4FF27E90"/>
    <w:rsid w:val="4FFA4F97"/>
    <w:rsid w:val="4FFC0D0F"/>
    <w:rsid w:val="4FFC486B"/>
    <w:rsid w:val="50033E4B"/>
    <w:rsid w:val="500B2D00"/>
    <w:rsid w:val="500F0A42"/>
    <w:rsid w:val="502B5150"/>
    <w:rsid w:val="50373AF5"/>
    <w:rsid w:val="50395ABF"/>
    <w:rsid w:val="503C110B"/>
    <w:rsid w:val="503C55AF"/>
    <w:rsid w:val="505521CD"/>
    <w:rsid w:val="50575F45"/>
    <w:rsid w:val="50642410"/>
    <w:rsid w:val="5065417F"/>
    <w:rsid w:val="506B19F1"/>
    <w:rsid w:val="50726A1D"/>
    <w:rsid w:val="50772144"/>
    <w:rsid w:val="507B60D8"/>
    <w:rsid w:val="50834F8C"/>
    <w:rsid w:val="508F4A82"/>
    <w:rsid w:val="50923421"/>
    <w:rsid w:val="50964CC0"/>
    <w:rsid w:val="50972C39"/>
    <w:rsid w:val="509E6E33"/>
    <w:rsid w:val="50A54F03"/>
    <w:rsid w:val="50A94B58"/>
    <w:rsid w:val="50B11AF9"/>
    <w:rsid w:val="50C055F7"/>
    <w:rsid w:val="50C3182D"/>
    <w:rsid w:val="50C7131D"/>
    <w:rsid w:val="50D61560"/>
    <w:rsid w:val="50D852D8"/>
    <w:rsid w:val="50EF617E"/>
    <w:rsid w:val="510C08F5"/>
    <w:rsid w:val="51145BE4"/>
    <w:rsid w:val="5119769F"/>
    <w:rsid w:val="512322CB"/>
    <w:rsid w:val="51295B34"/>
    <w:rsid w:val="512C1180"/>
    <w:rsid w:val="512C2F2E"/>
    <w:rsid w:val="514B3CFC"/>
    <w:rsid w:val="514C537E"/>
    <w:rsid w:val="514E10F6"/>
    <w:rsid w:val="5153670D"/>
    <w:rsid w:val="51595CED"/>
    <w:rsid w:val="515B3813"/>
    <w:rsid w:val="516066DB"/>
    <w:rsid w:val="516C3C72"/>
    <w:rsid w:val="516F0D03"/>
    <w:rsid w:val="517A638F"/>
    <w:rsid w:val="517F61AE"/>
    <w:rsid w:val="51842D6A"/>
    <w:rsid w:val="51864D34"/>
    <w:rsid w:val="518C1C1F"/>
    <w:rsid w:val="518C7E71"/>
    <w:rsid w:val="519531C9"/>
    <w:rsid w:val="51A056CA"/>
    <w:rsid w:val="51B47AA9"/>
    <w:rsid w:val="51B66C9C"/>
    <w:rsid w:val="51B86EB8"/>
    <w:rsid w:val="51B93512"/>
    <w:rsid w:val="51C615D4"/>
    <w:rsid w:val="51CD2963"/>
    <w:rsid w:val="51D112E0"/>
    <w:rsid w:val="51D3784E"/>
    <w:rsid w:val="51E57C49"/>
    <w:rsid w:val="51EE28D9"/>
    <w:rsid w:val="51F10A82"/>
    <w:rsid w:val="51FA302C"/>
    <w:rsid w:val="5201260D"/>
    <w:rsid w:val="5209326F"/>
    <w:rsid w:val="520D0FB1"/>
    <w:rsid w:val="52102850"/>
    <w:rsid w:val="522956BF"/>
    <w:rsid w:val="52306A4E"/>
    <w:rsid w:val="52362032"/>
    <w:rsid w:val="52374280"/>
    <w:rsid w:val="524424F9"/>
    <w:rsid w:val="5246001F"/>
    <w:rsid w:val="525766D1"/>
    <w:rsid w:val="52636E23"/>
    <w:rsid w:val="52642B9B"/>
    <w:rsid w:val="526E7576"/>
    <w:rsid w:val="52754DA9"/>
    <w:rsid w:val="527A5F1B"/>
    <w:rsid w:val="527C7EE5"/>
    <w:rsid w:val="52911BE2"/>
    <w:rsid w:val="52976ACD"/>
    <w:rsid w:val="52992845"/>
    <w:rsid w:val="529C2335"/>
    <w:rsid w:val="52AF02BB"/>
    <w:rsid w:val="52B94C95"/>
    <w:rsid w:val="52BF7DD2"/>
    <w:rsid w:val="52C35B14"/>
    <w:rsid w:val="52D27B05"/>
    <w:rsid w:val="52DC2732"/>
    <w:rsid w:val="52E71802"/>
    <w:rsid w:val="52E87329"/>
    <w:rsid w:val="53051C89"/>
    <w:rsid w:val="530F2B07"/>
    <w:rsid w:val="531225F7"/>
    <w:rsid w:val="53310CD0"/>
    <w:rsid w:val="534A3B3F"/>
    <w:rsid w:val="534F55FA"/>
    <w:rsid w:val="535112B4"/>
    <w:rsid w:val="5354676C"/>
    <w:rsid w:val="535624E4"/>
    <w:rsid w:val="535D3873"/>
    <w:rsid w:val="5364772A"/>
    <w:rsid w:val="53901E9A"/>
    <w:rsid w:val="53980D4F"/>
    <w:rsid w:val="53AB0A82"/>
    <w:rsid w:val="53B042EA"/>
    <w:rsid w:val="53C03E02"/>
    <w:rsid w:val="53C51418"/>
    <w:rsid w:val="53C75190"/>
    <w:rsid w:val="53CB2ED2"/>
    <w:rsid w:val="53D37FD9"/>
    <w:rsid w:val="53D53D51"/>
    <w:rsid w:val="53DB6E8D"/>
    <w:rsid w:val="53DC306A"/>
    <w:rsid w:val="53DD0E57"/>
    <w:rsid w:val="53DF072C"/>
    <w:rsid w:val="53E2021C"/>
    <w:rsid w:val="53EE6BC1"/>
    <w:rsid w:val="53F341D7"/>
    <w:rsid w:val="5400590F"/>
    <w:rsid w:val="540753EA"/>
    <w:rsid w:val="540E7263"/>
    <w:rsid w:val="541127AE"/>
    <w:rsid w:val="54120B01"/>
    <w:rsid w:val="54244390"/>
    <w:rsid w:val="54290784"/>
    <w:rsid w:val="543C792C"/>
    <w:rsid w:val="543F11CA"/>
    <w:rsid w:val="54484523"/>
    <w:rsid w:val="544F3B03"/>
    <w:rsid w:val="544F687F"/>
    <w:rsid w:val="545509EE"/>
    <w:rsid w:val="54564027"/>
    <w:rsid w:val="546155E5"/>
    <w:rsid w:val="5472334E"/>
    <w:rsid w:val="547277F2"/>
    <w:rsid w:val="547370C6"/>
    <w:rsid w:val="5479292E"/>
    <w:rsid w:val="547C241E"/>
    <w:rsid w:val="549A4653"/>
    <w:rsid w:val="54BC281B"/>
    <w:rsid w:val="54C6369A"/>
    <w:rsid w:val="54D933CD"/>
    <w:rsid w:val="54D9517B"/>
    <w:rsid w:val="54E12281"/>
    <w:rsid w:val="54E83610"/>
    <w:rsid w:val="54F2448F"/>
    <w:rsid w:val="54F975CB"/>
    <w:rsid w:val="550348EE"/>
    <w:rsid w:val="550541C2"/>
    <w:rsid w:val="551322A2"/>
    <w:rsid w:val="55164621"/>
    <w:rsid w:val="5523289A"/>
    <w:rsid w:val="552C5BF2"/>
    <w:rsid w:val="55314FB7"/>
    <w:rsid w:val="55393E6B"/>
    <w:rsid w:val="55410F72"/>
    <w:rsid w:val="55486565"/>
    <w:rsid w:val="554967A4"/>
    <w:rsid w:val="55545149"/>
    <w:rsid w:val="555B2034"/>
    <w:rsid w:val="555D3FFE"/>
    <w:rsid w:val="555D5DAC"/>
    <w:rsid w:val="5560764A"/>
    <w:rsid w:val="55717AA9"/>
    <w:rsid w:val="5573542B"/>
    <w:rsid w:val="55776205"/>
    <w:rsid w:val="559317CE"/>
    <w:rsid w:val="55992B5C"/>
    <w:rsid w:val="559C2607"/>
    <w:rsid w:val="55A21A11"/>
    <w:rsid w:val="55B07EC1"/>
    <w:rsid w:val="55B13259"/>
    <w:rsid w:val="55C53951"/>
    <w:rsid w:val="55CE0A58"/>
    <w:rsid w:val="55D3606E"/>
    <w:rsid w:val="55D6790C"/>
    <w:rsid w:val="55DA23A4"/>
    <w:rsid w:val="55E0078B"/>
    <w:rsid w:val="55E738C7"/>
    <w:rsid w:val="55EB160A"/>
    <w:rsid w:val="55FC3817"/>
    <w:rsid w:val="55FD758F"/>
    <w:rsid w:val="5604091D"/>
    <w:rsid w:val="561623FF"/>
    <w:rsid w:val="561A1EEF"/>
    <w:rsid w:val="561A3C9D"/>
    <w:rsid w:val="561E4CB5"/>
    <w:rsid w:val="561F417C"/>
    <w:rsid w:val="562468CA"/>
    <w:rsid w:val="56263D1A"/>
    <w:rsid w:val="562C39D0"/>
    <w:rsid w:val="5633598F"/>
    <w:rsid w:val="563C00B7"/>
    <w:rsid w:val="56431446"/>
    <w:rsid w:val="56486A5C"/>
    <w:rsid w:val="56505911"/>
    <w:rsid w:val="56665134"/>
    <w:rsid w:val="56680EAC"/>
    <w:rsid w:val="56682C5A"/>
    <w:rsid w:val="566C201F"/>
    <w:rsid w:val="566D6A2E"/>
    <w:rsid w:val="56707D61"/>
    <w:rsid w:val="56725887"/>
    <w:rsid w:val="56755377"/>
    <w:rsid w:val="56757125"/>
    <w:rsid w:val="56764C4B"/>
    <w:rsid w:val="568D446F"/>
    <w:rsid w:val="56941167"/>
    <w:rsid w:val="56A619D5"/>
    <w:rsid w:val="56A874FB"/>
    <w:rsid w:val="56AB0D99"/>
    <w:rsid w:val="56B0015D"/>
    <w:rsid w:val="56B530F2"/>
    <w:rsid w:val="56BC6B02"/>
    <w:rsid w:val="56C37E91"/>
    <w:rsid w:val="56C43C09"/>
    <w:rsid w:val="56C9121F"/>
    <w:rsid w:val="56D402F0"/>
    <w:rsid w:val="56D95906"/>
    <w:rsid w:val="56DC0F52"/>
    <w:rsid w:val="56EE0C86"/>
    <w:rsid w:val="56F00EA2"/>
    <w:rsid w:val="56FA587C"/>
    <w:rsid w:val="56FF2E93"/>
    <w:rsid w:val="5707751A"/>
    <w:rsid w:val="57087F99"/>
    <w:rsid w:val="570A3D11"/>
    <w:rsid w:val="570A5ABF"/>
    <w:rsid w:val="57122BC6"/>
    <w:rsid w:val="571903F8"/>
    <w:rsid w:val="571C57F3"/>
    <w:rsid w:val="57212E09"/>
    <w:rsid w:val="57342B3C"/>
    <w:rsid w:val="573945F7"/>
    <w:rsid w:val="574014E1"/>
    <w:rsid w:val="57460AC2"/>
    <w:rsid w:val="57462870"/>
    <w:rsid w:val="574C432A"/>
    <w:rsid w:val="575907F5"/>
    <w:rsid w:val="575C58DE"/>
    <w:rsid w:val="575D6537"/>
    <w:rsid w:val="575E22AF"/>
    <w:rsid w:val="57603931"/>
    <w:rsid w:val="576A2A02"/>
    <w:rsid w:val="576C0528"/>
    <w:rsid w:val="57727B09"/>
    <w:rsid w:val="577613A7"/>
    <w:rsid w:val="577E025B"/>
    <w:rsid w:val="57802226"/>
    <w:rsid w:val="5780553D"/>
    <w:rsid w:val="57853398"/>
    <w:rsid w:val="57931F59"/>
    <w:rsid w:val="579D2DD8"/>
    <w:rsid w:val="579E445A"/>
    <w:rsid w:val="57A37CC2"/>
    <w:rsid w:val="57A71560"/>
    <w:rsid w:val="57AA2DFF"/>
    <w:rsid w:val="57AC301B"/>
    <w:rsid w:val="57AD28EF"/>
    <w:rsid w:val="57B8376D"/>
    <w:rsid w:val="57B91294"/>
    <w:rsid w:val="57B976AF"/>
    <w:rsid w:val="57C2639A"/>
    <w:rsid w:val="57C540DC"/>
    <w:rsid w:val="57D1482F"/>
    <w:rsid w:val="57DA7B88"/>
    <w:rsid w:val="57E722A5"/>
    <w:rsid w:val="57E74053"/>
    <w:rsid w:val="57FD3876"/>
    <w:rsid w:val="5805272B"/>
    <w:rsid w:val="580B5F93"/>
    <w:rsid w:val="58107775"/>
    <w:rsid w:val="58134E48"/>
    <w:rsid w:val="581B1F4E"/>
    <w:rsid w:val="58226E39"/>
    <w:rsid w:val="58240E03"/>
    <w:rsid w:val="582F1556"/>
    <w:rsid w:val="58337298"/>
    <w:rsid w:val="58396EA8"/>
    <w:rsid w:val="58443253"/>
    <w:rsid w:val="58474AF1"/>
    <w:rsid w:val="5853143B"/>
    <w:rsid w:val="5855720E"/>
    <w:rsid w:val="585A2A77"/>
    <w:rsid w:val="58690763"/>
    <w:rsid w:val="58694A68"/>
    <w:rsid w:val="587A0A23"/>
    <w:rsid w:val="587E2954"/>
    <w:rsid w:val="5886561A"/>
    <w:rsid w:val="588D4BFA"/>
    <w:rsid w:val="58920462"/>
    <w:rsid w:val="58935F89"/>
    <w:rsid w:val="5898359F"/>
    <w:rsid w:val="589C6BEB"/>
    <w:rsid w:val="58A40196"/>
    <w:rsid w:val="58AD704A"/>
    <w:rsid w:val="58CD149A"/>
    <w:rsid w:val="58DC16DE"/>
    <w:rsid w:val="58E97957"/>
    <w:rsid w:val="58EB36CF"/>
    <w:rsid w:val="58EF1411"/>
    <w:rsid w:val="58F509F1"/>
    <w:rsid w:val="58FA6008"/>
    <w:rsid w:val="58FD3402"/>
    <w:rsid w:val="58FE1654"/>
    <w:rsid w:val="58FF717A"/>
    <w:rsid w:val="590C382F"/>
    <w:rsid w:val="59282B75"/>
    <w:rsid w:val="592F57D0"/>
    <w:rsid w:val="593037D7"/>
    <w:rsid w:val="59352B9C"/>
    <w:rsid w:val="593943E0"/>
    <w:rsid w:val="59413C36"/>
    <w:rsid w:val="59462FFB"/>
    <w:rsid w:val="594F1EAF"/>
    <w:rsid w:val="5954396A"/>
    <w:rsid w:val="59554FEC"/>
    <w:rsid w:val="59565F2D"/>
    <w:rsid w:val="59617E35"/>
    <w:rsid w:val="596516D3"/>
    <w:rsid w:val="596671F9"/>
    <w:rsid w:val="596A347D"/>
    <w:rsid w:val="596A6CE9"/>
    <w:rsid w:val="596D4A2C"/>
    <w:rsid w:val="59815DE1"/>
    <w:rsid w:val="59853B23"/>
    <w:rsid w:val="5987789B"/>
    <w:rsid w:val="598D0C2A"/>
    <w:rsid w:val="59945B14"/>
    <w:rsid w:val="59A57D21"/>
    <w:rsid w:val="59A87812"/>
    <w:rsid w:val="59B12B6A"/>
    <w:rsid w:val="59B461B6"/>
    <w:rsid w:val="59B91A1F"/>
    <w:rsid w:val="59BA2900"/>
    <w:rsid w:val="59C77C98"/>
    <w:rsid w:val="59CA67B9"/>
    <w:rsid w:val="59D14FBA"/>
    <w:rsid w:val="59D6612D"/>
    <w:rsid w:val="59E60A34"/>
    <w:rsid w:val="5A1037AC"/>
    <w:rsid w:val="5A12434D"/>
    <w:rsid w:val="5A292701"/>
    <w:rsid w:val="5A317807"/>
    <w:rsid w:val="5A3572F7"/>
    <w:rsid w:val="5A382944"/>
    <w:rsid w:val="5A3D7F5A"/>
    <w:rsid w:val="5A403EEE"/>
    <w:rsid w:val="5A405C9C"/>
    <w:rsid w:val="5A4412E8"/>
    <w:rsid w:val="5A461504"/>
    <w:rsid w:val="5A4A2677"/>
    <w:rsid w:val="5A504131"/>
    <w:rsid w:val="5A61633E"/>
    <w:rsid w:val="5A6574B1"/>
    <w:rsid w:val="5A696FA1"/>
    <w:rsid w:val="5A767910"/>
    <w:rsid w:val="5A7A11AE"/>
    <w:rsid w:val="5A7B164E"/>
    <w:rsid w:val="5A820063"/>
    <w:rsid w:val="5A871B1D"/>
    <w:rsid w:val="5A987435"/>
    <w:rsid w:val="5A9A07E3"/>
    <w:rsid w:val="5ABA77FD"/>
    <w:rsid w:val="5ABC17C7"/>
    <w:rsid w:val="5ABD553F"/>
    <w:rsid w:val="5ABF3D20"/>
    <w:rsid w:val="5AC71F19"/>
    <w:rsid w:val="5ACB7C5C"/>
    <w:rsid w:val="5ACC25F8"/>
    <w:rsid w:val="5AD6146D"/>
    <w:rsid w:val="5AD750C1"/>
    <w:rsid w:val="5AE14D89"/>
    <w:rsid w:val="5AED7BD2"/>
    <w:rsid w:val="5AEE394A"/>
    <w:rsid w:val="5B01542B"/>
    <w:rsid w:val="5B0942E0"/>
    <w:rsid w:val="5B0E18F6"/>
    <w:rsid w:val="5B4672E2"/>
    <w:rsid w:val="5B4812AC"/>
    <w:rsid w:val="5B4D241F"/>
    <w:rsid w:val="5B585FE2"/>
    <w:rsid w:val="5B653C0C"/>
    <w:rsid w:val="5B6634E0"/>
    <w:rsid w:val="5B7C4AB2"/>
    <w:rsid w:val="5B8322E4"/>
    <w:rsid w:val="5B9242D5"/>
    <w:rsid w:val="5B9E2C7A"/>
    <w:rsid w:val="5BA87F9D"/>
    <w:rsid w:val="5BB71F8E"/>
    <w:rsid w:val="5BBE331C"/>
    <w:rsid w:val="5BC85F49"/>
    <w:rsid w:val="5BD448EE"/>
    <w:rsid w:val="5BD743DE"/>
    <w:rsid w:val="5BE32D83"/>
    <w:rsid w:val="5BE663CF"/>
    <w:rsid w:val="5BF22FC6"/>
    <w:rsid w:val="5BFB1E7B"/>
    <w:rsid w:val="5BFE7BBD"/>
    <w:rsid w:val="5C02145B"/>
    <w:rsid w:val="5C0D1BAE"/>
    <w:rsid w:val="5C1318BA"/>
    <w:rsid w:val="5C182A2D"/>
    <w:rsid w:val="5C294C3A"/>
    <w:rsid w:val="5C433822"/>
    <w:rsid w:val="5C4A5F64"/>
    <w:rsid w:val="5C583771"/>
    <w:rsid w:val="5C594DF3"/>
    <w:rsid w:val="5C5D1276"/>
    <w:rsid w:val="5C7B120D"/>
    <w:rsid w:val="5C8A31FF"/>
    <w:rsid w:val="5C910A31"/>
    <w:rsid w:val="5C91458D"/>
    <w:rsid w:val="5C98591B"/>
    <w:rsid w:val="5C993309"/>
    <w:rsid w:val="5C9A78E6"/>
    <w:rsid w:val="5C9B540C"/>
    <w:rsid w:val="5CB07109"/>
    <w:rsid w:val="5CB87D6C"/>
    <w:rsid w:val="5CCE758F"/>
    <w:rsid w:val="5CDA23D8"/>
    <w:rsid w:val="5CDF179C"/>
    <w:rsid w:val="5CF039A9"/>
    <w:rsid w:val="5CF60EE0"/>
    <w:rsid w:val="5CF80AB0"/>
    <w:rsid w:val="5CFC40FC"/>
    <w:rsid w:val="5CFE60C6"/>
    <w:rsid w:val="5CFF1E3E"/>
    <w:rsid w:val="5D0134C1"/>
    <w:rsid w:val="5D047455"/>
    <w:rsid w:val="5D0D6309"/>
    <w:rsid w:val="5D0E3E30"/>
    <w:rsid w:val="5D156F6C"/>
    <w:rsid w:val="5D261179"/>
    <w:rsid w:val="5D2D69AC"/>
    <w:rsid w:val="5D373386"/>
    <w:rsid w:val="5D380EAD"/>
    <w:rsid w:val="5D3F66DF"/>
    <w:rsid w:val="5D417D61"/>
    <w:rsid w:val="5D526412"/>
    <w:rsid w:val="5D543F38"/>
    <w:rsid w:val="5D557CB0"/>
    <w:rsid w:val="5D5757D7"/>
    <w:rsid w:val="5D610403"/>
    <w:rsid w:val="5D6323CD"/>
    <w:rsid w:val="5D6D0B56"/>
    <w:rsid w:val="5D753EAF"/>
    <w:rsid w:val="5D7E2D63"/>
    <w:rsid w:val="5D810AA5"/>
    <w:rsid w:val="5D812854"/>
    <w:rsid w:val="5D867E6A"/>
    <w:rsid w:val="5D8B36D2"/>
    <w:rsid w:val="5D997B9D"/>
    <w:rsid w:val="5DA36C6E"/>
    <w:rsid w:val="5DA54794"/>
    <w:rsid w:val="5DAD189A"/>
    <w:rsid w:val="5DAF73C1"/>
    <w:rsid w:val="5DB93D9B"/>
    <w:rsid w:val="5DBA7B13"/>
    <w:rsid w:val="5DCB1D21"/>
    <w:rsid w:val="5DE30E18"/>
    <w:rsid w:val="5DF11787"/>
    <w:rsid w:val="5DF748C4"/>
    <w:rsid w:val="5DF94AE0"/>
    <w:rsid w:val="5DF9688E"/>
    <w:rsid w:val="5E023994"/>
    <w:rsid w:val="5E033269"/>
    <w:rsid w:val="5E084D23"/>
    <w:rsid w:val="5E1E4546"/>
    <w:rsid w:val="5E385608"/>
    <w:rsid w:val="5E391380"/>
    <w:rsid w:val="5E3D49CC"/>
    <w:rsid w:val="5E40626B"/>
    <w:rsid w:val="5E532442"/>
    <w:rsid w:val="5E56783C"/>
    <w:rsid w:val="5E622685"/>
    <w:rsid w:val="5E7A23D3"/>
    <w:rsid w:val="5E7A79CF"/>
    <w:rsid w:val="5E873E9A"/>
    <w:rsid w:val="5E897C12"/>
    <w:rsid w:val="5E9B238B"/>
    <w:rsid w:val="5EA66A16"/>
    <w:rsid w:val="5EB36A3D"/>
    <w:rsid w:val="5EB427B5"/>
    <w:rsid w:val="5EB86749"/>
    <w:rsid w:val="5EB97DCB"/>
    <w:rsid w:val="5EC56770"/>
    <w:rsid w:val="5ECA1FD8"/>
    <w:rsid w:val="5ED370DF"/>
    <w:rsid w:val="5EDB41E5"/>
    <w:rsid w:val="5EE25574"/>
    <w:rsid w:val="5EEE3F19"/>
    <w:rsid w:val="5EF05EE3"/>
    <w:rsid w:val="5EF145FA"/>
    <w:rsid w:val="5EF97984"/>
    <w:rsid w:val="5EFD5F0A"/>
    <w:rsid w:val="5F076D88"/>
    <w:rsid w:val="5F1A4D0E"/>
    <w:rsid w:val="5F2E2567"/>
    <w:rsid w:val="5F3833E6"/>
    <w:rsid w:val="5F38637A"/>
    <w:rsid w:val="5F4E6765"/>
    <w:rsid w:val="5F553F98"/>
    <w:rsid w:val="5F5F367A"/>
    <w:rsid w:val="5F685A79"/>
    <w:rsid w:val="5F720B41"/>
    <w:rsid w:val="5F7A57AC"/>
    <w:rsid w:val="5F812FDF"/>
    <w:rsid w:val="5F8623A3"/>
    <w:rsid w:val="5F8D3732"/>
    <w:rsid w:val="5F926F9A"/>
    <w:rsid w:val="5F9745B0"/>
    <w:rsid w:val="5F9F5213"/>
    <w:rsid w:val="5FA171DD"/>
    <w:rsid w:val="5FA665A1"/>
    <w:rsid w:val="5FA8056B"/>
    <w:rsid w:val="5FA82319"/>
    <w:rsid w:val="5FAD5B82"/>
    <w:rsid w:val="5FCE4D99"/>
    <w:rsid w:val="5FF23595"/>
    <w:rsid w:val="60082DB8"/>
    <w:rsid w:val="600A6B30"/>
    <w:rsid w:val="60225BBE"/>
    <w:rsid w:val="602F2A3B"/>
    <w:rsid w:val="60310561"/>
    <w:rsid w:val="603242D9"/>
    <w:rsid w:val="60367925"/>
    <w:rsid w:val="6037544B"/>
    <w:rsid w:val="603B4F3C"/>
    <w:rsid w:val="60432042"/>
    <w:rsid w:val="60457B68"/>
    <w:rsid w:val="604D2EC1"/>
    <w:rsid w:val="6051475F"/>
    <w:rsid w:val="60636240"/>
    <w:rsid w:val="606C1599"/>
    <w:rsid w:val="6071095D"/>
    <w:rsid w:val="608E7761"/>
    <w:rsid w:val="608F7035"/>
    <w:rsid w:val="609B3C2C"/>
    <w:rsid w:val="60A34D68"/>
    <w:rsid w:val="60A56859"/>
    <w:rsid w:val="60AA3E6F"/>
    <w:rsid w:val="60B151FE"/>
    <w:rsid w:val="60B60A66"/>
    <w:rsid w:val="60BE791B"/>
    <w:rsid w:val="60C34F31"/>
    <w:rsid w:val="60C43183"/>
    <w:rsid w:val="60C60F03"/>
    <w:rsid w:val="60CE4002"/>
    <w:rsid w:val="60E530F9"/>
    <w:rsid w:val="60E90E3C"/>
    <w:rsid w:val="61007F33"/>
    <w:rsid w:val="610572F8"/>
    <w:rsid w:val="610E2650"/>
    <w:rsid w:val="610E43FE"/>
    <w:rsid w:val="61161AB0"/>
    <w:rsid w:val="61181721"/>
    <w:rsid w:val="612C2AD6"/>
    <w:rsid w:val="613B1B1E"/>
    <w:rsid w:val="613D1187"/>
    <w:rsid w:val="613F280A"/>
    <w:rsid w:val="614147D4"/>
    <w:rsid w:val="614222FA"/>
    <w:rsid w:val="614442C4"/>
    <w:rsid w:val="614C3178"/>
    <w:rsid w:val="615F4C5A"/>
    <w:rsid w:val="61665FE8"/>
    <w:rsid w:val="61707DCC"/>
    <w:rsid w:val="61722BDF"/>
    <w:rsid w:val="617C1CB0"/>
    <w:rsid w:val="617F52FC"/>
    <w:rsid w:val="6183303E"/>
    <w:rsid w:val="618E5D0D"/>
    <w:rsid w:val="619C7C5C"/>
    <w:rsid w:val="619F599E"/>
    <w:rsid w:val="61AD00BB"/>
    <w:rsid w:val="61B50D1E"/>
    <w:rsid w:val="61C15914"/>
    <w:rsid w:val="61E433B1"/>
    <w:rsid w:val="61E67129"/>
    <w:rsid w:val="61F25ACE"/>
    <w:rsid w:val="6200468F"/>
    <w:rsid w:val="621A5025"/>
    <w:rsid w:val="621A6DD3"/>
    <w:rsid w:val="622540F5"/>
    <w:rsid w:val="622D4D58"/>
    <w:rsid w:val="6232236E"/>
    <w:rsid w:val="62436329"/>
    <w:rsid w:val="624D71A8"/>
    <w:rsid w:val="6252656D"/>
    <w:rsid w:val="62586279"/>
    <w:rsid w:val="626A7C77"/>
    <w:rsid w:val="626B762E"/>
    <w:rsid w:val="628D2CF3"/>
    <w:rsid w:val="62943029"/>
    <w:rsid w:val="62976675"/>
    <w:rsid w:val="62986BCB"/>
    <w:rsid w:val="629E7A04"/>
    <w:rsid w:val="62A74B0A"/>
    <w:rsid w:val="62BF00A6"/>
    <w:rsid w:val="62C76F5B"/>
    <w:rsid w:val="62CD2097"/>
    <w:rsid w:val="62D33B51"/>
    <w:rsid w:val="62E25B42"/>
    <w:rsid w:val="62E47B0C"/>
    <w:rsid w:val="62EF200D"/>
    <w:rsid w:val="62F45876"/>
    <w:rsid w:val="62FF66F4"/>
    <w:rsid w:val="63065CD5"/>
    <w:rsid w:val="630F26B0"/>
    <w:rsid w:val="63100901"/>
    <w:rsid w:val="631303F2"/>
    <w:rsid w:val="63161C90"/>
    <w:rsid w:val="63185A08"/>
    <w:rsid w:val="631D6B7A"/>
    <w:rsid w:val="632B4016"/>
    <w:rsid w:val="632C14B3"/>
    <w:rsid w:val="633914DA"/>
    <w:rsid w:val="634405AB"/>
    <w:rsid w:val="634560D1"/>
    <w:rsid w:val="63520F1A"/>
    <w:rsid w:val="635602DE"/>
    <w:rsid w:val="636E5628"/>
    <w:rsid w:val="637013A0"/>
    <w:rsid w:val="637160AB"/>
    <w:rsid w:val="637D586B"/>
    <w:rsid w:val="63807109"/>
    <w:rsid w:val="638135AD"/>
    <w:rsid w:val="63927568"/>
    <w:rsid w:val="639D7CBB"/>
    <w:rsid w:val="639F57E1"/>
    <w:rsid w:val="63A1155A"/>
    <w:rsid w:val="63AB23D8"/>
    <w:rsid w:val="63B76FCF"/>
    <w:rsid w:val="63BD210C"/>
    <w:rsid w:val="63BF40D6"/>
    <w:rsid w:val="63BF5E84"/>
    <w:rsid w:val="63CB5649"/>
    <w:rsid w:val="63DA0F0F"/>
    <w:rsid w:val="63DF2082"/>
    <w:rsid w:val="63E1229E"/>
    <w:rsid w:val="63E8362C"/>
    <w:rsid w:val="63FF4061"/>
    <w:rsid w:val="64047D3A"/>
    <w:rsid w:val="64124205"/>
    <w:rsid w:val="641E0DFC"/>
    <w:rsid w:val="64202DC6"/>
    <w:rsid w:val="64356733"/>
    <w:rsid w:val="64357EF4"/>
    <w:rsid w:val="64371EBE"/>
    <w:rsid w:val="64405216"/>
    <w:rsid w:val="64414AEB"/>
    <w:rsid w:val="644929A9"/>
    <w:rsid w:val="644B5969"/>
    <w:rsid w:val="644D348F"/>
    <w:rsid w:val="64520AA6"/>
    <w:rsid w:val="64526CF8"/>
    <w:rsid w:val="64542A70"/>
    <w:rsid w:val="645C1924"/>
    <w:rsid w:val="645C36D2"/>
    <w:rsid w:val="645C7B76"/>
    <w:rsid w:val="6461518D"/>
    <w:rsid w:val="64654C7D"/>
    <w:rsid w:val="646A5DEF"/>
    <w:rsid w:val="646B1B68"/>
    <w:rsid w:val="646B7DB9"/>
    <w:rsid w:val="646D58E0"/>
    <w:rsid w:val="646F1658"/>
    <w:rsid w:val="64740A1C"/>
    <w:rsid w:val="6476379D"/>
    <w:rsid w:val="64794284"/>
    <w:rsid w:val="64801AB7"/>
    <w:rsid w:val="64867506"/>
    <w:rsid w:val="648D1ADE"/>
    <w:rsid w:val="64923598"/>
    <w:rsid w:val="649B0AD3"/>
    <w:rsid w:val="64A07A63"/>
    <w:rsid w:val="64A15589"/>
    <w:rsid w:val="64A37553"/>
    <w:rsid w:val="64A62BA0"/>
    <w:rsid w:val="64AA08E2"/>
    <w:rsid w:val="64B74DAD"/>
    <w:rsid w:val="64BB183B"/>
    <w:rsid w:val="64CE659A"/>
    <w:rsid w:val="64D4770D"/>
    <w:rsid w:val="64DD5792"/>
    <w:rsid w:val="64E536C8"/>
    <w:rsid w:val="64EA6F30"/>
    <w:rsid w:val="64FD3107"/>
    <w:rsid w:val="64FD6C64"/>
    <w:rsid w:val="65006754"/>
    <w:rsid w:val="651641C9"/>
    <w:rsid w:val="651E6BDA"/>
    <w:rsid w:val="65206DF6"/>
    <w:rsid w:val="652A557F"/>
    <w:rsid w:val="652C12F7"/>
    <w:rsid w:val="653A7EB8"/>
    <w:rsid w:val="653B3C30"/>
    <w:rsid w:val="653B59DE"/>
    <w:rsid w:val="65424FBE"/>
    <w:rsid w:val="6545060B"/>
    <w:rsid w:val="65510D5D"/>
    <w:rsid w:val="65530F79"/>
    <w:rsid w:val="65622F6B"/>
    <w:rsid w:val="656B62C3"/>
    <w:rsid w:val="656D7CB5"/>
    <w:rsid w:val="657A6506"/>
    <w:rsid w:val="657B402C"/>
    <w:rsid w:val="65815AE7"/>
    <w:rsid w:val="65827169"/>
    <w:rsid w:val="65A13A93"/>
    <w:rsid w:val="65A76BCF"/>
    <w:rsid w:val="65B17A4E"/>
    <w:rsid w:val="65BD2897"/>
    <w:rsid w:val="65C82364"/>
    <w:rsid w:val="65C94D98"/>
    <w:rsid w:val="65CB0B10"/>
    <w:rsid w:val="65D33E68"/>
    <w:rsid w:val="65E47E23"/>
    <w:rsid w:val="65E6594A"/>
    <w:rsid w:val="65ED4F2A"/>
    <w:rsid w:val="65F20792"/>
    <w:rsid w:val="65F31BDB"/>
    <w:rsid w:val="65F71905"/>
    <w:rsid w:val="65F8567D"/>
    <w:rsid w:val="660404C6"/>
    <w:rsid w:val="660D737A"/>
    <w:rsid w:val="66140709"/>
    <w:rsid w:val="661C580F"/>
    <w:rsid w:val="661E1587"/>
    <w:rsid w:val="662841B4"/>
    <w:rsid w:val="66291CDA"/>
    <w:rsid w:val="66327BF7"/>
    <w:rsid w:val="663935EB"/>
    <w:rsid w:val="66415276"/>
    <w:rsid w:val="664663E8"/>
    <w:rsid w:val="6655552E"/>
    <w:rsid w:val="6659611C"/>
    <w:rsid w:val="66613222"/>
    <w:rsid w:val="6663343E"/>
    <w:rsid w:val="66723681"/>
    <w:rsid w:val="667E2026"/>
    <w:rsid w:val="66833198"/>
    <w:rsid w:val="66911D59"/>
    <w:rsid w:val="6695111E"/>
    <w:rsid w:val="669C425A"/>
    <w:rsid w:val="669E4476"/>
    <w:rsid w:val="669E7FD2"/>
    <w:rsid w:val="66A3383B"/>
    <w:rsid w:val="66A8411A"/>
    <w:rsid w:val="66AC74D4"/>
    <w:rsid w:val="66B5531C"/>
    <w:rsid w:val="66B71094"/>
    <w:rsid w:val="66B772E6"/>
    <w:rsid w:val="66BC2B4E"/>
    <w:rsid w:val="66C57C55"/>
    <w:rsid w:val="66C7577B"/>
    <w:rsid w:val="66C94B94"/>
    <w:rsid w:val="66EC6F90"/>
    <w:rsid w:val="66ED2D08"/>
    <w:rsid w:val="66F10A4A"/>
    <w:rsid w:val="66F978FF"/>
    <w:rsid w:val="67031F48"/>
    <w:rsid w:val="670562A3"/>
    <w:rsid w:val="670F0ED0"/>
    <w:rsid w:val="670F2C7E"/>
    <w:rsid w:val="67193AFD"/>
    <w:rsid w:val="671D183F"/>
    <w:rsid w:val="671E1113"/>
    <w:rsid w:val="672A5D0A"/>
    <w:rsid w:val="67334BBF"/>
    <w:rsid w:val="67341693"/>
    <w:rsid w:val="67386679"/>
    <w:rsid w:val="673D5A3D"/>
    <w:rsid w:val="674768BC"/>
    <w:rsid w:val="674A1F08"/>
    <w:rsid w:val="674D37A6"/>
    <w:rsid w:val="676236F6"/>
    <w:rsid w:val="67672ABA"/>
    <w:rsid w:val="677A27ED"/>
    <w:rsid w:val="678278F4"/>
    <w:rsid w:val="67917B37"/>
    <w:rsid w:val="67A7735B"/>
    <w:rsid w:val="67BC1058"/>
    <w:rsid w:val="67C81783"/>
    <w:rsid w:val="67CC6DC1"/>
    <w:rsid w:val="67D0240D"/>
    <w:rsid w:val="67DD2D7C"/>
    <w:rsid w:val="67F84BAC"/>
    <w:rsid w:val="67FD6F7B"/>
    <w:rsid w:val="68120C78"/>
    <w:rsid w:val="68161876"/>
    <w:rsid w:val="68183DB4"/>
    <w:rsid w:val="6821710D"/>
    <w:rsid w:val="683F57E5"/>
    <w:rsid w:val="68437083"/>
    <w:rsid w:val="684E5A28"/>
    <w:rsid w:val="684E77D6"/>
    <w:rsid w:val="68534DEC"/>
    <w:rsid w:val="6865349E"/>
    <w:rsid w:val="68684D3C"/>
    <w:rsid w:val="686B65DA"/>
    <w:rsid w:val="687436E1"/>
    <w:rsid w:val="688D47A2"/>
    <w:rsid w:val="68923B67"/>
    <w:rsid w:val="68996CA3"/>
    <w:rsid w:val="68A044D6"/>
    <w:rsid w:val="68A33FC6"/>
    <w:rsid w:val="68A815DC"/>
    <w:rsid w:val="68B43ADD"/>
    <w:rsid w:val="68B7181F"/>
    <w:rsid w:val="68C1444C"/>
    <w:rsid w:val="68CA1553"/>
    <w:rsid w:val="68D72731"/>
    <w:rsid w:val="68D91796"/>
    <w:rsid w:val="68D93544"/>
    <w:rsid w:val="68DB53E7"/>
    <w:rsid w:val="68E54CA7"/>
    <w:rsid w:val="68E819D9"/>
    <w:rsid w:val="69117181"/>
    <w:rsid w:val="69187F79"/>
    <w:rsid w:val="69313380"/>
    <w:rsid w:val="694926E6"/>
    <w:rsid w:val="69511DC2"/>
    <w:rsid w:val="69564B94"/>
    <w:rsid w:val="695D4175"/>
    <w:rsid w:val="696848C8"/>
    <w:rsid w:val="696F5C56"/>
    <w:rsid w:val="697B284D"/>
    <w:rsid w:val="697B45FB"/>
    <w:rsid w:val="697D4817"/>
    <w:rsid w:val="69823BDB"/>
    <w:rsid w:val="698A0CE2"/>
    <w:rsid w:val="698A6F34"/>
    <w:rsid w:val="698E07D2"/>
    <w:rsid w:val="698E432E"/>
    <w:rsid w:val="699B6A4B"/>
    <w:rsid w:val="699D6C67"/>
    <w:rsid w:val="69A2602B"/>
    <w:rsid w:val="69A3389D"/>
    <w:rsid w:val="69A51678"/>
    <w:rsid w:val="69A9560C"/>
    <w:rsid w:val="69B3090F"/>
    <w:rsid w:val="69B33D95"/>
    <w:rsid w:val="69B83AA1"/>
    <w:rsid w:val="69CA7330"/>
    <w:rsid w:val="69CE6E20"/>
    <w:rsid w:val="69D501AF"/>
    <w:rsid w:val="69E228CC"/>
    <w:rsid w:val="69E46644"/>
    <w:rsid w:val="69E623BC"/>
    <w:rsid w:val="69F34AD9"/>
    <w:rsid w:val="69FD7706"/>
    <w:rsid w:val="69FF347E"/>
    <w:rsid w:val="6A274783"/>
    <w:rsid w:val="6A3550F2"/>
    <w:rsid w:val="6A38073E"/>
    <w:rsid w:val="6A3824EC"/>
    <w:rsid w:val="6A507835"/>
    <w:rsid w:val="6A5135AE"/>
    <w:rsid w:val="6A521800"/>
    <w:rsid w:val="6A55309E"/>
    <w:rsid w:val="6A5C442C"/>
    <w:rsid w:val="6A5D01A4"/>
    <w:rsid w:val="6A5F3F1C"/>
    <w:rsid w:val="6A625F67"/>
    <w:rsid w:val="6A707ED8"/>
    <w:rsid w:val="6A8B2F63"/>
    <w:rsid w:val="6A8E035E"/>
    <w:rsid w:val="6A902328"/>
    <w:rsid w:val="6A9F7B0C"/>
    <w:rsid w:val="6AA45DD3"/>
    <w:rsid w:val="6AA656A7"/>
    <w:rsid w:val="6AAB0F10"/>
    <w:rsid w:val="6AB46016"/>
    <w:rsid w:val="6AB853DB"/>
    <w:rsid w:val="6ABF49BB"/>
    <w:rsid w:val="6AD14E1A"/>
    <w:rsid w:val="6AD93CCF"/>
    <w:rsid w:val="6AE10DD5"/>
    <w:rsid w:val="6AE306AA"/>
    <w:rsid w:val="6AF1726A"/>
    <w:rsid w:val="6AF428B7"/>
    <w:rsid w:val="6AFA59F3"/>
    <w:rsid w:val="6AFE1987"/>
    <w:rsid w:val="6AFF300A"/>
    <w:rsid w:val="6B014FD4"/>
    <w:rsid w:val="6B0A3E88"/>
    <w:rsid w:val="6B113469"/>
    <w:rsid w:val="6B162075"/>
    <w:rsid w:val="6B2018FE"/>
    <w:rsid w:val="6B2036AC"/>
    <w:rsid w:val="6B2111D2"/>
    <w:rsid w:val="6B272FFA"/>
    <w:rsid w:val="6B282560"/>
    <w:rsid w:val="6B347157"/>
    <w:rsid w:val="6B364C7D"/>
    <w:rsid w:val="6B3709F5"/>
    <w:rsid w:val="6B3929BF"/>
    <w:rsid w:val="6B39476E"/>
    <w:rsid w:val="6B421874"/>
    <w:rsid w:val="6B4A697B"/>
    <w:rsid w:val="6B511AB7"/>
    <w:rsid w:val="6B5D66AE"/>
    <w:rsid w:val="6B657311"/>
    <w:rsid w:val="6B6B029E"/>
    <w:rsid w:val="6B8754D9"/>
    <w:rsid w:val="6B923E7E"/>
    <w:rsid w:val="6B9419A4"/>
    <w:rsid w:val="6B981494"/>
    <w:rsid w:val="6BA20565"/>
    <w:rsid w:val="6BB87D88"/>
    <w:rsid w:val="6BBD463B"/>
    <w:rsid w:val="6BBD714D"/>
    <w:rsid w:val="6BC77FCB"/>
    <w:rsid w:val="6BC8789F"/>
    <w:rsid w:val="6BD44496"/>
    <w:rsid w:val="6BD66460"/>
    <w:rsid w:val="6BE97F42"/>
    <w:rsid w:val="6BEC5C84"/>
    <w:rsid w:val="6C022DB1"/>
    <w:rsid w:val="6C07661A"/>
    <w:rsid w:val="6C085AAD"/>
    <w:rsid w:val="6C0F54CE"/>
    <w:rsid w:val="6C172D01"/>
    <w:rsid w:val="6C270A6A"/>
    <w:rsid w:val="6C2E3BA6"/>
    <w:rsid w:val="6C38499A"/>
    <w:rsid w:val="6C3F5DB4"/>
    <w:rsid w:val="6C417D7E"/>
    <w:rsid w:val="6C467142"/>
    <w:rsid w:val="6C4B4758"/>
    <w:rsid w:val="6C4B6506"/>
    <w:rsid w:val="6C5630FD"/>
    <w:rsid w:val="6C643A6C"/>
    <w:rsid w:val="6C755C79"/>
    <w:rsid w:val="6C7A6DEC"/>
    <w:rsid w:val="6C861C34"/>
    <w:rsid w:val="6C891725"/>
    <w:rsid w:val="6C8E6D3B"/>
    <w:rsid w:val="6C910945"/>
    <w:rsid w:val="6C975BF0"/>
    <w:rsid w:val="6C97799E"/>
    <w:rsid w:val="6C9F4AA4"/>
    <w:rsid w:val="6CA43E69"/>
    <w:rsid w:val="6CAD0F6F"/>
    <w:rsid w:val="6CAD5413"/>
    <w:rsid w:val="6CB34465"/>
    <w:rsid w:val="6CB542C8"/>
    <w:rsid w:val="6CB73B9C"/>
    <w:rsid w:val="6CB95B66"/>
    <w:rsid w:val="6CC22541"/>
    <w:rsid w:val="6CD40BF2"/>
    <w:rsid w:val="6CD81D64"/>
    <w:rsid w:val="6CF05300"/>
    <w:rsid w:val="6D033285"/>
    <w:rsid w:val="6D1234C8"/>
    <w:rsid w:val="6D194A59"/>
    <w:rsid w:val="6D1A412B"/>
    <w:rsid w:val="6D1F7993"/>
    <w:rsid w:val="6D2154B9"/>
    <w:rsid w:val="6D286848"/>
    <w:rsid w:val="6D394EF9"/>
    <w:rsid w:val="6D400035"/>
    <w:rsid w:val="6D5533B5"/>
    <w:rsid w:val="6D6A7E15"/>
    <w:rsid w:val="6D6C2BD8"/>
    <w:rsid w:val="6D723F67"/>
    <w:rsid w:val="6D741A8D"/>
    <w:rsid w:val="6D763A57"/>
    <w:rsid w:val="6D785A21"/>
    <w:rsid w:val="6D7B106D"/>
    <w:rsid w:val="6DA34120"/>
    <w:rsid w:val="6DA57E98"/>
    <w:rsid w:val="6DA700B4"/>
    <w:rsid w:val="6DA73C10"/>
    <w:rsid w:val="6DAD4F9F"/>
    <w:rsid w:val="6DB36A59"/>
    <w:rsid w:val="6DC24EEE"/>
    <w:rsid w:val="6DC347C2"/>
    <w:rsid w:val="6DCC7B1B"/>
    <w:rsid w:val="6DD16EDF"/>
    <w:rsid w:val="6DD4077E"/>
    <w:rsid w:val="6DD54C21"/>
    <w:rsid w:val="6DEC5AC7"/>
    <w:rsid w:val="6DF826BE"/>
    <w:rsid w:val="6DFA4688"/>
    <w:rsid w:val="6E1B015A"/>
    <w:rsid w:val="6E22773B"/>
    <w:rsid w:val="6E2A38BB"/>
    <w:rsid w:val="6E2C680B"/>
    <w:rsid w:val="6E3851B0"/>
    <w:rsid w:val="6E3D4575"/>
    <w:rsid w:val="6E4E0530"/>
    <w:rsid w:val="6E597A7A"/>
    <w:rsid w:val="6E62222D"/>
    <w:rsid w:val="6E7004A6"/>
    <w:rsid w:val="6E712470"/>
    <w:rsid w:val="6E7A30D3"/>
    <w:rsid w:val="6E934195"/>
    <w:rsid w:val="6E963C85"/>
    <w:rsid w:val="6E9C129B"/>
    <w:rsid w:val="6EA14B04"/>
    <w:rsid w:val="6EA2087C"/>
    <w:rsid w:val="6EA559DC"/>
    <w:rsid w:val="6EA75E92"/>
    <w:rsid w:val="6EA77C40"/>
    <w:rsid w:val="6EA94D51"/>
    <w:rsid w:val="6EB32A89"/>
    <w:rsid w:val="6EB90D41"/>
    <w:rsid w:val="6EBA3E17"/>
    <w:rsid w:val="6ED00F45"/>
    <w:rsid w:val="6EDC5B3C"/>
    <w:rsid w:val="6EDE7B06"/>
    <w:rsid w:val="6EDF562C"/>
    <w:rsid w:val="6EE36ECA"/>
    <w:rsid w:val="6EE40E94"/>
    <w:rsid w:val="6EE92007"/>
    <w:rsid w:val="6EEF1D13"/>
    <w:rsid w:val="6EF70BC7"/>
    <w:rsid w:val="6EF74724"/>
    <w:rsid w:val="6F15104E"/>
    <w:rsid w:val="6F152DFC"/>
    <w:rsid w:val="6F1572A0"/>
    <w:rsid w:val="6F1C23DC"/>
    <w:rsid w:val="6F285225"/>
    <w:rsid w:val="6F2968A7"/>
    <w:rsid w:val="6F2B6AC3"/>
    <w:rsid w:val="6F332352"/>
    <w:rsid w:val="6F345978"/>
    <w:rsid w:val="6F4F27B2"/>
    <w:rsid w:val="6F5778B8"/>
    <w:rsid w:val="6F630C97"/>
    <w:rsid w:val="6F653D83"/>
    <w:rsid w:val="6F655B31"/>
    <w:rsid w:val="6F6A1399"/>
    <w:rsid w:val="6F751AEC"/>
    <w:rsid w:val="6F79782E"/>
    <w:rsid w:val="6F8561D3"/>
    <w:rsid w:val="6F871F4B"/>
    <w:rsid w:val="6F8D32DA"/>
    <w:rsid w:val="6FA66085"/>
    <w:rsid w:val="6FA75CB0"/>
    <w:rsid w:val="6FA84376"/>
    <w:rsid w:val="6FAF14A2"/>
    <w:rsid w:val="6FB6638D"/>
    <w:rsid w:val="6FC211D5"/>
    <w:rsid w:val="6FCA1E38"/>
    <w:rsid w:val="6FCD7568"/>
    <w:rsid w:val="6FD64C81"/>
    <w:rsid w:val="6FE0340A"/>
    <w:rsid w:val="6FE3114C"/>
    <w:rsid w:val="6FED5B27"/>
    <w:rsid w:val="6FF3138F"/>
    <w:rsid w:val="6FF45107"/>
    <w:rsid w:val="70025A76"/>
    <w:rsid w:val="7003534A"/>
    <w:rsid w:val="700F1F41"/>
    <w:rsid w:val="70194B6E"/>
    <w:rsid w:val="7021355F"/>
    <w:rsid w:val="70254AB1"/>
    <w:rsid w:val="70271038"/>
    <w:rsid w:val="702E23C7"/>
    <w:rsid w:val="70333E81"/>
    <w:rsid w:val="703379DD"/>
    <w:rsid w:val="703B2D36"/>
    <w:rsid w:val="70433998"/>
    <w:rsid w:val="70457711"/>
    <w:rsid w:val="704D21FD"/>
    <w:rsid w:val="705636CC"/>
    <w:rsid w:val="70587444"/>
    <w:rsid w:val="706E310B"/>
    <w:rsid w:val="708446DD"/>
    <w:rsid w:val="70987F81"/>
    <w:rsid w:val="709D782C"/>
    <w:rsid w:val="70A1703D"/>
    <w:rsid w:val="70A50A55"/>
    <w:rsid w:val="70AB3A18"/>
    <w:rsid w:val="70C1148D"/>
    <w:rsid w:val="70CE7706"/>
    <w:rsid w:val="70D72A5F"/>
    <w:rsid w:val="70D867D7"/>
    <w:rsid w:val="70D94A29"/>
    <w:rsid w:val="70DD5B9B"/>
    <w:rsid w:val="70DF1913"/>
    <w:rsid w:val="70E138DD"/>
    <w:rsid w:val="70E1568B"/>
    <w:rsid w:val="70F5350B"/>
    <w:rsid w:val="70F829D5"/>
    <w:rsid w:val="7101188A"/>
    <w:rsid w:val="71080E6A"/>
    <w:rsid w:val="710B3229"/>
    <w:rsid w:val="710F044A"/>
    <w:rsid w:val="711315BD"/>
    <w:rsid w:val="712437CA"/>
    <w:rsid w:val="712510B5"/>
    <w:rsid w:val="712612F0"/>
    <w:rsid w:val="71290DE0"/>
    <w:rsid w:val="713003C1"/>
    <w:rsid w:val="713E2ADE"/>
    <w:rsid w:val="713F23B2"/>
    <w:rsid w:val="7141612A"/>
    <w:rsid w:val="714F4CEB"/>
    <w:rsid w:val="715A71EC"/>
    <w:rsid w:val="716342F2"/>
    <w:rsid w:val="716A5A22"/>
    <w:rsid w:val="71881FAB"/>
    <w:rsid w:val="718A5D23"/>
    <w:rsid w:val="718D136F"/>
    <w:rsid w:val="719B7F30"/>
    <w:rsid w:val="71A44CEF"/>
    <w:rsid w:val="71A64371"/>
    <w:rsid w:val="71BC3A02"/>
    <w:rsid w:val="71C72AD3"/>
    <w:rsid w:val="71C8684B"/>
    <w:rsid w:val="71CA25C3"/>
    <w:rsid w:val="71D13952"/>
    <w:rsid w:val="71DE606F"/>
    <w:rsid w:val="71E2790D"/>
    <w:rsid w:val="71E52F59"/>
    <w:rsid w:val="71F47640"/>
    <w:rsid w:val="71F66F14"/>
    <w:rsid w:val="71FE04BF"/>
    <w:rsid w:val="72031255"/>
    <w:rsid w:val="72031631"/>
    <w:rsid w:val="72127AC6"/>
    <w:rsid w:val="72141A90"/>
    <w:rsid w:val="72192C03"/>
    <w:rsid w:val="72203F91"/>
    <w:rsid w:val="72231CD3"/>
    <w:rsid w:val="72283D07"/>
    <w:rsid w:val="723932A5"/>
    <w:rsid w:val="723A2BE4"/>
    <w:rsid w:val="723C0F0F"/>
    <w:rsid w:val="723F6B0D"/>
    <w:rsid w:val="72435ED2"/>
    <w:rsid w:val="724539F8"/>
    <w:rsid w:val="72477770"/>
    <w:rsid w:val="724F4877"/>
    <w:rsid w:val="725325B9"/>
    <w:rsid w:val="725B76BF"/>
    <w:rsid w:val="725D51E5"/>
    <w:rsid w:val="725E2D0C"/>
    <w:rsid w:val="726A7902"/>
    <w:rsid w:val="726C5429"/>
    <w:rsid w:val="72730565"/>
    <w:rsid w:val="728409C4"/>
    <w:rsid w:val="728E539F"/>
    <w:rsid w:val="72907369"/>
    <w:rsid w:val="729606F7"/>
    <w:rsid w:val="729F135A"/>
    <w:rsid w:val="72AE69DA"/>
    <w:rsid w:val="72B312A9"/>
    <w:rsid w:val="72B43F65"/>
    <w:rsid w:val="72BB170D"/>
    <w:rsid w:val="72BD5C84"/>
    <w:rsid w:val="72C15774"/>
    <w:rsid w:val="72C4788F"/>
    <w:rsid w:val="72CE60E3"/>
    <w:rsid w:val="72D52FCE"/>
    <w:rsid w:val="72DA05E4"/>
    <w:rsid w:val="72DB435C"/>
    <w:rsid w:val="72E17BC5"/>
    <w:rsid w:val="72E77EDF"/>
    <w:rsid w:val="72EE0533"/>
    <w:rsid w:val="72F13B80"/>
    <w:rsid w:val="72F24D0E"/>
    <w:rsid w:val="72F86CBC"/>
    <w:rsid w:val="73005EB5"/>
    <w:rsid w:val="730530D8"/>
    <w:rsid w:val="73076EFF"/>
    <w:rsid w:val="730833A3"/>
    <w:rsid w:val="730B4C41"/>
    <w:rsid w:val="730D09BA"/>
    <w:rsid w:val="73117D7E"/>
    <w:rsid w:val="731358A4"/>
    <w:rsid w:val="731F249B"/>
    <w:rsid w:val="73217FC1"/>
    <w:rsid w:val="73246FA0"/>
    <w:rsid w:val="73397A01"/>
    <w:rsid w:val="733F2B3D"/>
    <w:rsid w:val="73577E87"/>
    <w:rsid w:val="735859AD"/>
    <w:rsid w:val="73595538"/>
    <w:rsid w:val="73644352"/>
    <w:rsid w:val="73677AAD"/>
    <w:rsid w:val="736B56E0"/>
    <w:rsid w:val="737E3665"/>
    <w:rsid w:val="738D5656"/>
    <w:rsid w:val="739015EB"/>
    <w:rsid w:val="739476BE"/>
    <w:rsid w:val="73993FFB"/>
    <w:rsid w:val="73A429A0"/>
    <w:rsid w:val="73AD5CF9"/>
    <w:rsid w:val="73B21561"/>
    <w:rsid w:val="73CB43D1"/>
    <w:rsid w:val="73CD639B"/>
    <w:rsid w:val="73D03795"/>
    <w:rsid w:val="73D56A03"/>
    <w:rsid w:val="73D70FC8"/>
    <w:rsid w:val="73DC09EB"/>
    <w:rsid w:val="73E060CE"/>
    <w:rsid w:val="73E831D5"/>
    <w:rsid w:val="73FE47A6"/>
    <w:rsid w:val="74024296"/>
    <w:rsid w:val="74100036"/>
    <w:rsid w:val="74122000"/>
    <w:rsid w:val="74126C56"/>
    <w:rsid w:val="74143FCA"/>
    <w:rsid w:val="7419513C"/>
    <w:rsid w:val="74257F85"/>
    <w:rsid w:val="742F5A5A"/>
    <w:rsid w:val="743261FE"/>
    <w:rsid w:val="743B4721"/>
    <w:rsid w:val="744D3038"/>
    <w:rsid w:val="74510D7A"/>
    <w:rsid w:val="745D327B"/>
    <w:rsid w:val="745E5245"/>
    <w:rsid w:val="74602D6B"/>
    <w:rsid w:val="74654825"/>
    <w:rsid w:val="746F1200"/>
    <w:rsid w:val="74730CF0"/>
    <w:rsid w:val="7476433D"/>
    <w:rsid w:val="74806F69"/>
    <w:rsid w:val="74820F33"/>
    <w:rsid w:val="748A7DE8"/>
    <w:rsid w:val="74945351"/>
    <w:rsid w:val="74A0585D"/>
    <w:rsid w:val="74A569D0"/>
    <w:rsid w:val="74BA06CD"/>
    <w:rsid w:val="74C432FA"/>
    <w:rsid w:val="74C94DB4"/>
    <w:rsid w:val="74CC6652"/>
    <w:rsid w:val="74D06143"/>
    <w:rsid w:val="74D55507"/>
    <w:rsid w:val="74D774D1"/>
    <w:rsid w:val="74D80B53"/>
    <w:rsid w:val="74DD260E"/>
    <w:rsid w:val="74E53270"/>
    <w:rsid w:val="74F11C15"/>
    <w:rsid w:val="74F2294A"/>
    <w:rsid w:val="74F51705"/>
    <w:rsid w:val="74F636CF"/>
    <w:rsid w:val="7501454E"/>
    <w:rsid w:val="750556C0"/>
    <w:rsid w:val="75071439"/>
    <w:rsid w:val="751D2A0A"/>
    <w:rsid w:val="7524023C"/>
    <w:rsid w:val="75267495"/>
    <w:rsid w:val="75297601"/>
    <w:rsid w:val="752D5343"/>
    <w:rsid w:val="75306BE1"/>
    <w:rsid w:val="75371D1E"/>
    <w:rsid w:val="753D12FE"/>
    <w:rsid w:val="7544268D"/>
    <w:rsid w:val="75466405"/>
    <w:rsid w:val="754B57C9"/>
    <w:rsid w:val="755521A4"/>
    <w:rsid w:val="756643B1"/>
    <w:rsid w:val="756920F3"/>
    <w:rsid w:val="756B19C7"/>
    <w:rsid w:val="756B5E6B"/>
    <w:rsid w:val="757C3BD5"/>
    <w:rsid w:val="75834F63"/>
    <w:rsid w:val="75882579"/>
    <w:rsid w:val="759A405B"/>
    <w:rsid w:val="759B13C8"/>
    <w:rsid w:val="759C7DD3"/>
    <w:rsid w:val="75A060BB"/>
    <w:rsid w:val="75A44ED9"/>
    <w:rsid w:val="75A60C51"/>
    <w:rsid w:val="75A629FF"/>
    <w:rsid w:val="75A86778"/>
    <w:rsid w:val="75AB44BA"/>
    <w:rsid w:val="75B96BD7"/>
    <w:rsid w:val="75DC28C5"/>
    <w:rsid w:val="75DE488F"/>
    <w:rsid w:val="75DF5F11"/>
    <w:rsid w:val="75E654AB"/>
    <w:rsid w:val="75E8126A"/>
    <w:rsid w:val="75EF1A41"/>
    <w:rsid w:val="75FA2D4B"/>
    <w:rsid w:val="75FE283B"/>
    <w:rsid w:val="76053BCA"/>
    <w:rsid w:val="760D2A7F"/>
    <w:rsid w:val="76171B4F"/>
    <w:rsid w:val="763418B6"/>
    <w:rsid w:val="764A5A81"/>
    <w:rsid w:val="765E777E"/>
    <w:rsid w:val="7682521B"/>
    <w:rsid w:val="76937428"/>
    <w:rsid w:val="76966F18"/>
    <w:rsid w:val="769F401E"/>
    <w:rsid w:val="76B13D52"/>
    <w:rsid w:val="76BA0E58"/>
    <w:rsid w:val="76BB24DB"/>
    <w:rsid w:val="76BD44A5"/>
    <w:rsid w:val="76CD220E"/>
    <w:rsid w:val="76CE0460"/>
    <w:rsid w:val="76D31F1A"/>
    <w:rsid w:val="76E61C4D"/>
    <w:rsid w:val="76F36118"/>
    <w:rsid w:val="76F37EC6"/>
    <w:rsid w:val="76FF2D0F"/>
    <w:rsid w:val="7715608F"/>
    <w:rsid w:val="771D3195"/>
    <w:rsid w:val="772067E2"/>
    <w:rsid w:val="772269FE"/>
    <w:rsid w:val="77242776"/>
    <w:rsid w:val="77277B70"/>
    <w:rsid w:val="772E7150"/>
    <w:rsid w:val="772F093E"/>
    <w:rsid w:val="77304C77"/>
    <w:rsid w:val="77356731"/>
    <w:rsid w:val="773C649A"/>
    <w:rsid w:val="774B1AB0"/>
    <w:rsid w:val="775748F9"/>
    <w:rsid w:val="775A1CF3"/>
    <w:rsid w:val="775D17E4"/>
    <w:rsid w:val="775E5C88"/>
    <w:rsid w:val="776112D4"/>
    <w:rsid w:val="776668EA"/>
    <w:rsid w:val="776E1C43"/>
    <w:rsid w:val="77785CE2"/>
    <w:rsid w:val="77866F8C"/>
    <w:rsid w:val="77876861"/>
    <w:rsid w:val="7789082B"/>
    <w:rsid w:val="778B2A5F"/>
    <w:rsid w:val="77903967"/>
    <w:rsid w:val="779276DF"/>
    <w:rsid w:val="77976AA4"/>
    <w:rsid w:val="77990D43"/>
    <w:rsid w:val="779A7B04"/>
    <w:rsid w:val="779F3BAA"/>
    <w:rsid w:val="77A25449"/>
    <w:rsid w:val="77A80CB1"/>
    <w:rsid w:val="77AA4702"/>
    <w:rsid w:val="77AB254F"/>
    <w:rsid w:val="77AD1554"/>
    <w:rsid w:val="77AD62C7"/>
    <w:rsid w:val="77BD2282"/>
    <w:rsid w:val="77C41863"/>
    <w:rsid w:val="77C47AB5"/>
    <w:rsid w:val="77D221D2"/>
    <w:rsid w:val="77DC4DFE"/>
    <w:rsid w:val="77DF669D"/>
    <w:rsid w:val="77E15F71"/>
    <w:rsid w:val="77E31CE9"/>
    <w:rsid w:val="77E54E88"/>
    <w:rsid w:val="77E85551"/>
    <w:rsid w:val="77E912C9"/>
    <w:rsid w:val="77ED700C"/>
    <w:rsid w:val="77EE068E"/>
    <w:rsid w:val="77FA7033"/>
    <w:rsid w:val="78006D3F"/>
    <w:rsid w:val="7809333E"/>
    <w:rsid w:val="780D320A"/>
    <w:rsid w:val="780F4F04"/>
    <w:rsid w:val="78146346"/>
    <w:rsid w:val="781A1483"/>
    <w:rsid w:val="781B5927"/>
    <w:rsid w:val="782C7B34"/>
    <w:rsid w:val="782F4F2E"/>
    <w:rsid w:val="78395DAD"/>
    <w:rsid w:val="783C764B"/>
    <w:rsid w:val="783F0EE9"/>
    <w:rsid w:val="78434E7D"/>
    <w:rsid w:val="784D1858"/>
    <w:rsid w:val="78570929"/>
    <w:rsid w:val="78591FAB"/>
    <w:rsid w:val="785B21C7"/>
    <w:rsid w:val="786F7A21"/>
    <w:rsid w:val="78746DE5"/>
    <w:rsid w:val="7883171E"/>
    <w:rsid w:val="78852DA0"/>
    <w:rsid w:val="788A2AAC"/>
    <w:rsid w:val="789D27E0"/>
    <w:rsid w:val="78B90C9C"/>
    <w:rsid w:val="78B96EEE"/>
    <w:rsid w:val="78C57641"/>
    <w:rsid w:val="78CC6C21"/>
    <w:rsid w:val="78D635FC"/>
    <w:rsid w:val="78E977D3"/>
    <w:rsid w:val="78EC72C3"/>
    <w:rsid w:val="78EF0B61"/>
    <w:rsid w:val="78FB7506"/>
    <w:rsid w:val="790463BB"/>
    <w:rsid w:val="79132AA2"/>
    <w:rsid w:val="791B3704"/>
    <w:rsid w:val="791D747D"/>
    <w:rsid w:val="792F71B0"/>
    <w:rsid w:val="79312F28"/>
    <w:rsid w:val="79386064"/>
    <w:rsid w:val="793A40F4"/>
    <w:rsid w:val="793D367B"/>
    <w:rsid w:val="793F73F3"/>
    <w:rsid w:val="794E7636"/>
    <w:rsid w:val="795135CA"/>
    <w:rsid w:val="79570BE0"/>
    <w:rsid w:val="795804B5"/>
    <w:rsid w:val="79780B57"/>
    <w:rsid w:val="79825532"/>
    <w:rsid w:val="79865022"/>
    <w:rsid w:val="799534B7"/>
    <w:rsid w:val="799E680F"/>
    <w:rsid w:val="79A47B9E"/>
    <w:rsid w:val="79A7630E"/>
    <w:rsid w:val="79AD6A52"/>
    <w:rsid w:val="79C618C2"/>
    <w:rsid w:val="79C67B14"/>
    <w:rsid w:val="79CB0C87"/>
    <w:rsid w:val="79CE4C1B"/>
    <w:rsid w:val="79D57D57"/>
    <w:rsid w:val="79D7587D"/>
    <w:rsid w:val="79E65AC0"/>
    <w:rsid w:val="79F93A46"/>
    <w:rsid w:val="79FA156C"/>
    <w:rsid w:val="79FA77BE"/>
    <w:rsid w:val="7A081EDB"/>
    <w:rsid w:val="7A0B5527"/>
    <w:rsid w:val="7A1545F8"/>
    <w:rsid w:val="7A1E34AC"/>
    <w:rsid w:val="7A2111EE"/>
    <w:rsid w:val="7A37456E"/>
    <w:rsid w:val="7A440A39"/>
    <w:rsid w:val="7A4F7B0A"/>
    <w:rsid w:val="7A57076C"/>
    <w:rsid w:val="7A5F2652"/>
    <w:rsid w:val="7A7C01D3"/>
    <w:rsid w:val="7A8157E9"/>
    <w:rsid w:val="7A923E9A"/>
    <w:rsid w:val="7A9C2623"/>
    <w:rsid w:val="7A9E639B"/>
    <w:rsid w:val="7AAF2356"/>
    <w:rsid w:val="7ABB4647"/>
    <w:rsid w:val="7AC202DC"/>
    <w:rsid w:val="7AC73B44"/>
    <w:rsid w:val="7AC83418"/>
    <w:rsid w:val="7ACD6C80"/>
    <w:rsid w:val="7AE91D0C"/>
    <w:rsid w:val="7AF97A75"/>
    <w:rsid w:val="7AFE508C"/>
    <w:rsid w:val="7B024B7C"/>
    <w:rsid w:val="7B0A1C83"/>
    <w:rsid w:val="7B136D89"/>
    <w:rsid w:val="7B2014A6"/>
    <w:rsid w:val="7B203254"/>
    <w:rsid w:val="7B22521E"/>
    <w:rsid w:val="7B252618"/>
    <w:rsid w:val="7B2801CD"/>
    <w:rsid w:val="7B2E3556"/>
    <w:rsid w:val="7B4927AB"/>
    <w:rsid w:val="7B6E0463"/>
    <w:rsid w:val="7B6E3FBF"/>
    <w:rsid w:val="7B825CBD"/>
    <w:rsid w:val="7B971768"/>
    <w:rsid w:val="7B9B28DB"/>
    <w:rsid w:val="7B9D6653"/>
    <w:rsid w:val="7BB816DF"/>
    <w:rsid w:val="7BC142DE"/>
    <w:rsid w:val="7BC167E5"/>
    <w:rsid w:val="7BC93671"/>
    <w:rsid w:val="7BD76009"/>
    <w:rsid w:val="7BDC53CD"/>
    <w:rsid w:val="7BDC717B"/>
    <w:rsid w:val="7BE75B20"/>
    <w:rsid w:val="7BEB1AB4"/>
    <w:rsid w:val="7BFD5343"/>
    <w:rsid w:val="7BFF10BB"/>
    <w:rsid w:val="7C1D7794"/>
    <w:rsid w:val="7C1F52BA"/>
    <w:rsid w:val="7C232FFC"/>
    <w:rsid w:val="7C4116D4"/>
    <w:rsid w:val="7C482A62"/>
    <w:rsid w:val="7C484810"/>
    <w:rsid w:val="7C5F7DAC"/>
    <w:rsid w:val="7C6B6751"/>
    <w:rsid w:val="7C727ADF"/>
    <w:rsid w:val="7C8415C1"/>
    <w:rsid w:val="7C865339"/>
    <w:rsid w:val="7CA12173"/>
    <w:rsid w:val="7CA51C63"/>
    <w:rsid w:val="7CAD0B17"/>
    <w:rsid w:val="7CB37140"/>
    <w:rsid w:val="7CBC0D5A"/>
    <w:rsid w:val="7CCF6CE0"/>
    <w:rsid w:val="7CD97B5E"/>
    <w:rsid w:val="7CE7126C"/>
    <w:rsid w:val="7CE87DA1"/>
    <w:rsid w:val="7CF60710"/>
    <w:rsid w:val="7CF93D5D"/>
    <w:rsid w:val="7D012C11"/>
    <w:rsid w:val="7D07647A"/>
    <w:rsid w:val="7D0A5F6A"/>
    <w:rsid w:val="7D0D7808"/>
    <w:rsid w:val="7D0E2473"/>
    <w:rsid w:val="7D126BCC"/>
    <w:rsid w:val="7D1961AD"/>
    <w:rsid w:val="7D2B7EDD"/>
    <w:rsid w:val="7D2D3A06"/>
    <w:rsid w:val="7D376633"/>
    <w:rsid w:val="7D380D29"/>
    <w:rsid w:val="7D3B4375"/>
    <w:rsid w:val="7D40373A"/>
    <w:rsid w:val="7D52346D"/>
    <w:rsid w:val="7D5947FB"/>
    <w:rsid w:val="7D5F62B6"/>
    <w:rsid w:val="7D845D1C"/>
    <w:rsid w:val="7D851A94"/>
    <w:rsid w:val="7D913F95"/>
    <w:rsid w:val="7D935F5F"/>
    <w:rsid w:val="7DA71A0B"/>
    <w:rsid w:val="7DB55ED6"/>
    <w:rsid w:val="7DB83C18"/>
    <w:rsid w:val="7DC600E3"/>
    <w:rsid w:val="7DD24CD9"/>
    <w:rsid w:val="7DD32800"/>
    <w:rsid w:val="7DD6409E"/>
    <w:rsid w:val="7DDD542C"/>
    <w:rsid w:val="7DDD71DA"/>
    <w:rsid w:val="7DEB7B49"/>
    <w:rsid w:val="7DED1B13"/>
    <w:rsid w:val="7DF54524"/>
    <w:rsid w:val="7DF84014"/>
    <w:rsid w:val="7DFC7E80"/>
    <w:rsid w:val="7E0B01EB"/>
    <w:rsid w:val="7E105802"/>
    <w:rsid w:val="7E17093E"/>
    <w:rsid w:val="7E1A21DD"/>
    <w:rsid w:val="7E1D641D"/>
    <w:rsid w:val="7E2968C4"/>
    <w:rsid w:val="7E2F6A52"/>
    <w:rsid w:val="7E3808B5"/>
    <w:rsid w:val="7E3E411D"/>
    <w:rsid w:val="7E4159BB"/>
    <w:rsid w:val="7E417769"/>
    <w:rsid w:val="7E462228"/>
    <w:rsid w:val="7E4D25B2"/>
    <w:rsid w:val="7E6A3164"/>
    <w:rsid w:val="7E6D055E"/>
    <w:rsid w:val="7E7318ED"/>
    <w:rsid w:val="7E745D91"/>
    <w:rsid w:val="7E795155"/>
    <w:rsid w:val="7E7C69F3"/>
    <w:rsid w:val="7E7E09BD"/>
    <w:rsid w:val="7E845165"/>
    <w:rsid w:val="7E9006F1"/>
    <w:rsid w:val="7E955D07"/>
    <w:rsid w:val="7E9755DB"/>
    <w:rsid w:val="7E9957F7"/>
    <w:rsid w:val="7E9975A5"/>
    <w:rsid w:val="7E9E696A"/>
    <w:rsid w:val="7EAD12A3"/>
    <w:rsid w:val="7EAD3051"/>
    <w:rsid w:val="7EAF6DC9"/>
    <w:rsid w:val="7EC00FD6"/>
    <w:rsid w:val="7ED06D3F"/>
    <w:rsid w:val="7ED54355"/>
    <w:rsid w:val="7ED71E7C"/>
    <w:rsid w:val="7ED76320"/>
    <w:rsid w:val="7EDE320A"/>
    <w:rsid w:val="7EEC1DCB"/>
    <w:rsid w:val="7EF23159"/>
    <w:rsid w:val="7EF40C80"/>
    <w:rsid w:val="7EFB3DBC"/>
    <w:rsid w:val="7F01514B"/>
    <w:rsid w:val="7F0A3FFF"/>
    <w:rsid w:val="7F0C5FC9"/>
    <w:rsid w:val="7F0F1615"/>
    <w:rsid w:val="7F0F7867"/>
    <w:rsid w:val="7F192494"/>
    <w:rsid w:val="7F1E5CFC"/>
    <w:rsid w:val="7F272E03"/>
    <w:rsid w:val="7F2A28F3"/>
    <w:rsid w:val="7F2D4191"/>
    <w:rsid w:val="7F364DF4"/>
    <w:rsid w:val="7F370B6C"/>
    <w:rsid w:val="7F3C6183"/>
    <w:rsid w:val="7F453289"/>
    <w:rsid w:val="7F482D79"/>
    <w:rsid w:val="7F511C2E"/>
    <w:rsid w:val="7F5259A6"/>
    <w:rsid w:val="7F5B485B"/>
    <w:rsid w:val="7F625BE9"/>
    <w:rsid w:val="7F671451"/>
    <w:rsid w:val="7F6F47AA"/>
    <w:rsid w:val="7F765B38"/>
    <w:rsid w:val="7F7B4EFD"/>
    <w:rsid w:val="7F8518D8"/>
    <w:rsid w:val="7F8E4C30"/>
    <w:rsid w:val="7F8F09A8"/>
    <w:rsid w:val="7F947D6D"/>
    <w:rsid w:val="7F98785D"/>
    <w:rsid w:val="7F9F508F"/>
    <w:rsid w:val="7FA2248A"/>
    <w:rsid w:val="7FAA7590"/>
    <w:rsid w:val="7FB1091F"/>
    <w:rsid w:val="7FB328E9"/>
    <w:rsid w:val="7FB65F35"/>
    <w:rsid w:val="7FB83A5B"/>
    <w:rsid w:val="7FC56178"/>
    <w:rsid w:val="7FD30895"/>
    <w:rsid w:val="7FDD34C2"/>
    <w:rsid w:val="7FEE56CF"/>
    <w:rsid w:val="7FFB7DEC"/>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2">
    <w:name w:val="heading 2"/>
    <w:basedOn w:val="1"/>
    <w:next w:val="1"/>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5"/>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link w:val="69"/>
    <w:qFormat/>
    <w:uiPriority w:val="0"/>
    <w:rPr>
      <w:rFonts w:ascii="楷体_GB2312" w:hAnsi="Arial" w:eastAsia="楷体_GB2312"/>
      <w:sz w:val="28"/>
      <w:szCs w:val="28"/>
    </w:rPr>
  </w:style>
  <w:style w:type="paragraph" w:styleId="18">
    <w:name w:val="Body Text Indent"/>
    <w:basedOn w:val="1"/>
    <w:next w:val="19"/>
    <w:link w:val="54"/>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70"/>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1"/>
    <w:qFormat/>
    <w:uiPriority w:val="0"/>
    <w:rPr>
      <w:rFonts w:ascii="Times New Roman" w:hAnsi="Times New Roman"/>
      <w:sz w:val="24"/>
      <w:szCs w:val="24"/>
    </w:rPr>
  </w:style>
  <w:style w:type="paragraph" w:styleId="26">
    <w:name w:val="Body Text Indent 2"/>
    <w:basedOn w:val="1"/>
    <w:link w:val="72"/>
    <w:qFormat/>
    <w:uiPriority w:val="0"/>
    <w:pPr>
      <w:ind w:left="630" w:firstLine="645"/>
    </w:pPr>
    <w:rPr>
      <w:rFonts w:ascii="Arial" w:hAnsi="Arial" w:eastAsia="仿宋_GB2312" w:cs="Arial"/>
      <w:sz w:val="32"/>
      <w:szCs w:val="32"/>
    </w:rPr>
  </w:style>
  <w:style w:type="paragraph" w:styleId="27">
    <w:name w:val="Balloon Text"/>
    <w:basedOn w:val="1"/>
    <w:link w:val="73"/>
    <w:semiHidden/>
    <w:qFormat/>
    <w:uiPriority w:val="0"/>
    <w:rPr>
      <w:rFonts w:ascii="Times New Roman" w:hAnsi="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6"/>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7"/>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8"/>
    <w:semiHidden/>
    <w:qFormat/>
    <w:uiPriority w:val="0"/>
    <w:rPr>
      <w:rFonts w:ascii="Times New Roman" w:hAnsi="Times New Roman"/>
      <w:b/>
      <w:bCs/>
      <w:szCs w:val="21"/>
    </w:rPr>
  </w:style>
  <w:style w:type="paragraph" w:styleId="42">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缩进）"/>
    <w:basedOn w:val="1"/>
    <w:qFormat/>
    <w:uiPriority w:val="0"/>
    <w:pPr>
      <w:spacing w:before="156" w:after="156"/>
      <w:ind w:firstLine="480" w:firstLineChars="200"/>
    </w:pPr>
  </w:style>
  <w:style w:type="character" w:customStyle="1" w:styleId="54">
    <w:name w:val="正文文本缩进 字符"/>
    <w:basedOn w:val="46"/>
    <w:link w:val="18"/>
    <w:semiHidden/>
    <w:qFormat/>
    <w:uiPriority w:val="99"/>
  </w:style>
  <w:style w:type="character" w:customStyle="1" w:styleId="55">
    <w:name w:val="正文首行缩进 2 字符"/>
    <w:link w:val="43"/>
    <w:qFormat/>
    <w:uiPriority w:val="0"/>
    <w:rPr>
      <w:rFonts w:ascii="宋体" w:hAnsi="宋体" w:eastAsia="宋体" w:cs="Times New Roman"/>
      <w:szCs w:val="20"/>
    </w:rPr>
  </w:style>
  <w:style w:type="character" w:customStyle="1" w:styleId="56">
    <w:name w:val="标题 1 字符"/>
    <w:link w:val="3"/>
    <w:qFormat/>
    <w:uiPriority w:val="0"/>
    <w:rPr>
      <w:rFonts w:ascii="楷体_GB2312" w:hAnsi="Times New Roman" w:eastAsia="楷体_GB2312" w:cs="Times New Roman"/>
      <w:sz w:val="28"/>
      <w:szCs w:val="28"/>
    </w:rPr>
  </w:style>
  <w:style w:type="character" w:customStyle="1" w:styleId="57">
    <w:name w:val="标题 2 字符"/>
    <w:link w:val="2"/>
    <w:qFormat/>
    <w:uiPriority w:val="0"/>
    <w:rPr>
      <w:rFonts w:ascii="Arial" w:hAnsi="Arial" w:eastAsia="幼圆" w:cs="Arial"/>
      <w:b/>
      <w:bCs/>
      <w:sz w:val="44"/>
      <w:szCs w:val="44"/>
    </w:rPr>
  </w:style>
  <w:style w:type="character" w:customStyle="1" w:styleId="58">
    <w:name w:val="正文缩进 字符"/>
    <w:link w:val="5"/>
    <w:qFormat/>
    <w:uiPriority w:val="0"/>
    <w:rPr>
      <w:szCs w:val="21"/>
    </w:rPr>
  </w:style>
  <w:style w:type="character" w:customStyle="1" w:styleId="59">
    <w:name w:val="标题 3 字符"/>
    <w:link w:val="4"/>
    <w:qFormat/>
    <w:uiPriority w:val="0"/>
    <w:rPr>
      <w:rFonts w:ascii="Times New Roman" w:hAnsi="Times New Roman" w:eastAsia="宋体" w:cs="Times New Roman"/>
      <w:b/>
      <w:bCs/>
      <w:sz w:val="32"/>
      <w:szCs w:val="32"/>
    </w:rPr>
  </w:style>
  <w:style w:type="character" w:customStyle="1" w:styleId="60">
    <w:name w:val="标题 4 字符"/>
    <w:link w:val="6"/>
    <w:qFormat/>
    <w:uiPriority w:val="0"/>
    <w:rPr>
      <w:rFonts w:ascii="Arial" w:hAnsi="Arial" w:eastAsia="黑体" w:cs="Arial"/>
      <w:b/>
      <w:bCs/>
      <w:sz w:val="28"/>
      <w:szCs w:val="28"/>
    </w:rPr>
  </w:style>
  <w:style w:type="character" w:customStyle="1" w:styleId="61">
    <w:name w:val="标题 5 字符"/>
    <w:link w:val="7"/>
    <w:qFormat/>
    <w:uiPriority w:val="0"/>
    <w:rPr>
      <w:rFonts w:ascii="宋体" w:hAnsi="Times New Roman" w:eastAsia="宋体" w:cs="Times New Roman"/>
      <w:color w:val="000000"/>
      <w:kern w:val="0"/>
      <w:sz w:val="28"/>
      <w:szCs w:val="28"/>
    </w:rPr>
  </w:style>
  <w:style w:type="character" w:customStyle="1" w:styleId="62">
    <w:name w:val="标题 6 字符"/>
    <w:link w:val="8"/>
    <w:qFormat/>
    <w:uiPriority w:val="0"/>
    <w:rPr>
      <w:rFonts w:ascii="Arial" w:hAnsi="Arial" w:eastAsia="黑体" w:cs="Times New Roman"/>
      <w:b/>
      <w:bCs/>
      <w:sz w:val="24"/>
      <w:szCs w:val="24"/>
    </w:rPr>
  </w:style>
  <w:style w:type="character" w:customStyle="1" w:styleId="63">
    <w:name w:val="标题 7 字符"/>
    <w:link w:val="9"/>
    <w:qFormat/>
    <w:uiPriority w:val="0"/>
    <w:rPr>
      <w:rFonts w:ascii="Times New Roman" w:hAnsi="Times New Roman" w:eastAsia="宋体" w:cs="Times New Roman"/>
      <w:b/>
      <w:bCs/>
      <w:sz w:val="24"/>
      <w:szCs w:val="24"/>
    </w:rPr>
  </w:style>
  <w:style w:type="character" w:customStyle="1" w:styleId="64">
    <w:name w:val="标题 8 字符"/>
    <w:link w:val="10"/>
    <w:qFormat/>
    <w:uiPriority w:val="0"/>
    <w:rPr>
      <w:rFonts w:ascii="Arial" w:hAnsi="Arial" w:eastAsia="黑体" w:cs="Times New Roman"/>
      <w:sz w:val="24"/>
      <w:szCs w:val="24"/>
    </w:rPr>
  </w:style>
  <w:style w:type="character" w:customStyle="1" w:styleId="65">
    <w:name w:val="标题 9 字符"/>
    <w:link w:val="11"/>
    <w:qFormat/>
    <w:uiPriority w:val="0"/>
    <w:rPr>
      <w:rFonts w:ascii="Arial" w:hAnsi="Arial" w:eastAsia="黑体" w:cs="Times New Roman"/>
      <w:szCs w:val="21"/>
    </w:rPr>
  </w:style>
  <w:style w:type="character" w:customStyle="1" w:styleId="66">
    <w:name w:val="文档结构图 字符"/>
    <w:link w:val="14"/>
    <w:semiHidden/>
    <w:qFormat/>
    <w:uiPriority w:val="0"/>
    <w:rPr>
      <w:rFonts w:ascii="Times New Roman" w:hAnsi="Times New Roman" w:eastAsia="宋体" w:cs="Times New Roman"/>
      <w:szCs w:val="21"/>
      <w:shd w:val="clear" w:color="auto" w:fill="000080"/>
    </w:rPr>
  </w:style>
  <w:style w:type="character" w:customStyle="1" w:styleId="67">
    <w:name w:val="批注文字 字符"/>
    <w:basedOn w:val="46"/>
    <w:link w:val="15"/>
    <w:semiHidden/>
    <w:qFormat/>
    <w:uiPriority w:val="99"/>
  </w:style>
  <w:style w:type="character" w:customStyle="1" w:styleId="68">
    <w:name w:val="正文文本 3 字符"/>
    <w:link w:val="16"/>
    <w:qFormat/>
    <w:uiPriority w:val="0"/>
    <w:rPr>
      <w:rFonts w:ascii="仿宋_GB2312" w:hAnsi="Arial" w:eastAsia="仿宋_GB2312" w:cs="Times New Roman"/>
      <w:sz w:val="32"/>
      <w:szCs w:val="32"/>
    </w:rPr>
  </w:style>
  <w:style w:type="character" w:customStyle="1" w:styleId="69">
    <w:name w:val="正文文本 字符"/>
    <w:link w:val="17"/>
    <w:qFormat/>
    <w:uiPriority w:val="0"/>
    <w:rPr>
      <w:rFonts w:ascii="楷体_GB2312" w:hAnsi="Arial" w:eastAsia="楷体_GB2312" w:cs="Times New Roman"/>
      <w:sz w:val="28"/>
      <w:szCs w:val="28"/>
    </w:rPr>
  </w:style>
  <w:style w:type="character" w:customStyle="1" w:styleId="70">
    <w:name w:val="纯文本 字符"/>
    <w:link w:val="23"/>
    <w:qFormat/>
    <w:uiPriority w:val="0"/>
    <w:rPr>
      <w:rFonts w:ascii="宋体" w:hAnsi="Courier New" w:eastAsia="宋体" w:cs="Courier New"/>
      <w:szCs w:val="21"/>
    </w:rPr>
  </w:style>
  <w:style w:type="character" w:customStyle="1" w:styleId="71">
    <w:name w:val="日期 字符"/>
    <w:link w:val="25"/>
    <w:qFormat/>
    <w:uiPriority w:val="0"/>
    <w:rPr>
      <w:rFonts w:ascii="Times New Roman" w:hAnsi="Times New Roman" w:eastAsia="宋体" w:cs="Times New Roman"/>
      <w:sz w:val="24"/>
      <w:szCs w:val="24"/>
    </w:rPr>
  </w:style>
  <w:style w:type="character" w:customStyle="1" w:styleId="72">
    <w:name w:val="正文文本缩进 2 字符"/>
    <w:link w:val="26"/>
    <w:qFormat/>
    <w:uiPriority w:val="0"/>
    <w:rPr>
      <w:rFonts w:ascii="Arial" w:hAnsi="Arial" w:eastAsia="仿宋_GB2312" w:cs="Arial"/>
      <w:sz w:val="32"/>
      <w:szCs w:val="32"/>
    </w:rPr>
  </w:style>
  <w:style w:type="character" w:customStyle="1" w:styleId="73">
    <w:name w:val="批注框文本 字符"/>
    <w:link w:val="27"/>
    <w:semiHidden/>
    <w:qFormat/>
    <w:uiPriority w:val="0"/>
    <w:rPr>
      <w:rFonts w:ascii="Times New Roman" w:hAnsi="Times New Roman" w:eastAsia="宋体" w:cs="Times New Roman"/>
      <w:sz w:val="18"/>
      <w:szCs w:val="18"/>
    </w:rPr>
  </w:style>
  <w:style w:type="character" w:customStyle="1" w:styleId="74">
    <w:name w:val="页脚 字符"/>
    <w:link w:val="28"/>
    <w:qFormat/>
    <w:uiPriority w:val="0"/>
    <w:rPr>
      <w:rFonts w:ascii="Times New Roman" w:hAnsi="Times New Roman" w:eastAsia="宋体" w:cs="Times New Roman"/>
      <w:sz w:val="18"/>
      <w:szCs w:val="18"/>
    </w:rPr>
  </w:style>
  <w:style w:type="character" w:customStyle="1" w:styleId="75">
    <w:name w:val="页眉 字符"/>
    <w:link w:val="29"/>
    <w:qFormat/>
    <w:uiPriority w:val="0"/>
    <w:rPr>
      <w:rFonts w:ascii="Times New Roman" w:hAnsi="Times New Roman" w:eastAsia="宋体" w:cs="Times New Roman"/>
      <w:sz w:val="18"/>
      <w:szCs w:val="18"/>
    </w:rPr>
  </w:style>
  <w:style w:type="character" w:customStyle="1" w:styleId="76">
    <w:name w:val="正文文本缩进 3 字符"/>
    <w:link w:val="34"/>
    <w:qFormat/>
    <w:uiPriority w:val="0"/>
    <w:rPr>
      <w:rFonts w:ascii="Arial" w:hAnsi="Arial" w:eastAsia="仿宋_GB2312" w:cs="Arial"/>
      <w:color w:val="FFFF00"/>
      <w:sz w:val="32"/>
      <w:szCs w:val="32"/>
    </w:rPr>
  </w:style>
  <w:style w:type="character" w:customStyle="1" w:styleId="77">
    <w:name w:val="正文文本 2 字符"/>
    <w:link w:val="38"/>
    <w:qFormat/>
    <w:uiPriority w:val="0"/>
    <w:rPr>
      <w:rFonts w:ascii="楷体_GB2312" w:hAnsi="Times New Roman" w:eastAsia="楷体_GB2312" w:cs="Times New Roman"/>
      <w:sz w:val="28"/>
      <w:szCs w:val="28"/>
    </w:rPr>
  </w:style>
  <w:style w:type="character" w:customStyle="1" w:styleId="78">
    <w:name w:val="批注主题 字符"/>
    <w:link w:val="41"/>
    <w:semiHidden/>
    <w:qFormat/>
    <w:uiPriority w:val="0"/>
    <w:rPr>
      <w:rFonts w:ascii="Times New Roman" w:hAnsi="Times New Roman" w:eastAsia="宋体" w:cs="Times New Roman"/>
      <w:b/>
      <w:bCs/>
      <w:szCs w:val="21"/>
    </w:rPr>
  </w:style>
  <w:style w:type="character" w:customStyle="1" w:styleId="79">
    <w:name w:val="正文首行缩进 字符"/>
    <w:link w:val="4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2018</Words>
  <Characters>2278</Characters>
  <Lines>221</Lines>
  <Paragraphs>62</Paragraphs>
  <TotalTime>24</TotalTime>
  <ScaleCrop>false</ScaleCrop>
  <LinksUpToDate>false</LinksUpToDate>
  <CharactersWithSpaces>2290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2026-03-10T04:28:00Z</dcterms:created>
  <dc:creator>赵国文</dc:creator>
  <cp:lastModifiedBy>WAN   豆沙包</cp:lastModifiedBy>
  <cp:lastPrinted>2024-10-16T07:03:00Z</cp:lastPrinted>
  <dcterms:modified xsi:type="dcterms:W3CDTF">2026-03-16T01:56:51Z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ABDADAF6DD934FF8852C5C971B64026C_13</vt:lpwstr>
  </property>
  <property fmtid="{D5CDD505-2E9C-101B-9397-08002B2CF9AE}" pid="4" name="KSOTemplateDocerSaveRecord">
    <vt:lpwstr>eyJoZGlkIjoiNTM2NWY3NTI2NWEwZGFhYmVjNDM4YWU5MjJiOGY2YjYiLCJ1c2VySWQiOiIzNTg2MTcxNDAifQ==</vt:lpwstr>
  </property>
</Properties>
</file>