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35"/>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jc w:val="both"/>
        <w:spacing w:line="360" w:lineRule="auto"/>
        <w:shd w:val="clear" w:color="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项目编号：</w:t>
      </w:r>
      <w:r>
        <w:rPr>
          <w:rFonts w:hint="eastAsia" w:ascii="宋体" w:hAnsi="宋体" w:eastAsia="宋体" w:cs="宋体"/>
          <w:color w:val="auto"/>
          <w:sz w:val="32"/>
          <w:szCs w:val="32"/>
          <w:highlight w:val="none"/>
          <w:lang w:eastAsia="zh-CN"/>
        </w:rPr>
        <w:t xml:space="preserve">JSZC-320500-SZZJ-G2026-0004</w:t>
      </w:r>
      <w:r/>
    </w:p>
    <w:p>
      <w:pPr>
        <w:ind w:firstLine="1600"/>
        <w:jc w:val="both"/>
        <w:spacing w:line="360" w:lineRule="auto"/>
        <w:shd w:val="clear" w:color="auto"/>
        <w:tabs>
          <w:tab w:val="left" w:pos="1744" w:leader="none"/>
        </w:tabs>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采 购 人：</w:t>
      </w:r>
      <w:r>
        <w:rPr>
          <w:rFonts w:hint="eastAsia" w:ascii="宋体" w:hAnsi="宋体" w:eastAsia="宋体" w:cs="宋体"/>
          <w:bCs/>
          <w:color w:val="auto"/>
          <w:sz w:val="32"/>
          <w:highlight w:val="none"/>
          <w:lang w:eastAsia="zh-CN"/>
        </w:rPr>
        <w:t xml:space="preserve">苏州市农业科学院</w:t>
      </w:r>
      <w:r/>
    </w:p>
    <w:p>
      <w:pPr>
        <w:ind w:firstLine="1600"/>
        <w:jc w:val="both"/>
        <w:spacing w:line="360" w:lineRule="auto"/>
        <w:shd w:val="clear" w:color="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项目名称：</w:t>
      </w:r>
      <w:r>
        <w:rPr>
          <w:rFonts w:hint="eastAsia" w:ascii="宋体" w:hAnsi="宋体" w:eastAsia="宋体" w:cs="宋体"/>
          <w:bCs/>
          <w:color w:val="auto"/>
          <w:sz w:val="32"/>
          <w:highlight w:val="none"/>
          <w:lang w:eastAsia="zh-CN"/>
        </w:rPr>
        <w:t xml:space="preserve">2026年科研辅助服务</w:t>
      </w:r>
      <w:r/>
    </w:p>
    <w:p>
      <w:pPr>
        <w:ind w:firstLine="1600"/>
        <w:jc w:val="left"/>
        <w:spacing w:line="360" w:lineRule="auto"/>
        <w:shd w:val="clear" w:color="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项目类别：</w:t>
      </w:r>
      <w:r>
        <w:rPr>
          <w:rFonts w:hint="eastAsia" w:ascii="宋体" w:hAnsi="宋体" w:eastAsia="宋体" w:cs="宋体"/>
          <w:bCs/>
          <w:color w:val="auto"/>
          <w:sz w:val="32"/>
          <w:highlight w:val="none"/>
          <w:lang w:val="en-US" w:eastAsia="zh-CN"/>
        </w:rPr>
        <w:t xml:space="preserve">服务</w:t>
      </w:r>
      <w:r>
        <w:rPr>
          <w:rFonts w:hint="eastAsia" w:ascii="宋体" w:hAnsi="宋体" w:eastAsia="宋体" w:cs="宋体"/>
          <w:bCs/>
          <w:color w:val="auto"/>
          <w:sz w:val="32"/>
          <w:highlight w:val="none"/>
        </w:rPr>
        <w:t xml:space="preserve">类</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二○二</w:t>
      </w:r>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rPr>
        <w:t xml:space="preserve">年</w:t>
      </w:r>
      <w:r>
        <w:rPr>
          <w:rFonts w:hint="eastAsia" w:ascii="宋体" w:hAnsi="宋体" w:eastAsia="宋体" w:cs="宋体"/>
          <w:color w:val="auto"/>
          <w:sz w:val="32"/>
          <w:highlight w:val="none"/>
          <w:lang w:val="en-US" w:eastAsia="zh-CN"/>
        </w:rPr>
        <w:t xml:space="preserve">三</w:t>
      </w:r>
      <w:r>
        <w:rPr>
          <w:rFonts w:hint="eastAsia" w:ascii="宋体" w:hAnsi="宋体" w:eastAsia="宋体" w:cs="宋体"/>
          <w:color w:val="auto"/>
          <w:sz w:val="32"/>
          <w:highlight w:val="none"/>
        </w:rPr>
        <w:t xml:space="preserve">月</w:t>
      </w:r>
      <w:r/>
    </w:p>
    <w:p>
      <w:pPr>
        <w:pStyle w:val="927"/>
        <w:ind w:firstLine="0"/>
        <w:jc w:val="center"/>
        <w:spacing w:line="360" w:lineRule="auto"/>
        <w:shd w:val="clear" w:color="auto"/>
        <w:rPr>
          <w:rFonts w:hint="eastAsia" w:ascii="宋体" w:hAnsi="宋体" w:eastAsia="宋体" w:cs="宋体"/>
          <w:color w:val="auto"/>
          <w:sz w:val="52"/>
          <w:highlight w:val="none"/>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auto"/>
          <w:sz w:val="52"/>
          <w:highlight w:val="none"/>
        </w:rPr>
      </w:r>
      <w:r/>
    </w:p>
    <w:p>
      <w:pPr>
        <w:pStyle w:val="927"/>
        <w:ind w:firstLine="0"/>
        <w:jc w:val="center"/>
        <w:spacing w:line="360" w:lineRule="auto"/>
        <w:shd w:val="clear" w:color="auto"/>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927"/>
        <w:ind w:firstLine="0"/>
        <w:jc w:val="center"/>
        <w:spacing w:line="360" w:lineRule="auto"/>
        <w:shd w:val="clear" w:color="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27"/>
        <w:ind w:firstLine="0"/>
        <w:jc w:val="center"/>
        <w:spacing w:line="36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27"/>
        <w:ind w:firstLine="0"/>
        <w:jc w:val="center"/>
        <w:spacing w:line="360" w:lineRule="auto"/>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w:t>
      </w:r>
      <w:r>
        <w:rPr>
          <w:rFonts w:hint="eastAsia" w:ascii="宋体" w:hAnsi="宋体" w:eastAsia="宋体" w:cs="宋体"/>
          <w:color w:val="auto"/>
          <w:sz w:val="30"/>
          <w:szCs w:val="30"/>
          <w:highlight w:val="none"/>
          <w:lang w:val="en-US" w:eastAsia="zh-CN"/>
        </w:rPr>
        <w:t xml:space="preserve"> 投标邀请函</w:t>
      </w:r>
      <w:r>
        <w:rPr>
          <w:rFonts w:hint="eastAsia" w:ascii="宋体" w:hAnsi="宋体" w:eastAsia="宋体" w:cs="宋体"/>
          <w:color w:val="auto"/>
          <w:sz w:val="30"/>
          <w:szCs w:val="30"/>
          <w:highlight w:val="none"/>
        </w:rPr>
        <w:t xml:space="preserve">........................................</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w:t>
      </w:r>
      <w:r>
        <w:rPr>
          <w:rFonts w:hint="eastAsia" w:ascii="宋体" w:hAnsi="宋体" w:eastAsia="宋体" w:cs="宋体"/>
          <w:color w:val="auto"/>
          <w:sz w:val="30"/>
          <w:szCs w:val="30"/>
          <w:highlight w:val="none"/>
          <w:lang w:val="en-US" w:eastAsia="zh-CN"/>
        </w:rPr>
        <w:t xml:space="preserve">采购需求</w:t>
      </w:r>
      <w:r>
        <w:rPr>
          <w:rFonts w:hint="eastAsia" w:ascii="宋体" w:hAnsi="宋体" w:eastAsia="宋体" w:cs="宋体"/>
          <w:color w:val="auto"/>
          <w:sz w:val="30"/>
          <w:szCs w:val="30"/>
          <w:highlight w:val="none"/>
        </w:rPr>
        <w:t xml:space="preserve">..........................................</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w:t>
      </w:r>
      <w:r>
        <w:rPr>
          <w:rFonts w:hint="eastAsia" w:ascii="宋体" w:hAnsi="宋体" w:eastAsia="宋体" w:cs="宋体"/>
          <w:color w:val="auto"/>
          <w:sz w:val="30"/>
          <w:szCs w:val="30"/>
          <w:highlight w:val="none"/>
          <w:lang w:val="en-US" w:eastAsia="zh-CN"/>
        </w:rPr>
        <w:t xml:space="preserve">主要</w:t>
      </w:r>
      <w:r>
        <w:rPr>
          <w:rFonts w:hint="eastAsia" w:ascii="宋体" w:hAnsi="宋体" w:eastAsia="宋体" w:cs="宋体"/>
          <w:color w:val="auto"/>
          <w:sz w:val="30"/>
          <w:szCs w:val="30"/>
          <w:highlight w:val="none"/>
        </w:rPr>
        <w:t xml:space="preserve">条款......................................</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w:t>
      </w:r>
      <w:r>
        <w:rPr>
          <w:rFonts w:hint="eastAsia" w:ascii="宋体" w:hAnsi="宋体" w:eastAsia="宋体" w:cs="宋体"/>
          <w:color w:val="auto"/>
          <w:sz w:val="30"/>
          <w:szCs w:val="30"/>
          <w:highlight w:val="none"/>
          <w:lang w:val="en-US" w:eastAsia="zh-CN"/>
        </w:rPr>
        <w:t xml:space="preserve">评分方法和</w:t>
      </w:r>
      <w:r>
        <w:rPr>
          <w:rFonts w:hint="eastAsia" w:ascii="宋体" w:hAnsi="宋体" w:eastAsia="宋体" w:cs="宋体"/>
          <w:color w:val="auto"/>
          <w:sz w:val="30"/>
          <w:szCs w:val="30"/>
          <w:highlight w:val="none"/>
        </w:rPr>
        <w:t xml:space="preserve">评分标准................................</w:t>
      </w:r>
      <w:r/>
    </w:p>
    <w:p>
      <w:pPr>
        <w:pStyle w:val="927"/>
        <w:ind w:firstLine="0"/>
        <w:jc w:val="center"/>
        <w:spacing w:line="360" w:lineRule="auto"/>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widowControl/>
        <w:rPr>
          <w:rFonts w:hint="eastAsia" w:ascii="宋体" w:hAnsi="宋体" w:eastAsia="宋体" w:cs="宋体"/>
          <w:color w:val="auto"/>
          <w:sz w:val="30"/>
          <w:szCs w:val="30"/>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auto"/>
          <w:sz w:val="30"/>
          <w:szCs w:val="30"/>
          <w:highlight w:val="none"/>
        </w:rPr>
      </w:r>
      <w:r/>
    </w:p>
    <w:p>
      <w:pPr>
        <w:jc w:val="center"/>
        <w:spacing w:line="360" w:lineRule="auto"/>
        <w:shd w:val="clear" w:color="auto"/>
        <w:widowControl/>
        <w:rPr>
          <w:rFonts w:hint="eastAsia"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投标邀请函</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苏州市农业科学院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就其所需的</w:t>
      </w:r>
      <w:r>
        <w:rPr>
          <w:rFonts w:hint="eastAsia" w:ascii="宋体" w:hAnsi="宋体" w:eastAsia="宋体" w:cs="宋体"/>
          <w:color w:val="auto"/>
          <w:sz w:val="24"/>
          <w:szCs w:val="24"/>
          <w:highlight w:val="none"/>
          <w:lang w:eastAsia="zh-CN"/>
        </w:rPr>
        <w:t xml:space="preserve">2026年科研辅助服务</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进行公开招标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欢迎符合资格条件和具备履约能力的供应商单位前来参与。</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一、项目基本情况</w:t>
      </w:r>
      <w:r>
        <w:rPr>
          <w:rFonts w:hint="eastAsia" w:ascii="宋体" w:hAnsi="宋体" w:eastAsia="宋体" w:cs="宋体"/>
          <w:b/>
          <w:bCs/>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JSZC-320500-SZZJ-G2026-0004</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2026年科研辅助服务。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2328300.00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lang w:val="en-US" w:eastAsia="zh-CN"/>
        </w:rPr>
        <w:t xml:space="preserve">2328300.00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1、标的的名称：</w:t>
      </w:r>
      <w:r>
        <w:rPr>
          <w:rFonts w:hint="eastAsia" w:ascii="宋体" w:hAnsi="宋体" w:eastAsia="宋体" w:cs="宋体"/>
          <w:color w:val="auto"/>
          <w:sz w:val="24"/>
          <w:szCs w:val="24"/>
          <w:highlight w:val="none"/>
          <w:lang w:eastAsia="zh-CN"/>
        </w:rPr>
        <w:t xml:space="preserve">2026年科研辅助服务。</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2、数量：1项</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i w:val="0"/>
          <w:iCs w:val="0"/>
          <w:color w:val="auto"/>
          <w:sz w:val="24"/>
          <w:szCs w:val="24"/>
          <w:u w:val="none"/>
          <w:lang w:val="en-US" w:eastAsia="zh-CN" w:bidi="ar"/>
        </w:rPr>
        <w:t xml:space="preserve">田间管理(田埂日常除草等)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科研辅助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环境整治</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辅助服务。</w:t>
      </w:r>
      <w:r>
        <w:rPr>
          <w:rFonts w:hint="eastAsia" w:ascii="宋体" w:hAnsi="宋体" w:eastAsia="宋体" w:cs="宋体"/>
          <w:bCs/>
          <w:color w:val="auto"/>
          <w:sz w:val="24"/>
          <w:szCs w:val="24"/>
          <w:highlight w:val="none"/>
          <w:lang w:val="en-US" w:eastAsia="zh-CN"/>
        </w:rPr>
        <w:t xml:space="preserve">具体详见招标文件采购需求。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自合同生效之日起</w:t>
      </w:r>
      <w:r>
        <w:rPr>
          <w:rFonts w:hint="eastAsia" w:ascii="宋体" w:hAnsi="宋体" w:eastAsia="宋体" w:cs="宋体"/>
          <w:color w:val="auto"/>
          <w:sz w:val="24"/>
          <w:szCs w:val="24"/>
          <w:highlight w:val="none"/>
          <w:lang w:val="en-US" w:eastAsia="zh-CN"/>
        </w:rPr>
        <w:t xml:space="preserve">至2026年12月31日</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本项不接受联合体投标、不接受进口产品、不允许转包。</w:t>
      </w:r>
      <w:r/>
    </w:p>
    <w:p>
      <w:pPr>
        <w:ind w:firstLine="482"/>
        <w:spacing w:line="360" w:lineRule="auto"/>
        <w:shd w:val="clear" w:color="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1、合格供应商的一般条件</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在经营活动中没有重大违法记录。</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根据《政府采购促进中小企业发展管理办法》的相关规定，本项目专门面向中小企业，所属行业为农、林、牧、渔业，供应商应为中小微企业、监狱企业、残疾人福利性单位。</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olor w:val="auto"/>
          <w:sz w:val="24"/>
          <w:szCs w:val="24"/>
          <w:highlight w:val="none"/>
        </w:rPr>
        <w:t xml:space="preserve">具备有效期内的劳务派遣经营许可证或人力资源服务许可证（须含劳务派遣业务）</w:t>
      </w:r>
      <w:r>
        <w:rPr>
          <w:rFonts w:hint="eastAsia" w:ascii="宋体" w:hAnsi="宋体" w:eastAsia="宋体" w:cs="宋体"/>
          <w:color w:val="auto"/>
          <w:sz w:val="24"/>
          <w:szCs w:val="24"/>
          <w:highlight w:val="none"/>
          <w:lang w:eastAsia="zh-CN"/>
        </w:rPr>
        <w:t xml:space="preserve">。</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三、获取招标文件</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（1）CA证书办理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（2）参与采购活动</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27"/>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（3）电子投标准备：</w:t>
      </w:r>
      <w:r/>
    </w:p>
    <w:p>
      <w:pPr>
        <w:pStyle w:val="927"/>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7"/>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w:t>
      </w:r>
      <w:r>
        <w:rPr>
          <w:rFonts w:hint="eastAsia" w:ascii="宋体" w:hAnsi="宋体" w:eastAsia="宋体" w:cs="宋体"/>
          <w:color w:val="auto"/>
          <w:sz w:val="24"/>
          <w:szCs w:val="24"/>
          <w:highlight w:val="none"/>
          <w:lang w:eastAsia="zh-CN"/>
        </w:rPr>
        <w:t xml:space="preserve">400-608-6099</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w:t>
      </w:r>
      <w:r>
        <w:rPr>
          <w:rFonts w:hint="eastAsia" w:ascii="宋体" w:hAnsi="宋体" w:eastAsia="宋体" w:cs="宋体"/>
          <w:color w:val="auto"/>
          <w:sz w:val="24"/>
          <w:szCs w:val="24"/>
          <w:highlight w:val="none"/>
          <w:lang w:eastAsia="zh-CN"/>
        </w:rPr>
        <w:t xml:space="preserve">025-83633811、025-83633812、15380932027、15371015030</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w:t>
      </w:r>
      <w:r>
        <w:rPr>
          <w:rFonts w:hint="eastAsia" w:ascii="宋体" w:hAnsi="宋体" w:eastAsia="宋体" w:cs="宋体"/>
          <w:color w:val="auto"/>
          <w:sz w:val="24"/>
          <w:szCs w:val="24"/>
          <w:highlight w:val="none"/>
          <w:lang w:eastAsia="zh-CN"/>
        </w:rPr>
        <w:t xml:space="preserve">13914088964、0512-69820854</w:t>
      </w:r>
      <w:r>
        <w:rPr>
          <w:rFonts w:hint="eastAsia" w:ascii="宋体" w:hAnsi="宋体" w:eastAsia="宋体" w:cs="宋体"/>
          <w:color w:val="auto"/>
          <w:sz w:val="24"/>
          <w:szCs w:val="24"/>
          <w:highlight w:val="none"/>
        </w:rPr>
        <w:t xml:space="preserve">；智能客服：登录苏采云系统后，联系系统右下方智能客服图标进行咨询。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年3</w:t>
      </w:r>
      <w:r>
        <w:rPr>
          <w:rFonts w:hint="eastAsia" w:ascii="宋体" w:hAnsi="宋体" w:eastAsia="宋体" w:cs="宋体"/>
          <w:color w:val="auto"/>
          <w:sz w:val="24"/>
          <w:szCs w:val="24"/>
          <w:u w:val="none"/>
          <w:lang w:val="en-US" w:eastAsia="zh-CN"/>
        </w:rPr>
        <w:t xml:space="preserve">月23</w:t>
      </w:r>
      <w:r>
        <w:rPr>
          <w:rFonts w:hint="eastAsia" w:ascii="宋体" w:hAnsi="宋体" w:eastAsia="宋体" w:cs="宋体"/>
          <w:color w:val="auto"/>
          <w:sz w:val="24"/>
          <w:szCs w:val="24"/>
          <w:u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"http://jszfcg.jsczt.cn/）\“开标大厅\”。"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http</w:t>
      </w:r>
      <w:r>
        <w:rPr>
          <w:rStyle w:val="977"/>
          <w:rFonts w:hint="eastAsia" w:ascii="宋体" w:hAnsi="宋体" w:eastAsia="宋体" w:cs="宋体"/>
          <w:color w:val="auto"/>
          <w:sz w:val="24"/>
          <w:szCs w:val="24"/>
          <w:highlight w:val="none"/>
          <w:lang w:eastAsia="zh-CN"/>
        </w:rPr>
        <w:t xml:space="preserve">：</w:t>
      </w:r>
      <w:r>
        <w:rPr>
          <w:rStyle w:val="977"/>
          <w:rFonts w:hint="eastAsia" w:ascii="宋体" w:hAnsi="宋体" w:eastAsia="宋体" w:cs="宋体"/>
          <w:color w:val="auto"/>
          <w:sz w:val="24"/>
          <w:szCs w:val="24"/>
          <w:highlight w:val="none"/>
        </w:rPr>
        <w:t xml:space="preserve">//jszfcg.jsczt.cn/）。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3、方式：投标文件网上递交</w:t>
      </w:r>
      <w:bookmarkStart w:id="0" w:name="_Hlk90650305"/>
      <w:r/>
      <w:bookmarkEnd w:id="0"/>
      <w:r/>
      <w:bookmarkStart w:id="1" w:name="_Hlk90650417"/>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，不需要现场参加采购活动。</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线上参加开标（开启）会方式：供应商登录“苏采云”系统，点击“开标大厅”，选择对应项目，点击进入不见面开标系统。 </w:t>
      </w:r>
      <w:r/>
    </w:p>
    <w:p>
      <w:pPr>
        <w:ind w:firstLine="48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本项目为不见面开标（开启）项目，</w:t>
      </w:r>
      <w:r>
        <w:rPr>
          <w:rFonts w:hint="eastAsia" w:ascii="宋体" w:hAnsi="宋体" w:eastAsia="宋体" w:cs="宋体"/>
          <w:b/>
          <w:bCs/>
          <w:color w:val="auto"/>
          <w:sz w:val="24"/>
          <w:szCs w:val="24"/>
          <w:highlight w:val="none"/>
          <w:lang w:val="en-US" w:eastAsia="zh-CN"/>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请供应商确保电脑、系统及其他设备（视频输入输出设备等）无误，且开启直至项目结束始终保持系统在线状态。 </w:t>
      </w:r>
      <w:bookmarkEnd w:id="1"/>
      <w:r/>
      <w:r/>
    </w:p>
    <w:p>
      <w:pPr>
        <w:ind w:firstLine="482"/>
        <w:spacing w:line="360" w:lineRule="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五、公告期限</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numPr>
          <w:ilvl w:val="0"/>
          <w:numId w:val="0"/>
        </w:num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rPr>
        <w:t xml:space="preserve">其他补充事宜</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开评标过程中如有问题采购代理机构工作人员会及时通过报名时在投标确认函模块留存的手机号与供应商联系。此号码在开标截止之前可修改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投标函保存的最新号码为准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请供应商确保该手机号开评标当日通讯畅通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否则导致的对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不利的后果由供应商自行承担。</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3、如不同供应商使用同一台电脑制作的电子响应文件的，双方“文件制作机器码”一致的，则其投标文件将被认定为无效响应。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本项目获取招标文件截止日期之后仍可以下载</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但截止日期之后下载的招标文件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、政府采购监督电话：0512-68616651。</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七、对本次招标提出询问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请按以下方式联系</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1、采购人信息：</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名称：苏州市农业科学院。</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地址：</w:t>
      </w:r>
      <w:r>
        <w:rPr>
          <w:rFonts w:hint="eastAsia" w:ascii="宋体" w:hAnsi="宋体" w:eastAsia="宋体"/>
          <w:color w:val="auto"/>
          <w:sz w:val="24"/>
          <w:szCs w:val="24"/>
          <w:highlight w:val="none"/>
        </w:rPr>
        <w:t xml:space="preserve">苏州市吴中区临湖镇东山大道2351号</w:t>
      </w:r>
      <w:r>
        <w:rPr>
          <w:rFonts w:hint="eastAsia" w:ascii="宋体" w:hAnsi="宋体" w:eastAsia="宋体" w:cs="宋体"/>
          <w:color w:val="auto"/>
          <w:sz w:val="24"/>
          <w:szCs w:val="24"/>
          <w:highlight w:val="none"/>
          <w:shd w:val="clear" w:color="auto" w:fill="auto"/>
          <w:lang w:eastAsia="zh-CN"/>
        </w:rPr>
        <w:t xml:space="preserve">。</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联系方式：电话</w:t>
      </w:r>
      <w:r>
        <w:rPr>
          <w:rFonts w:hint="eastAsia" w:ascii="宋体" w:hAnsi="宋体" w:eastAsia="宋体" w:cs="宋体"/>
          <w:color w:val="auto"/>
          <w:sz w:val="24"/>
          <w:szCs w:val="24"/>
          <w:highlight w:val="none"/>
          <w:shd w:val="clear" w:color="auto" w:fill="auto"/>
          <w:lang w:val="en-US" w:eastAsia="zh-CN"/>
        </w:rPr>
        <w:t xml:space="preserve">0512-65381497</w:t>
      </w:r>
      <w:r>
        <w:rPr>
          <w:rFonts w:hint="eastAsia" w:ascii="宋体" w:hAnsi="宋体" w:eastAsia="宋体" w:cs="宋体"/>
          <w:color w:val="auto"/>
          <w:sz w:val="24"/>
          <w:szCs w:val="24"/>
          <w:highlight w:val="none"/>
          <w:shd w:val="clear" w:color="auto" w:fill="auto"/>
          <w:lang w:eastAsia="zh-CN"/>
        </w:rPr>
        <w:t xml:space="preserve">。</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项目联系人：范君</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2、采购代理机构信息：</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名称：苏州正杰招投标咨询服务有限公司。</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地址：苏州市平泷路251号苏州城市生活广场B座1557室。</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联系方式：电话0512-62826523。</w:t>
      </w:r>
      <w:r/>
    </w:p>
    <w:p>
      <w:pPr>
        <w:numPr>
          <w:ilvl w:val="0"/>
          <w:numId w:val="0"/>
        </w:num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项目联系人：</w:t>
      </w:r>
      <w:r>
        <w:rPr>
          <w:rFonts w:hint="eastAsia" w:ascii="宋体" w:hAnsi="宋体" w:eastAsia="宋体" w:cs="宋体"/>
          <w:color w:val="auto"/>
          <w:sz w:val="24"/>
          <w:szCs w:val="24"/>
          <w:highlight w:val="none"/>
        </w:rPr>
        <w:t xml:space="preserve">沈鹰、</w:t>
      </w:r>
      <w:r>
        <w:rPr>
          <w:rFonts w:hint="eastAsia" w:ascii="宋体" w:hAnsi="宋体" w:eastAsia="宋体" w:cs="宋体"/>
          <w:color w:val="auto"/>
          <w:sz w:val="24"/>
          <w:szCs w:val="24"/>
          <w:highlight w:val="none"/>
          <w:lang w:val="en-US" w:eastAsia="zh-CN"/>
        </w:rPr>
        <w:t xml:space="preserve">陈晓梦</w:t>
      </w:r>
      <w:r>
        <w:rPr>
          <w:rFonts w:hint="eastAsia" w:ascii="宋体" w:hAnsi="宋体" w:eastAsia="宋体" w:cs="宋体"/>
          <w:color w:val="auto"/>
          <w:sz w:val="24"/>
          <w:szCs w:val="24"/>
          <w:highlight w:val="none"/>
        </w:rPr>
        <w:t xml:space="preserve">、刘木兰、</w:t>
      </w:r>
      <w:r>
        <w:rPr>
          <w:rFonts w:hint="eastAsia" w:ascii="宋体" w:hAnsi="宋体" w:eastAsia="宋体" w:cs="宋体"/>
          <w:color w:val="auto"/>
          <w:sz w:val="24"/>
          <w:szCs w:val="24"/>
          <w:highlight w:val="none"/>
          <w:lang w:val="en-US" w:eastAsia="zh-CN"/>
        </w:rPr>
        <w:t xml:space="preserve">徐杰</w:t>
      </w:r>
      <w:r>
        <w:rPr>
          <w:rFonts w:hint="eastAsia" w:ascii="宋体" w:hAnsi="宋体" w:eastAsia="宋体" w:cs="宋体"/>
          <w:color w:val="auto"/>
          <w:sz w:val="24"/>
          <w:szCs w:val="24"/>
          <w:highlight w:val="none"/>
          <w:shd w:val="clear" w:color="auto" w:fill="auto"/>
        </w:rPr>
        <w:t xml:space="preserve">。</w:t>
      </w:r>
      <w:r/>
    </w:p>
    <w:p>
      <w:pPr>
        <w:jc w:val="center"/>
        <w:spacing w:before="120" w:line="360" w:lineRule="auto"/>
        <w:shd w:val="clear" w:color="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highlight w:val="none"/>
        </w:rPr>
        <w:br w:type="page" w:clear="all"/>
      </w:r>
      <w:r/>
    </w:p>
    <w:p>
      <w:pPr>
        <w:jc w:val="center"/>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1、总则</w:t>
      </w:r>
      <w:r/>
    </w:p>
    <w:p>
      <w:pPr>
        <w:ind w:firstLine="426"/>
        <w:spacing w:line="360" w:lineRule="auto"/>
        <w:tabs>
          <w:tab w:val="left" w:pos="540"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1.1投标人资格要求</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w:t>
      </w:r>
      <w:r>
        <w:rPr>
          <w:rFonts w:hint="eastAsia" w:ascii="宋体" w:hAnsi="宋体" w:eastAsia="宋体" w:cs="宋体"/>
          <w:color w:val="auto"/>
          <w:sz w:val="24"/>
          <w:szCs w:val="24"/>
          <w:highlight w:val="none"/>
          <w:lang w:val="en-US" w:eastAsia="zh-CN"/>
        </w:rPr>
        <w:t xml:space="preserve">投标邀请函</w:t>
      </w:r>
      <w:r>
        <w:rPr>
          <w:rFonts w:hint="eastAsia" w:ascii="宋体" w:hAnsi="宋体" w:eastAsia="宋体" w:cs="宋体"/>
          <w:color w:val="auto"/>
          <w:sz w:val="24"/>
          <w:szCs w:val="24"/>
          <w:highlight w:val="none"/>
        </w:rPr>
        <w:t xml:space="preserve">中“二、申请人的资格要求”。</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不得再参加该采购项目的其他采购活动；本项目的此类供应商是：无。</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不得参加同一合同项下的政府采购活动。</w:t>
      </w:r>
      <w:r/>
    </w:p>
    <w:p>
      <w:pPr>
        <w:numPr>
          <w:ilvl w:val="2"/>
          <w:numId w:val="0"/>
        </w:numPr>
        <w:ind w:left="0"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 w:val="0"/>
          <w:bCs/>
          <w:color w:val="auto"/>
          <w:sz w:val="24"/>
          <w:szCs w:val="24"/>
          <w:highlight w:val="none"/>
        </w:rPr>
        <w:t xml:space="preserve">第一章投标邀请函规定接受联合体投标的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联合体除应符合上述资格要求外</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还应遵守以下规定：</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rPr>
        <w:t xml:space="preserve">联合体各方应当向采购人提交联合体协议书</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载明联合体各方承担的工作和义务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否则投标无效。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rPr>
        <w:t xml:space="preserve">本项目接受联合体投标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但一个联合体最多接受两个单位进行联合投标。</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rPr>
        <w:t xml:space="preserve">联合体中有同类资质的供应商按照联合体分工承担相同工作的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应当按照资质等级较低的供应商确定资质等级。</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rPr>
        <w:t xml:space="preserve">联合体各方不得再单独参加或者与其他供应商另外组成联合体参加同一合同项下的政府采购活动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否则各相关投标均无效。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rPr>
        <w:t xml:space="preserve">联合体各方应当共同与采购人签订采购合同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就采购合同约定的事项对采购人承担连带责任。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本项目不允许分包或转包。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2、招标文件的说明</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2.1招标文件的获取见第一章</w:t>
      </w:r>
      <w:r>
        <w:rPr>
          <w:rFonts w:hint="eastAsia" w:ascii="宋体" w:hAnsi="宋体" w:eastAsia="宋体" w:cs="宋体"/>
          <w:b/>
          <w:bCs/>
          <w:color w:val="auto"/>
          <w:sz w:val="24"/>
          <w:szCs w:val="24"/>
          <w:highlight w:val="none"/>
          <w:lang w:eastAsia="zh-CN"/>
        </w:rPr>
        <w:t xml:space="preserve">投标邀请函</w:t>
      </w:r>
      <w:r>
        <w:rPr>
          <w:rFonts w:hint="eastAsia" w:ascii="宋体" w:hAnsi="宋体" w:eastAsia="宋体" w:cs="宋体"/>
          <w:b/>
          <w:bCs/>
          <w:color w:val="auto"/>
          <w:sz w:val="24"/>
          <w:szCs w:val="24"/>
          <w:highlight w:val="none"/>
        </w:rPr>
        <w:t xml:space="preserve">。</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2.2招标文件的询问</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供应商在收到招标文件后，若有问题需要询问，应于下载招标文件后，可通过投标邀请函中的联系方式及时提出，采购人或采购代理机构将予以解答。</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2.3招标文件的澄清或修改</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2.3.1采购人或采购代理机构无论出于自己的考虑，还是出于对投标人提问的澄清，均可对已发出的招标文件用补充通知（包括更正公告）的方式进行澄清或者修改，</w:t>
      </w:r>
      <w:r>
        <w:rPr>
          <w:rFonts w:hint="eastAsia" w:ascii="宋体" w:hAnsi="宋体" w:eastAsia="宋体" w:cs="宋体"/>
          <w:color w:val="auto"/>
          <w:sz w:val="24"/>
          <w:szCs w:val="24"/>
          <w:highlight w:val="none"/>
        </w:rPr>
        <w:t xml:space="preserve">并通过苏州市政府采购网对外进行发布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w:t>
      </w:r>
      <w:r>
        <w:rPr>
          <w:rFonts w:hint="eastAsia" w:ascii="宋体" w:hAnsi="宋体" w:eastAsia="宋体" w:cs="宋体"/>
          <w:color w:val="auto"/>
          <w:sz w:val="24"/>
          <w:szCs w:val="24"/>
          <w:highlight w:val="none"/>
        </w:rPr>
        <w:t xml:space="preserve">为保证投标人有足够时间修正投标文件，或出于其他合理原因，</w:t>
      </w:r>
      <w:r>
        <w:rPr>
          <w:rFonts w:hint="eastAsia" w:ascii="宋体" w:hAnsi="宋体" w:eastAsia="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rPr>
        <w:t xml:space="preserve">采购代理机构可依法顺延投标截止时间和开标时间。</w:t>
      </w:r>
      <w:r/>
    </w:p>
    <w:p>
      <w:pPr>
        <w:ind w:firstLine="484"/>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rPr>
        <w:t xml:space="preserve">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2.3.4</w:t>
      </w:r>
      <w:r>
        <w:rPr>
          <w:rFonts w:hint="eastAsia" w:ascii="宋体" w:hAnsi="宋体" w:eastAsia="宋体" w:cs="宋体"/>
          <w:color w:val="auto"/>
          <w:sz w:val="24"/>
          <w:szCs w:val="24"/>
          <w:highlight w:val="none"/>
        </w:rPr>
        <w:t xml:space="preserve">招标文件的澄清、修改、补充等内容均以苏州市政府采购网上发布的内容为准。</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3.1</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保证金：无</w:t>
      </w:r>
      <w:r>
        <w:rPr>
          <w:rFonts w:hint="eastAsia" w:ascii="宋体" w:hAnsi="宋体" w:eastAsia="宋体" w:cs="宋体"/>
          <w:b/>
          <w:bCs/>
          <w:color w:val="auto"/>
          <w:sz w:val="24"/>
          <w:szCs w:val="24"/>
          <w:highlight w:val="none"/>
          <w:lang w:eastAsia="zh-CN"/>
        </w:rPr>
        <w:t xml:space="preserve">。</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文件的组成</w:t>
      </w:r>
      <w:r/>
    </w:p>
    <w:p>
      <w:pPr>
        <w:ind w:left="525"/>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3.2.1封面；</w:t>
      </w:r>
      <w:r/>
    </w:p>
    <w:p>
      <w:pPr>
        <w:ind w:left="525"/>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3.2.2开标一览表（格式见第三章）；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3.2.3公开</w:t>
      </w:r>
      <w:r>
        <w:rPr>
          <w:rFonts w:hint="eastAsia" w:ascii="宋体" w:hAnsi="宋体" w:eastAsia="宋体" w:cs="宋体"/>
          <w:b w:val="0"/>
          <w:bCs w:val="0"/>
          <w:color w:val="auto"/>
          <w:sz w:val="24"/>
          <w:szCs w:val="24"/>
          <w:highlight w:val="none"/>
        </w:rPr>
        <w:t xml:space="preserve">分项报价表</w:t>
      </w:r>
      <w:r>
        <w:rPr>
          <w:rFonts w:hint="eastAsia" w:ascii="宋体" w:hAnsi="宋体" w:eastAsia="宋体" w:cs="宋体"/>
          <w:color w:val="auto"/>
          <w:sz w:val="24"/>
          <w:szCs w:val="24"/>
          <w:highlight w:val="none"/>
          <w:lang w:val="en-US" w:eastAsia="zh-CN"/>
        </w:rPr>
        <w:t xml:space="preserve">（如有，格式见第三章）；</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3.2.4资格审查投标文件：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的资格要求</w:t>
      </w:r>
      <w:r>
        <w:rPr>
          <w:rFonts w:hint="eastAsia" w:ascii="宋体" w:hAnsi="宋体" w:eastAsia="宋体" w:cs="宋体"/>
          <w:b w:val="0"/>
          <w:bCs w:val="0"/>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（2）具有良好的商业信誉和健全的财务会计制度的材料：包括但不限于法人提供2024年度或2025年度经审计的财务报告或基本开户银行在本年度内出具的资信证明复印件；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具备有效期内的劳务派遣经营许可证或人力资源服务许可证（须含劳务派遣业务）</w:t>
      </w:r>
      <w:r>
        <w:rPr>
          <w:rFonts w:hint="eastAsia" w:ascii="宋体" w:hAnsi="宋体" w:eastAsia="宋体"/>
          <w:color w:val="auto"/>
          <w:sz w:val="24"/>
          <w:szCs w:val="24"/>
          <w:highlight w:val="none"/>
          <w:lang w:val="en-US" w:eastAsia="zh-CN"/>
        </w:rPr>
        <w:t xml:space="preserve">复印件</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w:t>
      </w:r>
      <w:r>
        <w:rPr>
          <w:rFonts w:hint="eastAsia" w:ascii="宋体" w:hAnsi="宋体" w:eastAsia="宋体" w:cs="宋体"/>
          <w:b w:val="0"/>
          <w:bCs w:val="0"/>
          <w:color w:val="auto"/>
          <w:sz w:val="24"/>
          <w:szCs w:val="24"/>
          <w:highlight w:val="none"/>
          <w:lang w:val="en-US" w:eastAsia="zh-CN"/>
        </w:rPr>
        <w:t xml:space="preserve">其他有关资格证明的文件（若有）。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3.2.5符合性审查投标文件：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3.2.5.1投标函（格式见第三章）；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3.2.5.2</w:t>
      </w:r>
      <w:r>
        <w:rPr>
          <w:rFonts w:hint="eastAsia" w:ascii="宋体" w:hAnsi="宋体" w:eastAsia="宋体" w:cs="宋体"/>
          <w:color w:val="auto"/>
          <w:sz w:val="24"/>
          <w:szCs w:val="24"/>
          <w:highlight w:val="none"/>
        </w:rPr>
        <w:t xml:space="preserve">关于资格文件的声明函</w:t>
      </w:r>
      <w:r>
        <w:rPr>
          <w:rFonts w:hint="eastAsia" w:ascii="宋体" w:hAnsi="宋体" w:eastAsia="宋体" w:cs="宋体"/>
          <w:color w:val="auto"/>
          <w:sz w:val="24"/>
          <w:szCs w:val="24"/>
          <w:highlight w:val="none"/>
          <w:lang w:val="en-US" w:eastAsia="zh-CN"/>
        </w:rPr>
        <w:t xml:space="preserve">（格式见第三章）；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3.2.5.3法定代表人身份证复印件；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3.2.5.7其他有关符合性证明的文件（若有）。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3.2.6综合评审投标文件（见</w:t>
      </w:r>
      <w:r>
        <w:rPr>
          <w:rFonts w:hint="eastAsia" w:ascii="宋体" w:hAnsi="宋体" w:eastAsia="宋体" w:cs="宋体"/>
          <w:b/>
          <w:bCs/>
          <w:color w:val="auto"/>
          <w:sz w:val="24"/>
          <w:szCs w:val="24"/>
          <w:highlight w:val="none"/>
        </w:rPr>
        <w:t xml:space="preserve">第六章</w:t>
      </w:r>
      <w:r>
        <w:rPr>
          <w:rFonts w:hint="eastAsia" w:ascii="宋体" w:hAnsi="宋体" w:eastAsia="宋体" w:cs="宋体"/>
          <w:b/>
          <w:bCs/>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以上3.2.2-3.2.3项为供应商报价的依据，投标供应商必须提供并加盖电子公章，</w:t>
      </w:r>
      <w:r>
        <w:rPr>
          <w:rFonts w:hint="eastAsia" w:ascii="宋体" w:hAnsi="宋体" w:eastAsia="宋体" w:cs="宋体"/>
          <w:b/>
          <w:bCs/>
          <w:color w:val="auto"/>
          <w:sz w:val="24"/>
          <w:szCs w:val="24"/>
          <w:highlight w:val="none"/>
          <w:lang w:val="en-US" w:eastAsia="zh-CN" w:bidi="ar-SA"/>
        </w:rPr>
        <w:t xml:space="preserve">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文件将被认定为未实质性响应。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以上3.2.4.1项为资格审查提供的资料，是作为对供应商资格审查、质疑身份认定的依据，响应供应商必须提供并加盖电子公章，否则，投标文件将被认定为不符合资格审查要求。</w:t>
      </w:r>
      <w:r/>
    </w:p>
    <w:p>
      <w:pPr>
        <w:ind w:firstLine="482"/>
        <w:spacing w:line="360" w:lineRule="auto"/>
        <w:shd w:val="clear" w:color="auto"/>
        <w:tabs>
          <w:tab w:val="left" w:pos="0"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以上3.2.5.1-3.2.5.5为符合性审查必须提供的资料，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供应商必须提供并加盖</w:t>
      </w:r>
      <w:r>
        <w:rPr>
          <w:rFonts w:hint="eastAsia" w:ascii="宋体" w:hAnsi="宋体" w:eastAsia="宋体" w:cs="宋体"/>
          <w:b/>
          <w:bCs/>
          <w:color w:val="auto"/>
          <w:sz w:val="24"/>
          <w:szCs w:val="24"/>
          <w:highlight w:val="none"/>
          <w:lang w:val="en-US" w:eastAsia="zh-CN"/>
        </w:rPr>
        <w:t xml:space="preserve">电子公章</w:t>
      </w:r>
      <w:r>
        <w:rPr>
          <w:rFonts w:hint="eastAsia" w:ascii="宋体" w:hAnsi="宋体" w:eastAsia="宋体" w:cs="宋体"/>
          <w:b/>
          <w:bCs/>
          <w:color w:val="auto"/>
          <w:sz w:val="24"/>
          <w:szCs w:val="24"/>
          <w:highlight w:val="none"/>
          <w:lang w:val="en-US" w:eastAsia="zh-CN" w:bidi="ar-SA"/>
        </w:rPr>
        <w:t xml:space="preserve">，否则，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制作电子投标文件时需与投标文件制作软件目录一一对应，将相关资料上传至相应模块。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供应商应保证上传的</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en-US" w:eastAsia="zh-CN"/>
        </w:rPr>
        <w:t xml:space="preserve">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rPr>
        <w:t xml:space="preserve">文件中某些条款不响应</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提出的全部服务内容与要求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须在</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rPr>
        <w:t xml:space="preserve">文件中逐条列出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未列出的视同响应。</w:t>
      </w:r>
      <w:r/>
    </w:p>
    <w:p>
      <w:pPr>
        <w:ind w:firstLine="482"/>
        <w:spacing w:line="360" w:lineRule="auto"/>
        <w:tabs>
          <w:tab w:val="left" w:pos="142" w:leader="none"/>
          <w:tab w:val="left" w:pos="600" w:leader="none"/>
        </w:tabs>
        <w:rPr>
          <w:rFonts w:hint="eastAsia" w:ascii="宋体" w:hAnsi="宋体" w:eastAsia="宋体" w:cs="宋体"/>
          <w:color w:val="auto"/>
          <w:highlight w:val="none"/>
        </w:rPr>
      </w:pPr>
      <w:r>
        <w:rPr>
          <w:rFonts w:hint="eastAsia" w:ascii="宋体" w:hAnsi="宋体" w:eastAsia="宋体" w:cs="宋体"/>
          <w:b/>
          <w:color w:val="auto"/>
          <w:sz w:val="24"/>
          <w:szCs w:val="24"/>
          <w:highlight w:val="none"/>
          <w:lang w:val="en-US" w:eastAsia="zh-CN"/>
        </w:rPr>
        <w:t xml:space="preserve">如不同供应商使用同一台电脑制作的电子</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color w:val="auto"/>
          <w:sz w:val="24"/>
          <w:szCs w:val="24"/>
          <w:highlight w:val="none"/>
          <w:lang w:val="en-US" w:eastAsia="zh-CN"/>
        </w:rPr>
        <w:t xml:space="preserve">文件的，双方“文件制作机器码”一致的，则其</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color w:val="auto"/>
          <w:sz w:val="24"/>
          <w:szCs w:val="24"/>
          <w:highlight w:val="none"/>
          <w:lang w:val="en-US" w:eastAsia="zh-CN"/>
        </w:rPr>
        <w:t xml:space="preserve">文件将被认定为无效响应。</w:t>
      </w:r>
      <w:r/>
    </w:p>
    <w:p>
      <w:pPr>
        <w:ind w:left="525"/>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w:t>
      </w:r>
      <w:r>
        <w:rPr>
          <w:rFonts w:hint="eastAsia" w:ascii="宋体" w:hAnsi="宋体" w:eastAsia="宋体" w:cs="宋体"/>
          <w:b/>
          <w:color w:val="auto"/>
          <w:sz w:val="24"/>
          <w:szCs w:val="24"/>
          <w:highlight w:val="none"/>
          <w:lang w:val="en-US" w:eastAsia="zh-CN"/>
        </w:rPr>
        <w:t xml:space="preserve">投标报价</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3.3.6投标文件报价中的单价和总价全部采用人民币表示，除非另有规定。</w:t>
      </w:r>
      <w:r/>
    </w:p>
    <w:p>
      <w:pPr>
        <w:ind w:left="525"/>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3.4电子投标文件的编制与提交</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bookmarkStart w:id="2" w:name="_Hlk154589874"/>
      <w:r>
        <w:rPr>
          <w:rFonts w:hint="eastAsia" w:ascii="宋体" w:hAnsi="宋体" w:eastAsia="宋体" w:cs="宋体"/>
          <w:color w:val="auto"/>
          <w:sz w:val="24"/>
          <w:szCs w:val="24"/>
          <w:highlight w:val="none"/>
          <w:lang w:val="en-US" w:eastAsia="zh-CN"/>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3.4.3投标文件未按照招标文件要求加盖CA电子公章的，响应无效。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3.5投标文件的开启（解密）</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lang w:val="en-US" w:eastAsia="zh-CN"/>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3.5.3供应商在苏采云系统规定的时间内未成功解密电子投标文件的，投标无效。</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3.5.4</w:t>
      </w:r>
      <w:bookmarkEnd w:id="2"/>
      <w:r>
        <w:rPr>
          <w:rFonts w:hint="eastAsia" w:ascii="宋体" w:hAnsi="宋体" w:eastAsia="宋体" w:cs="宋体"/>
          <w:color w:val="auto"/>
          <w:sz w:val="24"/>
          <w:szCs w:val="24"/>
          <w:highlight w:val="none"/>
          <w:lang w:val="en-US" w:eastAsia="zh-CN"/>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3.5.5 </w:t>
      </w:r>
      <w:r>
        <w:rPr>
          <w:rFonts w:hint="eastAsia" w:ascii="宋体" w:hAnsi="宋体" w:eastAsia="宋体" w:cs="宋体"/>
          <w:color w:val="auto"/>
          <w:sz w:val="24"/>
          <w:szCs w:val="24"/>
        </w:rPr>
        <w:t xml:space="preserve">CA技术咨询服务电话：400-608-6099；</w:t>
      </w:r>
      <w:r/>
    </w:p>
    <w:p>
      <w:pPr>
        <w:ind w:left="5" w:firstLine="518"/>
        <w:spacing w:line="360" w:lineRule="auto"/>
        <w:tabs>
          <w:tab w:val="left" w:pos="85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苏州市及区县“苏采云”系统使用指导与咨询：联系电话：0512-69820854、18261002950；QQ：3048755361、1315179389、895706745；智能客服：登录苏采云系统后，联系系统右下方智能客服图标进行咨询。 </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响应文件的修改和撤回</w:t>
      </w:r>
      <w:r>
        <w:rPr>
          <w:rFonts w:hint="eastAsia" w:ascii="宋体" w:hAnsi="宋体" w:eastAsia="宋体" w:cs="宋体"/>
          <w:b/>
          <w:color w:val="auto"/>
          <w:sz w:val="24"/>
          <w:szCs w:val="24"/>
          <w:highlight w:val="none"/>
          <w:lang w:eastAsia="zh-CN"/>
        </w:rPr>
        <w:t xml:space="preserve">：</w:t>
      </w:r>
      <w:r/>
    </w:p>
    <w:p>
      <w:pPr>
        <w:pStyle w:val="10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4、开标和评标</w:t>
      </w:r>
      <w:r>
        <w:rPr>
          <w:rFonts w:hint="eastAsia" w:ascii="宋体" w:hAnsi="宋体" w:eastAsia="宋体" w:cs="宋体"/>
          <w:b/>
          <w:color w:val="auto"/>
          <w:sz w:val="24"/>
          <w:szCs w:val="24"/>
          <w:highlight w:val="none"/>
          <w:lang w:eastAsia="zh-CN"/>
        </w:rPr>
        <w:t xml:space="preserve">：</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4.1开标</w:t>
      </w:r>
      <w:r/>
    </w:p>
    <w:p>
      <w:pPr>
        <w:pStyle w:val="99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4.1.</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开标时，由采购代理机构</w:t>
      </w:r>
      <w:r>
        <w:rPr>
          <w:rFonts w:hint="eastAsia" w:ascii="宋体" w:hAnsi="宋体" w:eastAsia="宋体" w:cs="宋体"/>
          <w:color w:val="auto"/>
          <w:sz w:val="24"/>
          <w:szCs w:val="24"/>
          <w:highlight w:val="none"/>
          <w:lang w:val="en-US" w:eastAsia="zh-CN" w:bidi="ar-SA"/>
        </w:rPr>
        <w:t xml:space="preserve">通过“苏采云”系统在线</w:t>
      </w:r>
      <w:r>
        <w:rPr>
          <w:rFonts w:hint="eastAsia" w:ascii="宋体" w:hAnsi="宋体" w:eastAsia="宋体" w:cs="宋体"/>
          <w:color w:val="auto"/>
          <w:sz w:val="24"/>
          <w:szCs w:val="24"/>
          <w:highlight w:val="none"/>
          <w:lang w:val="zh-CN" w:eastAsia="zh-CN" w:bidi="ar-SA"/>
        </w:rPr>
        <w:t xml:space="preserve">宣布投标人名称、投标价格和招标文件规定的需要宣布的其他内容。</w:t>
      </w:r>
      <w:r>
        <w:rPr>
          <w:rFonts w:hint="eastAsia" w:ascii="宋体" w:hAnsi="宋体" w:eastAsia="宋体" w:cs="宋体"/>
          <w:color w:val="auto"/>
          <w:sz w:val="24"/>
          <w:szCs w:val="24"/>
          <w:highlight w:val="none"/>
          <w:lang w:val="en-US" w:eastAsia="zh-CN" w:bidi="ar-SA"/>
        </w:rPr>
        <w:t xml:space="preserve">投标人在不见面开标系统中确认投标价格，如</w:t>
      </w:r>
      <w:r>
        <w:rPr>
          <w:rFonts w:hint="eastAsia" w:ascii="宋体" w:hAnsi="宋体" w:eastAsia="宋体" w:cs="宋体"/>
          <w:color w:val="auto"/>
          <w:sz w:val="24"/>
          <w:szCs w:val="24"/>
          <w:highlight w:val="none"/>
          <w:lang w:val="zh-CN" w:eastAsia="zh-CN" w:bidi="ar-SA"/>
        </w:rPr>
        <w:t xml:space="preserve">投标人未</w:t>
      </w:r>
      <w:r>
        <w:rPr>
          <w:rFonts w:hint="eastAsia" w:ascii="宋体" w:hAnsi="宋体" w:eastAsia="宋体" w:cs="宋体"/>
          <w:color w:val="auto"/>
          <w:sz w:val="24"/>
          <w:szCs w:val="24"/>
          <w:highlight w:val="none"/>
          <w:lang w:val="en-US" w:eastAsia="zh-CN" w:bidi="ar-SA"/>
        </w:rPr>
        <w:t xml:space="preserve">在线</w:t>
      </w:r>
      <w:r>
        <w:rPr>
          <w:rFonts w:hint="eastAsia" w:ascii="宋体" w:hAnsi="宋体" w:eastAsia="宋体" w:cs="宋体"/>
          <w:color w:val="auto"/>
          <w:sz w:val="24"/>
          <w:szCs w:val="24"/>
          <w:highlight w:val="none"/>
          <w:lang w:val="zh-CN" w:eastAsia="zh-CN" w:bidi="ar-SA"/>
        </w:rPr>
        <w:t xml:space="preserve">参加开标</w:t>
      </w:r>
      <w:r>
        <w:rPr>
          <w:rFonts w:hint="eastAsia" w:ascii="宋体" w:hAnsi="宋体" w:eastAsia="宋体" w:cs="宋体"/>
          <w:color w:val="auto"/>
          <w:sz w:val="24"/>
          <w:szCs w:val="24"/>
          <w:highlight w:val="none"/>
          <w:lang w:val="en-US" w:eastAsia="zh-CN" w:bidi="ar-SA"/>
        </w:rPr>
        <w:t xml:space="preserve">或未在规定时间内确认价格</w:t>
      </w:r>
      <w:r>
        <w:rPr>
          <w:rFonts w:hint="eastAsia" w:ascii="宋体" w:hAnsi="宋体" w:eastAsia="宋体" w:cs="宋体"/>
          <w:color w:val="auto"/>
          <w:sz w:val="24"/>
          <w:szCs w:val="24"/>
          <w:highlight w:val="none"/>
          <w:lang w:val="zh-CN" w:eastAsia="zh-CN" w:bidi="ar-SA"/>
        </w:rPr>
        <w:t xml:space="preserve">的，视同认可开标结果。</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4.2</w:t>
      </w:r>
      <w:r>
        <w:rPr>
          <w:rFonts w:hint="eastAsia" w:ascii="宋体" w:hAnsi="宋体" w:eastAsia="宋体" w:cs="宋体"/>
          <w:b/>
          <w:color w:val="auto"/>
          <w:sz w:val="24"/>
          <w:szCs w:val="24"/>
          <w:highlight w:val="none"/>
        </w:rPr>
        <w:t xml:space="preserve">资格审查</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4.2.1</w:t>
      </w:r>
      <w:r>
        <w:rPr>
          <w:rFonts w:hint="eastAsia" w:ascii="宋体" w:hAnsi="宋体" w:eastAsia="宋体" w:cs="宋体"/>
          <w:color w:val="auto"/>
          <w:sz w:val="24"/>
          <w:szCs w:val="24"/>
          <w:highlight w:val="none"/>
        </w:rPr>
        <w:t xml:space="preserve">公开招标采购项目开标结束后，采购人应当依法对投标人的资格进行审查，未通过资格审查的视为无效投标。</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4.2.2.1查询时间：投标文件提交截止时间。</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4.2.2.2查询渠道：通过“信用中国”及“中国政府采购网” 上的信用信息查询供应商的信用记录。 </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lang w:val="en-US" w:eastAsia="zh-CN"/>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4.3评标委员会</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4.4评标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w:t>
      </w:r>
      <w:r>
        <w:rPr>
          <w:rFonts w:hint="eastAsia" w:ascii="宋体" w:hAnsi="宋体" w:eastAsia="宋体" w:cs="宋体"/>
          <w:color w:val="auto"/>
          <w:sz w:val="24"/>
          <w:szCs w:val="24"/>
          <w:highlight w:val="none"/>
          <w:lang w:val="en-US" w:eastAsia="zh-CN"/>
        </w:rPr>
        <w:t xml:space="preserve">方法</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评分</w:t>
      </w:r>
      <w:r>
        <w:rPr>
          <w:rFonts w:hint="eastAsia" w:ascii="宋体" w:hAnsi="宋体" w:eastAsia="宋体" w:cs="宋体"/>
          <w:color w:val="auto"/>
          <w:sz w:val="24"/>
          <w:szCs w:val="24"/>
          <w:highlight w:val="none"/>
        </w:rPr>
        <w:t xml:space="preserve">标准见第六章。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firstLine="480"/>
        <w:spacing w:line="360" w:lineRule="auto"/>
        <w:tabs>
          <w:tab w:val="left" w:pos="142" w:leader="none"/>
          <w:tab w:val="left" w:pos="6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4.4.2.4</w:t>
      </w:r>
      <w:r/>
    </w:p>
    <w:p>
      <w:pPr>
        <w:ind w:left="5" w:firstLine="518"/>
        <w:spacing w:line="360" w:lineRule="auto"/>
        <w:tabs>
          <w:tab w:val="left" w:pos="0" w:leader="none"/>
        </w:tabs>
        <w:rPr>
          <w:rFonts w:ascii="宋体" w:hAnsi="宋体" w:eastAsia="宋体" w:cs="宋体"/>
          <w:color w:val="auto"/>
          <w:sz w:val="24"/>
          <w:szCs w:val="24"/>
        </w:rPr>
      </w:pPr>
      <w:r>
        <w:rPr>
          <w:rFonts w:ascii="宋体" w:hAnsi="宋体" w:eastAsia="宋体" w:cs="宋体"/>
          <w:color w:val="auto"/>
          <w:sz w:val="24"/>
          <w:szCs w:val="24"/>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①</w:t>
      </w:r>
      <w:r>
        <w:rPr>
          <w:rFonts w:ascii="宋体" w:hAnsi="宋体" w:eastAsia="宋体" w:cs="宋体"/>
          <w:color w:val="auto"/>
          <w:sz w:val="24"/>
          <w:szCs w:val="24"/>
        </w:rPr>
        <w:t xml:space="preserve">投标（响应）报价低于采购项目预算50%的，即投标（响 应）报价&lt;采购项目预算×50%；</w:t>
      </w:r>
      <w:r/>
    </w:p>
    <w:p>
      <w:pPr>
        <w:ind w:left="5" w:firstLine="518"/>
        <w:spacing w:line="360" w:lineRule="auto"/>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②</w:t>
      </w:r>
      <w:r>
        <w:rPr>
          <w:rFonts w:ascii="宋体" w:hAnsi="宋体" w:eastAsia="宋体" w:cs="宋体"/>
          <w:color w:val="auto"/>
          <w:sz w:val="24"/>
          <w:szCs w:val="24"/>
        </w:rPr>
        <w:t xml:space="preserve">投标（响应）报价低于采购项目最高限价45%的，即投 标（响应）报价&lt;采购项目最高限价×45%； </w:t>
      </w:r>
      <w:r/>
    </w:p>
    <w:p>
      <w:pPr>
        <w:ind w:left="5" w:firstLine="518"/>
        <w:spacing w:line="360" w:lineRule="auto"/>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小组</w:t>
      </w:r>
      <w:r>
        <w:rPr>
          <w:rFonts w:ascii="宋体" w:hAnsi="宋体" w:eastAsia="宋体" w:cs="宋体"/>
          <w:color w:val="auto"/>
          <w:sz w:val="24"/>
          <w:szCs w:val="24"/>
        </w:rPr>
        <w:t xml:space="preserve">认定的供应商报价过低、有可能影响产品质 量或者不能诚信履约的其他情形。 </w:t>
      </w:r>
      <w:r/>
    </w:p>
    <w:p>
      <w:pPr>
        <w:ind w:firstLine="480"/>
        <w:spacing w:line="360" w:lineRule="auto"/>
        <w:tabs>
          <w:tab w:val="left" w:pos="142" w:leader="none"/>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2.5</w:t>
      </w:r>
      <w:r>
        <w:rPr>
          <w:rFonts w:ascii="宋体" w:hAnsi="宋体" w:eastAsia="宋体" w:cs="宋体"/>
          <w:color w:val="auto"/>
          <w:sz w:val="24"/>
          <w:szCs w:val="24"/>
        </w:rPr>
        <w:t xml:space="preserve">启动异常低价响应审查后，</w:t>
      </w: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小组</w:t>
      </w:r>
      <w:r>
        <w:rPr>
          <w:rFonts w:ascii="宋体" w:hAnsi="宋体" w:eastAsia="宋体" w:cs="宋体"/>
          <w:color w:val="auto"/>
          <w:sz w:val="24"/>
          <w:szCs w:val="24"/>
        </w:rPr>
        <w:t xml:space="preserve">应当要求相关供应商在评标现场合理的时间内</w:t>
      </w:r>
      <w:r>
        <w:rPr>
          <w:rFonts w:hint="eastAsia" w:ascii="宋体" w:hAnsi="宋体" w:eastAsia="宋体" w:cs="宋体"/>
          <w:color w:val="auto"/>
          <w:sz w:val="24"/>
          <w:szCs w:val="24"/>
        </w:rPr>
        <w:t xml:space="preserve">（线上开评标项目可通过苏采云系统要求提供）</w:t>
      </w:r>
      <w:r>
        <w:rPr>
          <w:rFonts w:ascii="宋体" w:hAnsi="宋体" w:eastAsia="宋体" w:cs="宋体"/>
          <w:color w:val="auto"/>
          <w:sz w:val="24"/>
          <w:szCs w:val="24"/>
        </w:rPr>
        <w:t xml:space="preserve">，提供项目具体成本测算等与报价合理性相关的书面说明及相关证明材料，对响应价格作出解释，由</w:t>
      </w: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小组</w:t>
      </w:r>
      <w:r>
        <w:rPr>
          <w:rFonts w:ascii="宋体" w:hAnsi="宋体" w:eastAsia="宋体" w:cs="宋体"/>
          <w:color w:val="auto"/>
          <w:sz w:val="24"/>
          <w:szCs w:val="24"/>
        </w:rPr>
        <w:t xml:space="preserve">结合同类产品在主要电商平台的价格、该行业当地薪资水平等情况，依据专业经验对供应商</w:t>
      </w:r>
      <w:r>
        <w:rPr>
          <w:rFonts w:hint="eastAsia" w:ascii="宋体" w:hAnsi="宋体" w:eastAsia="宋体" w:cs="宋体"/>
          <w:color w:val="auto"/>
          <w:sz w:val="24"/>
          <w:szCs w:val="24"/>
        </w:rPr>
        <w:t xml:space="preserve">报</w:t>
      </w:r>
      <w:r>
        <w:rPr>
          <w:rFonts w:ascii="宋体" w:hAnsi="宋体" w:eastAsia="宋体" w:cs="宋体"/>
          <w:color w:val="auto"/>
          <w:sz w:val="24"/>
          <w:szCs w:val="24"/>
        </w:rPr>
        <w:t xml:space="preserve">价合理性进行判断。响应供应商不提供书面说明、证明材料，或者提供的书面说明、证明材料不能证明其报价合理性的，</w:t>
      </w:r>
      <w:r>
        <w:rPr>
          <w:rFonts w:hint="eastAsia" w:ascii="宋体" w:hAnsi="宋体" w:eastAsia="宋体" w:cs="宋体"/>
          <w:color w:val="auto"/>
          <w:sz w:val="24"/>
          <w:szCs w:val="24"/>
          <w:lang w:val="en-US" w:eastAsia="zh-CN"/>
        </w:rPr>
        <w:t xml:space="preserve">评审</w:t>
      </w:r>
      <w:r>
        <w:rPr>
          <w:rFonts w:hint="eastAsia" w:ascii="宋体" w:hAnsi="宋体" w:eastAsia="宋体" w:cs="宋体"/>
          <w:b/>
          <w:bCs/>
          <w:color w:val="auto"/>
          <w:sz w:val="24"/>
          <w:szCs w:val="24"/>
        </w:rPr>
        <w:t xml:space="preserve">小组</w:t>
      </w:r>
      <w:r>
        <w:rPr>
          <w:rFonts w:ascii="宋体" w:hAnsi="宋体" w:eastAsia="宋体" w:cs="宋体"/>
          <w:b/>
          <w:bCs/>
          <w:color w:val="auto"/>
          <w:sz w:val="24"/>
          <w:szCs w:val="24"/>
        </w:rPr>
        <w:t xml:space="preserve">应当将其作为无效响应处理。</w:t>
      </w:r>
      <w:r>
        <w:rPr>
          <w:rFonts w:ascii="宋体" w:hAnsi="宋体" w:eastAsia="宋体" w:cs="宋体"/>
          <w:color w:val="auto"/>
          <w:sz w:val="24"/>
          <w:szCs w:val="24"/>
        </w:rPr>
        <w:t xml:space="preserve">审查相关情况</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应当在评审报告中进行记录</w:t>
      </w:r>
      <w:r>
        <w:rPr>
          <w:rFonts w:hint="eastAsia" w:ascii="宋体" w:hAnsi="宋体" w:eastAsia="宋体" w:cs="宋体"/>
          <w:color w:val="auto"/>
          <w:sz w:val="24"/>
          <w:szCs w:val="24"/>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本项目采用线上澄清。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线上澄清答复的方式：需要供应商进行澄清、说明和更正的，</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接到</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5.2废标后，采购人应当将废标理由通知所有投标人。</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中标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本项目评标方法</w:t>
      </w:r>
      <w:r>
        <w:rPr>
          <w:rFonts w:hint="eastAsia" w:ascii="宋体" w:hAnsi="宋体" w:eastAsia="宋体" w:cs="宋体"/>
          <w:color w:val="auto"/>
          <w:sz w:val="24"/>
          <w:szCs w:val="24"/>
          <w:highlight w:val="none"/>
        </w:rPr>
        <w:t xml:space="preserve">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组织抽签确定中标</w:t>
      </w:r>
      <w:r>
        <w:rPr>
          <w:rFonts w:hint="eastAsia" w:ascii="宋体" w:hAnsi="宋体" w:eastAsia="宋体" w:cs="宋体"/>
          <w:color w:val="auto"/>
          <w:sz w:val="24"/>
          <w:szCs w:val="24"/>
          <w:highlight w:val="none"/>
          <w:lang w:val="en-US" w:eastAsia="zh-CN"/>
        </w:rPr>
        <w:t xml:space="preserve">候选人顺序</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采购人或采购代理机构根据相关规定发布</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公告，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公告发出的同时应当向</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供应商发出《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bookmarkStart w:id="3" w:name="_Hlk132385577"/>
      <w:r/>
      <w:bookmarkStart w:id="4" w:name="_Hlk132385599"/>
      <w:r/>
      <w:bookmarkStart w:id="5" w:name="_Hlk132389804"/>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bookmarkEnd w:id="3"/>
      <w:r/>
      <w:bookmarkEnd w:id="4"/>
      <w:r/>
      <w:bookmarkEnd w:id="5"/>
      <w:r>
        <w:rPr>
          <w:rFonts w:hint="eastAsia" w:ascii="宋体" w:hAnsi="宋体" w:eastAsia="宋体" w:cs="宋体"/>
          <w:color w:val="auto"/>
          <w:sz w:val="24"/>
          <w:szCs w:val="24"/>
          <w:highlight w:val="none"/>
        </w:rPr>
        <w:t xml:space="preserve">对未通过资格性审查的供应商，应当告知其未通过的原因；未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供应商须在成交公告发出之日起2个工作日内向采购代理机构另行提供用以接收《未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通知书发出之日起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w:t>
      </w:r>
      <w:r>
        <w:rPr>
          <w:rFonts w:hint="eastAsia" w:ascii="宋体" w:hAnsi="宋体" w:eastAsia="宋体" w:cs="宋体"/>
          <w:color w:val="auto"/>
          <w:sz w:val="24"/>
          <w:szCs w:val="24"/>
          <w:highlight w:val="none"/>
          <w:lang w:val="en-US" w:eastAsia="zh-CN"/>
        </w:rPr>
        <w:t xml:space="preserve">（最迟30日内</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8.5中标供应商无正当理由不得放弃中标。</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9.4</w:t>
      </w:r>
      <w:r>
        <w:rPr>
          <w:rFonts w:hint="eastAsia" w:ascii="宋体" w:hAnsi="宋体" w:eastAsia="宋体" w:cs="宋体"/>
          <w:b w:val="0"/>
          <w:bCs/>
          <w:color w:val="auto"/>
          <w:sz w:val="24"/>
          <w:szCs w:val="24"/>
          <w:highlight w:val="none"/>
          <w:lang w:val="en-US" w:eastAsia="zh-CN"/>
        </w:rPr>
        <w:t xml:space="preserve">对招标</w:t>
      </w:r>
      <w:r>
        <w:rPr>
          <w:rFonts w:hint="eastAsia" w:ascii="宋体" w:hAnsi="宋体" w:eastAsia="宋体" w:cs="宋体"/>
          <w:b w:val="0"/>
          <w:bCs/>
          <w:color w:val="auto"/>
          <w:sz w:val="24"/>
          <w:szCs w:val="24"/>
          <w:highlight w:val="none"/>
        </w:rPr>
        <w:t xml:space="preserve">文件内容质疑时，</w:t>
      </w:r>
      <w:r>
        <w:rPr>
          <w:rFonts w:hint="eastAsia" w:ascii="宋体" w:hAnsi="宋体" w:eastAsia="宋体" w:cs="宋体"/>
          <w:b/>
          <w:bCs w:val="0"/>
          <w:color w:val="auto"/>
          <w:sz w:val="24"/>
          <w:szCs w:val="24"/>
          <w:highlight w:val="none"/>
        </w:rPr>
        <w:t xml:space="preserve">需提供在苏采云系统中下载本项目</w:t>
      </w:r>
      <w:r>
        <w:rPr>
          <w:rFonts w:hint="eastAsia" w:ascii="宋体" w:hAnsi="宋体" w:eastAsia="宋体" w:cs="宋体"/>
          <w:b/>
          <w:bCs w:val="0"/>
          <w:color w:val="auto"/>
          <w:sz w:val="24"/>
          <w:szCs w:val="24"/>
          <w:highlight w:val="none"/>
          <w:lang w:val="en-US" w:eastAsia="zh-CN"/>
        </w:rPr>
        <w:t xml:space="preserve">招标</w:t>
      </w:r>
      <w:r>
        <w:rPr>
          <w:rFonts w:hint="eastAsia" w:ascii="宋体" w:hAnsi="宋体" w:eastAsia="宋体" w:cs="宋体"/>
          <w:b/>
          <w:bCs w:val="0"/>
          <w:color w:val="auto"/>
          <w:sz w:val="24"/>
          <w:szCs w:val="24"/>
          <w:highlight w:val="none"/>
        </w:rPr>
        <w:t xml:space="preserve">文件的《投标供应商确认函》，未提供的视为未依照采购公告要求获取</w:t>
      </w:r>
      <w:r>
        <w:rPr>
          <w:rFonts w:hint="eastAsia" w:ascii="宋体" w:hAnsi="宋体" w:eastAsia="宋体" w:cs="宋体"/>
          <w:b/>
          <w:bCs w:val="0"/>
          <w:color w:val="auto"/>
          <w:sz w:val="24"/>
          <w:szCs w:val="24"/>
          <w:highlight w:val="none"/>
          <w:lang w:eastAsia="zh-CN"/>
        </w:rPr>
        <w:t xml:space="preserve">招标文件</w:t>
      </w:r>
      <w:r>
        <w:rPr>
          <w:rFonts w:hint="eastAsia" w:ascii="宋体" w:hAnsi="宋体" w:eastAsia="宋体" w:cs="宋体"/>
          <w:b/>
          <w:bCs w:val="0"/>
          <w:color w:val="auto"/>
          <w:sz w:val="24"/>
          <w:szCs w:val="24"/>
          <w:highlight w:val="none"/>
        </w:rPr>
        <w:t xml:space="preserve">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公告中</w:t>
      </w:r>
      <w:r>
        <w:rPr>
          <w:rFonts w:hint="eastAsia" w:ascii="宋体" w:hAnsi="宋体" w:eastAsia="宋体" w:cs="宋体"/>
          <w:b w:val="0"/>
          <w:bCs w:val="0"/>
          <w:color w:val="auto"/>
          <w:sz w:val="24"/>
          <w:szCs w:val="24"/>
          <w:highlight w:val="none"/>
        </w:rPr>
        <w:t xml:space="preserve">对本次招标提出询问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文件的有效期</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文件的有效期自提交</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文件的截止之日起</w:t>
      </w:r>
      <w:r>
        <w:rPr>
          <w:rFonts w:hint="eastAsia" w:ascii="宋体" w:hAnsi="宋体" w:eastAsia="宋体" w:cs="宋体"/>
          <w:bCs/>
          <w:color w:val="auto"/>
          <w:sz w:val="24"/>
          <w:szCs w:val="24"/>
          <w:highlight w:val="none"/>
          <w:lang w:val="en-US" w:eastAsia="zh-CN"/>
        </w:rPr>
        <w:t xml:space="preserve">九十</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文件应保持有效。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文件的有效期不明确或短于上述规定期限的，</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、代理服务费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由中标单位承担。</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.1代理服务费以采购预算金额为基数依据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按如下规定的标准和差额定率累进法进行计算收取：</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费率为该部分预算金额的1.5％；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费率为该部分预算金额的1.1％；</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费率为该部分预算金额的0.8％；</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费率为该部分预算金额的0.25％。</w:t>
      </w:r>
      <w:r/>
    </w:p>
    <w:p>
      <w:pPr>
        <w:ind w:firstLine="518"/>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.2本项目代理服务费（人民币）：</w:t>
      </w:r>
      <w:r>
        <w:rPr>
          <w:rFonts w:hint="eastAsia" w:ascii="宋体" w:hAnsi="宋体" w:eastAsia="宋体" w:cs="宋体"/>
          <w:bCs/>
          <w:color w:val="auto"/>
          <w:sz w:val="24"/>
          <w:szCs w:val="24"/>
          <w:highlight w:val="none"/>
          <w:lang w:val="en-US" w:eastAsia="zh-CN"/>
        </w:rPr>
        <w:t xml:space="preserve">29611元。</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.3代理服务费由中标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在领取中标通知书时一次性付清并含在其投标报价中。</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如果未按上述规定缴纳中标服务费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采购代理机构将保留诉讼的权利。</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.5采购代理机构服务费账号如下：</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、其他事项</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.1未尽事宜按《中华人民共和国政府采购法》及其他有关法律法规文件的规定执行。</w:t>
      </w:r>
      <w:r/>
    </w:p>
    <w:p>
      <w:pPr>
        <w:pStyle w:val="927"/>
        <w:ind w:firstLine="502"/>
        <w:jc w:val="both"/>
        <w:spacing w:line="360" w:lineRule="auto"/>
        <w:shd w:val="clear" w:color="auto"/>
        <w:rPr>
          <w:rFonts w:hint="eastAsia" w:ascii="宋体" w:hAnsi="宋体" w:eastAsia="宋体" w:cs="宋体"/>
          <w:b/>
          <w:bCs/>
          <w:color w:val="auto"/>
          <w:highlight w:val="none"/>
        </w:rPr>
      </w:pPr>
      <w:r>
        <w:rPr>
          <w:rFonts w:hint="eastAsia" w:ascii="宋体" w:hAnsi="宋体" w:eastAsia="宋体" w:cs="宋体"/>
          <w:color w:val="auto"/>
          <w:szCs w:val="24"/>
          <w:highlight w:val="none"/>
        </w:rPr>
        <w:br w:type="page" w:clear="all"/>
      </w:r>
      <w:r/>
    </w:p>
    <w:p>
      <w:pPr>
        <w:pStyle w:val="927"/>
        <w:ind w:firstLine="482"/>
        <w:jc w:val="center"/>
        <w:spacing w:line="360" w:lineRule="auto"/>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10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p>
    <w:p>
      <w:pPr>
        <w:pStyle w:val="10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w:t>
      </w:r>
      <w:r/>
    </w:p>
    <w:p>
      <w:pPr>
        <w:pStyle w:val="10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我们收到贵公司</w:t>
      </w:r>
      <w:r>
        <w:rPr>
          <w:rFonts w:hint="eastAsia" w:ascii="宋体" w:hAnsi="宋体" w:eastAsia="宋体" w:cs="宋体"/>
          <w:color w:val="auto"/>
          <w:szCs w:val="24"/>
          <w:highlight w:val="none"/>
        </w:rPr>
        <w:t xml:space="preserve">________</w:t>
      </w:r>
      <w:r>
        <w:rPr>
          <w:rFonts w:hint="eastAsia" w:ascii="宋体" w:hAnsi="宋体" w:eastAsia="宋体" w:cs="宋体"/>
          <w:color w:val="auto"/>
          <w:sz w:val="24"/>
          <w:szCs w:val="24"/>
          <w:highlight w:val="none"/>
        </w:rPr>
        <w:t xml:space="preserve">号招标文件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经仔细阅读和研究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我们决定参加采购活动。</w:t>
      </w:r>
      <w:r/>
    </w:p>
    <w:p>
      <w:pPr>
        <w:pStyle w:val="1000"/>
        <w:numPr>
          <w:ilvl w:val="0"/>
          <w:numId w:val="0"/>
        </w:num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我们愿意按照招标文件的一切要求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提供完成该项目的全部内容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我们的投标报价包括完成所有采购内容以及本项目所需的劳务支出、保险、配套费用、税费及服务相关等所发生的全部费用以及企业利润、税金和政策性文件规定及合同包含的所有风险、责任等各项应有费用。</w:t>
      </w:r>
      <w:r/>
    </w:p>
    <w:p>
      <w:pPr>
        <w:pStyle w:val="1000"/>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2、如果我们的投标被接受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我们将严格履行招标文件中规定的每一项要求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严格履行合同的责任和义务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保证按期、按质履行合同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完成合同内容所规定的全部工作。</w:t>
      </w:r>
      <w:r/>
    </w:p>
    <w:p>
      <w:pPr>
        <w:pStyle w:val="10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3、我们同意按招标文件规定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本投标书的有效期限自提交投标文件的截止之日起</w:t>
      </w:r>
      <w:r>
        <w:rPr>
          <w:rFonts w:hint="eastAsia" w:ascii="宋体" w:hAnsi="宋体" w:eastAsia="宋体" w:cs="宋体"/>
          <w:color w:val="auto"/>
          <w:szCs w:val="24"/>
          <w:highlight w:val="none"/>
        </w:rPr>
        <w:t xml:space="preserve">___</w:t>
      </w:r>
      <w:r>
        <w:rPr>
          <w:rFonts w:hint="eastAsia" w:ascii="宋体" w:hAnsi="宋体" w:eastAsia="宋体" w:cs="宋体"/>
          <w:color w:val="auto"/>
          <w:sz w:val="24"/>
          <w:szCs w:val="24"/>
          <w:highlight w:val="none"/>
        </w:rPr>
        <w:t xml:space="preserve">天。如果我们在开标后规定的投标有效期内撤回投标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1000"/>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4、我们愿意提供招标文件中要求的所有资料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也同意向贵方提供贵方可能另外要求的与其投标有关的任何证据或资料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并保证所提供的资料全部是真实的、有效的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1000"/>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5、我们认为你们有权决定中标单位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还认为你们有权接受或拒绝投标人。</w:t>
      </w:r>
      <w:r/>
    </w:p>
    <w:p>
      <w:pPr>
        <w:pStyle w:val="10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6、我们愿意遵守招标公告及招标文件中所列的收费标准。</w:t>
      </w:r>
      <w:r/>
    </w:p>
    <w:p>
      <w:pPr>
        <w:pStyle w:val="1000"/>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1000"/>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8、如果我们中标，我们愿意在签订合同时按招标文件规定支付中标服务费。</w:t>
      </w:r>
      <w:r/>
    </w:p>
    <w:p>
      <w:pPr>
        <w:pStyle w:val="1000"/>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、与本次招标有关的通讯地址：</w:t>
      </w:r>
      <w:r/>
    </w:p>
    <w:p>
      <w:pPr>
        <w:pStyle w:val="10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                                 联系人员：</w:t>
      </w:r>
      <w:r/>
    </w:p>
    <w:p>
      <w:pPr>
        <w:pStyle w:val="10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单位地址：                                 邮政编码：</w:t>
      </w:r>
      <w:r/>
    </w:p>
    <w:p>
      <w:pPr>
        <w:pStyle w:val="10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传真号码：</w:t>
      </w:r>
      <w:r/>
    </w:p>
    <w:p>
      <w:pPr>
        <w:pStyle w:val="927"/>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                       </w:t>
      </w:r>
      <w:r/>
    </w:p>
    <w:p>
      <w:pPr>
        <w:pStyle w:val="927"/>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Cs w:val="24"/>
          <w:highlight w:val="none"/>
        </w:rPr>
        <w:t xml:space="preserve">：</w:t>
      </w:r>
      <w:r/>
    </w:p>
    <w:p>
      <w:pPr>
        <w:pStyle w:val="927"/>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27"/>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并以本公司的名义在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编号）采购项目的开标、评标和合同签订过程中所签署的一切文件和处理与这有关的一切事务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我公司均予以承认。</w:t>
      </w:r>
      <w:r/>
    </w:p>
    <w:p>
      <w:pPr>
        <w:pStyle w:val="927"/>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代理人在授权委托书有效期内签署的所有文件不因授权委托的撤销而失效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除非有撤销授权委托的书面通知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本授权委托书有效期自投标文件提交开始至合同履行完毕止。</w:t>
      </w:r>
      <w:r/>
    </w:p>
    <w:p>
      <w:pPr>
        <w:pStyle w:val="927"/>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代理人无转委托权。特此委托。</w:t>
      </w:r>
      <w:r/>
    </w:p>
    <w:p>
      <w:pPr>
        <w:pStyle w:val="1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0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927"/>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法定代表人：（签字或盖章）</w:t>
      </w:r>
      <w:r/>
    </w:p>
    <w:p>
      <w:pPr>
        <w:pStyle w:val="927"/>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代理人：（签字或盖章）</w:t>
      </w:r>
      <w:r/>
    </w:p>
    <w:p>
      <w:pPr>
        <w:pStyle w:val="100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27"/>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27"/>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注：本授权委托书仅限于法人性质投标人投标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投标文件中必须提供法定代表人和代理人身份证复印件。非法人性质投标人投标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授权委托书格式自拟</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但必须同时提供受托双方身份证复印件。</w:t>
      </w:r>
      <w:r/>
    </w:p>
    <w:p>
      <w:pPr>
        <w:pStyle w:val="962"/>
        <w:ind w:firstLine="480"/>
        <w:jc w:val="both"/>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firstLine="0"/>
        <w:jc w:val="center"/>
        <w:spacing w:line="360" w:lineRule="auto"/>
        <w:shd w:val="clear" w:color="auto"/>
        <w:rPr>
          <w:rFonts w:hint="eastAsia" w:ascii="宋体" w:hAnsi="宋体" w:eastAsia="宋体" w:cs="宋体"/>
          <w:color w:val="auto"/>
          <w:szCs w:val="24"/>
          <w:highlight w:val="none"/>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100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苏州正杰招投标咨询服务有限公司：</w:t>
      </w:r>
      <w:r/>
    </w:p>
    <w:p>
      <w:pPr>
        <w:pStyle w:val="100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本公司愿意承担由此而产生的一切后果。</w:t>
      </w:r>
      <w:r/>
    </w:p>
    <w:p>
      <w:pPr>
        <w:pStyle w:val="100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0"/>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100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1000"/>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4"/>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4"/>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4"/>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4"/>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4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3061" w:type="dxa"/>
            <w:vAlign w:val="center"/>
            <w:textDirection w:val="lrTb"/>
            <w:noWrap w:val="false"/>
          </w:tcPr>
          <w:p>
            <w:pPr>
              <w:pStyle w:val="94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293" w:type="dxa"/>
            <w:vAlign w:val="center"/>
            <w:textDirection w:val="lrTb"/>
            <w:noWrap w:val="false"/>
          </w:tcPr>
          <w:p>
            <w:pPr>
              <w:pStyle w:val="940"/>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投标总价（元）</w:t>
            </w:r>
            <w:r/>
          </w:p>
        </w:tc>
        <w:tc>
          <w:tcPr>
            <w:tcW w:w="1801" w:type="dxa"/>
            <w:vAlign w:val="center"/>
            <w:textDirection w:val="lrTb"/>
            <w:noWrap w:val="false"/>
          </w:tcPr>
          <w:p>
            <w:pPr>
              <w:pStyle w:val="94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合同履行期限</w:t>
            </w:r>
            <w:r/>
          </w:p>
        </w:tc>
        <w:tc>
          <w:tcPr>
            <w:tcW w:w="1331" w:type="dxa"/>
            <w:vAlign w:val="center"/>
            <w:textDirection w:val="lrTb"/>
            <w:noWrap w:val="false"/>
          </w:tcPr>
          <w:p>
            <w:pPr>
              <w:pStyle w:val="94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2293" w:type="dxa"/>
            <w:vAlign w:val="center"/>
            <w:textDirection w:val="lrTb"/>
            <w:noWrap w:val="false"/>
          </w:tcPr>
          <w:p>
            <w:pPr>
              <w:pStyle w:val="94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1" w:type="dxa"/>
            <w:vAlign w:val="center"/>
            <w:textDirection w:val="lrTb"/>
            <w:noWrap w:val="false"/>
          </w:tcPr>
          <w:p>
            <w:pPr>
              <w:pStyle w:val="94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1" w:type="dxa"/>
            <w:vAlign w:val="center"/>
            <w:textDirection w:val="lrTb"/>
            <w:noWrap w:val="false"/>
          </w:tcPr>
          <w:p>
            <w:pPr>
              <w:pStyle w:val="94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00"/>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100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1000"/>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right="420" w:firstLine="0"/>
        <w:spacing w:line="360" w:lineRule="auto"/>
        <w:shd w:val="clear" w:color="auto"/>
        <w:rPr>
          <w:rFonts w:hint="eastAsia" w:ascii="宋体" w:hAnsi="宋体" w:eastAsia="宋体" w:cs="宋体"/>
          <w:b w:val="0"/>
          <w:bCs w:val="0"/>
          <w:color w:val="auto"/>
          <w:sz w:val="24"/>
          <w:szCs w:val="24"/>
          <w:highlight w:val="none"/>
        </w:rPr>
      </w:pPr>
      <w:r/>
      <w:bookmarkStart w:id="6" w:name="_Toc142194269"/>
      <w:r>
        <w:rPr>
          <w:rFonts w:hint="eastAsia" w:ascii="宋体" w:hAnsi="宋体" w:eastAsia="宋体" w:cs="宋体"/>
          <w:color w:val="auto"/>
          <w:szCs w:val="24"/>
          <w:highlight w:val="none"/>
        </w:rPr>
        <w:br/>
      </w:r>
      <w:r>
        <w:rPr>
          <w:rFonts w:hint="eastAsia" w:ascii="宋体" w:hAnsi="宋体" w:eastAsia="宋体" w:cs="宋体"/>
          <w:b w:val="0"/>
          <w:bCs w:val="0"/>
          <w:color w:val="auto"/>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公开</w:t>
      </w:r>
      <w:r>
        <w:rPr>
          <w:rFonts w:hint="eastAsia" w:ascii="宋体" w:hAnsi="宋体" w:eastAsia="宋体" w:cs="宋体"/>
          <w:b w:val="0"/>
          <w:bCs w:val="0"/>
          <w:color w:val="auto"/>
          <w:sz w:val="24"/>
          <w:szCs w:val="24"/>
          <w:highlight w:val="none"/>
        </w:rPr>
        <w:t xml:space="preserve">分项报价表</w:t>
      </w:r>
      <w:r/>
    </w:p>
    <w:tbl>
      <w:tblPr>
        <w:tblStyle w:val="925"/>
        <w:tblW w:w="9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5"/>
        <w:gridCol w:w="5430"/>
        <w:gridCol w:w="840"/>
        <w:gridCol w:w="750"/>
        <w:gridCol w:w="900"/>
        <w:gridCol w:w="1036"/>
      </w:tblGrid>
      <w:tr>
        <w:trPr>
          <w:jc w:val="center"/>
          <w:trHeight w:val="567"/>
        </w:trPr>
        <w:tc>
          <w:tcPr>
            <w:shd w:val="clear" w:color="auto" w:fill="auto"/>
            <w:tcW w:w="89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部门</w:t>
            </w:r>
            <w:r/>
          </w:p>
        </w:tc>
        <w:tc>
          <w:tcPr>
            <w:shd w:val="clear" w:color="auto" w:fill="auto"/>
            <w:tcW w:w="5430" w:type="dxa"/>
            <w:vAlign w:val="center"/>
            <w:textDirection w:val="lrTb"/>
            <w:noWrap w:val="false"/>
          </w:tcPr>
          <w:p>
            <w:pPr>
              <w:jc w:val="center"/>
              <w:keepLines w:val="0"/>
              <w:keepNext w:val="0"/>
              <w:widowControl/>
              <w:rPr>
                <w:rStyle w:val="1054"/>
                <w:rFonts w:hint="default" w:ascii="宋体" w:hAnsi="宋体" w:eastAsia="宋体" w:cs="宋体"/>
                <w:color w:val="auto"/>
                <w:sz w:val="24"/>
                <w:szCs w:val="24"/>
                <w:lang w:val="en-US" w:eastAsia="zh-CN" w:bidi="ar"/>
              </w:rPr>
              <w:suppressLineNumbers w:val="0"/>
            </w:pPr>
            <w:r>
              <w:rPr>
                <w:rStyle w:val="1054"/>
                <w:rFonts w:hint="eastAsia" w:ascii="宋体" w:hAnsi="宋体" w:eastAsia="宋体" w:cs="宋体"/>
                <w:color w:val="auto"/>
                <w:sz w:val="24"/>
                <w:szCs w:val="24"/>
                <w:lang w:val="en-US" w:eastAsia="zh-CN" w:bidi="ar"/>
              </w:rPr>
              <w:t xml:space="preserve">内容</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shd w:val="clear" w:color="auto" w:fill="auto"/>
            <w:tcW w:w="75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单位</w:t>
            </w:r>
            <w:r/>
          </w:p>
        </w:tc>
        <w:tc>
          <w:tcPr>
            <w:shd w:val="clear" w:color="auto" w:fill="auto"/>
            <w:tcW w:w="90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单价</w:t>
            </w:r>
            <w:r/>
          </w:p>
        </w:tc>
        <w:tc>
          <w:tcPr>
            <w:shd w:val="clear" w:color="auto" w:fill="auto"/>
            <w:tcW w:w="103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总价</w:t>
            </w:r>
            <w:r/>
          </w:p>
        </w:tc>
      </w:tr>
      <w:tr>
        <w:trPr>
          <w:jc w:val="center"/>
          <w:trHeight w:val="567"/>
        </w:trPr>
        <w:tc>
          <w:tcPr>
            <w:shd w:val="clear" w:color="auto" w:fill="auto"/>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资环所</w:t>
            </w:r>
            <w:r/>
          </w:p>
        </w:tc>
        <w:tc>
          <w:tcPr>
            <w:shd w:val="clear" w:color="auto" w:fill="auto"/>
            <w:tcW w:w="5430"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Style w:val="1054"/>
                <w:rFonts w:hint="eastAsia" w:ascii="宋体" w:hAnsi="宋体" w:eastAsia="宋体" w:cs="宋体"/>
                <w:color w:val="auto"/>
                <w:sz w:val="24"/>
                <w:szCs w:val="24"/>
                <w:lang w:val="en-US" w:eastAsia="zh-CN" w:bidi="ar"/>
              </w:rPr>
              <w:t xml:space="preserve">主要开展日常农田生产管理（整地、播种、插秧、施肥、水分管理、打药、取样、除草、测产、收获、农机使用等）；协助田间试验开展；室内样品烘干、考种、磨土、粉碎、土样及植物样品分装保存、田间仪器维护；实验室检测涉及样品前处理等。</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1550</w:t>
            </w:r>
            <w:r/>
          </w:p>
        </w:tc>
        <w:tc>
          <w:tcPr>
            <w:shd w:val="clear" w:color="auto" w:fill="auto"/>
            <w:tcW w:w="75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Style w:val="1054"/>
                <w:rFonts w:hint="eastAsia" w:ascii="宋体" w:hAnsi="宋体" w:eastAsia="宋体" w:cs="宋体"/>
                <w:color w:val="auto"/>
                <w:sz w:val="24"/>
                <w:szCs w:val="24"/>
                <w:lang w:val="en-US" w:eastAsia="zh-CN" w:bidi="ar"/>
              </w:rPr>
              <w:t xml:space="preserve">田间实施、调查、取样、磨土、插秧，实验室前处理、清洗等。</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textDirection w:val="lrTb"/>
            <w:noWrap w:val="false"/>
          </w:tcPr>
          <w:p>
            <w:pPr>
              <w:jc w:val="center"/>
              <w:keepLines w:val="0"/>
              <w:keepNext w:val="0"/>
              <w:widowControl/>
              <w:rPr>
                <w:rStyle w:val="1054"/>
                <w:rFonts w:hint="eastAsia" w:ascii="宋体" w:hAnsi="宋体" w:eastAsia="宋体" w:cs="宋体"/>
                <w:color w:val="auto"/>
                <w:sz w:val="24"/>
                <w:szCs w:val="24"/>
                <w:lang w:val="en-US" w:eastAsia="zh-CN" w:bidi="ar"/>
              </w:rPr>
              <w:suppressLineNumbers w:val="0"/>
            </w:pPr>
            <w:r>
              <w:rPr>
                <w:rStyle w:val="1054"/>
                <w:rFonts w:hint="eastAsia" w:ascii="宋体" w:hAnsi="宋体" w:eastAsia="宋体" w:cs="宋体"/>
                <w:color w:val="auto"/>
                <w:sz w:val="24"/>
                <w:szCs w:val="24"/>
                <w:lang w:val="en-US" w:eastAsia="zh-CN" w:bidi="ar"/>
              </w:rPr>
              <w:t xml:space="preserve">加工所</w:t>
            </w:r>
            <w:r/>
          </w:p>
        </w:tc>
        <w:tc>
          <w:tcPr>
            <w:shd w:val="clear" w:color="auto" w:fill="auto"/>
            <w:tcW w:w="5430" w:type="dxa"/>
            <w:vAlign w:val="center"/>
            <w:textDirection w:val="lrTb"/>
            <w:noWrap w:val="false"/>
          </w:tcPr>
          <w:p>
            <w:pPr>
              <w:jc w:val="left"/>
              <w:keepLines w:val="0"/>
              <w:keepNext w:val="0"/>
              <w:widowControl/>
              <w:rPr>
                <w:rStyle w:val="1054"/>
                <w:rFonts w:hint="eastAsia" w:ascii="宋体" w:hAnsi="宋体" w:eastAsia="宋体" w:cs="宋体"/>
                <w:color w:val="auto"/>
                <w:sz w:val="24"/>
                <w:szCs w:val="24"/>
                <w:lang w:val="en-US" w:eastAsia="zh-CN" w:bidi="ar"/>
              </w:rPr>
              <w:suppressLineNumbers w:val="0"/>
            </w:pPr>
            <w:r>
              <w:rPr>
                <w:rStyle w:val="1054"/>
                <w:rFonts w:hint="default" w:ascii="宋体" w:hAnsi="宋体" w:eastAsia="宋体" w:cs="宋体"/>
                <w:color w:val="auto"/>
                <w:sz w:val="24"/>
                <w:szCs w:val="24"/>
                <w:lang w:val="en-US" w:eastAsia="zh-CN" w:bidi="ar"/>
              </w:rPr>
              <w:t xml:space="preserve">主要进行农产品品质方法建立，负责农产品、土壤及水分等样品的前处理以及检测分析等， 此外协助团队开展其他科研工作。</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粮作所</w:t>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田间管理(田埂日常除草等)、农机作业、室内考种等。</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540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播种、插秧、喷药、除草、施肥、收获、杂交、取样等田间工作和实验室考种等。</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都市所</w:t>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辅助野外样品采集、试验实施辅助(大田整地、施肥、种植)、样品预处理、数据整理、协助调研调查等。</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蔬菜所</w:t>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西塘河基地、漕湖基地及</w:t>
            </w:r>
            <w:r>
              <w:rPr>
                <w:rStyle w:val="1054"/>
                <w:rFonts w:hint="eastAsia" w:ascii="宋体" w:hAnsi="宋体" w:eastAsia="宋体" w:cs="宋体"/>
                <w:color w:val="auto"/>
                <w:sz w:val="24"/>
                <w:szCs w:val="24"/>
                <w:lang w:val="en-US" w:eastAsia="zh-CN" w:bidi="ar"/>
              </w:rPr>
              <w:t xml:space="preserve">其他院外基地</w:t>
            </w:r>
            <w:r>
              <w:rPr>
                <w:rFonts w:hint="eastAsia" w:ascii="宋体" w:hAnsi="宋体" w:eastAsia="宋体" w:cs="宋体"/>
                <w:i w:val="0"/>
                <w:iCs w:val="0"/>
                <w:color w:val="auto"/>
                <w:sz w:val="24"/>
                <w:szCs w:val="24"/>
                <w:u w:val="none"/>
                <w:lang w:val="en-US" w:eastAsia="zh-CN" w:bidi="ar"/>
              </w:rPr>
              <w:t xml:space="preserve">蔬菜种植所需整地、施肥、灌水、除草、搭架、整枝、打药、采收、田间清理等。</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数智所</w:t>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Style w:val="1054"/>
                <w:rFonts w:hint="eastAsia" w:ascii="宋体" w:hAnsi="宋体" w:eastAsia="宋体" w:cs="宋体"/>
                <w:color w:val="auto"/>
                <w:sz w:val="24"/>
                <w:szCs w:val="24"/>
                <w:lang w:val="en-US" w:eastAsia="zh-CN" w:bidi="ar"/>
              </w:rPr>
              <w:t xml:space="preserve">样品采集、分析；野外实验辅助；实验数据处理与制图等。</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后勤处</w:t>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eastAsia="zh-CN"/>
              </w:rPr>
              <w:t xml:space="preserve">主要负责西塘河基地生产管理。</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rPr>
              <w:t xml:space="preserve">342</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eastAsia="zh-CN"/>
              </w:rPr>
              <w:t xml:space="preserve">主要负责西塘河基地育苗、用水、大棚管理等。</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360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w:t>
            </w:r>
            <w:r>
              <w:rPr>
                <w:rFonts w:hint="eastAsia" w:ascii="宋体" w:hAnsi="宋体" w:eastAsia="宋体" w:cs="宋体"/>
                <w:i w:val="0"/>
                <w:iCs w:val="0"/>
                <w:color w:val="auto"/>
                <w:sz w:val="24"/>
                <w:szCs w:val="24"/>
                <w:u w:val="none"/>
                <w:lang w:val="en-US" w:eastAsia="zh-CN" w:bidi="ar"/>
              </w:rPr>
              <w:t xml:space="preserve">水生蔬菜基地生产管理。</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324</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w:t>
            </w:r>
            <w:r>
              <w:rPr>
                <w:rFonts w:hint="eastAsia" w:ascii="宋体" w:hAnsi="宋体" w:eastAsia="宋体" w:cs="宋体"/>
                <w:i w:val="0"/>
                <w:iCs w:val="0"/>
                <w:color w:val="auto"/>
                <w:sz w:val="24"/>
                <w:szCs w:val="24"/>
                <w:u w:val="none"/>
                <w:lang w:val="en-US" w:eastAsia="zh-CN" w:bidi="ar"/>
              </w:rPr>
              <w:t xml:space="preserve">试验田整地、播种、施肥、除草、采收等基地日常管理。</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3223</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w:t>
            </w:r>
            <w:r>
              <w:rPr>
                <w:rFonts w:hint="eastAsia" w:ascii="宋体" w:hAnsi="宋体" w:eastAsia="宋体" w:cs="宋体"/>
                <w:i w:val="0"/>
                <w:iCs w:val="0"/>
                <w:color w:val="auto"/>
                <w:sz w:val="24"/>
                <w:szCs w:val="24"/>
                <w:u w:val="none"/>
                <w:lang w:val="en-US" w:eastAsia="zh-CN" w:bidi="ar"/>
              </w:rPr>
              <w:t xml:space="preserve">望亭基地安全日常管理、基地主干道路、院内杂草清理。</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1212</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w:t>
            </w:r>
            <w:r>
              <w:rPr>
                <w:rFonts w:hint="eastAsia" w:ascii="宋体" w:hAnsi="宋体" w:eastAsia="宋体" w:cs="宋体"/>
                <w:i w:val="0"/>
                <w:iCs w:val="0"/>
                <w:color w:val="auto"/>
                <w:sz w:val="24"/>
                <w:szCs w:val="24"/>
                <w:u w:val="none"/>
                <w:lang w:val="en-US" w:eastAsia="zh-CN" w:bidi="ar"/>
              </w:rPr>
              <w:t xml:space="preserve">三基地（临湖、望亭、西塘河）道路清理杂草、沟渠清淤、田间捡石等。</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主要负责望亭基地水电维修。</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主要负责望亭临湖基地农机驾驶。</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shd w:val="clear" w:color="auto" w:fill="auto"/>
            <w:tcW w:w="89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主要用于望亭临湖基地绿化修剪。</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0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567"/>
        </w:trPr>
        <w:tc>
          <w:tcPr>
            <w:gridSpan w:val="2"/>
            <w:shd w:val="clear" w:color="auto" w:fill="auto"/>
            <w:tcW w:w="6325" w:type="dxa"/>
            <w:vAlign w:val="center"/>
            <w:textDirection w:val="lrTb"/>
            <w:noWrap w:val="false"/>
          </w:tcPr>
          <w:p>
            <w:pPr>
              <w:pStyle w:val="927"/>
              <w:ind w:right="420" w:firstLine="0"/>
              <w:jc w:val="left"/>
              <w:spacing w:line="360" w:lineRule="auto"/>
              <w:shd w:val="clear" w:color="auto"/>
              <w:rPr>
                <w:rFonts w:hint="eastAsia" w:ascii="宋体" w:hAnsi="宋体" w:eastAsia="宋体" w:cs="宋体"/>
                <w:i w:val="0"/>
                <w:iCs w:val="0"/>
                <w:color w:val="auto"/>
                <w:sz w:val="24"/>
                <w:szCs w:val="24"/>
                <w:u w:val="none"/>
                <w:lang w:eastAsia="zh-CN"/>
              </w:rPr>
            </w:pPr>
            <w:r>
              <w:rPr>
                <w:rFonts w:hint="eastAsia" w:ascii="宋体" w:hAnsi="宋体" w:eastAsia="宋体" w:cs="宋体"/>
                <w:color w:val="auto"/>
                <w:szCs w:val="24"/>
                <w:highlight w:val="none"/>
              </w:rPr>
              <w:t xml:space="preserve">合计金额</w:t>
            </w:r>
            <w:r/>
          </w:p>
        </w:tc>
        <w:tc>
          <w:tcPr>
            <w:gridSpan w:val="4"/>
            <w:shd w:val="clear" w:color="auto" w:fill="auto"/>
            <w:tcW w:w="3526" w:type="dxa"/>
            <w:vAlign w:val="center"/>
            <w:textDirection w:val="lrTb"/>
            <w:noWrap w:val="false"/>
          </w:tcPr>
          <w:p>
            <w:pPr>
              <w:pStyle w:val="927"/>
              <w:ind w:right="420" w:firstLine="0"/>
              <w:spacing w:line="360" w:lineRule="auto"/>
              <w:shd w:val="clear" w:color="auto"/>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color w:val="auto"/>
                <w:szCs w:val="24"/>
                <w:highlight w:val="none"/>
              </w:rPr>
              <w:t xml:space="preserve">人民币（大写）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圆（¥（小写）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w:t>
            </w:r>
            <w:r/>
          </w:p>
        </w:tc>
      </w:tr>
    </w:tbl>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926"/>
        <w:rPr>
          <w:rFonts w:hint="eastAsia"/>
          <w:color w:val="auto"/>
        </w:rPr>
      </w:pPr>
      <w:r>
        <w:rPr>
          <w:rFonts w:hint="eastAsia"/>
          <w:color w:val="auto"/>
        </w:rPr>
      </w:r>
      <w:r/>
    </w:p>
    <w:p>
      <w:pPr>
        <w:pStyle w:val="927"/>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27"/>
        <w:ind w:left="0" w:right="420"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 w:val="24"/>
          <w:szCs w:val="24"/>
          <w:highlight w:val="none"/>
        </w:rPr>
        <w:t xml:space="preserve">各投标人应根据此表格式分别填写报价详细清单。</w:t>
      </w:r>
      <w:r/>
    </w:p>
    <w:p>
      <w:pPr>
        <w:pStyle w:val="927"/>
        <w:numPr>
          <w:ilvl w:val="0"/>
          <w:numId w:val="0"/>
        </w:numPr>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投标人须对全部采购内容进行报价。如未按照本表规定提供或本表中合计金额与“开标一览表”投标总价不一致的按无效投标报价的投标文件处理。</w:t>
      </w:r>
      <w:r/>
    </w:p>
    <w:p>
      <w:pPr>
        <w:pStyle w:val="927"/>
        <w:numPr>
          <w:ilvl w:val="0"/>
          <w:numId w:val="0"/>
        </w:numPr>
        <w:ind w:right="420"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3、上述数量为估算，最终以实际工时量×工时单价进行结算。</w:t>
      </w:r>
      <w:r/>
    </w:p>
    <w:p>
      <w:pPr>
        <w:pStyle w:val="1000"/>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100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1000"/>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bookmarkEnd w:id="6"/>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1000"/>
        <w:spacing w:line="360" w:lineRule="auto"/>
        <w:rPr>
          <w:rFonts w:hint="eastAsia" w:ascii="宋体" w:hAnsi="宋体" w:eastAsia="宋体" w:cs="宋体"/>
          <w:b/>
          <w:color w:val="auto"/>
          <w:sz w:val="24"/>
          <w:szCs w:val="24"/>
          <w:highlight w:val="none"/>
          <w:lang w:val="zh-CN"/>
        </w:rPr>
      </w:pPr>
      <w:r>
        <w:rPr>
          <w:rFonts w:hint="eastAsia"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、中小企业声明函</w:t>
      </w:r>
      <w:r/>
    </w:p>
    <w:p>
      <w:pPr>
        <w:pStyle w:val="934"/>
        <w:ind w:left="0" w:right="130"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根据《政府采购促进中小企业发展管理办法》（财库﹝2020﹞46 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w:t>
      </w:r>
      <w:r>
        <w:rPr>
          <w:rFonts w:hint="eastAsia" w:ascii="宋体" w:hAnsi="宋体" w:eastAsia="宋体" w:cs="宋体"/>
          <w:color w:val="auto"/>
          <w:sz w:val="24"/>
          <w:szCs w:val="24"/>
          <w:highlight w:val="none"/>
        </w:rPr>
        <w:t xml:space="preserve">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w:t>
      </w:r>
      <w:r>
        <w:rPr>
          <w:rFonts w:hint="eastAsia" w:ascii="宋体" w:hAnsi="宋体" w:eastAsia="宋体" w:cs="宋体"/>
          <w:color w:val="auto"/>
          <w:sz w:val="24"/>
          <w:szCs w:val="24"/>
          <w:highlight w:val="none"/>
          <w:lang w:val="en-US" w:eastAsia="zh-CN"/>
        </w:rPr>
        <w:t xml:space="preserve">接</w:t>
      </w:r>
      <w:r>
        <w:rPr>
          <w:rFonts w:hint="eastAsia" w:ascii="宋体" w:hAnsi="宋体" w:eastAsia="宋体" w:cs="宋体"/>
          <w:color w:val="auto"/>
          <w:sz w:val="24"/>
          <w:szCs w:val="24"/>
          <w:highlight w:val="none"/>
        </w:rPr>
        <w:t xml:space="preserve">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shd w:val="clear" w:color="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5、中标供应商为中小企业的，《中小企业声明函》将随中标结果同时公告。</w:t>
      </w:r>
      <w:r>
        <w:rPr>
          <w:rFonts w:hint="eastAsia" w:ascii="宋体" w:hAnsi="宋体" w:eastAsia="宋体" w:cs="宋体"/>
          <w:color w:val="auto"/>
          <w:sz w:val="24"/>
          <w:szCs w:val="24"/>
          <w:highlight w:val="none"/>
          <w:lang w:val="en-US" w:eastAsia="zh-CN"/>
        </w:rPr>
        <w:br w:type="page" w:clear="all"/>
      </w:r>
      <w:r>
        <w:rPr>
          <w:rFonts w:hint="eastAsia" w:ascii="宋体" w:hAnsi="宋体" w:eastAsia="宋体" w:cs="宋体"/>
          <w:b/>
          <w:color w:val="auto"/>
          <w:sz w:val="24"/>
          <w:szCs w:val="24"/>
          <w:highlight w:val="none"/>
        </w:rPr>
        <w:t xml:space="preserve">附：中小企业划型标准规定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营业收入500万元及以上的为中型企业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营业收入50万元及以上的为小型企业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且营业收入300万元及以上的为小型企业；从业人员20人以下或营业收入300万元以下的为微型企业。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营业收入6000万元及以上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且资产总额5000万元及以上的为中型企业；营业收入300万元及以上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且资产总额300万元及以上的为小型企业；营业收入300万元以下或资产总额300万元以下的为微型企业。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且营业收入5000万元及以上的为中型企业；从业人员5人及以上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且营业收入1000万元及以上的为小型企业；从业人员5人以下或营业收入1000万元以下的为微型企业。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从业人员50人及以上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且营业收入3000万元及以上的为中型企业；从业人员20人及以上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且营业收入200万元及以上的为小型企业；从业人员20人以下或营业收入200万元以下的为微型企业。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且营业收入100万元及以上的为小型企业；从业人员20人以下或营业收入100万元以下的为微型企业。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且营业收入100万元及以上的为小型企业；从业人员20人以下或营业收入100万元以下的为微型企业。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且营业收入50万元及以上的为小型企业；从业人员10人以下或营业收入50万元以下的为微型企业。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营业收入1000万元及以上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且资产总额5000万元及以上的为中型企业；营业收入100万元及以上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且资产总额2000万元及以上的为小型企业；营业收入100万元以下或资产总额2000万元以下的为微型企业。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p>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且营业收入500万元及以上的为小型企业；从业人员100人以下或营业收入500万元以下的为微型企业。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且资产总额8000万元及以上的为中型企业；从业人员10人及以上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且资产总额100万元及以上的为小型企业；从业人员10人以下或资产总额100万元以下的为微型企业。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从业人员100人及以上的为中型企业；从业人员10人及以上的为小型企业；从业人员10人以下的为微型企业。</w:t>
      </w:r>
      <w:r/>
    </w:p>
    <w:p>
      <w:pPr>
        <w:spacing w:line="360" w:lineRule="auto"/>
        <w:shd w:val="clear" w:color="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宋体" w:hAnsi="宋体" w:eastAsia="宋体" w:cs="宋体"/>
          <w:b/>
          <w:bCs/>
          <w:color w:val="auto"/>
          <w:sz w:val="24"/>
          <w:szCs w:val="24"/>
          <w:highlight w:val="none"/>
          <w:lang w:val="en-US" w:eastAsia="zh-CN"/>
        </w:rPr>
      </w:r>
      <w:r/>
    </w:p>
    <w:p>
      <w:pPr>
        <w:spacing w:line="360" w:lineRule="auto"/>
        <w:shd w:val="clear" w:color="auto"/>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、残疾人福利性单位声明函</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根据《财政部  民政部  中国残疾人联合会关于促进残疾人就业政府采购政策的通知》（财库〔2017〕141号）的规定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本单位为符合条件的残疾人福利性单位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或者提供其他残疾人福利性单位制造的货物（不包括使用非残疾人福利性单位注册商标的货物）。</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（单位公章）：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spacing w:line="360" w:lineRule="auto"/>
        <w:rPr>
          <w:rFonts w:hint="eastAsia" w:ascii="宋体" w:hAnsi="宋体" w:eastAsia="宋体" w:cs="宋体"/>
          <w:b/>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color w:val="auto"/>
          <w:sz w:val="24"/>
          <w:szCs w:val="24"/>
          <w:highlight w:val="none"/>
          <w:lang w:val="en-US" w:eastAsia="zh-CN"/>
        </w:rPr>
      </w:r>
      <w:r/>
    </w:p>
    <w:p>
      <w:pPr>
        <w:jc w:val="center"/>
        <w:spacing w:line="360" w:lineRule="auto"/>
        <w:shd w:val="clear" w:color="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第四章 </w:t>
      </w:r>
      <w:r>
        <w:rPr>
          <w:rFonts w:hint="eastAsia" w:ascii="宋体" w:hAnsi="宋体" w:eastAsia="宋体" w:cs="宋体"/>
          <w:b/>
          <w:color w:val="auto"/>
          <w:sz w:val="24"/>
          <w:szCs w:val="24"/>
          <w:highlight w:val="none"/>
          <w:lang w:val="en-US" w:eastAsia="zh-CN"/>
        </w:rPr>
        <w:t xml:space="preserve">采购需求</w:t>
      </w:r>
      <w:r/>
    </w:p>
    <w:p>
      <w:pPr>
        <w:ind w:firstLine="480"/>
        <w:spacing w:line="360" w:lineRule="auto"/>
        <w:shd w:val="clear" w:color="auto"/>
        <w:rPr>
          <w:rFonts w:hint="eastAsia" w:ascii="宋体" w:hAnsi="宋体" w:eastAsia="宋体" w:cs="宋体"/>
          <w:color w:val="auto"/>
          <w:sz w:val="24"/>
          <w:szCs w:val="24"/>
          <w:highlight w:val="none"/>
        </w:rPr>
      </w:pPr>
      <w:r/>
      <w:bookmarkStart w:id="7" w:name="_Toc13642116"/>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苏州市农业科学院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就其所需的</w:t>
      </w:r>
      <w:r>
        <w:rPr>
          <w:rFonts w:hint="eastAsia" w:ascii="宋体" w:hAnsi="宋体" w:eastAsia="宋体" w:cs="宋体"/>
          <w:color w:val="auto"/>
          <w:sz w:val="24"/>
          <w:szCs w:val="24"/>
          <w:highlight w:val="none"/>
          <w:lang w:eastAsia="zh-CN"/>
        </w:rPr>
        <w:t xml:space="preserve">2026年科研辅助服务</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的采购进行公开招标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欢迎有资格的供应商前来参加投标。</w:t>
      </w:r>
      <w:r/>
    </w:p>
    <w:p>
      <w:pPr>
        <w:ind w:firstLine="480"/>
        <w:spacing w:line="360" w:lineRule="auto"/>
        <w:shd w:val="clear" w:color="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一、项目编号：JSZC-320500-SZZJ-G2026-0004号。</w:t>
      </w:r>
      <w:bookmarkStart w:id="15" w:name="_GoBack"/>
      <w:r/>
      <w:bookmarkEnd w:id="15"/>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w:t>
      </w:r>
      <w:bookmarkEnd w:id="7"/>
      <w:r/>
      <w:bookmarkStart w:id="8" w:name="_Toc13543213"/>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农业科学院（江苏太湖地区农业科学研究所）位于江苏省苏州市吴中区临湖镇东山大道2351号，创建于1950年，设有农业资源与环境研究所，现代都市农业研究所，粮油作物研究所，数智农业研究所，农产品加工与质量安全</w:t>
      </w:r>
      <w:r>
        <w:rPr>
          <w:rFonts w:hint="eastAsia" w:ascii="宋体" w:hAnsi="宋体" w:eastAsia="宋体"/>
          <w:color w:val="auto"/>
          <w:sz w:val="24"/>
          <w:szCs w:val="24"/>
          <w:highlight w:val="none"/>
        </w:rPr>
        <w:t xml:space="preserve">研究所，蔬菜研究所，中心实验站，土壤观测实验站等研究所（站），主要在水稻、油菜、蔬菜、荷花等新品种引进、选育与高效安全技术示范推广，农业资源高效利用、生态环境保护，农业休闲、观赏性园林植物养护，农产品保鲜、贮藏、加工，高新技术引进与集成创新等领域开展应用基础研究与成果转化推广。现建有农业农村部国家现代农业产业技术体系苏州综合试验站、农业农村部国家农业科学观测实验站、农业农村部苏州水稻土生态环境重点野外科学监测试验站、农业部农药药效联合试验基地、苏州市生物农药测试中心和江苏省农科院太湖地区智慧农业工程实验室。</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工作内容</w:t>
      </w:r>
      <w:r/>
    </w:p>
    <w:tbl>
      <w:tblPr>
        <w:tblStyle w:val="9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00"/>
        <w:gridCol w:w="6145"/>
        <w:gridCol w:w="854"/>
        <w:gridCol w:w="1039"/>
      </w:tblGrid>
      <w:tr>
        <w:trPr>
          <w:jc w:val="center"/>
          <w:trHeight w:val="567"/>
        </w:trPr>
        <w:tc>
          <w:tcPr>
            <w:shd w:val="clear" w:color="auto" w:fill="auto"/>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53"/>
                <w:rFonts w:hint="eastAsia" w:ascii="宋体" w:hAnsi="宋体" w:eastAsia="宋体" w:cs="宋体"/>
                <w:color w:val="auto"/>
                <w:sz w:val="24"/>
                <w:szCs w:val="24"/>
                <w:lang w:val="en-US" w:eastAsia="zh-CN" w:bidi="ar"/>
              </w:rPr>
              <w:t xml:space="preserve">部  门</w:t>
            </w:r>
            <w:r/>
          </w:p>
        </w:tc>
        <w:tc>
          <w:tcPr>
            <w:shd w:val="clear" w:color="auto" w:fill="auto"/>
            <w:tcW w:w="614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工作内容</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单位</w:t>
            </w:r>
            <w:r/>
          </w:p>
        </w:tc>
      </w:tr>
      <w:tr>
        <w:trPr>
          <w:jc w:val="center"/>
          <w:trHeight w:val="567"/>
        </w:trPr>
        <w:tc>
          <w:tcPr>
            <w:shd w:val="clear" w:color="auto" w:fill="auto"/>
            <w:tcW w:w="16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资环所</w:t>
            </w:r>
            <w:r/>
          </w:p>
        </w:tc>
        <w:tc>
          <w:tcPr>
            <w:shd w:val="clear" w:color="auto" w:fill="auto"/>
            <w:tcW w:w="614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Style w:val="1054"/>
                <w:rFonts w:hint="eastAsia" w:ascii="宋体" w:hAnsi="宋体" w:eastAsia="宋体" w:cs="宋体"/>
                <w:color w:val="auto"/>
                <w:sz w:val="24"/>
                <w:szCs w:val="24"/>
                <w:lang w:val="en-US" w:eastAsia="zh-CN" w:bidi="ar"/>
              </w:rPr>
              <w:t xml:space="preserve">主要开展日常农田生产管理（整地、播种、插秧、施肥、水分管理、打药、取样、除草、测产、收获、农机使用等）；协助田间试验开展；室内样品烘干、考种、磨土、粉碎、土样及植物样品分装保存、田间仪器维护；实验室检测涉及样品前处理等。</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1550</w:t>
            </w:r>
            <w:r/>
          </w:p>
        </w:tc>
        <w:tc>
          <w:tcPr>
            <w:shd w:val="clear" w:color="auto" w:fill="auto"/>
            <w:tcW w:w="10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54"/>
                <w:rFonts w:hint="eastAsia" w:ascii="宋体" w:hAnsi="宋体" w:eastAsia="宋体" w:cs="宋体"/>
                <w:color w:val="auto"/>
                <w:sz w:val="24"/>
                <w:szCs w:val="24"/>
                <w:lang w:val="en-US" w:eastAsia="zh-CN" w:bidi="ar"/>
              </w:rPr>
              <w:t xml:space="preserve">田间实施、调查、取样、磨土、插秧，实验室前处理、清洗等。</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textDirection w:val="lrTb"/>
            <w:noWrap w:val="false"/>
          </w:tcPr>
          <w:p>
            <w:pPr>
              <w:jc w:val="center"/>
              <w:keepLines w:val="0"/>
              <w:keepNext w:val="0"/>
              <w:widowControl/>
              <w:rPr>
                <w:rStyle w:val="1054"/>
                <w:rFonts w:hint="eastAsia" w:ascii="宋体" w:hAnsi="宋体" w:eastAsia="宋体" w:cs="宋体"/>
                <w:color w:val="auto"/>
                <w:sz w:val="24"/>
                <w:szCs w:val="24"/>
                <w:lang w:val="en-US" w:eastAsia="zh-CN" w:bidi="ar"/>
              </w:rPr>
              <w:suppressLineNumbers w:val="0"/>
            </w:pPr>
            <w:r>
              <w:rPr>
                <w:rStyle w:val="1054"/>
                <w:rFonts w:hint="eastAsia" w:ascii="宋体" w:hAnsi="宋体" w:eastAsia="宋体" w:cs="宋体"/>
                <w:color w:val="auto"/>
                <w:sz w:val="24"/>
                <w:szCs w:val="24"/>
                <w:lang w:val="en-US" w:eastAsia="zh-CN" w:bidi="ar"/>
              </w:rPr>
              <w:t xml:space="preserve">加工所</w:t>
            </w:r>
            <w:r/>
          </w:p>
        </w:tc>
        <w:tc>
          <w:tcPr>
            <w:shd w:val="clear" w:color="auto" w:fill="auto"/>
            <w:tcW w:w="6145" w:type="dxa"/>
            <w:vAlign w:val="center"/>
            <w:textDirection w:val="lrTb"/>
            <w:noWrap w:val="false"/>
          </w:tcPr>
          <w:p>
            <w:pPr>
              <w:jc w:val="center"/>
              <w:keepLines w:val="0"/>
              <w:keepNext w:val="0"/>
              <w:widowControl/>
              <w:rPr>
                <w:rStyle w:val="1054"/>
                <w:rFonts w:hint="eastAsia" w:ascii="宋体" w:hAnsi="宋体" w:eastAsia="宋体" w:cs="宋体"/>
                <w:color w:val="auto"/>
                <w:sz w:val="24"/>
                <w:szCs w:val="24"/>
                <w:lang w:val="en-US" w:eastAsia="zh-CN" w:bidi="ar"/>
              </w:rPr>
              <w:suppressLineNumbers w:val="0"/>
            </w:pPr>
            <w:r>
              <w:rPr>
                <w:rStyle w:val="1054"/>
                <w:rFonts w:hint="default" w:ascii="宋体" w:hAnsi="宋体" w:eastAsia="宋体" w:cs="宋体"/>
                <w:color w:val="auto"/>
                <w:sz w:val="24"/>
                <w:szCs w:val="24"/>
                <w:lang w:val="en-US" w:eastAsia="zh-CN" w:bidi="ar"/>
              </w:rPr>
              <w:t xml:space="preserve">主要进行农产品品质方法建立，负责农产品、土壤及水分等样品的前处理以及检测分析等， 此外协助团队开展其他科研工作。</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粮作所</w:t>
            </w:r>
            <w:r/>
          </w:p>
        </w:tc>
        <w:tc>
          <w:tcPr>
            <w:shd w:val="clear" w:color="auto" w:fill="auto"/>
            <w:tcW w:w="61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田间管理(田埂日常除草等)、农机作业、室内考种等。</w:t>
            </w:r>
            <w:r/>
          </w:p>
        </w:tc>
        <w:tc>
          <w:tcPr>
            <w:shd w:val="clear" w:color="auto" w:fill="auto"/>
            <w:tcW w:w="85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540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61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播种、插秧、喷药、除草、施肥、收获、杂交、取样等田间工作和实验室考种等。</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都市所</w:t>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辅助野外样品采集、试验实施辅助(大田整地、施肥、种植)、样品预处理、数据整理、协助调研调查等。</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蔬菜所</w:t>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西塘河基地、漕湖基地及</w:t>
            </w:r>
            <w:r>
              <w:rPr>
                <w:rStyle w:val="1054"/>
                <w:rFonts w:hint="eastAsia" w:ascii="宋体" w:hAnsi="宋体" w:eastAsia="宋体" w:cs="宋体"/>
                <w:color w:val="auto"/>
                <w:sz w:val="24"/>
                <w:szCs w:val="24"/>
                <w:lang w:val="en-US" w:eastAsia="zh-CN" w:bidi="ar"/>
              </w:rPr>
              <w:t xml:space="preserve">其他院外基地</w:t>
            </w:r>
            <w:r>
              <w:rPr>
                <w:rFonts w:hint="eastAsia" w:ascii="宋体" w:hAnsi="宋体" w:eastAsia="宋体" w:cs="宋体"/>
                <w:i w:val="0"/>
                <w:iCs w:val="0"/>
                <w:color w:val="auto"/>
                <w:sz w:val="24"/>
                <w:szCs w:val="24"/>
                <w:u w:val="none"/>
                <w:lang w:val="en-US" w:eastAsia="zh-CN" w:bidi="ar"/>
              </w:rPr>
              <w:t xml:space="preserve">蔬菜种植所需整地、施肥、灌水、除草、搭架、整枝、打药、采收、田间清理等。</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数智所</w:t>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54"/>
                <w:rFonts w:hint="eastAsia" w:ascii="宋体" w:hAnsi="宋体" w:eastAsia="宋体" w:cs="宋体"/>
                <w:color w:val="auto"/>
                <w:sz w:val="24"/>
                <w:szCs w:val="24"/>
                <w:lang w:val="en-US" w:eastAsia="zh-CN" w:bidi="ar"/>
              </w:rPr>
              <w:t xml:space="preserve">样品采集、分析；野外实验辅助；实验数据处理与制图等。</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后勤处</w:t>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eastAsia="zh-CN"/>
              </w:rPr>
              <w:t xml:space="preserve">主要负责西塘河基地生产管理。</w:t>
            </w:r>
            <w:r/>
          </w:p>
        </w:tc>
        <w:tc>
          <w:tcPr>
            <w:shd w:val="clear" w:color="auto" w:fill="auto"/>
            <w:tcW w:w="85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rPr>
              <w:t xml:space="preserve">342</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eastAsia="zh-CN"/>
              </w:rPr>
              <w:t xml:space="preserve">主要负责西塘河基地育苗、用水、大棚管理等。</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360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w:t>
            </w:r>
            <w:r>
              <w:rPr>
                <w:rFonts w:hint="eastAsia" w:ascii="宋体" w:hAnsi="宋体" w:eastAsia="宋体" w:cs="宋体"/>
                <w:i w:val="0"/>
                <w:iCs w:val="0"/>
                <w:color w:val="auto"/>
                <w:sz w:val="24"/>
                <w:szCs w:val="24"/>
                <w:u w:val="none"/>
                <w:lang w:val="en-US" w:eastAsia="zh-CN" w:bidi="ar"/>
              </w:rPr>
              <w:t xml:space="preserve">水生蔬菜基地生产管理。</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324</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w:t>
            </w:r>
            <w:r>
              <w:rPr>
                <w:rFonts w:hint="eastAsia" w:ascii="宋体" w:hAnsi="宋体" w:eastAsia="宋体" w:cs="宋体"/>
                <w:i w:val="0"/>
                <w:iCs w:val="0"/>
                <w:color w:val="auto"/>
                <w:sz w:val="24"/>
                <w:szCs w:val="24"/>
                <w:u w:val="none"/>
                <w:lang w:val="en-US" w:eastAsia="zh-CN" w:bidi="ar"/>
              </w:rPr>
              <w:t xml:space="preserve">试验田整地、播种、施肥、除草、采收等基地日常管理。</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3223</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w:t>
            </w:r>
            <w:r>
              <w:rPr>
                <w:rFonts w:hint="eastAsia" w:ascii="宋体" w:hAnsi="宋体" w:eastAsia="宋体" w:cs="宋体"/>
                <w:i w:val="0"/>
                <w:iCs w:val="0"/>
                <w:color w:val="auto"/>
                <w:sz w:val="24"/>
                <w:szCs w:val="24"/>
                <w:u w:val="none"/>
                <w:lang w:val="en-US" w:eastAsia="zh-CN" w:bidi="ar"/>
              </w:rPr>
              <w:t xml:space="preserve">望亭基地安全日常管理、基地主干道路、院内杂草清理。</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1212</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w:t>
            </w:r>
            <w:r>
              <w:rPr>
                <w:rFonts w:hint="eastAsia" w:ascii="宋体" w:hAnsi="宋体" w:eastAsia="宋体" w:cs="宋体"/>
                <w:i w:val="0"/>
                <w:iCs w:val="0"/>
                <w:color w:val="auto"/>
                <w:sz w:val="24"/>
                <w:szCs w:val="24"/>
                <w:u w:val="none"/>
                <w:lang w:val="en-US" w:eastAsia="zh-CN" w:bidi="ar"/>
              </w:rPr>
              <w:t xml:space="preserve">三基地（临湖、望亭、西塘河）道路清理杂草、沟渠清淤、田间捡石等。</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主要负责望亭基地水电维修。</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主要负责望亭临湖基地农机驾驶。</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r>
      <w:tr>
        <w:trPr>
          <w:jc w:val="center"/>
          <w:trHeight w:val="567"/>
        </w:trPr>
        <w:tc>
          <w:tcPr>
            <w:shd w:val="clear" w:color="auto" w:fill="auto"/>
            <w:tcW w:w="160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61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eastAsia="zh-CN"/>
              </w:rPr>
              <w:t xml:space="preserve">主要用于望亭临湖基地绿化修剪。</w:t>
            </w:r>
            <w:r/>
          </w:p>
        </w:tc>
        <w:tc>
          <w:tcPr>
            <w:shd w:val="clear" w:color="auto" w:fill="auto"/>
            <w:tcW w:w="8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W w:w="10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工</w:t>
            </w:r>
            <w:r/>
          </w:p>
        </w:tc>
      </w:tr>
    </w:tbl>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numPr>
          <w:ilvl w:val="0"/>
          <w:numId w:val="3"/>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必须按照《劳动法》及苏州市的有关规定配置工作人员数量，工作人员应具备与岗位相匹配的专业知识和技能。在人员配置过程中应充分考虑年龄因素，以确保人员具备良好的身体素质和充沛的精力完成高强度的工作。供应商必须及时支付工资、国假加班费和交纳正常的社会保险，不得安排工作人员超时限加班。若有违反，采购单位有权终止合同，并向有关部门反映，有关责任由供应商自行承担。</w:t>
      </w:r>
      <w:r/>
    </w:p>
    <w:p>
      <w:pPr>
        <w:numPr>
          <w:ilvl w:val="0"/>
          <w:numId w:val="3"/>
        </w:numPr>
        <w:ind w:left="0"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供应商工作人员入驻前，须为每位工作人员配备商业保险（即团体人身意外保险），</w:t>
      </w:r>
      <w:r>
        <w:rPr>
          <w:rFonts w:hint="eastAsia" w:ascii="宋体" w:hAnsi="宋体" w:eastAsia="宋体" w:cs="Times New Roman"/>
          <w:color w:val="auto"/>
          <w:sz w:val="24"/>
          <w:szCs w:val="24"/>
          <w:highlight w:val="none"/>
        </w:rPr>
        <w:t xml:space="preserve">每一被保险人的保险金额不得低于</w:t>
      </w:r>
      <w:r>
        <w:rPr>
          <w:rFonts w:hint="eastAsia" w:ascii="宋体" w:hAnsi="宋体" w:eastAsia="宋体" w:cs="Times New Roman"/>
          <w:color w:val="auto"/>
          <w:sz w:val="24"/>
          <w:szCs w:val="24"/>
          <w:highlight w:val="none"/>
          <w:lang w:val="en-US" w:eastAsia="zh-CN"/>
        </w:rPr>
        <w:t xml:space="preserve">60万</w:t>
      </w:r>
      <w:r>
        <w:rPr>
          <w:rFonts w:hint="eastAsia" w:ascii="宋体" w:hAnsi="宋体" w:eastAsia="宋体" w:cs="Times New Roman"/>
          <w:color w:val="auto"/>
          <w:sz w:val="24"/>
          <w:szCs w:val="24"/>
          <w:highlight w:val="none"/>
        </w:rPr>
        <w:t xml:space="preserve">元</w:t>
      </w:r>
      <w:r>
        <w:rPr>
          <w:rFonts w:hint="eastAsia" w:ascii="宋体" w:hAnsi="宋体" w:eastAsia="宋体" w:cs="Times New Roman"/>
          <w:color w:val="auto"/>
          <w:sz w:val="24"/>
          <w:szCs w:val="24"/>
          <w:highlight w:val="none"/>
          <w:lang w:val="en-US" w:eastAsia="zh-CN"/>
        </w:rPr>
        <w:t xml:space="preserve">，否则采购人有权拒绝签订合同。</w:t>
      </w:r>
      <w:r/>
    </w:p>
    <w:p>
      <w:pPr>
        <w:numPr>
          <w:ilvl w:val="0"/>
          <w:numId w:val="3"/>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工作人员在执行供应商所安排的相关业务工作过程中，出现包括但不限于受伤、患病、死亡等任何意外情况，相应的责任均由供应商承担。该责任涵盖但不限于医疗救治费用、经济赔偿、法律纠纷处理等一切因意外情况所产生的相关事项。供应商应按照国家法律法规及相关规定，切实履行其应尽的责任与义务。</w:t>
      </w:r>
      <w:r/>
    </w:p>
    <w:p>
      <w:pPr>
        <w:numPr>
          <w:ilvl w:val="0"/>
          <w:numId w:val="3"/>
        </w:numPr>
        <w:ind w:left="0"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劳动时长8小时计1工，最终以实际工时量×工时单价进行结算。</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（三）项目实施要求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基地（田间）管理人员：</w:t>
      </w:r>
      <w:r>
        <w:rPr>
          <w:rFonts w:hint="eastAsia" w:ascii="宋体" w:hAnsi="宋体" w:eastAsia="宋体" w:cs="宋体"/>
          <w:color w:val="auto"/>
          <w:sz w:val="24"/>
          <w:szCs w:val="24"/>
          <w:highlight w:val="none"/>
        </w:rPr>
        <w:t xml:space="preserve">男性，政审合格，形体无明显缺陷，外貌端正，身体健康，无不良记录；有工作责任心和爱岗敬业精神，举止文明、礼貌待人；</w:t>
      </w:r>
      <w:r>
        <w:rPr>
          <w:rFonts w:hint="eastAsia" w:ascii="宋体" w:hAnsi="宋体" w:eastAsia="宋体" w:cs="宋体"/>
          <w:color w:val="auto"/>
          <w:sz w:val="24"/>
          <w:szCs w:val="24"/>
          <w:highlight w:val="none"/>
          <w:lang w:val="en-US" w:eastAsia="zh-CN"/>
        </w:rPr>
        <w:t xml:space="preserve">长期在</w:t>
      </w: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，有丰富专业的基地管理经验，有农事农机操作及维修保养经验，</w:t>
      </w:r>
      <w:r>
        <w:rPr>
          <w:rFonts w:hint="eastAsia" w:ascii="宋体" w:hAnsi="宋体" w:eastAsia="宋体" w:cs="宋体"/>
          <w:color w:val="auto"/>
          <w:sz w:val="24"/>
          <w:szCs w:val="24"/>
          <w:highlight w:val="none"/>
          <w:lang w:eastAsia="zh-CN"/>
        </w:rPr>
        <w:t xml:space="preserve">长期</w:t>
      </w:r>
      <w:r>
        <w:rPr>
          <w:rFonts w:hint="eastAsia" w:ascii="宋体" w:hAnsi="宋体" w:eastAsia="宋体" w:cs="宋体"/>
          <w:color w:val="auto"/>
          <w:sz w:val="24"/>
          <w:szCs w:val="24"/>
          <w:highlight w:val="none"/>
          <w:lang w:val="en-US" w:eastAsia="zh-CN"/>
        </w:rPr>
        <w:t xml:space="preserve">服务于</w:t>
      </w:r>
      <w:r>
        <w:rPr>
          <w:rFonts w:hint="eastAsia" w:ascii="宋体" w:hAnsi="宋体" w:eastAsia="宋体" w:cs="宋体"/>
          <w:color w:val="auto"/>
          <w:sz w:val="24"/>
          <w:szCs w:val="24"/>
          <w:highlight w:val="none"/>
          <w:lang w:eastAsia="zh-CN"/>
        </w:rPr>
        <w:t xml:space="preserve">院粮作所、蔬菜所、后勤处等学科部门，</w:t>
      </w:r>
      <w:r>
        <w:rPr>
          <w:rFonts w:hint="eastAsia" w:ascii="宋体" w:hAnsi="宋体" w:eastAsia="宋体" w:cs="宋体"/>
          <w:color w:val="auto"/>
          <w:sz w:val="24"/>
          <w:szCs w:val="24"/>
          <w:highlight w:val="none"/>
        </w:rPr>
        <w:t xml:space="preserve">有丰富的水稻、小麦、油菜、蔬菜等种植与管理经验。</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基地（田间）科研辅助人员：主要服务于院水稻、油菜、小麦、蔬菜、资环等学科团队，根据院各学科团队试验任务，辅助科技人员完成科研基地内的田间试验工作，包括样品采集，田间调查、试验数据的收集、试验小区的管理等工作。</w:t>
      </w:r>
      <w:r>
        <w:rPr>
          <w:rFonts w:hint="eastAsia" w:ascii="宋体" w:hAnsi="宋体" w:eastAsia="宋体" w:cs="宋体"/>
          <w:color w:val="auto"/>
          <w:sz w:val="24"/>
          <w:szCs w:val="24"/>
          <w:highlight w:val="none"/>
        </w:rPr>
        <w:t xml:space="preserve">服从基地负责人的工作安排，接受负责人的检查，发现问题</w:t>
      </w:r>
      <w:r>
        <w:rPr>
          <w:rFonts w:hint="eastAsia" w:ascii="宋体" w:hAnsi="宋体" w:eastAsia="宋体" w:cs="宋体"/>
          <w:color w:val="auto"/>
          <w:sz w:val="24"/>
          <w:szCs w:val="24"/>
          <w:highlight w:val="none"/>
          <w:lang w:val="en-US" w:eastAsia="zh-CN"/>
        </w:rPr>
        <w:t xml:space="preserve">及时整改，完成上级交办的其他试验任务。 </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2.3实验室科研辅助人员：主要服务于院资环、加工、都市和数智等学科团队，根据院各学科团队实验任务，辅助科技人员完成实验样品前处理</w:t>
      </w:r>
      <w:r>
        <w:rPr>
          <w:rFonts w:hint="default" w:ascii="宋体" w:hAnsi="宋体" w:eastAsia="宋体" w:cs="宋体"/>
          <w:color w:val="auto"/>
          <w:sz w:val="24"/>
          <w:szCs w:val="24"/>
          <w:highlight w:val="none"/>
          <w:lang w:val="en-US" w:eastAsia="zh-CN"/>
        </w:rPr>
        <w:t xml:space="preserve">及检测分析等</w:t>
      </w:r>
      <w:r>
        <w:rPr>
          <w:rFonts w:hint="eastAsia" w:ascii="宋体" w:hAnsi="宋体" w:eastAsia="宋体" w:cs="宋体"/>
          <w:color w:val="auto"/>
          <w:sz w:val="24"/>
          <w:szCs w:val="24"/>
          <w:highlight w:val="none"/>
          <w:lang w:val="en-US" w:eastAsia="zh-CN"/>
        </w:rPr>
        <w:t xml:space="preserve">工作。具有化学类、食品科学类、环境保护类、农学类、计算机类、农业信息技术类等专业背景，熟悉仪器设备基本操作和维护保养工作，具备数据整理、分析汇总等能力。</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2.4环境整治人员：主要服务于后勤处，负责所在基地环境整治，清理基地各类生产及生活垃圾。</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（四）服务要求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3.1基地（田间）管理工作要求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要求：每周与科室确定下一周的工作人员，按照工量分配下一周的工作人数。按照科室要求分配工作人员，不定时检查田间农事操作人员工作进度及工作质量，加强与采购方的联系沟通，发现问题及时整改。</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标准：保证按照采购方工作进度保质保量完成工作任务，接受采购方考核。</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3.2基地（田间）科研辅助工作要求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主要服务于院水稻、油菜、小麦、蔬菜、资环等学科团队，根据院各学科团队试验任务，辅助科技人员完成科研基地内的田间试验工作，包括样品采集，田间调查、试验数据的收集、试验小区的管理等工作。服从基地负责人的工作安排，接受负责人的检查，发现问题及时整改，完成上级交办的其他试验任务。</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标准：试验数据调查、采集准确，试验小区管理规范，小区内不混种，水、肥、病虫草害防治管理到位，保质保量完成当天工作任务。根据各个不同岗位上的工作任务，履行岗位职责，接受基地负责人考核。</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3.3实验室科研辅助人员工作要求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要求：主要服务于院资环、加工、都市和数智等学科团队，据院各学科团队实验任务，辅助科技人员完成</w:t>
      </w:r>
      <w:r>
        <w:rPr>
          <w:rFonts w:hint="default" w:ascii="宋体" w:hAnsi="宋体" w:eastAsia="宋体" w:cs="宋体"/>
          <w:color w:val="auto"/>
          <w:sz w:val="24"/>
          <w:szCs w:val="24"/>
          <w:highlight w:val="none"/>
          <w:lang w:val="en-US" w:eastAsia="zh-CN"/>
        </w:rPr>
        <w:t xml:space="preserve">农产品、土壤及水分等样品的前处理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检测分析</w:t>
      </w:r>
      <w:r>
        <w:rPr>
          <w:rFonts w:hint="eastAsia" w:ascii="宋体" w:hAnsi="宋体" w:eastAsia="宋体" w:cs="宋体"/>
          <w:color w:val="auto"/>
          <w:sz w:val="24"/>
          <w:szCs w:val="24"/>
          <w:highlight w:val="none"/>
          <w:lang w:val="en-US" w:eastAsia="zh-CN"/>
        </w:rPr>
        <w:t xml:space="preserve">以及数据整理分析汇总</w:t>
      </w:r>
      <w:r>
        <w:rPr>
          <w:rFonts w:hint="default"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标准：实验操作安全规范，保质保量完成当天检测工作任务。根据各个不同岗位上的工作任务，履行岗位职责，接受实验室负责人考核。</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3.4环境整治工作要求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要求：按照采购方要求负责所在基地的环境整治。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标准：清理基地各类生产及生活垃圾；清理堆积在田畈的秸秆、稻草，保证沟渠疏通清洁；分类收集处理农药、化肥、种子包装物及废弃农用薄膜、秧盘等农业生产废弃物；规范各类基地棚架，保存整洁、有序。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、综合要求：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在其投标文件中对于招标文件已提供以及未提供的货物或服务情况均须进行完整的阐述和说明，否则其投标文件将有被拒绝的可能。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应保证</w:t>
      </w:r>
      <w:r>
        <w:rPr>
          <w:rFonts w:hint="eastAsia" w:ascii="宋体" w:hAnsi="宋体" w:eastAsia="宋体" w:cs="宋体"/>
          <w:color w:val="auto"/>
          <w:sz w:val="24"/>
          <w:szCs w:val="24"/>
          <w:highlight w:val="none"/>
          <w:lang w:val="zh-CN"/>
        </w:rPr>
        <w:t xml:space="preserve">对所提供货物</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服务等知识产权方面的一切产权关系负全部责任</w:t>
      </w:r>
      <w:r>
        <w:rPr>
          <w:rFonts w:hint="eastAsia" w:ascii="宋体" w:hAnsi="宋体" w:eastAsia="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需编制本项目的技术方案，包括但不限于：项目需求分析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科研生产</w:t>
      </w:r>
      <w:r>
        <w:rPr>
          <w:rFonts w:hint="eastAsia" w:ascii="宋体" w:hAnsi="宋体" w:eastAsia="宋体" w:cs="宋体"/>
          <w:color w:val="auto"/>
          <w:sz w:val="24"/>
          <w:szCs w:val="24"/>
          <w:highlight w:val="none"/>
          <w:lang w:val="en-US" w:eastAsia="zh-CN"/>
        </w:rPr>
        <w:t xml:space="preserve">劳动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基地各岗位工作人员服务方案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各岗位工作人员服务方案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内部组织管理制度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提供供应商承接本项目所具有的服务优势说明</w:t>
      </w:r>
      <w:r>
        <w:rPr>
          <w:rFonts w:hint="eastAsia" w:ascii="宋体" w:hAnsi="宋体" w:eastAsia="宋体" w:cs="宋体"/>
          <w:color w:val="auto"/>
          <w:sz w:val="24"/>
          <w:szCs w:val="24"/>
          <w:highlight w:val="none"/>
          <w:lang w:val="en-US" w:eastAsia="zh-CN"/>
        </w:rPr>
        <w:t xml:space="preserve">等方案。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拟投入本项目的团队需具有履约能力，有服务项目人员，便于项目实施。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需有丰富的类似项目经验</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lang w:eastAsia="zh-CN"/>
        </w:rPr>
        <w:t xml:space="preserve">采购人指定地点（苏州大市范围内）</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服务要求：无条件响应采购人在该项目上的时间安排。</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、验收要求：标的物须符合我国最新</w:t>
      </w:r>
      <w:r>
        <w:rPr>
          <w:rFonts w:hint="eastAsia" w:ascii="宋体" w:hAnsi="宋体" w:eastAsia="宋体" w:cs="宋体"/>
          <w:color w:val="auto"/>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、凡涉及招标文件的补充说明和修改，均以苏州市政府采购网上公示信息为准。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val="0"/>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第五章 合同主要条款</w:t>
      </w:r>
      <w:bookmarkEnd w:id="8"/>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项目名称：</w:t>
      </w:r>
      <w:r>
        <w:rPr>
          <w:rFonts w:hint="eastAsia" w:ascii="宋体" w:hAnsi="宋体" w:eastAsia="宋体" w:cs="宋体"/>
          <w:b/>
          <w:bCs w:val="0"/>
          <w:color w:val="auto"/>
          <w:sz w:val="24"/>
          <w:szCs w:val="24"/>
          <w:highlight w:val="none"/>
          <w:lang w:eastAsia="zh-CN"/>
        </w:rPr>
        <w:t xml:space="preserve">2026年科研辅助服务</w:t>
      </w:r>
      <w:r>
        <w:rPr>
          <w:rFonts w:hint="eastAsia" w:ascii="宋体" w:hAnsi="宋体" w:eastAsia="宋体" w:cs="宋体"/>
          <w:b/>
          <w:bCs w:val="0"/>
          <w:color w:val="auto"/>
          <w:sz w:val="24"/>
          <w:szCs w:val="24"/>
          <w:highlight w:val="none"/>
          <w:lang w:val="en-US" w:eastAsia="zh-CN"/>
        </w:rPr>
        <w:t xml:space="preserve">项目</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项目编号：</w:t>
      </w:r>
      <w:r>
        <w:rPr>
          <w:rFonts w:hint="eastAsia" w:ascii="宋体" w:hAnsi="宋体" w:eastAsia="宋体" w:cs="宋体"/>
          <w:b/>
          <w:bCs w:val="0"/>
          <w:color w:val="auto"/>
          <w:sz w:val="24"/>
          <w:szCs w:val="24"/>
          <w:highlight w:val="none"/>
          <w:lang w:eastAsia="zh-CN"/>
        </w:rPr>
        <w:t xml:space="preserve">JSZC-320500-SZZJ-G2026-0004</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甲方（项目采购人）：</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乙方（</w:t>
      </w:r>
      <w:r>
        <w:rPr>
          <w:rFonts w:hint="eastAsia" w:ascii="宋体" w:hAnsi="宋体" w:eastAsia="宋体" w:cs="宋体"/>
          <w:b/>
          <w:bCs w:val="0"/>
          <w:color w:val="auto"/>
          <w:sz w:val="24"/>
          <w:szCs w:val="24"/>
          <w:highlight w:val="none"/>
          <w:lang w:val="en-US" w:eastAsia="zh-CN"/>
        </w:rPr>
        <w:t xml:space="preserve">中标单位</w:t>
      </w:r>
      <w:r>
        <w:rPr>
          <w:rFonts w:hint="eastAsia" w:ascii="宋体" w:hAnsi="宋体" w:eastAsia="宋体" w:cs="宋体"/>
          <w:b/>
          <w:bCs w:val="0"/>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lang w:eastAsia="zh-CN"/>
        </w:rPr>
        <w:t xml:space="preserve">2026年科研辅助服务</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方式进行采购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并依法确定乙方为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根据《中华人民共和国民法典》和《中华人民共和国政府采购法》等有关法律法规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为明确甲方和乙方</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过程中的权利、义务和经济责任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双方遵循平等、自愿、公平和诚实信用原则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经友好协商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同意按照下面的条款和条件订立本合同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以资共同遵守。</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val="en-US" w:eastAsia="zh-CN"/>
        </w:rPr>
        <w:t xml:space="preserve">乙方投标</w:t>
      </w:r>
      <w:r>
        <w:rPr>
          <w:rFonts w:hint="eastAsia" w:ascii="宋体" w:hAnsi="宋体" w:eastAsia="宋体" w:cs="宋体"/>
          <w:bCs/>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做出的有关澄清、说明或者补正文件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的文件（包括但不限于</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通知书等）；</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二、服务内容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本合同项下乙方所提供的服务内容为：详见</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文件中的采购需求。</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三、合同金额：</w:t>
      </w:r>
      <w:r>
        <w:rPr>
          <w:rFonts w:hint="eastAsia" w:ascii="宋体" w:hAnsi="宋体" w:eastAsia="宋体" w:cs="宋体"/>
          <w:bCs/>
          <w:color w:val="auto"/>
          <w:sz w:val="24"/>
          <w:szCs w:val="24"/>
          <w:highlight w:val="non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合同金额包括完成所有采购内容以及本项目所需的劳务支出、保险、配套费用、税费及服务相关等所发生的全部费用以及</w:t>
      </w:r>
      <w:r>
        <w:rPr>
          <w:rFonts w:hint="eastAsia" w:ascii="宋体" w:hAnsi="宋体" w:eastAsia="宋体" w:cs="宋体"/>
          <w:b/>
          <w:bCs w:val="0"/>
          <w:color w:val="auto"/>
          <w:sz w:val="24"/>
          <w:szCs w:val="24"/>
          <w:highlight w:val="none"/>
          <w:lang w:val="en-US" w:eastAsia="zh-CN"/>
        </w:rPr>
        <w:t xml:space="preserve">乙方</w:t>
      </w:r>
      <w:r>
        <w:rPr>
          <w:rFonts w:hint="eastAsia" w:ascii="宋体" w:hAnsi="宋体" w:eastAsia="宋体" w:cs="宋体"/>
          <w:b/>
          <w:bCs w:val="0"/>
          <w:color w:val="auto"/>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1、甲方根据乙方在本合同中所提供银行开户信息转账支付。</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应至少于付款期限届满前10个工作日书面通知甲方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否则产生的一切责任、因变更引起的额外费用由乙方承担。</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2、付款步骤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个月考核合格后付款（考核细则见附件），每次付款金额：工时费用根据乙方中标的工时单价及该次实际工时数量按实结算，实际工时数量以甲方核定为准。每次付款前，乙方凭合格的发票在该月服务工作完成且无质量问题遗留后向甲方提请支付。</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注：甲方每次付款前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乙方均应当向甲方开具等额、合法的发票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否则甲方有权延迟付款且无须承担任何责任。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五、服务履行地点、期限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1、服务履行地点：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指定地点（苏州大市范围内）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2、服务期限：</w:t>
      </w:r>
      <w:r>
        <w:rPr>
          <w:rFonts w:hint="eastAsia" w:ascii="宋体" w:hAnsi="宋体" w:eastAsia="宋体" w:cs="宋体"/>
          <w:color w:val="auto"/>
          <w:sz w:val="24"/>
          <w:szCs w:val="24"/>
          <w:highlight w:val="none"/>
          <w:lang w:eastAsia="zh-CN"/>
        </w:rPr>
        <w:t xml:space="preserve">自合同生效之日起</w:t>
      </w:r>
      <w:r>
        <w:rPr>
          <w:rFonts w:hint="eastAsia" w:ascii="宋体" w:hAnsi="宋体" w:eastAsia="宋体" w:cs="宋体"/>
          <w:color w:val="auto"/>
          <w:sz w:val="24"/>
          <w:szCs w:val="24"/>
          <w:highlight w:val="none"/>
          <w:lang w:val="en-US" w:eastAsia="zh-CN"/>
        </w:rPr>
        <w:t xml:space="preserve">至2026年12月31日</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六、服务要求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无条件响应</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在该项目上的时间安排。</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七、验收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1、验收要求参照《江苏省政府采购履约验收管理办法》相关要求执行。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2、验收标准：本合同政府采购招标文件中项目招标书的各项标准和要求。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3、任一项验收不合格的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乙方应负责在甲方限定的期限内完成整改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因整改而导致的费用和损失由乙方自行承担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若导致项目逾期的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乙方承担逾期违约责任。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4、甲方所有验收意见将以书面形式做出并加盖甲方公章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因此除非甲方书面明示通过验收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否则任何其他行为均不代表甲方已验收合格。</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八、服务质量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1、乙方应保证提供给甲方的服务完全符合本项目</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文件规定的服务标准。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3、乙方保证提供的服务符合中华人民共和国国家及行业的安全质量标准、环保标准中之较高者。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4、乙方保证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乙方依据本合同提供的服务及相关的软件和技术资料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乙方均已得到有关知识产权的权利人的合法授权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如发生涉及到专利权、著作权、商标权等争议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乙方负责处理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并承担由此引起的全部法律及经济责任。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5、乙方应保证甲方在中国境内使用服务或服务的任何一部分时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免受第三方提出的侵犯其知识产权的诉讼。如甲方因本合同项下服务成果的知识产权原因而受到第三方的索赔请求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乙方应负责处理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并承担甲方因此发生的全部费用及损失。</w:t>
      </w:r>
      <w:r/>
    </w:p>
    <w:p>
      <w:pPr>
        <w:ind w:firstLine="482"/>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 xml:space="preserve">九、履约保证金</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合同一方不履行合同义务或者履行合同义务不符合约定的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应当承担继续履行、采取补救措施或者赔偿损失等违约责任。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在合同生效后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甲方无故要求终止服务的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应向乙方偿付合同总价款的5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作为违约金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违约金不足以补偿损失的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乙方有权要求甲方补足。</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甲方逾期付款的应按照逾期付款金额的每天万分之四支付逾期付款违约金。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甲方违反合同约定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拒绝接受乙方交付的合格服务的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应当承担乙方由此造成的损失。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乙方不能服务（逾期超过24小时视为不能服务）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或服务不合格从而影响甲方按期正常使用的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甲方有权解除合同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乙方向甲方赔偿合同总价款5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的违约金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违约金不足以补偿损失的甲方有权要求乙方补足。</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乙方逾期提供服务的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应在服务前与甲方和招标代理协商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甲方仍需求的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乙方应立即提供服务并应按照逾期服务部分贷款的每天万分之四支付逾期服务违约金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同时承担甲方因此遭致的损失费用。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3、如果出现政府采购监管部门在处理投诉事项期间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通知甲方暂停采购活动的情形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或者询问或质疑事项可能影响最终成交结果的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导致甲方中止履行合同的情形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均不视为甲方违约。</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十一、合同的解除和转让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1、甲方和乙方协商一致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合同一方可以解除合同：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（1）因不可抗力致使不能实现合同目的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未受不可抗力影响的一方有权解除合同；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（2）招标文件约定的解除合同的情形。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3、政府采购合同继续履行将损害国家利益和社会公共利益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甲方有权变更、中止或者终止、解除合同。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4、乙方提交的投标材料虚假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或者乙方故意隐瞒足以导致不能中标的事实被发现的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甲方可以单方解除本合同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由此造成甲方的损失由乙方承担赔偿（包括但不限于诉讼费、合理律师费等）。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5、本合同不得以任何形式转让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否则视为乙方违约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甲方可以单方解除本合同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由此造成甲方的损失由乙方承担赔偿（包括但不限于诉讼费、合理律师费等）。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6、本合同未经甲方书面同意不得分包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否则视为乙方违约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甲方可以单方解除本合同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由此造成甲方的损失由乙方承担赔偿（包括但不限于诉讼费、合理律师费等）。</w:t>
      </w:r>
      <w:r/>
    </w:p>
    <w:p>
      <w:pPr>
        <w:pStyle w:val="984"/>
        <w:ind w:firstLine="48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7、有权解除合同的一方</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应当在违约事实或不可抗力发生之后三十天内书面通知对方以主张解除合同</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合同在书面通知到达对方时解除。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1、不可抗力指下列事件：战争、动乱、瘟疫、严重火灾、洪水、地震、风暴或其他自然灾害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以及本合同各方不可预见、不可防止并不能避免或克服的一切其他因素及事件。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2、任何一方因不可抗力不能履行本合同规定的全部或部分义务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该方应尽快通知另一方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3、发生不可抗力事件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应当及时通知对方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以减轻可能给对方造成的损失</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并应当在不可抗力发生之日起15日内提供权威部门出具的认定不可抗力的证明。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4、合同各方应根据不可抗力对本合同履行的影响程度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协商确定是否终止本合同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或是继续履行本合同。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5、本合同在执行过程中如遇政府征用土地或其他甲方不能预见的情形发生致使本合同无法履行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应视为不可抗力事件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甲方免责。本合同终止后甲方应支付乙方实际履行时间（天数）的服务款项（单价不予调整）。</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十三、保密条款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1、任何一方对其获知的本合同及附件中其他各方的商业秘密和国家秘密等非公开信息负有保密义务。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2、在下列情形下：当国家机关调查、审查、审计时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以及其他符合法律规定的情形下</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但应当在合理的必要范围内。对任何已经公布过的内容或与之内容相同的资料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以及乙方已经泄露或公开的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无须再承担保密责任。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3、此外的其他情形下</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除非法律、法规另有规定或得到本合同之其他各方的书面许可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十四、联系方式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1、合同双方发出与本合同有关的通知或回复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应以专人送递、传真或特快专递方式发出；如果以专人送递或特快专递发送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以送达至对方的住所地或通讯联络地为送达；如果以传真方式发送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发件人在收到传真报告后视为送达；如果采用电话或电子邮件的方式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则应在发送后由对方以书面方式予以确认。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2、合同双方发出的与本合同有关的通知或回复均应发至本合同首部载明的通讯地址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一方变更通讯地址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应自变更之日起3个工作日内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将变更后的地址通知对方。变更方不履行通知义务的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应对此造成的一切后果承担法律责任。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3、上述发出通知、回复的费用由发出一方承担。</w:t>
      </w:r>
      <w:r/>
    </w:p>
    <w:p>
      <w:pPr>
        <w:ind w:firstLine="482"/>
        <w:spacing w:line="360" w:lineRule="auto"/>
        <w:rPr>
          <w:rFonts w:hint="eastAsia" w:ascii="宋体" w:hAnsi="宋体" w:eastAsia="宋体" w:cs="宋体"/>
          <w:b/>
          <w:color w:val="auto"/>
          <w:sz w:val="24"/>
          <w:szCs w:val="24"/>
          <w:highlight w:val="none"/>
        </w:rPr>
      </w:pPr>
      <w:r/>
      <w:bookmarkStart w:id="9" w:name="_Toc9497"/>
      <w:r/>
      <w:bookmarkStart w:id="10" w:name="_Toc30329"/>
      <w:r/>
      <w:bookmarkStart w:id="11" w:name="_Toc26807"/>
      <w:r/>
      <w:bookmarkStart w:id="12" w:name="_Toc32454"/>
      <w:r/>
      <w:bookmarkStart w:id="13" w:name="_Toc51257766"/>
      <w:r/>
      <w:bookmarkStart w:id="14" w:name="_Toc18683"/>
      <w:r>
        <w:rPr>
          <w:rFonts w:hint="eastAsia" w:ascii="宋体" w:hAnsi="宋体" w:eastAsia="宋体" w:cs="宋体"/>
          <w:b/>
          <w:color w:val="auto"/>
          <w:sz w:val="24"/>
          <w:szCs w:val="24"/>
          <w:highlight w:val="none"/>
        </w:rPr>
        <w:t xml:space="preserve">十五、争议的解决</w:t>
      </w:r>
      <w:bookmarkEnd w:id="9"/>
      <w:r/>
      <w:bookmarkEnd w:id="10"/>
      <w:r/>
      <w:bookmarkEnd w:id="11"/>
      <w:r/>
      <w:bookmarkEnd w:id="12"/>
      <w:r/>
      <w:bookmarkEnd w:id="13"/>
      <w:r/>
      <w:bookmarkEnd w:id="1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与本合同有关的一切争议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双方应通过友好协商解决。如果经协商不能达成协议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可以向甲方所在地有管辖权的人民法院起诉。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十六、合同生效及其他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1、本合同经甲乙双方签</w:t>
      </w:r>
      <w:r>
        <w:rPr>
          <w:rFonts w:hint="eastAsia" w:ascii="宋体" w:hAnsi="宋体" w:eastAsia="宋体" w:cs="宋体"/>
          <w:bCs/>
          <w:color w:val="auto"/>
          <w:sz w:val="24"/>
          <w:szCs w:val="24"/>
          <w:highlight w:val="none"/>
          <w:lang w:val="en-US" w:eastAsia="zh-CN"/>
        </w:rPr>
        <w:t xml:space="preserve">字盖</w:t>
      </w:r>
      <w:r>
        <w:rPr>
          <w:rFonts w:hint="eastAsia" w:ascii="宋体" w:hAnsi="宋体" w:eastAsia="宋体" w:cs="宋体"/>
          <w:bCs/>
          <w:color w:val="auto"/>
          <w:sz w:val="24"/>
          <w:szCs w:val="24"/>
          <w:highlight w:val="none"/>
        </w:rPr>
        <w:t xml:space="preserve">章之日起生效。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2、本合同系指本文件及其附件中的所有部分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通知书、</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在招标过程中的澄清和承诺等为本合同不可缺少的组成部分。本合同履行过程中发生相关修改内容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须符合《中华人民共和国政府采购法》和相关法律法规规定；补充协议作为本合同不可分割的一部分。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3、本合同壹式肆份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甲乙双方各执壹份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采购代理机构贰份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具有同等法律效力。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4、本合同应按照中华人民共和国的现行法律进行解释。</w:t>
      </w:r>
      <w:r/>
    </w:p>
    <w:p>
      <w:pPr>
        <w:pStyle w:val="934"/>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乙    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名称(公章)：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名称(公章)：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法定代表人/负责人：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法定代表人/负责人：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或授权代理人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或授权代理人：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（签字）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（签字）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签订日期：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签订日期：</w:t>
      </w:r>
      <w:r/>
    </w:p>
    <w:p>
      <w:pPr>
        <w:rPr>
          <w:rFonts w:hint="eastAsia"/>
          <w:color w:val="auto"/>
        </w:rPr>
      </w:pPr>
      <w:r>
        <w:rPr>
          <w:rFonts w:hint="eastAsia" w:ascii="宋体" w:hAnsi="宋体" w:eastAsia="宋体" w:cs="宋体"/>
          <w:bCs/>
          <w:color w:val="auto"/>
          <w:sz w:val="24"/>
          <w:szCs w:val="24"/>
          <w:highlight w:val="none"/>
        </w:rPr>
        <w:br w:type="page" w:clear="all"/>
      </w:r>
      <w:r/>
    </w:p>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附件：</w:t>
      </w:r>
      <w:r>
        <w:rPr>
          <w:rFonts w:hint="eastAsia" w:ascii="宋体" w:hAnsi="宋体" w:eastAsia="宋体" w:cs="宋体"/>
          <w:color w:val="auto"/>
          <w:sz w:val="24"/>
          <w:szCs w:val="24"/>
        </w:rPr>
        <w:t xml:space="preserve">《苏州市农业科学院科研生产管理与辅助人员管理考核细则》</w:t>
      </w:r>
      <w:r/>
    </w:p>
    <w:tbl>
      <w:tblPr>
        <w:tblStyle w:val="9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1276"/>
        <w:gridCol w:w="2068"/>
        <w:gridCol w:w="3885"/>
        <w:gridCol w:w="1099"/>
      </w:tblGrid>
      <w:tr>
        <w:trPr>
          <w:jc w:val="center"/>
          <w:trHeight w:val="567"/>
        </w:trPr>
        <w:tc>
          <w:tcPr>
            <w:gridSpan w:val="5"/>
            <w:tcW w:w="9854"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      科研管理与辅助人员考核表</w:t>
            </w:r>
            <w:r>
              <w:rPr>
                <w:rFonts w:hint="eastAsia" w:ascii="宋体" w:hAnsi="宋体" w:eastAsia="宋体" w:cs="宋体"/>
                <w:color w:val="auto"/>
                <w:sz w:val="24"/>
                <w:szCs w:val="24"/>
              </w:rPr>
              <w:t xml:space="preserve">                                                                </w:t>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被考评对象</w:t>
            </w:r>
            <w:r/>
          </w:p>
        </w:tc>
        <w:tc>
          <w:tcPr>
            <w:gridSpan w:val="2"/>
            <w:tcW w:w="3344" w:type="dxa"/>
            <w:vAlign w:val="center"/>
            <w:textDirection w:val="lrTb"/>
            <w:noWrap w:val="false"/>
          </w:tcPr>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　</w:t>
            </w:r>
            <w:r/>
          </w:p>
        </w:tc>
        <w:tc>
          <w:tcPr>
            <w:gridSpan w:val="2"/>
            <w:tcW w:w="4984" w:type="dxa"/>
            <w:vAlign w:val="center"/>
            <w:textDirection w:val="lrTb"/>
            <w:noWrap w:val="false"/>
          </w:tcPr>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基地名称：　</w:t>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考评人</w:t>
            </w:r>
            <w:r/>
          </w:p>
        </w:tc>
        <w:tc>
          <w:tcPr>
            <w:gridSpan w:val="2"/>
            <w:tcW w:w="3344" w:type="dxa"/>
            <w:vAlign w:val="center"/>
            <w:textDirection w:val="lrTb"/>
            <w:noWrap w:val="false"/>
          </w:tcPr>
          <w:p>
            <w:pP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　</w:t>
            </w:r>
            <w:r/>
          </w:p>
        </w:tc>
        <w:tc>
          <w:tcPr>
            <w:gridSpan w:val="2"/>
            <w:tcW w:w="4984" w:type="dxa"/>
            <w:vAlign w:val="center"/>
            <w:textDirection w:val="lrTb"/>
            <w:noWrap w:val="false"/>
          </w:tcPr>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考评时间：           至</w:t>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考核序号</w:t>
            </w:r>
            <w:r/>
          </w:p>
        </w:tc>
        <w:tc>
          <w:tcPr>
            <w:tcW w:w="127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扣分标准</w:t>
            </w:r>
            <w:r/>
          </w:p>
        </w:tc>
        <w:tc>
          <w:tcPr>
            <w:gridSpan w:val="2"/>
            <w:tcW w:w="5953"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指标具体内容</w:t>
            </w:r>
            <w:r/>
          </w:p>
        </w:tc>
        <w:tc>
          <w:tcPr>
            <w:tcW w:w="1099"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t xml:space="preserve">考核评价扣分</w:t>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5分/人天</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每周在岗人员未按</w:t>
            </w:r>
            <w:r>
              <w:rPr>
                <w:rFonts w:hint="eastAsia" w:ascii="宋体" w:hAnsi="宋体" w:eastAsia="宋体" w:cs="宋体"/>
                <w:color w:val="auto"/>
                <w:sz w:val="24"/>
                <w:szCs w:val="24"/>
                <w:lang w:val="en-US" w:eastAsia="zh-CN"/>
              </w:rPr>
              <w:t xml:space="preserve">甲</w:t>
            </w:r>
            <w:r>
              <w:rPr>
                <w:rFonts w:hint="eastAsia" w:ascii="宋体" w:hAnsi="宋体" w:eastAsia="宋体" w:cs="宋体"/>
                <w:color w:val="auto"/>
                <w:sz w:val="24"/>
                <w:szCs w:val="24"/>
              </w:rPr>
              <w:t xml:space="preserve">方要求配齐</w:t>
            </w:r>
            <w:r/>
          </w:p>
        </w:tc>
        <w:tc>
          <w:tcPr>
            <w:tcW w:w="1099" w:type="dxa"/>
            <w:vAlign w:val="center"/>
            <w:textDirection w:val="lrTb"/>
            <w:noWrap w:val="false"/>
          </w:tcPr>
          <w:p>
            <w:pPr>
              <w:jc w:val="left"/>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5分/次</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不能按照</w:t>
            </w:r>
            <w:r>
              <w:rPr>
                <w:rFonts w:hint="eastAsia" w:ascii="宋体" w:hAnsi="宋体" w:eastAsia="宋体" w:cs="宋体"/>
                <w:color w:val="auto"/>
                <w:sz w:val="24"/>
                <w:szCs w:val="24"/>
                <w:lang w:val="en-US" w:eastAsia="zh-CN"/>
              </w:rPr>
              <w:t xml:space="preserve">甲</w:t>
            </w:r>
            <w:r>
              <w:rPr>
                <w:rFonts w:hint="eastAsia" w:ascii="宋体" w:hAnsi="宋体" w:eastAsia="宋体" w:cs="宋体"/>
                <w:color w:val="auto"/>
                <w:sz w:val="24"/>
                <w:szCs w:val="24"/>
              </w:rPr>
              <w:t xml:space="preserve">方要求，及时完成每周基地工作任务</w:t>
            </w:r>
            <w:r/>
          </w:p>
        </w:tc>
        <w:tc>
          <w:tcPr>
            <w:tcW w:w="1099" w:type="dxa"/>
            <w:vAlign w:val="center"/>
            <w:textDirection w:val="lrTb"/>
            <w:noWrap w:val="false"/>
          </w:tcPr>
          <w:p>
            <w:pPr>
              <w:jc w:val="left"/>
              <w:spacing w:line="360" w:lineRule="auto"/>
              <w:widowControl/>
              <w:rPr>
                <w:rFonts w:ascii="宋体" w:hAnsi="宋体" w:eastAsia="宋体" w:cs="宋体"/>
                <w:bCs/>
                <w:color w:val="auto"/>
                <w:sz w:val="24"/>
                <w:szCs w:val="24"/>
              </w:rPr>
            </w:pPr>
            <w:r>
              <w:rPr>
                <w:rFonts w:ascii="宋体" w:hAnsi="宋体" w:eastAsia="宋体" w:cs="宋体"/>
                <w:bCs/>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5分/次</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不按时交接班，迟到、早退</w:t>
            </w:r>
            <w:r/>
          </w:p>
        </w:tc>
        <w:tc>
          <w:tcPr>
            <w:tcW w:w="1099" w:type="dxa"/>
            <w:vAlign w:val="center"/>
            <w:textDirection w:val="lrTb"/>
            <w:noWrap w:val="false"/>
          </w:tcPr>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5分/次</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管理好工作环境，保持基地及周边整洁卫生，不履行的</w:t>
            </w:r>
            <w:r/>
          </w:p>
        </w:tc>
        <w:tc>
          <w:tcPr>
            <w:tcW w:w="1099" w:type="dxa"/>
            <w:vAlign w:val="center"/>
            <w:textDirection w:val="lrTb"/>
            <w:noWrap w:val="false"/>
          </w:tcPr>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5</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10分/次</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工作人员应服从院方管理部门在其职责范围内的工作安排，按时保质保量完成任务，不听从院方工作安排，不服从分配、不听从指挥的</w:t>
            </w:r>
            <w:r/>
          </w:p>
        </w:tc>
        <w:tc>
          <w:tcPr>
            <w:tcW w:w="1099" w:type="dxa"/>
            <w:vAlign w:val="center"/>
            <w:textDirection w:val="lrTb"/>
            <w:noWrap w:val="false"/>
          </w:tcPr>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6</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10分/次</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工作台帐（包括人员考勤、农药和肥料使用等台账）不全混乱的</w:t>
            </w:r>
            <w:r/>
          </w:p>
        </w:tc>
        <w:tc>
          <w:tcPr>
            <w:tcW w:w="1099" w:type="dxa"/>
            <w:vAlign w:val="center"/>
            <w:textDirection w:val="lrTb"/>
            <w:noWrap w:val="false"/>
          </w:tcPr>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7</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10分/次</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每月未及时向院方管理部门汇报工作情况，未听取院方</w:t>
            </w:r>
            <w:r>
              <w:rPr>
                <w:rFonts w:hint="eastAsia" w:ascii="宋体" w:hAnsi="宋体" w:eastAsia="宋体" w:cs="宋体"/>
                <w:color w:val="auto"/>
                <w:sz w:val="24"/>
                <w:szCs w:val="24"/>
                <w:lang w:val="en-US" w:eastAsia="zh-CN"/>
              </w:rPr>
              <w:t xml:space="preserve">相关</w:t>
            </w:r>
            <w:r>
              <w:rPr>
                <w:rFonts w:hint="eastAsia" w:ascii="宋体" w:hAnsi="宋体" w:eastAsia="宋体" w:cs="宋体"/>
                <w:color w:val="auto"/>
                <w:sz w:val="24"/>
                <w:szCs w:val="24"/>
              </w:rPr>
              <w:t xml:space="preserve">部门的意见反馈、未配合院方管理部门进行满意度调查的</w:t>
            </w:r>
            <w:r/>
          </w:p>
        </w:tc>
        <w:tc>
          <w:tcPr>
            <w:tcW w:w="1099" w:type="dxa"/>
            <w:vAlign w:val="center"/>
            <w:textDirection w:val="lrTb"/>
            <w:noWrap w:val="false"/>
          </w:tcPr>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8</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10分/起</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不执行工作制度和院方规定、造成经济损失的，全额进行经济赔偿；造成严重后果者的除按上述规定处理外，当事人解除聘用，并按照合同规定追究相关责任</w:t>
            </w:r>
            <w:r/>
          </w:p>
        </w:tc>
        <w:tc>
          <w:tcPr>
            <w:tcW w:w="1099" w:type="dxa"/>
            <w:vAlign w:val="center"/>
            <w:textDirection w:val="lrTb"/>
            <w:noWrap w:val="false"/>
          </w:tcPr>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9</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5分/次</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工作人员损坏装备、破坏公物者，照价赔偿</w:t>
            </w:r>
            <w:r/>
          </w:p>
        </w:tc>
        <w:tc>
          <w:tcPr>
            <w:tcW w:w="1099" w:type="dxa"/>
            <w:vAlign w:val="center"/>
            <w:textDirection w:val="lrTb"/>
            <w:noWrap w:val="false"/>
          </w:tcPr>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10</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10分/起</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工作人员监守自盗者，解除当事人聘用，并按照合同规定追究相关责任</w:t>
            </w:r>
            <w:r/>
          </w:p>
        </w:tc>
        <w:tc>
          <w:tcPr>
            <w:tcW w:w="1099" w:type="dxa"/>
            <w:vAlign w:val="center"/>
            <w:textDirection w:val="lrTb"/>
            <w:noWrap w:val="false"/>
          </w:tcPr>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11</w:t>
            </w:r>
            <w:r/>
          </w:p>
        </w:tc>
        <w:tc>
          <w:tcPr>
            <w:tcW w:w="127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20分/起</w:t>
            </w:r>
            <w:r/>
          </w:p>
        </w:tc>
        <w:tc>
          <w:tcPr>
            <w:gridSpan w:val="2"/>
            <w:tcW w:w="5953" w:type="dxa"/>
            <w:vAlign w:val="center"/>
            <w:textDirection w:val="lrTb"/>
            <w:noWrap w:val="false"/>
          </w:tcPr>
          <w:p>
            <w:pPr>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泄露基地内部事务或其他秘密情况、试验资料的</w:t>
            </w:r>
            <w:r/>
          </w:p>
        </w:tc>
        <w:tc>
          <w:tcPr>
            <w:tcW w:w="1099" w:type="dxa"/>
            <w:vAlign w:val="center"/>
            <w:textDirection w:val="lrTb"/>
            <w:noWrap w:val="false"/>
          </w:tcPr>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gridSpan w:val="4"/>
            <w:tcW w:w="8755"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合计</w:t>
            </w:r>
            <w:r/>
          </w:p>
        </w:tc>
        <w:tc>
          <w:tcPr>
            <w:tcW w:w="1099" w:type="dxa"/>
            <w:vAlign w:val="center"/>
            <w:textDirection w:val="lrTb"/>
            <w:noWrap w:val="false"/>
          </w:tcPr>
          <w:p>
            <w:pPr>
              <w:jc w:val="center"/>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526"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评语</w:t>
            </w:r>
            <w:r/>
          </w:p>
        </w:tc>
        <w:tc>
          <w:tcPr>
            <w:gridSpan w:val="4"/>
            <w:tcW w:w="8328" w:type="dxa"/>
            <w:vAlign w:val="center"/>
            <w:textDirection w:val="lrTb"/>
            <w:noWrap w:val="false"/>
          </w:tcPr>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jc w:val="center"/>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p>
            <w:pPr>
              <w:jc w:val="cente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                 签名：                  考核日期：</w:t>
            </w:r>
            <w:r/>
          </w:p>
        </w:tc>
      </w:tr>
      <w:tr>
        <w:trPr>
          <w:jc w:val="center"/>
          <w:trHeight w:val="567"/>
        </w:trPr>
        <w:tc>
          <w:tcPr>
            <w:tcW w:w="1526" w:type="dxa"/>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处罚办法</w:t>
            </w:r>
            <w:r/>
          </w:p>
        </w:tc>
        <w:tc>
          <w:tcPr>
            <w:gridSpan w:val="4"/>
            <w:tcW w:w="8328"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1、每月考核原始分值100分，根据基地劳务工作人员考核结果进行扣分，</w:t>
            </w:r>
            <w:r>
              <w:rPr>
                <w:rFonts w:hint="eastAsia" w:ascii="宋体" w:hAnsi="宋体" w:eastAsia="宋体" w:cs="宋体"/>
                <w:bCs/>
                <w:color w:val="auto"/>
                <w:sz w:val="24"/>
                <w:szCs w:val="24"/>
              </w:rPr>
              <w:t xml:space="preserve">每月实际费用支出根据</w:t>
            </w:r>
            <w:r>
              <w:rPr>
                <w:rFonts w:hint="eastAsia" w:ascii="宋体" w:hAnsi="宋体" w:eastAsia="宋体" w:cs="宋体"/>
                <w:color w:val="auto"/>
                <w:sz w:val="24"/>
                <w:szCs w:val="24"/>
              </w:rPr>
              <w:t xml:space="preserve">基地劳务工作人员</w:t>
            </w:r>
            <w:r>
              <w:rPr>
                <w:rFonts w:hint="eastAsia" w:ascii="宋体" w:hAnsi="宋体" w:eastAsia="宋体" w:cs="宋体"/>
                <w:bCs/>
                <w:color w:val="auto"/>
                <w:sz w:val="24"/>
                <w:szCs w:val="24"/>
              </w:rPr>
              <w:t xml:space="preserve">实际在岗人数及考评情况进行占比汇总，每月平均分高于85分（含85分）可获取全款，85分以下按照实际扣除分数折算扣除相应百分比。</w:t>
            </w:r>
            <w:r/>
          </w:p>
        </w:tc>
      </w:tr>
    </w:tbl>
    <w:p>
      <w:pP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p>
      <w:pP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p>
      <w:pPr>
        <w:pStyle w:val="931"/>
        <w:rPr>
          <w:rFonts w:hint="eastAsia"/>
          <w:color w:val="auto"/>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color w:val="auto"/>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第六章 </w:t>
      </w:r>
      <w:r>
        <w:rPr>
          <w:rFonts w:hint="eastAsia" w:ascii="宋体" w:hAnsi="宋体" w:eastAsia="宋体" w:cs="宋体"/>
          <w:b/>
          <w:bCs w:val="0"/>
          <w:color w:val="auto"/>
          <w:sz w:val="24"/>
          <w:szCs w:val="24"/>
          <w:highlight w:val="none"/>
          <w:lang w:val="en-US" w:eastAsia="zh-CN"/>
        </w:rPr>
        <w:t xml:space="preserve">评分方法和</w:t>
      </w:r>
      <w:r>
        <w:rPr>
          <w:rFonts w:hint="eastAsia" w:ascii="宋体" w:hAnsi="宋体" w:eastAsia="宋体" w:cs="宋体"/>
          <w:b/>
          <w:bCs w:val="0"/>
          <w:color w:val="auto"/>
          <w:sz w:val="24"/>
          <w:szCs w:val="24"/>
          <w:highlight w:val="none"/>
        </w:rPr>
        <w:t xml:space="preserve">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w:t>
      </w:r>
      <w:r>
        <w:rPr>
          <w:rFonts w:hint="eastAsia" w:ascii="宋体" w:hAnsi="宋体" w:eastAsia="宋体" w:cs="宋体"/>
          <w:b/>
          <w:color w:val="auto"/>
          <w:sz w:val="24"/>
          <w:szCs w:val="24"/>
          <w:highlight w:val="none"/>
          <w:lang w:val="en-US" w:eastAsia="zh-CN"/>
        </w:rPr>
        <w:t xml:space="preserve">分方法</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0％（权重），技术及其他分值占总分值的比重为</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0％（权重）。</w:t>
      </w:r>
      <w:r/>
    </w:p>
    <w:p>
      <w:pPr>
        <w:numPr>
          <w:ilvl w:val="0"/>
          <w:numId w:val="0"/>
        </w:numPr>
        <w:ind w:left="-20" w:firstLine="482"/>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价格分值</w:t>
      </w:r>
      <w:r>
        <w:rPr>
          <w:rFonts w:hint="eastAsia" w:ascii="宋体" w:hAnsi="宋体" w:eastAsia="宋体" w:cs="宋体"/>
          <w:b/>
          <w:color w:val="auto"/>
          <w:sz w:val="24"/>
          <w:szCs w:val="24"/>
          <w:highlight w:val="none"/>
          <w:lang w:val="en-US" w:eastAsia="zh-CN" w:bidi="ar-SA"/>
        </w:rPr>
        <w:t xml:space="preserve">：30分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第一步：投标报价不高于采购预算及最高限价的为有效报价，超出此范围的投标报价为无效报价，其投标文件不予评审，也不得标。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文件实质性要求且投标价格最低的投标有效报价为评标基准价，其价格分为满分，即</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0分。其他有效投标报价得分统一按照下列公式计算：（计算结果均四舍五入保留两位小数）</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0％×100</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（二）技术及其他分值：</w:t>
      </w:r>
      <w:r>
        <w:rPr>
          <w:rFonts w:ascii="宋体" w:hAnsi="宋体" w:eastAsia="宋体" w:cs="宋体"/>
          <w:b/>
          <w:bCs/>
          <w:color w:val="auto"/>
          <w:sz w:val="24"/>
          <w:szCs w:val="24"/>
          <w:highlight w:val="none"/>
        </w:rPr>
        <w:t xml:space="preserve">70</w:t>
      </w:r>
      <w:r>
        <w:rPr>
          <w:rFonts w:hint="eastAsia" w:ascii="宋体" w:hAnsi="宋体" w:eastAsia="宋体" w:cs="宋体"/>
          <w:b/>
          <w:bCs/>
          <w:color w:val="auto"/>
          <w:sz w:val="24"/>
          <w:szCs w:val="24"/>
          <w:highlight w:val="none"/>
        </w:rPr>
        <w:t xml:space="preserve">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1、项目需求分析。</w:t>
      </w:r>
      <w:r>
        <w:rPr>
          <w:rFonts w:hint="eastAsia" w:ascii="宋体" w:hAnsi="宋体" w:eastAsia="宋体" w:cs="宋体"/>
          <w:color w:val="auto"/>
          <w:sz w:val="24"/>
          <w:szCs w:val="24"/>
          <w:highlight w:val="none"/>
          <w:lang w:val="en-US" w:eastAsia="zh-CN"/>
        </w:rPr>
        <w:t xml:space="preserve">根据本项目实际工作需求，</w:t>
      </w:r>
      <w:r>
        <w:rPr>
          <w:rFonts w:hint="eastAsia" w:ascii="宋体" w:hAnsi="宋体" w:eastAsia="宋体" w:cs="宋体"/>
          <w:color w:val="auto"/>
          <w:sz w:val="24"/>
          <w:szCs w:val="24"/>
          <w:highlight w:val="none"/>
        </w:rPr>
        <w:t xml:space="preserve">提出针对性强且合理可行的具体方案及说明</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方案详细完整、措施科学合理、技术可行性强、流程标准规范的得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方案较为完整、措施较为合理、技术可行性一般、流程基本规范的得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方案简单笼统、措施合理性不足、技术可行性较弱、流程规范性不足的得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分，与项目实际不符或不提供内容的不得分。</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科研生产</w:t>
      </w:r>
      <w:r>
        <w:rPr>
          <w:rFonts w:hint="eastAsia" w:ascii="宋体" w:hAnsi="宋体" w:eastAsia="宋体" w:cs="宋体"/>
          <w:color w:val="auto"/>
          <w:sz w:val="24"/>
          <w:szCs w:val="24"/>
          <w:highlight w:val="none"/>
          <w:lang w:val="en-US" w:eastAsia="zh-CN"/>
        </w:rPr>
        <w:t xml:space="preserve">劳动</w:t>
      </w:r>
      <w:r>
        <w:rPr>
          <w:rFonts w:hint="eastAsia" w:ascii="宋体" w:hAnsi="宋体" w:eastAsia="宋体" w:cs="宋体"/>
          <w:color w:val="auto"/>
          <w:sz w:val="24"/>
          <w:szCs w:val="24"/>
          <w:highlight w:val="none"/>
        </w:rPr>
        <w:t xml:space="preserve">整体设想，内容须至少包括：服务理念、管理模式和项目管理组织结构图。</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方案详细完整、措施科学合理、技术可行性强、流程标准规范的得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方案较为完整、措施较为合理、技术可行性一般、流程基本规范的得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方案简单笼统、措施合理性不足、技术可行性较弱、流程规范性不足的得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分，与项目实际不符或不提供内容的不得分。</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基地各岗位工作人员服务方案，内容须至少包括：服务内容、服务标准、工作流程、人员职责和人员排班方案。</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方案详细完整、措施科学合理、技术可行性强、流程标准规范的得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方案较为完整、措施较为合理、技术可行性一般、流程基本规范的得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方案简单笼统、措施合理性不足、技术可行性较弱、流程规范性不足的得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分，与项目实际不符或不提供内容的不得分。</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内部组织管理制度，内容须至少包括：质量考核、人员行为规范和奖惩细则以及相关应急处理预案。</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方案详细完整、措施科学合理、技术可行性强、流程标准规范的得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方案较为完整、措施较为合理、技术可行性一般、流程基本规范的得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方案简单笼统、措施合理性不足、技术可行性较弱、流程规范性不足的得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color w:val="auto"/>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分，与项目实际不符或不提供内容的不得分。</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提供供应商承接本项目所具有的服务优势说明。</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方案详细完整、措施科学合理、技术可行性强、流程标准规范的得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方案较为完整、措施较为合理、技术可行性一般、流程基本规范的得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方案简单笼统、措施合理性不足、技术可行性较弱、流程规范性不足的得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color w:val="auto"/>
        </w:rPr>
      </w:pP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分，与项目实际不符或不提供内容的不得分。</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提供自20</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年至今（以合同签订时间为准）由供应商独立承担的类似项目业绩合同，每份</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分，最高15分。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评标说明：</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、其他评标未尽事宜由评标委员会根据有关规定讨论决定。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针对中小型企业的评审：</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（1）本项目专门面向中小企业采购。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小微企业不得将合同分包给大中型企业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中型企业不得将合同分包给大型企业。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bCs/>
          <w:color w:val="auto"/>
          <w:sz w:val="24"/>
          <w:szCs w:val="24"/>
          <w:highlight w:val="none"/>
        </w:rPr>
        <w:t xml:space="preserve">农、林、牧、渔业</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1039"/>
          <w:rFonts w:hint="eastAsia" w:ascii="宋体" w:hAnsi="宋体" w:eastAsia="宋体" w:cs="宋体"/>
          <w:bCs/>
          <w:color w:val="auto"/>
          <w:sz w:val="24"/>
          <w:szCs w:val="24"/>
          <w:highlight w:val="none"/>
          <w:lang w:val="en-US" w:eastAsia="zh-CN"/>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供应商提供的货物既有中小企业制造货物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也有大型企业制造货物的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按政府采购相关规定处理并报请政府监管部门给予行政处罚。</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未按</w:t>
      </w:r>
      <w:r>
        <w:rPr>
          <w:rFonts w:hint="eastAsia" w:ascii="宋体" w:hAnsi="宋体" w:eastAsia="宋体" w:cs="宋体"/>
          <w:b w:val="0"/>
          <w:bCs w:val="0"/>
          <w:color w:val="auto"/>
          <w:sz w:val="24"/>
          <w:szCs w:val="24"/>
          <w:highlight w:val="none"/>
        </w:rPr>
        <w:t xml:space="preserve">本项目采购标的对应的中小企业划型标准规定所属行业</w:t>
      </w:r>
      <w:r>
        <w:rPr>
          <w:rFonts w:hint="eastAsia" w:ascii="宋体" w:hAnsi="宋体" w:eastAsia="宋体" w:cs="宋体"/>
          <w:b w:val="0"/>
          <w:bCs w:val="0"/>
          <w:color w:val="auto"/>
          <w:sz w:val="24"/>
          <w:szCs w:val="24"/>
          <w:highlight w:val="none"/>
          <w:lang w:eastAsia="zh-CN"/>
        </w:rPr>
        <w:t xml:space="preserve">承诺的</w:t>
      </w:r>
      <w:r>
        <w:rPr>
          <w:rFonts w:hint="eastAsia" w:ascii="宋体" w:hAnsi="宋体" w:eastAsia="宋体" w:cs="宋体"/>
          <w:b w:val="0"/>
          <w:bCs w:val="0"/>
          <w:color w:val="auto"/>
          <w:sz w:val="24"/>
          <w:szCs w:val="24"/>
          <w:highlight w:val="none"/>
        </w:rPr>
        <w:t xml:space="preserve">《中小企业声明函》</w:t>
      </w:r>
      <w:r>
        <w:rPr>
          <w:rFonts w:hint="eastAsia" w:ascii="宋体" w:hAnsi="宋体" w:eastAsia="宋体" w:cs="宋体"/>
          <w:b w:val="0"/>
          <w:bCs w:val="0"/>
          <w:color w:val="auto"/>
          <w:sz w:val="24"/>
          <w:szCs w:val="24"/>
          <w:highlight w:val="none"/>
          <w:lang w:eastAsia="zh-CN"/>
        </w:rPr>
        <w:t xml:space="preserve">为无效</w:t>
      </w:r>
      <w:r>
        <w:rPr>
          <w:rFonts w:hint="eastAsia" w:ascii="宋体" w:hAnsi="宋体" w:eastAsia="宋体" w:cs="宋体"/>
          <w:b w:val="0"/>
          <w:bCs w:val="0"/>
          <w:color w:val="auto"/>
          <w:sz w:val="24"/>
          <w:szCs w:val="24"/>
          <w:highlight w:val="none"/>
        </w:rPr>
        <w:t xml:space="preserve">《中小企业声明函》</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、针对监狱企业的评审：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对属于监狱企业的供应商给予评审：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、针对残疾人福利性单位的评审：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若供应商提供的《残疾人福利性单位声明函》与事实不符的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依照《政府采购法》第七十七条第一款的规定追究法律责任。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采购代理机构将随中标结果同时公告其《残疾人福利性单位声明函》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接受社会监督。</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、上述针对中小型企业、监狱企业和残疾人福利性单位的评审政策不重复享受。</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righ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全文完</w:t>
      </w:r>
      <w:r>
        <w:rPr>
          <w:rFonts w:hint="eastAsia" w:ascii="宋体" w:hAnsi="宋体" w:eastAsia="宋体" w:cs="宋体"/>
          <w:color w:val="auto"/>
          <w:sz w:val="24"/>
          <w:szCs w:val="24"/>
          <w:highlight w:val="none"/>
          <w:lang w:eastAsia="zh-CN"/>
        </w:rPr>
        <w:t xml:space="preserve">）</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w:panose1 w:val="020F0502020204030204"/>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0"/>
      </w:rPr>
      <w:framePr w:wrap="around" w:vAnchor="text" w:hAnchor="margin" w:xAlign="right" w:y="1"/>
    </w:pPr>
    <w:r>
      <w:fldChar w:fldCharType="begin"/>
    </w:r>
    <w:r>
      <w:rPr>
        <w:rStyle w:val="970"/>
      </w:rPr>
      <w:instrText xml:space="preserve">PAGE  </w:instrText>
    </w:r>
    <w:r>
      <w:fldChar w:fldCharType="end"/>
    </w:r>
    <w:r/>
  </w:p>
  <w:p>
    <w:pPr>
      <w:pStyle w:val="94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46"/>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6"/>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right="360"/>
      <w:rPr>
        <w:rFonts w:hint="eastAsia" w:ascii="宋体" w:hAnsi="宋体" w:eastAsia="宋体" w:cs="宋体"/>
      </w:rPr>
    </w:pPr>
    <w:r>
      <w:rPr>
        <w:rFonts w:hint="eastAsia" w:ascii="宋体" w:hAnsi="宋体"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rPr>
        <w:rFonts w:hint="eastAsia" w:ascii="宋体" w:hAnsi="宋体" w:eastAsia="宋体" w:cs="宋体"/>
        <w:sz w:val="21"/>
        <w:szCs w:val="21"/>
        <w:lang w:eastAsia="zh-CN"/>
      </w:rPr>
    </w:pPr>
    <w:r>
      <w:rPr>
        <w:rFonts w:hint="eastAsia" w:ascii="宋体" w:hAnsi="宋体" w:eastAsia="宋体" w:cs="宋体"/>
        <w:sz w:val="21"/>
        <w:szCs w:val="21"/>
      </w:rPr>
      <w:t xml:space="preserve">政府采购招标文件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JSZC-320500-SZZJ-G2026-0004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pStyle w:val="99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19"/>
      <w:isLgl w:val="false"/>
      <w:suff w:val="tab"/>
      <w:lvlText w:val="%1.%2.%3.%4.%5"/>
      <w:lvlJc w:val="left"/>
      <w:pPr>
        <w:ind w:left="1008" w:hanging="1008"/>
        <w:tabs>
          <w:tab w:val="left" w:pos="1008" w:leader="none"/>
        </w:tabs>
      </w:pPr>
    </w:lvl>
    <w:lvl w:ilvl="5">
      <w:start w:val="1"/>
      <w:numFmt w:val="decimal"/>
      <w:pStyle w:val="920"/>
      <w:isLgl w:val="false"/>
      <w:suff w:val="tab"/>
      <w:lvlText w:val="%1.%2.%3.%4.%5.%6"/>
      <w:lvlJc w:val="left"/>
      <w:pPr>
        <w:ind w:left="1152" w:hanging="1152"/>
        <w:tabs>
          <w:tab w:val="left" w:pos="1152" w:leader="none"/>
        </w:tabs>
      </w:pPr>
    </w:lvl>
    <w:lvl w:ilvl="6">
      <w:start w:val="1"/>
      <w:numFmt w:val="decimal"/>
      <w:pStyle w:val="921"/>
      <w:isLgl w:val="false"/>
      <w:suff w:val="tab"/>
      <w:lvlText w:val="%1.%2.%3.%4.%5.%6.%7"/>
      <w:lvlJc w:val="left"/>
      <w:pPr>
        <w:ind w:left="1296" w:hanging="1296"/>
        <w:tabs>
          <w:tab w:val="left" w:pos="1296" w:leader="none"/>
        </w:tabs>
      </w:pPr>
    </w:lvl>
    <w:lvl w:ilvl="7">
      <w:start w:val="1"/>
      <w:numFmt w:val="decimal"/>
      <w:pStyle w:val="922"/>
      <w:isLgl w:val="false"/>
      <w:suff w:val="tab"/>
      <w:lvlText w:val="%1.%2.%3.%4.%5.%6.%7.%8"/>
      <w:lvlJc w:val="left"/>
      <w:pPr>
        <w:ind w:left="1440" w:hanging="1440"/>
        <w:tabs>
          <w:tab w:val="left" w:pos="1440" w:leader="none"/>
        </w:tabs>
      </w:pPr>
    </w:lvl>
    <w:lvl w:ilvl="8">
      <w:start w:val="1"/>
      <w:numFmt w:val="decimal"/>
      <w:pStyle w:val="923"/>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924"/>
    <w:link w:val="915"/>
    <w:uiPriority w:val="9"/>
    <w:rPr>
      <w:rFonts w:ascii="Arial" w:hAnsi="Arial" w:eastAsia="Arial" w:cs="Arial"/>
      <w:sz w:val="40"/>
      <w:szCs w:val="40"/>
    </w:rPr>
  </w:style>
  <w:style w:type="character" w:styleId="764">
    <w:name w:val="Heading 2 Char"/>
    <w:basedOn w:val="924"/>
    <w:link w:val="916"/>
    <w:uiPriority w:val="9"/>
    <w:rPr>
      <w:rFonts w:ascii="Arial" w:hAnsi="Arial" w:eastAsia="Arial" w:cs="Arial"/>
      <w:sz w:val="34"/>
    </w:rPr>
  </w:style>
  <w:style w:type="character" w:styleId="765">
    <w:name w:val="Heading 3 Char"/>
    <w:basedOn w:val="924"/>
    <w:link w:val="917"/>
    <w:uiPriority w:val="9"/>
    <w:rPr>
      <w:rFonts w:ascii="Arial" w:hAnsi="Arial" w:eastAsia="Arial" w:cs="Arial"/>
      <w:sz w:val="30"/>
      <w:szCs w:val="30"/>
    </w:rPr>
  </w:style>
  <w:style w:type="character" w:styleId="766">
    <w:name w:val="Heading 4 Char"/>
    <w:basedOn w:val="924"/>
    <w:link w:val="918"/>
    <w:uiPriority w:val="9"/>
    <w:rPr>
      <w:rFonts w:ascii="Arial" w:hAnsi="Arial" w:eastAsia="Arial" w:cs="Arial"/>
      <w:b/>
      <w:bCs/>
      <w:sz w:val="26"/>
      <w:szCs w:val="26"/>
    </w:rPr>
  </w:style>
  <w:style w:type="character" w:styleId="767">
    <w:name w:val="Heading 5 Char"/>
    <w:basedOn w:val="924"/>
    <w:link w:val="919"/>
    <w:uiPriority w:val="9"/>
    <w:rPr>
      <w:rFonts w:ascii="Arial" w:hAnsi="Arial" w:eastAsia="Arial" w:cs="Arial"/>
      <w:b/>
      <w:bCs/>
      <w:sz w:val="24"/>
      <w:szCs w:val="24"/>
    </w:rPr>
  </w:style>
  <w:style w:type="character" w:styleId="768">
    <w:name w:val="Heading 6 Char"/>
    <w:basedOn w:val="924"/>
    <w:link w:val="920"/>
    <w:uiPriority w:val="9"/>
    <w:rPr>
      <w:rFonts w:ascii="Arial" w:hAnsi="Arial" w:eastAsia="Arial" w:cs="Arial"/>
      <w:b/>
      <w:bCs/>
      <w:sz w:val="22"/>
      <w:szCs w:val="22"/>
    </w:rPr>
  </w:style>
  <w:style w:type="character" w:styleId="769">
    <w:name w:val="Heading 7 Char"/>
    <w:basedOn w:val="924"/>
    <w:link w:val="921"/>
    <w:uiPriority w:val="9"/>
    <w:rPr>
      <w:rFonts w:ascii="Arial" w:hAnsi="Arial" w:eastAsia="Arial" w:cs="Arial"/>
      <w:b/>
      <w:bCs/>
      <w:i/>
      <w:iCs/>
      <w:sz w:val="22"/>
      <w:szCs w:val="22"/>
    </w:rPr>
  </w:style>
  <w:style w:type="character" w:styleId="770">
    <w:name w:val="Heading 8 Char"/>
    <w:basedOn w:val="924"/>
    <w:link w:val="922"/>
    <w:uiPriority w:val="9"/>
    <w:rPr>
      <w:rFonts w:ascii="Arial" w:hAnsi="Arial" w:eastAsia="Arial" w:cs="Arial"/>
      <w:i/>
      <w:iCs/>
      <w:sz w:val="22"/>
      <w:szCs w:val="22"/>
    </w:rPr>
  </w:style>
  <w:style w:type="character" w:styleId="771">
    <w:name w:val="Heading 9 Char"/>
    <w:basedOn w:val="924"/>
    <w:link w:val="923"/>
    <w:uiPriority w:val="9"/>
    <w:rPr>
      <w:rFonts w:ascii="Arial" w:hAnsi="Arial" w:eastAsia="Arial" w:cs="Arial"/>
      <w:i/>
      <w:iCs/>
      <w:sz w:val="21"/>
      <w:szCs w:val="21"/>
    </w:rPr>
  </w:style>
  <w:style w:type="paragraph" w:styleId="772">
    <w:name w:val="No Spacing"/>
    <w:uiPriority w:val="1"/>
    <w:qFormat/>
    <w:pPr>
      <w:spacing w:before="0" w:after="0" w:line="240" w:lineRule="auto"/>
    </w:pPr>
  </w:style>
  <w:style w:type="character" w:styleId="773">
    <w:name w:val="Title Char"/>
    <w:basedOn w:val="924"/>
    <w:link w:val="964"/>
    <w:uiPriority w:val="10"/>
    <w:rPr>
      <w:sz w:val="48"/>
      <w:szCs w:val="48"/>
    </w:rPr>
  </w:style>
  <w:style w:type="paragraph" w:styleId="774">
    <w:name w:val="Subtitle"/>
    <w:basedOn w:val="914"/>
    <w:next w:val="914"/>
    <w:link w:val="775"/>
    <w:uiPriority w:val="11"/>
    <w:qFormat/>
    <w:pPr>
      <w:spacing w:before="200" w:after="200"/>
    </w:pPr>
    <w:rPr>
      <w:sz w:val="24"/>
      <w:szCs w:val="24"/>
    </w:rPr>
  </w:style>
  <w:style w:type="character" w:styleId="775">
    <w:name w:val="Subtitle Char"/>
    <w:basedOn w:val="924"/>
    <w:link w:val="774"/>
    <w:uiPriority w:val="11"/>
    <w:rPr>
      <w:sz w:val="24"/>
      <w:szCs w:val="24"/>
    </w:rPr>
  </w:style>
  <w:style w:type="paragraph" w:styleId="776">
    <w:name w:val="Quote"/>
    <w:basedOn w:val="914"/>
    <w:next w:val="914"/>
    <w:link w:val="777"/>
    <w:uiPriority w:val="29"/>
    <w:qFormat/>
    <w:pPr>
      <w:ind w:left="720" w:right="720"/>
    </w:pPr>
    <w:rPr>
      <w:i/>
    </w:rPr>
  </w:style>
  <w:style w:type="character" w:styleId="777">
    <w:name w:val="Quote Char"/>
    <w:link w:val="776"/>
    <w:uiPriority w:val="29"/>
    <w:rPr>
      <w:i/>
    </w:rPr>
  </w:style>
  <w:style w:type="paragraph" w:styleId="778">
    <w:name w:val="Intense Quote"/>
    <w:basedOn w:val="914"/>
    <w:next w:val="914"/>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character" w:styleId="780">
    <w:name w:val="Header Char"/>
    <w:basedOn w:val="924"/>
    <w:link w:val="948"/>
    <w:uiPriority w:val="99"/>
  </w:style>
  <w:style w:type="character" w:styleId="781">
    <w:name w:val="Footer Char"/>
    <w:basedOn w:val="924"/>
    <w:link w:val="946"/>
    <w:uiPriority w:val="99"/>
  </w:style>
  <w:style w:type="paragraph" w:styleId="782">
    <w:name w:val="Caption"/>
    <w:basedOn w:val="914"/>
    <w:next w:val="914"/>
    <w:uiPriority w:val="35"/>
    <w:semiHidden/>
    <w:unhideWhenUsed/>
    <w:qFormat/>
    <w:pPr>
      <w:spacing w:line="276" w:lineRule="auto"/>
    </w:pPr>
    <w:rPr>
      <w:b/>
      <w:bCs/>
      <w:color w:val="4f81bd" w:themeColor="accent1"/>
      <w:sz w:val="18"/>
      <w:szCs w:val="18"/>
    </w:rPr>
  </w:style>
  <w:style w:type="character" w:styleId="783">
    <w:name w:val="Caption Char"/>
    <w:basedOn w:val="782"/>
    <w:link w:val="946"/>
    <w:uiPriority w:val="99"/>
  </w:style>
  <w:style w:type="table" w:styleId="784">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0">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1">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2">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3">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4">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5">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1">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2">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5">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6">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7">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8">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9">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0">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2">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3">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4">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5">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6">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7">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6">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7">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8">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9">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0">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1">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3">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4">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5">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6">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7">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8">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0">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4">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7">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8">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9">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0">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1">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2">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Footnote Text Char"/>
    <w:link w:val="953"/>
    <w:uiPriority w:val="99"/>
    <w:rPr>
      <w:sz w:val="18"/>
    </w:rPr>
  </w:style>
  <w:style w:type="paragraph" w:styleId="910">
    <w:name w:val="endnote text"/>
    <w:basedOn w:val="91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basedOn w:val="924"/>
    <w:uiPriority w:val="99"/>
    <w:semiHidden/>
    <w:unhideWhenUsed/>
    <w:rPr>
      <w:vertAlign w:val="superscript"/>
    </w:rPr>
  </w:style>
  <w:style w:type="paragraph" w:styleId="913">
    <w:name w:val="TOC Heading"/>
    <w:uiPriority w:val="39"/>
    <w:unhideWhenUsed/>
  </w:style>
  <w:style w:type="paragraph" w:styleId="914" w:default="1">
    <w:name w:val="Normal"/>
    <w:next w:val="926"/>
    <w:uiPriority w:val="0"/>
    <w:qFormat/>
    <w:pPr>
      <w:jc w:val="both"/>
      <w:widowControl w:val="off"/>
    </w:pPr>
    <w:rPr>
      <w:rFonts w:ascii="Times New Roman" w:hAnsi="Times New Roman" w:eastAsia="楷体_GB2312" w:cs="Times New Roman"/>
      <w:sz w:val="26"/>
      <w:lang w:val="en-US" w:eastAsia="zh-CN" w:bidi="ar-SA"/>
    </w:rPr>
  </w:style>
  <w:style w:type="paragraph" w:styleId="915">
    <w:name w:val="Heading 1"/>
    <w:basedOn w:val="914"/>
    <w:next w:val="914"/>
    <w:link w:val="1048"/>
    <w:uiPriority w:val="0"/>
    <w:qFormat/>
    <w:pPr>
      <w:keepLines/>
      <w:keepNext/>
      <w:spacing w:before="340" w:after="330" w:line="578" w:lineRule="auto"/>
      <w:outlineLvl w:val="0"/>
    </w:pPr>
    <w:rPr>
      <w:b/>
      <w:sz w:val="44"/>
    </w:rPr>
  </w:style>
  <w:style w:type="paragraph" w:styleId="916">
    <w:name w:val="Heading 2"/>
    <w:basedOn w:val="914"/>
    <w:next w:val="914"/>
    <w:uiPriority w:val="0"/>
    <w:qFormat/>
    <w:pPr>
      <w:jc w:val="left"/>
      <w:keepLines/>
      <w:keepNext/>
      <w:outlineLvl w:val="1"/>
    </w:pPr>
    <w:rPr>
      <w:rFonts w:ascii="宋体" w:hAnsi="宋体"/>
      <w:b/>
    </w:rPr>
  </w:style>
  <w:style w:type="paragraph" w:styleId="917">
    <w:name w:val="Heading 3"/>
    <w:basedOn w:val="914"/>
    <w:next w:val="914"/>
    <w:uiPriority w:val="0"/>
    <w:qFormat/>
    <w:pPr>
      <w:jc w:val="left"/>
      <w:keepLines/>
      <w:keepNext/>
      <w:outlineLvl w:val="2"/>
    </w:pPr>
    <w:rPr>
      <w:b/>
    </w:rPr>
  </w:style>
  <w:style w:type="paragraph" w:styleId="918">
    <w:name w:val="Heading 4"/>
    <w:basedOn w:val="914"/>
    <w:next w:val="914"/>
    <w:uiPriority w:val="9"/>
    <w:qFormat/>
    <w:pPr>
      <w:keepLines/>
      <w:keepNext/>
      <w:spacing w:before="280" w:after="290" w:line="376" w:lineRule="auto"/>
      <w:outlineLvl w:val="3"/>
    </w:pPr>
    <w:rPr>
      <w:rFonts w:ascii="Cambria" w:hAnsi="Cambria"/>
      <w:bCs/>
      <w:szCs w:val="28"/>
    </w:rPr>
  </w:style>
  <w:style w:type="paragraph" w:styleId="919">
    <w:name w:val="Heading 5"/>
    <w:basedOn w:val="914"/>
    <w:next w:val="927"/>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20">
    <w:name w:val="Heading 6"/>
    <w:basedOn w:val="914"/>
    <w:next w:val="914"/>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21">
    <w:name w:val="Heading 7"/>
    <w:basedOn w:val="914"/>
    <w:next w:val="927"/>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22">
    <w:name w:val="Heading 8"/>
    <w:basedOn w:val="914"/>
    <w:next w:val="927"/>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23">
    <w:name w:val="Heading 9"/>
    <w:basedOn w:val="914"/>
    <w:next w:val="927"/>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24" w:default="1">
    <w:name w:val="Default Paragraph Font"/>
    <w:uiPriority w:val="1"/>
    <w:semiHidden/>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customStyle="1">
    <w:name w:val="正文1"/>
    <w:next w:val="914"/>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927">
    <w:name w:val="Normal Indent"/>
    <w:basedOn w:val="914"/>
    <w:next w:val="914"/>
    <w:link w:val="986"/>
    <w:uiPriority w:val="0"/>
    <w:qFormat/>
    <w:pPr>
      <w:ind w:firstLine="420"/>
      <w:jc w:val="left"/>
    </w:pPr>
    <w:rPr>
      <w:sz w:val="24"/>
    </w:rPr>
  </w:style>
  <w:style w:type="paragraph" w:styleId="928">
    <w:name w:val="toc 7"/>
    <w:basedOn w:val="914"/>
    <w:next w:val="914"/>
    <w:uiPriority w:val="0"/>
    <w:qFormat/>
    <w:pPr>
      <w:ind w:left="2520"/>
    </w:pPr>
  </w:style>
  <w:style w:type="paragraph" w:styleId="929">
    <w:name w:val="index 8"/>
    <w:basedOn w:val="914"/>
    <w:next w:val="914"/>
    <w:uiPriority w:val="0"/>
    <w:qFormat/>
    <w:pPr>
      <w:ind w:left="2940"/>
    </w:pPr>
  </w:style>
  <w:style w:type="paragraph" w:styleId="930">
    <w:name w:val="index 5"/>
    <w:basedOn w:val="914"/>
    <w:next w:val="914"/>
    <w:uiPriority w:val="0"/>
    <w:qFormat/>
    <w:pPr>
      <w:ind w:left="1680"/>
    </w:pPr>
  </w:style>
  <w:style w:type="paragraph" w:styleId="931">
    <w:name w:val="Document Map"/>
    <w:basedOn w:val="914"/>
    <w:uiPriority w:val="0"/>
    <w:qFormat/>
    <w:pPr>
      <w:shd w:val="clear" w:color="auto" w:fill="000080"/>
    </w:pPr>
  </w:style>
  <w:style w:type="paragraph" w:styleId="932">
    <w:name w:val="annotation text"/>
    <w:basedOn w:val="914"/>
    <w:link w:val="1038"/>
    <w:uiPriority w:val="0"/>
    <w:qFormat/>
    <w:pPr>
      <w:jc w:val="left"/>
    </w:pPr>
  </w:style>
  <w:style w:type="paragraph" w:styleId="933">
    <w:name w:val="index 6"/>
    <w:basedOn w:val="914"/>
    <w:next w:val="914"/>
    <w:uiPriority w:val="0"/>
    <w:qFormat/>
    <w:pPr>
      <w:ind w:left="2100"/>
    </w:pPr>
  </w:style>
  <w:style w:type="paragraph" w:styleId="934">
    <w:name w:val="Body Text"/>
    <w:basedOn w:val="914"/>
    <w:next w:val="914"/>
    <w:uiPriority w:val="0"/>
    <w:qFormat/>
    <w:pPr>
      <w:spacing w:line="400" w:lineRule="exact"/>
    </w:pPr>
    <w:rPr>
      <w:rFonts w:ascii="楷体_GB2312"/>
      <w:sz w:val="28"/>
    </w:rPr>
  </w:style>
  <w:style w:type="paragraph" w:styleId="935">
    <w:name w:val="Body Text Indent"/>
    <w:basedOn w:val="914"/>
    <w:next w:val="914"/>
    <w:uiPriority w:val="0"/>
    <w:qFormat/>
    <w:pPr>
      <w:ind w:left="570"/>
      <w:spacing w:line="520" w:lineRule="exact"/>
    </w:pPr>
    <w:rPr>
      <w:rFonts w:ascii="方正仿宋简体" w:hAnsi="创艺简仿宋" w:eastAsia="方正仿宋简体"/>
      <w:sz w:val="24"/>
    </w:rPr>
  </w:style>
  <w:style w:type="paragraph" w:styleId="936">
    <w:name w:val="List Continue"/>
    <w:basedOn w:val="914"/>
    <w:uiPriority w:val="99"/>
    <w:unhideWhenUsed/>
    <w:qFormat/>
    <w:pPr>
      <w:ind w:left="200"/>
      <w:spacing w:after="120"/>
    </w:pPr>
    <w:rPr>
      <w:rFonts w:ascii="宋体" w:hAnsi="宋体" w:cs="Symbol"/>
      <w:sz w:val="28"/>
    </w:rPr>
  </w:style>
  <w:style w:type="paragraph" w:styleId="937">
    <w:name w:val="index 4"/>
    <w:basedOn w:val="914"/>
    <w:next w:val="914"/>
    <w:uiPriority w:val="0"/>
    <w:qFormat/>
    <w:pPr>
      <w:ind w:left="1260"/>
    </w:pPr>
  </w:style>
  <w:style w:type="paragraph" w:styleId="938">
    <w:name w:val="toc 5"/>
    <w:basedOn w:val="914"/>
    <w:next w:val="914"/>
    <w:uiPriority w:val="0"/>
    <w:qFormat/>
    <w:pPr>
      <w:ind w:left="1680"/>
    </w:pPr>
  </w:style>
  <w:style w:type="paragraph" w:styleId="939">
    <w:name w:val="toc 3"/>
    <w:basedOn w:val="914"/>
    <w:next w:val="914"/>
    <w:uiPriority w:val="0"/>
    <w:qFormat/>
    <w:pPr>
      <w:ind w:left="840"/>
    </w:pPr>
  </w:style>
  <w:style w:type="paragraph" w:styleId="940">
    <w:name w:val="Plain Text"/>
    <w:basedOn w:val="914"/>
    <w:next w:val="927"/>
    <w:link w:val="990"/>
    <w:uiPriority w:val="0"/>
    <w:qFormat/>
    <w:rPr>
      <w:rFonts w:ascii="宋体" w:hAnsi="Courier New"/>
    </w:rPr>
  </w:style>
  <w:style w:type="paragraph" w:styleId="941">
    <w:name w:val="toc 8"/>
    <w:basedOn w:val="914"/>
    <w:next w:val="914"/>
    <w:uiPriority w:val="0"/>
    <w:qFormat/>
    <w:pPr>
      <w:ind w:left="2940"/>
    </w:pPr>
  </w:style>
  <w:style w:type="paragraph" w:styleId="942">
    <w:name w:val="index 3"/>
    <w:basedOn w:val="914"/>
    <w:next w:val="914"/>
    <w:uiPriority w:val="0"/>
    <w:qFormat/>
    <w:pPr>
      <w:ind w:left="840"/>
    </w:pPr>
  </w:style>
  <w:style w:type="paragraph" w:styleId="943">
    <w:name w:val="Date"/>
    <w:basedOn w:val="914"/>
    <w:next w:val="914"/>
    <w:link w:val="991"/>
    <w:uiPriority w:val="0"/>
    <w:qFormat/>
    <w:rPr>
      <w:rFonts w:ascii="宋体" w:hAnsi="宋体"/>
      <w:sz w:val="24"/>
    </w:rPr>
  </w:style>
  <w:style w:type="paragraph" w:styleId="944">
    <w:name w:val="Body Text Indent 2"/>
    <w:basedOn w:val="914"/>
    <w:uiPriority w:val="0"/>
    <w:qFormat/>
    <w:pPr>
      <w:ind w:firstLine="502"/>
      <w:spacing w:line="360" w:lineRule="auto"/>
      <w:tabs>
        <w:tab w:val="left" w:pos="0" w:leader="none"/>
      </w:tabs>
    </w:pPr>
    <w:rPr>
      <w:rFonts w:ascii="宋体" w:eastAsia="宋体"/>
      <w:b/>
      <w:bCs/>
      <w:sz w:val="24"/>
    </w:rPr>
  </w:style>
  <w:style w:type="paragraph" w:styleId="945">
    <w:name w:val="Balloon Text"/>
    <w:basedOn w:val="914"/>
    <w:uiPriority w:val="0"/>
    <w:qFormat/>
    <w:rPr>
      <w:sz w:val="18"/>
      <w:szCs w:val="18"/>
    </w:rPr>
  </w:style>
  <w:style w:type="paragraph" w:styleId="946">
    <w:name w:val="Footer"/>
    <w:basedOn w:val="914"/>
    <w:link w:val="1046"/>
    <w:uiPriority w:val="99"/>
    <w:qFormat/>
    <w:pPr>
      <w:jc w:val="left"/>
      <w:tabs>
        <w:tab w:val="center" w:pos="4153" w:leader="none"/>
        <w:tab w:val="right" w:pos="8306" w:leader="none"/>
      </w:tabs>
    </w:pPr>
    <w:rPr>
      <w:sz w:val="18"/>
    </w:rPr>
  </w:style>
  <w:style w:type="paragraph" w:styleId="947">
    <w:name w:val="envelope return"/>
    <w:basedOn w:val="914"/>
    <w:uiPriority w:val="0"/>
    <w:qFormat/>
    <w:rPr>
      <w:rFonts w:ascii="Arial" w:hAnsi="Arial"/>
    </w:rPr>
  </w:style>
  <w:style w:type="paragraph" w:styleId="948">
    <w:name w:val="Header"/>
    <w:basedOn w:val="914"/>
    <w:link w:val="1047"/>
    <w:uiPriority w:val="99"/>
    <w:qFormat/>
    <w:pPr>
      <w:jc w:val="center"/>
      <w:tabs>
        <w:tab w:val="center" w:pos="4153" w:leader="none"/>
        <w:tab w:val="right" w:pos="8306" w:leader="none"/>
      </w:tabs>
      <w:pBdr>
        <w:bottom w:val="single" w:color="auto" w:sz="6" w:space="1"/>
      </w:pBdr>
    </w:pPr>
    <w:rPr>
      <w:sz w:val="18"/>
    </w:rPr>
  </w:style>
  <w:style w:type="paragraph" w:styleId="949">
    <w:name w:val="toc 1"/>
    <w:basedOn w:val="914"/>
    <w:next w:val="914"/>
    <w:uiPriority w:val="0"/>
    <w:qFormat/>
    <w:pPr>
      <w:tabs>
        <w:tab w:val="right" w:pos="9026" w:leader="dot"/>
      </w:tabs>
    </w:pPr>
    <w:rPr>
      <w:rFonts w:ascii="宋体" w:hAnsi="宋体" w:eastAsia="宋体"/>
      <w:sz w:val="24"/>
    </w:rPr>
  </w:style>
  <w:style w:type="paragraph" w:styleId="950">
    <w:name w:val="toc 4"/>
    <w:basedOn w:val="914"/>
    <w:next w:val="914"/>
    <w:uiPriority w:val="0"/>
    <w:qFormat/>
    <w:pPr>
      <w:ind w:left="1260"/>
    </w:pPr>
  </w:style>
  <w:style w:type="paragraph" w:styleId="951">
    <w:name w:val="index heading"/>
    <w:basedOn w:val="914"/>
    <w:next w:val="952"/>
    <w:uiPriority w:val="0"/>
    <w:qFormat/>
  </w:style>
  <w:style w:type="paragraph" w:styleId="952">
    <w:name w:val="index 1"/>
    <w:basedOn w:val="914"/>
    <w:next w:val="914"/>
    <w:uiPriority w:val="0"/>
    <w:qFormat/>
  </w:style>
  <w:style w:type="paragraph" w:styleId="953">
    <w:name w:val="footnote text"/>
    <w:basedOn w:val="914"/>
    <w:uiPriority w:val="0"/>
    <w:qFormat/>
    <w:pPr>
      <w:jc w:val="left"/>
    </w:pPr>
    <w:rPr>
      <w:sz w:val="18"/>
    </w:rPr>
  </w:style>
  <w:style w:type="paragraph" w:styleId="954">
    <w:name w:val="toc 6"/>
    <w:basedOn w:val="914"/>
    <w:next w:val="914"/>
    <w:uiPriority w:val="0"/>
    <w:qFormat/>
    <w:pPr>
      <w:ind w:left="2100"/>
    </w:pPr>
  </w:style>
  <w:style w:type="paragraph" w:styleId="955">
    <w:name w:val="Body Text Indent 3"/>
    <w:basedOn w:val="914"/>
    <w:uiPriority w:val="0"/>
    <w:qFormat/>
    <w:pPr>
      <w:ind w:firstLine="617"/>
      <w:spacing w:line="360" w:lineRule="auto"/>
    </w:pPr>
    <w:rPr>
      <w:rFonts w:eastAsia="宋体"/>
      <w:sz w:val="24"/>
      <w:szCs w:val="24"/>
    </w:rPr>
  </w:style>
  <w:style w:type="paragraph" w:styleId="956">
    <w:name w:val="index 7"/>
    <w:basedOn w:val="914"/>
    <w:next w:val="914"/>
    <w:uiPriority w:val="0"/>
    <w:qFormat/>
    <w:pPr>
      <w:ind w:left="2520"/>
    </w:pPr>
  </w:style>
  <w:style w:type="paragraph" w:styleId="957">
    <w:name w:val="index 9"/>
    <w:basedOn w:val="914"/>
    <w:next w:val="914"/>
    <w:uiPriority w:val="0"/>
    <w:qFormat/>
    <w:pPr>
      <w:ind w:left="3360"/>
    </w:pPr>
  </w:style>
  <w:style w:type="paragraph" w:styleId="958">
    <w:name w:val="table of figures"/>
    <w:basedOn w:val="914"/>
    <w:next w:val="914"/>
    <w:uiPriority w:val="0"/>
    <w:qFormat/>
    <w:pPr>
      <w:ind w:left="420" w:hanging="420"/>
      <w:jc w:val="left"/>
    </w:pPr>
    <w:rPr>
      <w:smallCaps/>
      <w:sz w:val="24"/>
    </w:rPr>
  </w:style>
  <w:style w:type="paragraph" w:styleId="959">
    <w:name w:val="toc 2"/>
    <w:basedOn w:val="914"/>
    <w:next w:val="914"/>
    <w:uiPriority w:val="0"/>
    <w:qFormat/>
    <w:pPr>
      <w:ind w:left="420"/>
    </w:pPr>
  </w:style>
  <w:style w:type="paragraph" w:styleId="960">
    <w:name w:val="toc 9"/>
    <w:basedOn w:val="914"/>
    <w:next w:val="914"/>
    <w:uiPriority w:val="0"/>
    <w:qFormat/>
    <w:pPr>
      <w:ind w:left="3360"/>
    </w:pPr>
  </w:style>
  <w:style w:type="paragraph" w:styleId="961">
    <w:name w:val="HTML Preformatted"/>
    <w:basedOn w:val="9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62">
    <w:name w:val="Normal (Web)"/>
    <w:basedOn w:val="914"/>
    <w:uiPriority w:val="99"/>
    <w:qFormat/>
    <w:pPr>
      <w:jc w:val="left"/>
      <w:spacing w:before="100" w:beforeAutospacing="1" w:after="100" w:afterAutospacing="1"/>
      <w:widowControl/>
    </w:pPr>
    <w:rPr>
      <w:rFonts w:hint="eastAsia" w:ascii="宋体" w:hAnsi="宋体" w:eastAsia="宋体"/>
      <w:sz w:val="24"/>
      <w:szCs w:val="24"/>
    </w:rPr>
  </w:style>
  <w:style w:type="paragraph" w:styleId="963">
    <w:name w:val="index 2"/>
    <w:basedOn w:val="914"/>
    <w:next w:val="914"/>
    <w:uiPriority w:val="0"/>
    <w:qFormat/>
    <w:pPr>
      <w:ind w:left="420"/>
    </w:pPr>
  </w:style>
  <w:style w:type="paragraph" w:styleId="964">
    <w:name w:val="Title"/>
    <w:basedOn w:val="914"/>
    <w:next w:val="914"/>
    <w:link w:val="1049"/>
    <w:uiPriority w:val="10"/>
    <w:qFormat/>
    <w:pPr>
      <w:jc w:val="center"/>
    </w:pPr>
    <w:rPr>
      <w:rFonts w:ascii="黑体" w:hAnsi="黑体" w:eastAsia="黑体"/>
      <w:sz w:val="28"/>
      <w:szCs w:val="24"/>
    </w:rPr>
  </w:style>
  <w:style w:type="paragraph" w:styleId="965">
    <w:name w:val="annotation subject"/>
    <w:basedOn w:val="932"/>
    <w:next w:val="932"/>
    <w:uiPriority w:val="0"/>
    <w:qFormat/>
    <w:rPr>
      <w:bCs/>
    </w:rPr>
  </w:style>
  <w:style w:type="paragraph" w:styleId="966">
    <w:name w:val="Body Text First Indent"/>
    <w:basedOn w:val="934"/>
    <w:uiPriority w:val="0"/>
    <w:qFormat/>
    <w:pPr>
      <w:ind w:firstLine="420"/>
      <w:spacing w:after="120" w:line="240" w:lineRule="auto"/>
    </w:pPr>
    <w:rPr>
      <w:rFonts w:ascii="Times New Roman"/>
      <w:sz w:val="26"/>
    </w:rPr>
  </w:style>
  <w:style w:type="paragraph" w:styleId="967">
    <w:name w:val="Body Text First Indent 2"/>
    <w:basedOn w:val="935"/>
    <w:next w:val="914"/>
    <w:uiPriority w:val="99"/>
    <w:semiHidden/>
    <w:unhideWhenUsed/>
    <w:qFormat/>
    <w:pPr>
      <w:ind w:firstLine="420"/>
    </w:pPr>
  </w:style>
  <w:style w:type="table" w:styleId="968">
    <w:name w:val="Table Grid"/>
    <w:basedOn w:val="92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9">
    <w:name w:val="Strong"/>
    <w:basedOn w:val="924"/>
    <w:uiPriority w:val="22"/>
    <w:qFormat/>
    <w:rPr>
      <w:b/>
      <w:bCs/>
    </w:rPr>
  </w:style>
  <w:style w:type="character" w:styleId="970">
    <w:name w:val="page number"/>
    <w:basedOn w:val="924"/>
    <w:uiPriority w:val="0"/>
    <w:qFormat/>
  </w:style>
  <w:style w:type="character" w:styleId="971">
    <w:name w:val="FollowedHyperlink"/>
    <w:basedOn w:val="924"/>
    <w:uiPriority w:val="99"/>
    <w:semiHidden/>
    <w:unhideWhenUsed/>
    <w:qFormat/>
    <w:rPr>
      <w:color w:val="333333"/>
      <w:u w:val="none"/>
    </w:rPr>
  </w:style>
  <w:style w:type="character" w:styleId="972">
    <w:name w:val="Emphasis"/>
    <w:basedOn w:val="924"/>
    <w:uiPriority w:val="20"/>
    <w:qFormat/>
  </w:style>
  <w:style w:type="character" w:styleId="973">
    <w:name w:val="HTML Definition"/>
    <w:basedOn w:val="924"/>
    <w:uiPriority w:val="99"/>
    <w:semiHidden/>
    <w:unhideWhenUsed/>
    <w:qFormat/>
  </w:style>
  <w:style w:type="character" w:styleId="974">
    <w:name w:val="HTML Typewriter"/>
    <w:basedOn w:val="924"/>
    <w:uiPriority w:val="99"/>
    <w:semiHidden/>
    <w:unhideWhenUsed/>
    <w:qFormat/>
    <w:rPr>
      <w:rFonts w:hint="default" w:ascii="monospace" w:hAnsi="monospace" w:eastAsia="monospace" w:cs="monospace"/>
      <w:sz w:val="20"/>
    </w:rPr>
  </w:style>
  <w:style w:type="character" w:styleId="975">
    <w:name w:val="HTML Acronym"/>
    <w:basedOn w:val="924"/>
    <w:uiPriority w:val="99"/>
    <w:semiHidden/>
    <w:unhideWhenUsed/>
    <w:qFormat/>
  </w:style>
  <w:style w:type="character" w:styleId="976">
    <w:name w:val="HTML Variable"/>
    <w:basedOn w:val="924"/>
    <w:uiPriority w:val="99"/>
    <w:semiHidden/>
    <w:unhideWhenUsed/>
    <w:qFormat/>
  </w:style>
  <w:style w:type="character" w:styleId="977">
    <w:name w:val="Hyperlink"/>
    <w:basedOn w:val="924"/>
    <w:uiPriority w:val="99"/>
    <w:unhideWhenUsed/>
    <w:qFormat/>
    <w:rPr>
      <w:color w:val="0000ff"/>
      <w:u w:val="none"/>
    </w:rPr>
  </w:style>
  <w:style w:type="character" w:styleId="978">
    <w:name w:val="HTML Code"/>
    <w:basedOn w:val="924"/>
    <w:uiPriority w:val="99"/>
    <w:semiHidden/>
    <w:unhideWhenUsed/>
    <w:qFormat/>
    <w:rPr>
      <w:rFonts w:hint="default" w:ascii="monospace" w:hAnsi="monospace" w:eastAsia="monospace" w:cs="monospace"/>
      <w:sz w:val="20"/>
    </w:rPr>
  </w:style>
  <w:style w:type="character" w:styleId="979">
    <w:name w:val="annotation reference"/>
    <w:uiPriority w:val="0"/>
    <w:qFormat/>
    <w:rPr>
      <w:sz w:val="21"/>
      <w:szCs w:val="21"/>
    </w:rPr>
  </w:style>
  <w:style w:type="character" w:styleId="980">
    <w:name w:val="HTML Cite"/>
    <w:basedOn w:val="924"/>
    <w:uiPriority w:val="99"/>
    <w:semiHidden/>
    <w:unhideWhenUsed/>
    <w:qFormat/>
  </w:style>
  <w:style w:type="character" w:styleId="981">
    <w:name w:val="footnote reference"/>
    <w:uiPriority w:val="0"/>
    <w:qFormat/>
    <w:rPr>
      <w:vertAlign w:val="superscript"/>
    </w:rPr>
  </w:style>
  <w:style w:type="character" w:styleId="982">
    <w:name w:val="HTML Keyboard"/>
    <w:basedOn w:val="924"/>
    <w:uiPriority w:val="99"/>
    <w:semiHidden/>
    <w:unhideWhenUsed/>
    <w:qFormat/>
    <w:rPr>
      <w:rFonts w:ascii="monospace" w:hAnsi="monospace" w:eastAsia="monospace" w:cs="monospace"/>
      <w:sz w:val="20"/>
    </w:rPr>
  </w:style>
  <w:style w:type="character" w:styleId="983">
    <w:name w:val="HTML Sample"/>
    <w:basedOn w:val="924"/>
    <w:uiPriority w:val="99"/>
    <w:semiHidden/>
    <w:unhideWhenUsed/>
    <w:qFormat/>
    <w:rPr>
      <w:rFonts w:hint="default" w:ascii="monospace" w:hAnsi="monospace" w:eastAsia="monospace" w:cs="monospace"/>
    </w:rPr>
  </w:style>
  <w:style w:type="paragraph" w:styleId="984" w:customStyle="1">
    <w:name w:val="段"/>
    <w:next w:val="914"/>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85" w:customStyle="1">
    <w:name w:val="目录 51"/>
    <w:next w:val="914"/>
    <w:uiPriority w:val="0"/>
    <w:qFormat/>
    <w:pPr>
      <w:ind w:left="1275"/>
      <w:jc w:val="both"/>
    </w:pPr>
    <w:rPr>
      <w:rFonts w:ascii="Times New Roman" w:hAnsi="Times New Roman" w:eastAsia="宋体" w:cs="Times New Roman"/>
      <w:sz w:val="21"/>
      <w:lang w:val="en-US" w:eastAsia="zh-CN" w:bidi="ar-SA"/>
    </w:rPr>
  </w:style>
  <w:style w:type="character" w:styleId="986" w:customStyle="1">
    <w:name w:val="正文缩进 字符"/>
    <w:link w:val="927"/>
    <w:uiPriority w:val="0"/>
    <w:qFormat/>
    <w:rPr>
      <w:rFonts w:eastAsia="楷体_GB2312"/>
      <w:sz w:val="24"/>
      <w:lang w:val="en-US" w:eastAsia="zh-CN" w:bidi="ar-SA"/>
    </w:rPr>
  </w:style>
  <w:style w:type="character" w:styleId="987" w:customStyle="1">
    <w:name w:val="列出段落 Char"/>
    <w:link w:val="988"/>
    <w:uiPriority w:val="0"/>
    <w:qFormat/>
    <w:rPr>
      <w:rFonts w:eastAsia="楷体_GB2312"/>
      <w:sz w:val="26"/>
      <w:lang w:val="zh-CN" w:eastAsia="zh-CN" w:bidi="ar-SA"/>
    </w:rPr>
  </w:style>
  <w:style w:type="paragraph" w:styleId="988" w:customStyle="1">
    <w:name w:val="序号"/>
    <w:basedOn w:val="914"/>
    <w:next w:val="989"/>
    <w:link w:val="987"/>
    <w:uiPriority w:val="0"/>
    <w:qFormat/>
    <w:pPr>
      <w:ind w:firstLine="420"/>
    </w:pPr>
    <w:rPr>
      <w:lang w:val="zh-CN"/>
    </w:rPr>
  </w:style>
  <w:style w:type="paragraph" w:styleId="989" w:customStyle="1">
    <w:name w:val="列表段落1"/>
    <w:basedOn w:val="914"/>
    <w:uiPriority w:val="34"/>
    <w:qFormat/>
    <w:pPr>
      <w:ind w:firstLine="420"/>
    </w:pPr>
  </w:style>
  <w:style w:type="character" w:styleId="990" w:customStyle="1">
    <w:name w:val="纯文本 字符"/>
    <w:link w:val="940"/>
    <w:uiPriority w:val="0"/>
    <w:qFormat/>
    <w:rPr>
      <w:rFonts w:ascii="宋体" w:hAnsi="Courier New" w:eastAsia="楷体_GB2312"/>
      <w:sz w:val="26"/>
      <w:lang w:val="en-US" w:eastAsia="zh-CN" w:bidi="ar-SA"/>
    </w:rPr>
  </w:style>
  <w:style w:type="character" w:styleId="991" w:customStyle="1">
    <w:name w:val="日期 字符"/>
    <w:link w:val="943"/>
    <w:uiPriority w:val="0"/>
    <w:qFormat/>
    <w:rPr>
      <w:rFonts w:ascii="宋体" w:hAnsi="宋体" w:eastAsia="楷体_GB2312"/>
      <w:sz w:val="24"/>
      <w:lang w:val="en-US" w:eastAsia="zh-CN" w:bidi="ar-SA"/>
    </w:rPr>
  </w:style>
  <w:style w:type="character" w:styleId="992" w:customStyle="1">
    <w:name w:val="表格正文 字符"/>
    <w:link w:val="993"/>
    <w:uiPriority w:val="0"/>
    <w:qFormat/>
    <w:rPr>
      <w:rFonts w:ascii="宋体" w:hAnsi="宋体" w:eastAsia="楷体_GB2312"/>
      <w:sz w:val="26"/>
      <w:szCs w:val="24"/>
      <w:lang w:val="en-US" w:eastAsia="zh-CN" w:bidi="ar-SA"/>
    </w:rPr>
  </w:style>
  <w:style w:type="paragraph" w:styleId="993" w:customStyle="1">
    <w:name w:val="表格正文"/>
    <w:basedOn w:val="914"/>
    <w:next w:val="914"/>
    <w:link w:val="992"/>
    <w:uiPriority w:val="0"/>
    <w:qFormat/>
    <w:rPr>
      <w:rFonts w:ascii="宋体" w:hAnsi="宋体"/>
      <w:szCs w:val="24"/>
    </w:rPr>
  </w:style>
  <w:style w:type="character" w:styleId="994" w:customStyle="1">
    <w:name w:val="缩进正文 字符"/>
    <w:link w:val="995"/>
    <w:uiPriority w:val="0"/>
    <w:qFormat/>
    <w:rPr>
      <w:rFonts w:ascii="Calibri" w:hAnsi="Calibri" w:eastAsia="楷体_GB2312"/>
      <w:sz w:val="26"/>
      <w:szCs w:val="24"/>
      <w:lang w:val="en-US" w:eastAsia="zh-CN" w:bidi="ar-SA"/>
    </w:rPr>
  </w:style>
  <w:style w:type="paragraph" w:styleId="995" w:customStyle="1">
    <w:name w:val="缩进正文"/>
    <w:basedOn w:val="914"/>
    <w:link w:val="994"/>
    <w:uiPriority w:val="0"/>
    <w:qFormat/>
    <w:pPr>
      <w:ind w:firstLine="200"/>
    </w:pPr>
    <w:rPr>
      <w:rFonts w:ascii="Calibri" w:hAnsi="Calibri"/>
      <w:szCs w:val="24"/>
    </w:rPr>
  </w:style>
  <w:style w:type="paragraph" w:styleId="996" w:customStyle="1">
    <w:name w:val="Char Char Char"/>
    <w:basedOn w:val="914"/>
    <w:uiPriority w:val="0"/>
    <w:qFormat/>
    <w:pPr>
      <w:numPr>
        <w:ilvl w:val="0"/>
        <w:numId w:val="1"/>
      </w:numPr>
      <w:tabs>
        <w:tab w:val="clear" w:pos="432" w:leader="none"/>
        <w:tab w:val="left" w:pos="840" w:leader="none"/>
      </w:tabs>
    </w:pPr>
    <w:rPr>
      <w:rFonts w:eastAsia="宋体"/>
      <w:sz w:val="21"/>
      <w:szCs w:val="24"/>
    </w:rPr>
  </w:style>
  <w:style w:type="paragraph" w:styleId="997" w:customStyle="1">
    <w:name w:val="Char Char Char1 Char Char Char Char"/>
    <w:basedOn w:val="914"/>
    <w:uiPriority w:val="0"/>
    <w:qFormat/>
    <w:pPr>
      <w:jc w:val="left"/>
      <w:spacing w:after="160" w:line="240" w:lineRule="exact"/>
      <w:widowControl/>
    </w:pPr>
    <w:rPr>
      <w:rFonts w:eastAsia="宋体"/>
      <w:sz w:val="24"/>
      <w:szCs w:val="24"/>
    </w:rPr>
  </w:style>
  <w:style w:type="paragraph" w:styleId="998"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999" w:customStyle="1">
    <w:name w:val="首行缩进"/>
    <w:basedOn w:val="914"/>
    <w:uiPriority w:val="0"/>
    <w:qFormat/>
    <w:pPr>
      <w:ind w:firstLine="480"/>
    </w:pPr>
    <w:rPr>
      <w:lang w:val="zh-CN"/>
    </w:rPr>
  </w:style>
  <w:style w:type="paragraph" w:styleId="1000" w:customStyle="1">
    <w:name w:val="纯文本1"/>
    <w:basedOn w:val="914"/>
    <w:uiPriority w:val="0"/>
    <w:qFormat/>
    <w:rPr>
      <w:rFonts w:ascii="宋体" w:hAnsi="Courier New"/>
    </w:rPr>
  </w:style>
  <w:style w:type="paragraph" w:styleId="1001" w:customStyle="1">
    <w:name w:val="_Style 1"/>
    <w:basedOn w:val="914"/>
    <w:uiPriority w:val="34"/>
    <w:qFormat/>
    <w:pPr>
      <w:ind w:firstLine="420"/>
      <w:spacing w:line="312" w:lineRule="auto"/>
    </w:pPr>
  </w:style>
  <w:style w:type="paragraph" w:styleId="1002" w:customStyle="1">
    <w:name w:val="_Style 12"/>
    <w:basedOn w:val="931"/>
    <w:uiPriority w:val="0"/>
    <w:qFormat/>
    <w:pPr>
      <w:spacing w:line="360" w:lineRule="auto"/>
    </w:pPr>
  </w:style>
  <w:style w:type="paragraph" w:styleId="1003" w:customStyle="1">
    <w:name w:val="列出段落1"/>
    <w:basedOn w:val="914"/>
    <w:uiPriority w:val="0"/>
    <w:qFormat/>
    <w:pPr>
      <w:ind w:firstLine="420"/>
    </w:pPr>
    <w:rPr>
      <w:rFonts w:ascii="Calibri" w:hAnsi="Calibri"/>
      <w:szCs w:val="21"/>
    </w:rPr>
  </w:style>
  <w:style w:type="paragraph" w:styleId="1004" w:customStyle="1">
    <w:name w:val="缩进正文-"/>
    <w:basedOn w:val="914"/>
    <w:uiPriority w:val="0"/>
    <w:qFormat/>
    <w:pPr>
      <w:ind w:firstLine="200"/>
      <w:spacing w:before="100" w:beforeAutospacing="1" w:line="360" w:lineRule="auto"/>
    </w:pPr>
    <w:rPr>
      <w:rFonts w:ascii="宋体" w:hAnsi="宋体" w:eastAsia="宋体"/>
      <w:color w:val="000000"/>
      <w:sz w:val="24"/>
      <w:szCs w:val="21"/>
    </w:rPr>
  </w:style>
  <w:style w:type="paragraph" w:styleId="1005" w:customStyle="1">
    <w:name w:val="*正文"/>
    <w:basedOn w:val="914"/>
    <w:uiPriority w:val="0"/>
    <w:qFormat/>
    <w:pPr>
      <w:ind w:firstLine="200"/>
      <w:spacing w:line="360" w:lineRule="auto"/>
      <w:widowControl/>
    </w:pPr>
    <w:rPr>
      <w:rFonts w:ascii="仿宋_GB2312" w:hAnsi="Calibri" w:eastAsia="仿宋_GB2312"/>
      <w:sz w:val="24"/>
      <w:szCs w:val="28"/>
    </w:rPr>
  </w:style>
  <w:style w:type="paragraph" w:styleId="1006" w:customStyle="1">
    <w:name w:val="纯文本11"/>
    <w:basedOn w:val="914"/>
    <w:uiPriority w:val="99"/>
    <w:qFormat/>
    <w:rPr>
      <w:rFonts w:ascii="宋体" w:hAnsi="Courier New"/>
    </w:rPr>
  </w:style>
  <w:style w:type="paragraph" w:styleId="1007" w:customStyle="1">
    <w:name w:val="Char Char Char1 Char"/>
    <w:basedOn w:val="914"/>
    <w:uiPriority w:val="0"/>
    <w:semiHidden/>
    <w:qFormat/>
    <w:pPr>
      <w:ind w:firstLine="200"/>
      <w:spacing w:line="360" w:lineRule="auto"/>
    </w:pPr>
    <w:rPr>
      <w:rFonts w:ascii="宋体" w:hAnsi="宋体" w:cs="宋体"/>
      <w:sz w:val="24"/>
    </w:rPr>
  </w:style>
  <w:style w:type="paragraph" w:styleId="1008" w:customStyle="1">
    <w:name w:val="Char Char1 Char Char Char Char"/>
    <w:basedOn w:val="931"/>
    <w:uiPriority w:val="0"/>
    <w:qFormat/>
    <w:pPr>
      <w:spacing w:line="360" w:lineRule="auto"/>
    </w:pPr>
    <w:rPr>
      <w:rFonts w:ascii="Tahoma" w:hAnsi="Tahoma" w:eastAsia="宋体"/>
      <w:sz w:val="24"/>
      <w:szCs w:val="24"/>
    </w:rPr>
  </w:style>
  <w:style w:type="paragraph" w:styleId="1009" w:customStyle="1">
    <w:name w:val="p0"/>
    <w:basedOn w:val="914"/>
    <w:uiPriority w:val="0"/>
    <w:qFormat/>
    <w:rPr>
      <w:rFonts w:hint="eastAsia"/>
    </w:rPr>
  </w:style>
  <w:style w:type="paragraph" w:styleId="1010">
    <w:name w:val="List Paragraph"/>
    <w:basedOn w:val="914"/>
    <w:uiPriority w:val="34"/>
    <w:qFormat/>
    <w:pPr>
      <w:ind w:firstLine="420"/>
    </w:pPr>
    <w:rPr>
      <w:rFonts w:ascii="宋体" w:hAnsi="宋体" w:eastAsia="宋体"/>
      <w:sz w:val="24"/>
      <w:szCs w:val="24"/>
    </w:rPr>
  </w:style>
  <w:style w:type="paragraph" w:styleId="1011" w:customStyle="1">
    <w:name w:val="Char"/>
    <w:basedOn w:val="914"/>
    <w:uiPriority w:val="0"/>
    <w:qFormat/>
    <w:rPr>
      <w:rFonts w:ascii="Tahoma" w:hAnsi="Tahoma" w:eastAsia="宋体"/>
      <w:sz w:val="24"/>
    </w:rPr>
  </w:style>
  <w:style w:type="paragraph" w:styleId="1012" w:customStyle="1">
    <w:name w:val="列出段落2"/>
    <w:basedOn w:val="914"/>
    <w:uiPriority w:val="34"/>
    <w:qFormat/>
    <w:pPr>
      <w:ind w:firstLine="420"/>
    </w:pPr>
  </w:style>
  <w:style w:type="paragraph" w:styleId="1013" w:customStyle="1">
    <w:name w:val="纯文本12"/>
    <w:basedOn w:val="914"/>
    <w:uiPriority w:val="0"/>
    <w:qFormat/>
    <w:rPr>
      <w:rFonts w:ascii="宋体" w:hAnsi="Courier New"/>
    </w:rPr>
  </w:style>
  <w:style w:type="paragraph" w:styleId="1014" w:customStyle="1">
    <w:name w:val="纯文本2"/>
    <w:basedOn w:val="914"/>
    <w:uiPriority w:val="0"/>
    <w:qFormat/>
    <w:rPr>
      <w:rFonts w:ascii="宋体" w:hAnsi="Courier New"/>
    </w:rPr>
  </w:style>
  <w:style w:type="paragraph" w:styleId="1015" w:customStyle="1">
    <w:name w:val="Char1"/>
    <w:basedOn w:val="914"/>
    <w:uiPriority w:val="0"/>
    <w:qFormat/>
    <w:rPr>
      <w:rFonts w:ascii="Tahoma" w:hAnsi="Tahoma" w:eastAsia="宋体"/>
      <w:sz w:val="24"/>
    </w:rPr>
  </w:style>
  <w:style w:type="paragraph" w:styleId="1016" w:customStyle="1">
    <w:name w:val="表格内容"/>
    <w:basedOn w:val="914"/>
    <w:uiPriority w:val="0"/>
    <w:qFormat/>
    <w:pPr>
      <w:jc w:val="left"/>
      <w:spacing w:before="100" w:beforeAutospacing="1" w:after="100" w:afterAutospacing="1" w:line="360" w:lineRule="auto"/>
    </w:pPr>
    <w:rPr>
      <w:rFonts w:ascii="宋体" w:hAnsi="宋体" w:eastAsia="宋体"/>
      <w:bCs/>
      <w:sz w:val="21"/>
      <w:szCs w:val="21"/>
    </w:rPr>
  </w:style>
  <w:style w:type="paragraph" w:styleId="1017" w:customStyle="1">
    <w:name w:val="纯文本3"/>
    <w:basedOn w:val="914"/>
    <w:uiPriority w:val="0"/>
    <w:qFormat/>
    <w:rPr>
      <w:rFonts w:ascii="宋体" w:hAnsi="Courier New"/>
      <w:sz w:val="28"/>
    </w:rPr>
  </w:style>
  <w:style w:type="paragraph" w:styleId="1018" w:customStyle="1">
    <w:name w:val="font7"/>
    <w:basedOn w:val="914"/>
    <w:uiPriority w:val="0"/>
    <w:qFormat/>
    <w:pPr>
      <w:jc w:val="left"/>
      <w:spacing w:before="100" w:beforeAutospacing="1" w:after="100" w:afterAutospacing="1"/>
      <w:widowControl/>
    </w:pPr>
    <w:rPr>
      <w:rFonts w:eastAsia="宋体"/>
      <w:sz w:val="20"/>
    </w:rPr>
  </w:style>
  <w:style w:type="paragraph" w:styleId="1019" w:customStyle="1">
    <w:name w:val="纯文本4"/>
    <w:basedOn w:val="914"/>
    <w:uiPriority w:val="0"/>
    <w:qFormat/>
    <w:rPr>
      <w:rFonts w:ascii="宋体" w:hAnsi="Courier New"/>
    </w:rPr>
  </w:style>
  <w:style w:type="paragraph" w:styleId="1020" w:customStyle="1">
    <w:name w:val="纯文本5"/>
    <w:basedOn w:val="914"/>
    <w:uiPriority w:val="0"/>
    <w:qFormat/>
    <w:rPr>
      <w:rFonts w:ascii="宋体" w:hAnsi="Courier New"/>
      <w:sz w:val="28"/>
    </w:rPr>
  </w:style>
  <w:style w:type="paragraph" w:styleId="1021"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22" w:customStyle="1">
    <w:name w:val="font171"/>
    <w:basedOn w:val="924"/>
    <w:uiPriority w:val="0"/>
    <w:qFormat/>
    <w:rPr>
      <w:rFonts w:hint="eastAsia" w:ascii="宋体" w:hAnsi="宋体" w:eastAsia="宋体" w:cs="宋体"/>
      <w:b/>
      <w:bCs/>
      <w:color w:val="000000"/>
      <w:sz w:val="36"/>
      <w:szCs w:val="36"/>
      <w:u w:val="none"/>
    </w:rPr>
  </w:style>
  <w:style w:type="character" w:styleId="1023" w:customStyle="1">
    <w:name w:val="font41"/>
    <w:basedOn w:val="924"/>
    <w:uiPriority w:val="0"/>
    <w:qFormat/>
    <w:rPr>
      <w:rFonts w:hint="default" w:ascii="Times New Roman" w:hAnsi="Times New Roman" w:cs="Times New Roman"/>
      <w:b/>
      <w:bCs/>
      <w:color w:val="000000"/>
      <w:sz w:val="36"/>
      <w:szCs w:val="36"/>
      <w:u w:val="none"/>
    </w:rPr>
  </w:style>
  <w:style w:type="character" w:styleId="1024" w:customStyle="1">
    <w:name w:val="font101"/>
    <w:basedOn w:val="924"/>
    <w:uiPriority w:val="0"/>
    <w:qFormat/>
    <w:rPr>
      <w:rFonts w:hint="eastAsia" w:ascii="宋体" w:hAnsi="宋体" w:eastAsia="宋体" w:cs="宋体"/>
      <w:b/>
      <w:bCs/>
      <w:color w:val="000000"/>
      <w:sz w:val="24"/>
      <w:szCs w:val="24"/>
      <w:u w:val="none"/>
    </w:rPr>
  </w:style>
  <w:style w:type="character" w:styleId="1025" w:customStyle="1">
    <w:name w:val="font91"/>
    <w:basedOn w:val="924"/>
    <w:uiPriority w:val="0"/>
    <w:qFormat/>
    <w:rPr>
      <w:rFonts w:hint="default" w:ascii="Times New Roman" w:hAnsi="Times New Roman" w:cs="Times New Roman"/>
      <w:b/>
      <w:bCs/>
      <w:color w:val="000000"/>
      <w:sz w:val="24"/>
      <w:szCs w:val="24"/>
      <w:u w:val="none"/>
    </w:rPr>
  </w:style>
  <w:style w:type="character" w:styleId="1026" w:customStyle="1">
    <w:name w:val="font121"/>
    <w:basedOn w:val="924"/>
    <w:uiPriority w:val="0"/>
    <w:qFormat/>
    <w:rPr>
      <w:rFonts w:hint="eastAsia" w:ascii="宋体" w:hAnsi="宋体" w:eastAsia="宋体" w:cs="宋体"/>
      <w:color w:val="000000"/>
      <w:sz w:val="24"/>
      <w:szCs w:val="24"/>
      <w:u w:val="none"/>
    </w:rPr>
  </w:style>
  <w:style w:type="character" w:styleId="1027" w:customStyle="1">
    <w:name w:val="font61"/>
    <w:basedOn w:val="924"/>
    <w:uiPriority w:val="0"/>
    <w:qFormat/>
    <w:rPr>
      <w:rFonts w:hint="default" w:ascii="Times New Roman" w:hAnsi="Times New Roman" w:cs="Times New Roman"/>
      <w:color w:val="000000"/>
      <w:sz w:val="24"/>
      <w:szCs w:val="24"/>
      <w:u w:val="none"/>
    </w:rPr>
  </w:style>
  <w:style w:type="character" w:styleId="1028" w:customStyle="1">
    <w:name w:val="font151"/>
    <w:basedOn w:val="924"/>
    <w:uiPriority w:val="0"/>
    <w:qFormat/>
    <w:rPr>
      <w:rFonts w:ascii="宋体" w:hAnsi="宋体" w:eastAsia="宋体" w:cs="宋体"/>
      <w:color w:val="000000"/>
      <w:sz w:val="24"/>
      <w:szCs w:val="24"/>
      <w:u w:val="none"/>
    </w:rPr>
  </w:style>
  <w:style w:type="paragraph" w:styleId="1029"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30" w:customStyle="1">
    <w:name w:val="msolistparagraph"/>
    <w:basedOn w:val="914"/>
    <w:uiPriority w:val="0"/>
    <w:qFormat/>
    <w:pPr>
      <w:ind w:firstLine="420"/>
    </w:pPr>
    <w:rPr>
      <w:szCs w:val="21"/>
    </w:rPr>
  </w:style>
  <w:style w:type="paragraph" w:styleId="1031" w:customStyle="1">
    <w:name w:val="Table Paragraph"/>
    <w:basedOn w:val="914"/>
    <w:uiPriority w:val="1"/>
    <w:qFormat/>
    <w:rPr>
      <w:rFonts w:ascii="宋体" w:hAnsi="宋体" w:cs="宋体"/>
      <w:lang w:val="zh-CN" w:bidi="zh-CN"/>
    </w:rPr>
  </w:style>
  <w:style w:type="character" w:styleId="1032" w:customStyle="1">
    <w:name w:val="font21"/>
    <w:basedOn w:val="924"/>
    <w:uiPriority w:val="0"/>
    <w:qFormat/>
    <w:rPr>
      <w:rFonts w:hint="eastAsia" w:ascii="仿宋" w:hAnsi="仿宋" w:eastAsia="仿宋" w:cs="仿宋"/>
      <w:color w:val="000000"/>
      <w:sz w:val="22"/>
      <w:szCs w:val="22"/>
      <w:u w:val="none"/>
    </w:rPr>
  </w:style>
  <w:style w:type="character" w:styleId="1033" w:customStyle="1">
    <w:name w:val="font71"/>
    <w:basedOn w:val="924"/>
    <w:uiPriority w:val="0"/>
    <w:qFormat/>
    <w:rPr>
      <w:rFonts w:hint="eastAsia" w:ascii="宋体" w:hAnsi="宋体" w:eastAsia="宋体" w:cs="宋体"/>
      <w:color w:val="000000"/>
      <w:sz w:val="22"/>
      <w:szCs w:val="22"/>
      <w:u w:val="none"/>
    </w:rPr>
  </w:style>
  <w:style w:type="character" w:styleId="1034" w:customStyle="1">
    <w:name w:val="font01"/>
    <w:basedOn w:val="924"/>
    <w:uiPriority w:val="0"/>
    <w:qFormat/>
    <w:rPr>
      <w:rFonts w:hint="eastAsia" w:ascii="宋体" w:hAnsi="宋体" w:eastAsia="宋体" w:cs="宋体"/>
      <w:color w:val="000000"/>
      <w:sz w:val="22"/>
      <w:szCs w:val="22"/>
      <w:u w:val="none"/>
    </w:rPr>
  </w:style>
  <w:style w:type="character" w:styleId="1035" w:customStyle="1">
    <w:name w:val="font11"/>
    <w:basedOn w:val="924"/>
    <w:uiPriority w:val="0"/>
    <w:qFormat/>
    <w:rPr>
      <w:rFonts w:hint="eastAsia" w:ascii="宋体" w:hAnsi="宋体" w:eastAsia="宋体" w:cs="宋体"/>
      <w:color w:val="ff0000"/>
      <w:sz w:val="22"/>
      <w:szCs w:val="22"/>
      <w:u w:val="none"/>
    </w:rPr>
  </w:style>
  <w:style w:type="character" w:styleId="1036" w:customStyle="1">
    <w:name w:val="font31"/>
    <w:basedOn w:val="924"/>
    <w:uiPriority w:val="0"/>
    <w:qFormat/>
    <w:rPr>
      <w:rFonts w:hint="eastAsia" w:ascii="宋体" w:hAnsi="宋体" w:eastAsia="宋体" w:cs="宋体"/>
      <w:color w:val="ff0000"/>
      <w:sz w:val="22"/>
      <w:szCs w:val="22"/>
      <w:u w:val="none"/>
    </w:rPr>
  </w:style>
  <w:style w:type="paragraph" w:styleId="1037" w:customStyle="1">
    <w:name w:val="p2"/>
    <w:basedOn w:val="914"/>
    <w:uiPriority w:val="0"/>
    <w:qFormat/>
    <w:pPr>
      <w:spacing w:before="100" w:beforeAutospacing="1" w:after="100" w:afterAutospacing="1"/>
    </w:pPr>
    <w:rPr>
      <w:rFonts w:ascii="宋体" w:hAnsi="宋体"/>
      <w:sz w:val="24"/>
      <w:szCs w:val="24"/>
    </w:rPr>
  </w:style>
  <w:style w:type="character" w:styleId="1038" w:customStyle="1">
    <w:name w:val="批注文字 字符"/>
    <w:link w:val="932"/>
    <w:uiPriority w:val="0"/>
    <w:qFormat/>
    <w:rPr>
      <w:rFonts w:eastAsia="楷体_GB2312"/>
      <w:sz w:val="26"/>
    </w:rPr>
  </w:style>
  <w:style w:type="character" w:styleId="1039" w:customStyle="1">
    <w:name w:val="NormalCharacter"/>
    <w:link w:val="1040"/>
    <w:uiPriority w:val="0"/>
    <w:qFormat/>
    <w:rPr>
      <w:sz w:val="20"/>
      <w:szCs w:val="20"/>
    </w:rPr>
  </w:style>
  <w:style w:type="paragraph" w:styleId="1040" w:customStyle="1">
    <w:name w:val="UserStyle_4"/>
    <w:basedOn w:val="914"/>
    <w:link w:val="1039"/>
    <w:uiPriority w:val="99"/>
    <w:qFormat/>
    <w:rPr>
      <w:sz w:val="20"/>
    </w:rPr>
  </w:style>
  <w:style w:type="character" w:styleId="1041" w:customStyle="1">
    <w:name w:val="hover"/>
    <w:basedOn w:val="924"/>
    <w:uiPriority w:val="0"/>
    <w:qFormat/>
    <w:rPr>
      <w:color w:val="2590eb"/>
    </w:rPr>
  </w:style>
  <w:style w:type="character" w:styleId="1042" w:customStyle="1">
    <w:name w:val="hover1"/>
    <w:basedOn w:val="924"/>
    <w:uiPriority w:val="0"/>
    <w:qFormat/>
  </w:style>
  <w:style w:type="character" w:styleId="1043" w:customStyle="1">
    <w:name w:val="hover2"/>
    <w:basedOn w:val="924"/>
    <w:uiPriority w:val="0"/>
    <w:qFormat/>
    <w:rPr>
      <w:color w:val="2590eb"/>
    </w:rPr>
  </w:style>
  <w:style w:type="character" w:styleId="1044" w:customStyle="1">
    <w:name w:val="15"/>
    <w:basedOn w:val="924"/>
    <w:uiPriority w:val="0"/>
    <w:qFormat/>
  </w:style>
  <w:style w:type="paragraph" w:styleId="1045" w:customStyle="1">
    <w:name w:val="p"/>
    <w:basedOn w:val="914"/>
    <w:uiPriority w:val="0"/>
    <w:qFormat/>
    <w:pPr>
      <w:jc w:val="left"/>
      <w:spacing w:before="100" w:beforeAutospacing="1" w:after="100" w:afterAutospacing="1"/>
      <w:widowControl/>
    </w:pPr>
    <w:rPr>
      <w:rFonts w:ascii="宋体" w:hAnsi="宋体" w:eastAsia="宋体" w:cs="宋体"/>
      <w:sz w:val="24"/>
      <w:szCs w:val="24"/>
    </w:rPr>
  </w:style>
  <w:style w:type="character" w:styleId="1046" w:customStyle="1">
    <w:name w:val="页脚 字符"/>
    <w:basedOn w:val="924"/>
    <w:link w:val="946"/>
    <w:uiPriority w:val="99"/>
    <w:qFormat/>
    <w:rPr>
      <w:rFonts w:eastAsia="楷体_GB2312"/>
      <w:sz w:val="18"/>
    </w:rPr>
  </w:style>
  <w:style w:type="character" w:styleId="1047" w:customStyle="1">
    <w:name w:val="页眉 字符"/>
    <w:basedOn w:val="924"/>
    <w:link w:val="948"/>
    <w:uiPriority w:val="99"/>
    <w:qFormat/>
    <w:rPr>
      <w:rFonts w:eastAsia="楷体_GB2312"/>
      <w:sz w:val="18"/>
    </w:rPr>
  </w:style>
  <w:style w:type="character" w:styleId="1048" w:customStyle="1">
    <w:name w:val="标题 1 字符"/>
    <w:link w:val="915"/>
    <w:uiPriority w:val="0"/>
    <w:qFormat/>
    <w:rPr>
      <w:rFonts w:eastAsia="楷体_GB2312"/>
      <w:b/>
      <w:sz w:val="44"/>
    </w:rPr>
  </w:style>
  <w:style w:type="character" w:styleId="1049" w:customStyle="1">
    <w:name w:val="标题 字符"/>
    <w:basedOn w:val="924"/>
    <w:link w:val="964"/>
    <w:uiPriority w:val="10"/>
    <w:qFormat/>
    <w:rPr>
      <w:rFonts w:ascii="黑体" w:hAnsi="黑体" w:eastAsia="黑体"/>
      <w:sz w:val="28"/>
      <w:szCs w:val="24"/>
    </w:rPr>
  </w:style>
  <w:style w:type="paragraph" w:styleId="1050" w:customStyle="1">
    <w:name w:val="UserStyle_780"/>
    <w:basedOn w:val="914"/>
    <w:uiPriority w:val="0"/>
    <w:qFormat/>
    <w:rPr>
      <w:rFonts w:ascii="宋体" w:hAnsi="Courier New"/>
      <w:sz w:val="28"/>
      <w:szCs w:val="24"/>
    </w:rPr>
  </w:style>
  <w:style w:type="paragraph" w:styleId="1051" w:customStyle="1">
    <w:name w:val="修订1"/>
    <w:hidden/>
    <w:uiPriority w:val="99"/>
    <w:semiHidden/>
    <w:qFormat/>
    <w:rPr>
      <w:rFonts w:ascii="Times New Roman" w:hAnsi="Times New Roman" w:eastAsia="楷体_GB2312" w:cs="Times New Roman"/>
      <w:sz w:val="26"/>
      <w:lang w:val="en-US" w:eastAsia="zh-CN" w:bidi="ar-SA"/>
    </w:rPr>
  </w:style>
  <w:style w:type="paragraph" w:styleId="1052" w:customStyle="1">
    <w:name w:val="修订2"/>
    <w:hidden/>
    <w:uiPriority w:val="99"/>
    <w:unhideWhenUsed/>
    <w:qFormat/>
    <w:rPr>
      <w:rFonts w:ascii="Times New Roman" w:hAnsi="Times New Roman" w:eastAsia="楷体_GB2312" w:cs="Times New Roman"/>
      <w:sz w:val="26"/>
      <w:lang w:val="en-US" w:eastAsia="zh-CN" w:bidi="ar-SA"/>
    </w:rPr>
  </w:style>
  <w:style w:type="character" w:styleId="1053" w:customStyle="1">
    <w:name w:val="font51"/>
    <w:basedOn w:val="924"/>
    <w:uiPriority w:val="0"/>
    <w:qFormat/>
    <w:rPr>
      <w:rFonts w:ascii="宋体" w:hAnsi="宋体" w:eastAsia="宋体" w:cs="宋体"/>
      <w:color w:val="000000"/>
      <w:sz w:val="14"/>
      <w:szCs w:val="14"/>
      <w:u w:val="none"/>
    </w:rPr>
  </w:style>
  <w:style w:type="character" w:styleId="1054" w:customStyle="1">
    <w:name w:val="font81"/>
    <w:basedOn w:val="924"/>
    <w:uiPriority w:val="0"/>
    <w:qFormat/>
    <w:rPr>
      <w:rFonts w:ascii="宋体" w:hAnsi="宋体" w:eastAsia="宋体" w:cs="宋体"/>
      <w:color w:val="000000"/>
      <w:sz w:val="18"/>
      <w:szCs w:val="18"/>
      <w:u w:val="none"/>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C3A554-1112-4FD0-BC7E-588FAB29DD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6</cp:revision>
  <dcterms:created xsi:type="dcterms:W3CDTF">2023-12-11T10:15:00Z</dcterms:created>
  <dcterms:modified xsi:type="dcterms:W3CDTF">2026-03-02T05:50:13Z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A715874CDE364B4D868DF422C19B87E2_13</vt:lpwstr>
  </property>
  <property fmtid="{D5CDD505-2E9C-101B-9397-08002B2CF9AE}" pid="4" name="KSOTemplateDocerSaveRecord">
    <vt:lpwstr>eyJoZGlkIjoiZTg1ZjBiYjczODk3ZDAxZTcxNzhmZTc1ZjVmOWU3NDAiLCJ1c2VySWQiOiI0MTgxMDg2MzUifQ==</vt:lpwstr>
  </property>
</Properties>
</file>