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72"/>
          <w:highlight w:val="none"/>
        </w:rPr>
      </w:pPr>
      <w:r>
        <w:rPr>
          <w:rFonts w:hint="eastAsia" w:ascii="宋体" w:hAnsi="宋体" w:eastAsia="宋体" w:cs="宋体"/>
          <w:b/>
          <w:color w:val="auto"/>
          <w:sz w:val="72"/>
          <w:highlight w:val="none"/>
          <w:lang w:val="en-US" w:eastAsia="zh-CN"/>
        </w:rPr>
        <w:t xml:space="preserve">苏州市</w:t>
      </w:r>
      <w:r>
        <w:rPr>
          <w:rFonts w:hint="eastAsia" w:ascii="宋体" w:hAnsi="宋体" w:eastAsia="宋体" w:cs="宋体"/>
          <w:b/>
          <w:color w:val="auto"/>
          <w:sz w:val="72"/>
          <w:highlight w:val="none"/>
        </w:rPr>
        <w:t xml:space="preserve">政府采购</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72"/>
          <w:highlight w:val="none"/>
        </w:rPr>
        <w:t xml:space="preserve">招标文件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53"/>
        <w:tblW w:w="8720" w:type="dxa"/>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80"/>
        <w:gridCol w:w="6540"/>
      </w:tblGrid>
      <w:tr>
        <w:trPr>
          <w:trHeight w:val="680"/>
        </w:trPr>
        <w:tc>
          <w:tcPr>
            <w:tcW w:w="2180" w:type="dxa"/>
            <w:vAlign w:val="center"/>
            <w:textDirection w:val="lrTb"/>
            <w:noWrap w:val="false"/>
          </w:tcPr>
          <w:p>
            <w:pPr>
              <w:pStyle w:val="909"/>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招标编号：</w:t>
            </w:r>
            <w:r/>
          </w:p>
        </w:tc>
        <w:tc>
          <w:tcPr>
            <w:tcW w:w="6540" w:type="dxa"/>
            <w:vAlign w:val="center"/>
            <w:textDirection w:val="lrTb"/>
            <w:noWrap w:val="false"/>
          </w:tcPr>
          <w:p>
            <w:pPr>
              <w:pStyle w:val="909"/>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JSZC-320583-LHZX-G2025-0054</w:t>
            </w:r>
            <w:r>
              <w:rPr>
                <w:rFonts w:hint="eastAsia" w:hAnsi="宋体" w:cs="宋体"/>
                <w:b/>
                <w:bCs/>
                <w:color w:val="auto"/>
                <w:sz w:val="32"/>
                <w:highlight w:val="none"/>
                <w:lang w:eastAsia="zh-CN"/>
              </w:rPr>
              <w:tab/>
            </w:r>
            <w:r/>
          </w:p>
        </w:tc>
      </w:tr>
      <w:tr>
        <w:trPr>
          <w:trHeight w:val="680"/>
        </w:trPr>
        <w:tc>
          <w:tcPr>
            <w:tcW w:w="2180" w:type="dxa"/>
            <w:vAlign w:val="center"/>
            <w:textDirection w:val="lrTb"/>
            <w:noWrap w:val="false"/>
          </w:tcPr>
          <w:p>
            <w:pPr>
              <w:pStyle w:val="909"/>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p>
        </w:tc>
        <w:tc>
          <w:tcPr>
            <w:tcW w:w="6540" w:type="dxa"/>
            <w:vAlign w:val="center"/>
            <w:textDirection w:val="lrTb"/>
            <w:noWrap w:val="false"/>
          </w:tcPr>
          <w:p>
            <w:pPr>
              <w:pStyle w:val="909"/>
              <w:ind w:firstLine="0"/>
              <w:widowControl w:val="off"/>
              <w:tabs>
                <w:tab w:val="center" w:pos="3162" w:leader="none"/>
              </w:tabs>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昆山市妇幼保健院</w:t>
            </w:r>
            <w:r>
              <w:rPr>
                <w:rFonts w:hint="eastAsia" w:hAnsi="宋体" w:cs="宋体"/>
                <w:b/>
                <w:bCs/>
                <w:color w:val="auto"/>
                <w:sz w:val="32"/>
                <w:highlight w:val="none"/>
                <w:lang w:eastAsia="zh-CN"/>
              </w:rPr>
              <w:tab/>
            </w:r>
            <w:r/>
          </w:p>
        </w:tc>
      </w:tr>
      <w:tr>
        <w:trPr>
          <w:trHeight w:val="680"/>
        </w:trPr>
        <w:tc>
          <w:tcPr>
            <w:tcW w:w="2180" w:type="dxa"/>
            <w:vAlign w:val="center"/>
            <w:textDirection w:val="lrTb"/>
            <w:noWrap w:val="false"/>
          </w:tcPr>
          <w:p>
            <w:pPr>
              <w:pStyle w:val="909"/>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项目名称：</w:t>
            </w:r>
            <w:r/>
          </w:p>
        </w:tc>
        <w:tc>
          <w:tcPr>
            <w:tcW w:w="6540" w:type="dxa"/>
            <w:vAlign w:val="center"/>
            <w:textDirection w:val="lrTb"/>
            <w:noWrap w:val="false"/>
          </w:tcPr>
          <w:p>
            <w:pPr>
              <w:pStyle w:val="909"/>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眼科设备一批</w:t>
            </w:r>
            <w:r/>
          </w:p>
        </w:tc>
      </w:tr>
      <w:tr>
        <w:trPr>
          <w:trHeight w:val="680"/>
        </w:trPr>
        <w:tc>
          <w:tcPr>
            <w:tcW w:w="2180" w:type="dxa"/>
            <w:vAlign w:val="center"/>
            <w:textDirection w:val="lrTb"/>
            <w:noWrap w:val="false"/>
          </w:tcPr>
          <w:p>
            <w:pPr>
              <w:pStyle w:val="909"/>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类    别：</w:t>
            </w:r>
            <w:r/>
          </w:p>
        </w:tc>
        <w:tc>
          <w:tcPr>
            <w:tcW w:w="6540" w:type="dxa"/>
            <w:vAlign w:val="center"/>
            <w:textDirection w:val="lrTb"/>
            <w:noWrap w:val="false"/>
          </w:tcPr>
          <w:p>
            <w:pPr>
              <w:pStyle w:val="909"/>
              <w:ind w:firstLine="0"/>
              <w:widowControl w:val="off"/>
              <w:rPr>
                <w:rFonts w:hint="eastAsia" w:ascii="宋体" w:hAnsi="宋体" w:eastAsia="宋体" w:cs="宋体"/>
                <w:b/>
                <w:bCs/>
                <w:color w:val="auto"/>
                <w:sz w:val="32"/>
                <w:highlight w:val="none"/>
              </w:rPr>
            </w:pPr>
            <w:r>
              <w:rPr>
                <w:rFonts w:hint="eastAsia" w:hAnsi="宋体" w:cs="宋体"/>
                <w:b/>
                <w:bCs/>
                <w:color w:val="auto"/>
                <w:sz w:val="32"/>
                <w:highlight w:val="none"/>
                <w:lang w:val="en-US" w:eastAsia="zh-CN"/>
              </w:rPr>
              <w:t xml:space="preserve">货物</w:t>
            </w:r>
            <w:r>
              <w:rPr>
                <w:rFonts w:hint="eastAsia" w:ascii="宋体" w:hAnsi="宋体" w:eastAsia="宋体" w:cs="宋体"/>
                <w:b/>
                <w:bCs/>
                <w:color w:val="auto"/>
                <w:sz w:val="32"/>
                <w:highlight w:val="none"/>
              </w:rPr>
              <w:t xml:space="preserve">类</w:t>
            </w:r>
            <w:r/>
          </w:p>
        </w:tc>
      </w:tr>
    </w:tbl>
    <w:p>
      <w:pPr>
        <w:pStyle w:val="909"/>
        <w:ind w:left="1050" w:firstLine="643"/>
        <w:spacing w:line="48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3047365" cy="1675765"/>
                <wp:effectExtent l="0" t="0" r="635" b="635"/>
                <wp:docPr id="3"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单位照片—乐慧\QQ图片20180411122618.jpg"/>
                        <pic:cNvPicPr>
                          <a:picLocks noChangeAspect="1"/>
                        </pic:cNvPicPr>
                        <pic:nvPr/>
                      </pic:nvPicPr>
                      <pic:blipFill>
                        <a:blip r:embed="rId12"/>
                        <a:stretch/>
                      </pic:blipFill>
                      <pic:spPr bwMode="auto">
                        <a:xfrm rot="10800000" flipH="1" flipV="1">
                          <a:off x="0" y="0"/>
                          <a:ext cx="3047365" cy="1675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9.9pt;height:131.9pt;mso-wrap-distance-left:0.0pt;mso-wrap-distance-top:0.0pt;mso-wrap-distance-right:0.0pt;mso-wrap-distance-bottom:0.0pt;rotation:180;flip:xy;" stroked="f">
                <v:path textboxrect="0,0,0,0"/>
                <v:imagedata r:id="rId12" o:title=""/>
              </v:shape>
            </w:pict>
          </mc:Fallback>
        </mc:AlternateConten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57"/>
        <w:jc w:val="center"/>
        <w:spacing w:line="36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苏州乐慧招投标咨询有限公司</w:t>
      </w:r>
      <w:r/>
    </w:p>
    <w:p>
      <w:pPr>
        <w:jc w:val="center"/>
        <w:widowControl/>
        <w:tabs>
          <w:tab w:val="left" w:pos="315" w:leader="none"/>
          <w:tab w:val="center" w:pos="4153" w:leader="none"/>
        </w:tabs>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三</w:t>
      </w:r>
      <w:r>
        <w:rPr>
          <w:rFonts w:hint="eastAsia" w:ascii="宋体" w:hAnsi="宋体" w:eastAsia="宋体" w:cs="宋体"/>
          <w:b/>
          <w:color w:val="auto"/>
          <w:sz w:val="32"/>
          <w:highlight w:val="none"/>
        </w:rPr>
        <w:t xml:space="preserve">月</w:t>
      </w:r>
      <w:r/>
    </w:p>
    <w:p>
      <w:pPr>
        <w:jc w:val="center"/>
        <w:widowControl/>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br w:type="page" w:clear="all"/>
      </w:r>
      <w:r>
        <w:rPr>
          <w:rFonts w:hint="eastAsia" w:ascii="宋体" w:hAnsi="宋体" w:eastAsia="宋体" w:cs="宋体"/>
          <w:b/>
          <w:bCs/>
          <w:color w:val="auto"/>
          <w:spacing w:val="20"/>
          <w:sz w:val="32"/>
          <w:szCs w:val="32"/>
          <w:highlight w:val="none"/>
        </w:rPr>
        <w:t xml:space="preserve">前附表</w:t>
      </w:r>
      <w:r/>
    </w:p>
    <w:tbl>
      <w:tblPr>
        <w:tblStyle w:val="725"/>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top"/>
            <w:textDirection w:val="lrTb"/>
            <w:noWrap w:val="false"/>
          </w:tcPr>
          <w:p>
            <w:pPr>
              <w:jc w:val="center"/>
              <w:spacing w:line="240" w:lineRule="auto"/>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JSZC-320583-LHZX-G2025-0054</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眼科设备一批</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投标截止之日起</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截止时间：2026年03月24日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开标时间</w:t>
            </w:r>
            <w:r/>
          </w:p>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时间：2026年03月24日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ind w:left="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t xml:space="preserve">地点：</w:t>
            </w:r>
            <w:r>
              <w:rPr>
                <w:rFonts w:hint="eastAsia" w:ascii="宋体" w:hAnsi="宋体" w:eastAsia="宋体" w:cs="宋体"/>
                <w:color w:val="auto"/>
                <w:sz w:val="24"/>
                <w:szCs w:val="24"/>
                <w:highlight w:val="none"/>
              </w:rPr>
              <w:t xml:space="preserve">“苏采云”系统（网址：http://jszfcg.jsczt.cn/）</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b/>
                <w:color w:val="auto"/>
                <w:sz w:val="24"/>
                <w:szCs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908"/>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确定出中标人后，采购代理机构在法定时间内向中标人发出中标通知书。中标通知书将成为合同的组成部分。</w:t>
            </w:r>
            <w:r/>
          </w:p>
          <w:p>
            <w:pPr>
              <w:pStyle w:val="908"/>
              <w:ind w:left="0" w:firstLine="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p>
        </w:tc>
      </w:tr>
      <w:tr>
        <w:trPr>
          <w:jc w:val="center"/>
          <w:trHeight w:val="31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出现下列情形之一的，为废标： </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符合专业条件的投标人或者对招标文件作实质响应的投标人不足三家的；</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 </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 </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投标文件属下列情况之一的，在资格性、符合性检查时按照无效投标处理：</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（一）未按照招标文件规定要求签署、盖章的；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（二）不具备招标文件中规定资格要求的；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（三）报价超过招标文件中规定的预算金额或者最高限价的；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（四）投标文件含有采购人不能接受的附加条件的；</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（五）法律、法规和招标文件规定的其他无效情形。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服务费：本项目招标代理服务费由中标单位按以下收费标准向招标代理机构支付。</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预算金额100万元以下部分，费率为该部分预算金额的1.5%；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预算金额100万元（含）－500万元部分，费率为该部分预算金额的1.1%；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预算金额500万元（含）-1000万元部分，费率为该部分预算金额的0.8%；</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预算金额1000万元（含）-5000万元部分，费率为该部分预算金额的0.5%；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预算金额5000万元以上部分，费率为该部分预算金额的0.25%。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服务费账号：155189060</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账户名：苏州乐慧招投标咨询有限公司</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开户行：民生银行苏州相城支行</w:t>
            </w:r>
            <w:r/>
          </w:p>
        </w:tc>
      </w:tr>
    </w:tbl>
    <w:p>
      <w:pPr>
        <w:pStyle w:val="727"/>
        <w:ind w:firstLine="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727"/>
        <w:ind w:firstLine="0"/>
        <w:jc w:val="center"/>
        <w:rPr>
          <w:rFonts w:hint="eastAsia" w:ascii="宋体" w:hAnsi="宋体" w:eastAsia="宋体" w:cs="宋体"/>
          <w:b/>
          <w:color w:val="auto"/>
          <w:sz w:val="84"/>
          <w:szCs w:val="84"/>
          <w:highlight w:val="none"/>
        </w:rPr>
      </w:pPr>
      <w:r>
        <w:rPr>
          <w:rFonts w:hint="eastAsia" w:ascii="宋体" w:hAnsi="宋体" w:eastAsia="宋体" w:cs="宋体"/>
          <w:b/>
          <w:color w:val="auto"/>
          <w:sz w:val="52"/>
          <w:szCs w:val="52"/>
          <w:highlight w:val="none"/>
        </w:rPr>
        <w:t xml:space="preserve">目</w:t>
      </w:r>
      <w:r>
        <w:rPr>
          <w:rFonts w:hint="eastAsia" w:ascii="宋体" w:hAnsi="宋体" w:eastAsia="宋体" w:cs="宋体"/>
          <w:b/>
          <w:color w:val="auto"/>
          <w:sz w:val="52"/>
          <w:szCs w:val="52"/>
          <w:highlight w:val="none"/>
          <w:lang w:val="en-US" w:eastAsia="zh-CN"/>
        </w:rPr>
        <w:t xml:space="preserve">     </w:t>
      </w:r>
      <w:r>
        <w:rPr>
          <w:rFonts w:hint="eastAsia" w:ascii="宋体" w:hAnsi="宋体" w:eastAsia="宋体" w:cs="宋体"/>
          <w:b/>
          <w:color w:val="auto"/>
          <w:sz w:val="52"/>
          <w:szCs w:val="52"/>
          <w:highlight w:val="none"/>
        </w:rPr>
        <w:t xml:space="preserve"> 录</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TOC \o "1-1"</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color w:val="auto"/>
          <w:sz w:val="30"/>
          <w:szCs w:val="30"/>
          <w:highlight w:val="none"/>
        </w:rPr>
        <w:t xml:space="preserve">第一章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招标公告</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投标人须知</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投标文件格式</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第四章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招标书</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第五章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合同主要条款</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第六章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评分标准</w:t>
      </w:r>
      <w:r/>
    </w:p>
    <w:p>
      <w:pPr>
        <w:pStyle w:val="727"/>
        <w:ind w:firstLine="0"/>
        <w:jc w:val="center"/>
        <w:spacing w:line="480" w:lineRule="auto"/>
        <w:rPr>
          <w:rFonts w:hint="eastAsia" w:ascii="宋体" w:hAnsi="宋体" w:eastAsia="宋体" w:cs="宋体"/>
          <w:b/>
          <w:color w:val="auto"/>
          <w:sz w:val="32"/>
          <w:highlight w:val="none"/>
        </w:rPr>
      </w:pPr>
      <w:r>
        <w:rPr>
          <w:rFonts w:hint="eastAsia" w:ascii="宋体" w:hAnsi="宋体" w:eastAsia="宋体" w:cs="宋体"/>
          <w:b/>
          <w:bCs/>
          <w:color w:val="auto"/>
          <w:sz w:val="30"/>
          <w:szCs w:val="30"/>
          <w:highlight w:val="none"/>
        </w:rPr>
        <w:fldChar w:fldCharType="end"/>
      </w:r>
      <w:r>
        <w:rPr>
          <w:rFonts w:hint="eastAsia" w:ascii="宋体" w:hAnsi="宋体" w:eastAsia="宋体" w:cs="宋体"/>
          <w:b/>
          <w:color w:val="auto"/>
          <w:sz w:val="32"/>
          <w:highlight w:val="none"/>
        </w:rPr>
        <w:br w:type="page" w:clear="all"/>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color w:val="auto"/>
          <w:sz w:val="52"/>
          <w:highlight w:val="none"/>
        </w:rPr>
      </w:pPr>
      <w:r/>
      <w:bookmarkStart w:id="0" w:name="_Toc520073481"/>
      <w:r>
        <w:rPr>
          <w:rFonts w:hint="eastAsia" w:ascii="宋体" w:hAnsi="宋体" w:eastAsia="宋体" w:cs="宋体"/>
          <w:color w:val="auto"/>
          <w:sz w:val="52"/>
          <w:highlight w:val="none"/>
        </w:rPr>
        <w:t xml:space="preserve">第一章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招标公告</w:t>
      </w:r>
      <w:bookmarkEnd w:id="0"/>
      <w:r/>
      <w:r/>
    </w:p>
    <w:p>
      <w:pPr>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br w:type="page" w:clear="all"/>
      </w:r>
      <w:r/>
    </w:p>
    <w:tbl>
      <w:tblPr>
        <w:tblStyle w:val="7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vAlign w:val="top"/>
            <w:textDirection w:val="lrTb"/>
            <w:noWrap w:val="false"/>
          </w:tcPr>
          <w:p>
            <w:pPr>
              <w:ind w:firstLine="480"/>
              <w:jc w:val="both"/>
              <w:spacing w:line="360" w:lineRule="auto"/>
              <w:widowControl w:val="off"/>
              <w:rPr>
                <w:rFonts w:hint="eastAsia" w:ascii="宋体" w:hAnsi="宋体" w:eastAsia="宋体" w:cs="宋体"/>
                <w:color w:val="auto"/>
                <w:sz w:val="24"/>
                <w:highlight w:val="none"/>
              </w:rPr>
            </w:pPr>
            <w:r/>
            <w:bookmarkStart w:id="1" w:name="OLE_LINK1"/>
            <w:r>
              <w:rPr>
                <w:rFonts w:hint="eastAsia" w:ascii="宋体" w:hAnsi="宋体" w:eastAsia="宋体" w:cs="宋体"/>
                <w:color w:val="auto"/>
                <w:sz w:val="24"/>
                <w:highlight w:val="none"/>
              </w:rPr>
              <w:t xml:space="preserve">项目概况</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昆山市妇幼保健院</w:t>
            </w:r>
            <w:r>
              <w:rPr>
                <w:rFonts w:hint="eastAsia" w:ascii="宋体" w:hAnsi="宋体" w:eastAsia="宋体" w:cs="宋体"/>
                <w:color w:val="auto"/>
                <w:sz w:val="24"/>
                <w:highlight w:val="none"/>
              </w:rPr>
              <w:t xml:space="preserve">关于</w:t>
            </w:r>
            <w:r>
              <w:rPr>
                <w:rFonts w:hint="eastAsia" w:ascii="宋体" w:hAnsi="宋体" w:eastAsia="宋体" w:cs="宋体"/>
                <w:color w:val="auto"/>
                <w:sz w:val="24"/>
                <w:highlight w:val="none"/>
                <w:lang w:eastAsia="zh-CN"/>
              </w:rPr>
              <w:t xml:space="preserve">眼科设备一批</w:t>
            </w:r>
            <w:r>
              <w:rPr>
                <w:rFonts w:hint="eastAsia" w:ascii="宋体" w:hAnsi="宋体" w:eastAsia="宋体" w:cs="宋体"/>
                <w:color w:val="auto"/>
                <w:sz w:val="24"/>
                <w:highlight w:val="none"/>
              </w:rPr>
              <w:t xml:space="preserve">招标项目的潜在投标人应在</w:t>
            </w:r>
            <w:r>
              <w:rPr>
                <w:rFonts w:hint="eastAsia" w:ascii="宋体" w:hAnsi="宋体" w:eastAsia="宋体" w:cs="宋体"/>
                <w:color w:val="auto"/>
                <w:sz w:val="24"/>
                <w:highlight w:val="none"/>
                <w:lang w:eastAsia="zh-CN"/>
              </w:rPr>
              <w:t xml:space="preserve">“苏采云”系统</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lang w:val="zh-CN"/>
              </w:rPr>
              <w:t xml:space="preserve">2026年03月24日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（北京时间）前递交投标文件。</w:t>
            </w:r>
            <w:r/>
          </w:p>
        </w:tc>
      </w:tr>
    </w:tbl>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JSZC-320583-LHZX-G2025-0054；</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眼科设备一批；</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3.预算金额：</w:t>
      </w:r>
      <w:r>
        <w:rPr>
          <w:rFonts w:hint="eastAsia" w:ascii="宋体" w:hAnsi="宋体" w:eastAsia="宋体" w:cs="宋体"/>
          <w:color w:val="auto"/>
          <w:sz w:val="24"/>
          <w:highlight w:val="none"/>
          <w:lang w:eastAsia="zh-CN"/>
        </w:rPr>
        <w:t xml:space="preserve">人民币肆佰叁拾玖万元整（¥4390000.00）；</w:t>
      </w:r>
      <w:r/>
    </w:p>
    <w:p>
      <w:pPr>
        <w:ind w:firstLine="480"/>
        <w:jc w:val="left"/>
        <w:spacing w:line="360" w:lineRule="auto"/>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4.最高限价：</w:t>
      </w:r>
      <w:r>
        <w:rPr>
          <w:rFonts w:hint="eastAsia" w:ascii="宋体" w:hAnsi="宋体" w:eastAsia="宋体" w:cs="宋体"/>
          <w:color w:val="auto"/>
          <w:sz w:val="24"/>
          <w:highlight w:val="none"/>
          <w:lang w:eastAsia="zh-CN"/>
        </w:rPr>
        <w:t xml:space="preserve">人民币肆佰叁拾玖万元整（¥4390000.00）；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采购包数量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一个</w:t>
      </w:r>
      <w:r/>
    </w:p>
    <w:tbl>
      <w:tblPr>
        <w:tblStyle w:val="75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3201"/>
        <w:gridCol w:w="1089"/>
        <w:gridCol w:w="1111"/>
        <w:gridCol w:w="1650"/>
        <w:gridCol w:w="2116"/>
      </w:tblGrid>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7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53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限价金额</w:t>
            </w:r>
            <w:r/>
          </w:p>
        </w:tc>
        <w:tc>
          <w:tcPr>
            <w:tcW w:w="103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眼生物测量仪</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光学相干断层扫描仪(OCT)</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1570"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新生儿眼底相机筛查系统</w:t>
            </w:r>
            <w:r/>
          </w:p>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（核心产品）</w:t>
            </w:r>
            <w:r/>
          </w:p>
        </w:tc>
        <w:tc>
          <w:tcPr>
            <w:tcW w:w="534"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230万元</w:t>
            </w:r>
            <w:r/>
          </w:p>
        </w:tc>
        <w:tc>
          <w:tcPr>
            <w:shd w:val="clear" w:color="auto" w:fill="auto"/>
            <w:tcW w:w="103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接受进口产品</w:t>
            </w:r>
            <w:r/>
          </w:p>
        </w:tc>
      </w:tr>
    </w:tbl>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lang w:eastAsia="zh-CN"/>
        </w:rPr>
        <w:t xml:space="preserve">合同签订之日起30个工作日内交货、安装及调试完成。</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lang w:eastAsia="zh-CN"/>
        </w:rPr>
        <w:t xml:space="preserve">不接受联合体投标</w:t>
      </w:r>
      <w:r>
        <w:rPr>
          <w:rFonts w:hint="eastAsia" w:ascii="宋体" w:hAnsi="宋体" w:eastAsia="宋体" w:cs="宋体"/>
          <w:color w:val="auto"/>
          <w:sz w:val="24"/>
          <w:highlight w:val="none"/>
        </w:rPr>
        <w:t xml:space="preserve">。</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1.1具有独立承担民事责任的能力；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1.2具有良好的商业信誉和健全的财务会计制度；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1.3具有履行合同所必需的设备和专业技术能力；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1.4有依法缴纳税收和社会保障资金的良好记录；</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1.5参加政府采购活动前三年内，在经营活动中没有重大违法记录；</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lang w:val="zh-CN"/>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具有</w:t>
      </w:r>
      <w:r>
        <w:rPr>
          <w:rFonts w:hint="eastAsia" w:ascii="宋体" w:hAnsi="宋体" w:eastAsia="宋体" w:cs="宋体"/>
          <w:color w:val="auto"/>
          <w:sz w:val="24"/>
          <w:highlight w:val="none"/>
        </w:rPr>
        <w:t xml:space="preserve">医疗器械经营企业许可证。</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1.时间：自公告发布之日起</w:t>
      </w:r>
      <w:r>
        <w:rPr>
          <w:rFonts w:hint="eastAsia" w:ascii="宋体" w:hAnsi="宋体" w:eastAsia="宋体" w:cs="宋体"/>
          <w:color w:val="auto"/>
          <w:sz w:val="24"/>
          <w:highlight w:val="none"/>
          <w:lang w:val="en-US" w:eastAsia="zh-CN"/>
        </w:rPr>
        <w:t xml:space="preserve">至2026年03月12日</w:t>
      </w:r>
      <w:r>
        <w:rPr>
          <w:rFonts w:hint="eastAsia" w:ascii="宋体" w:hAnsi="宋体" w:eastAsia="宋体" w:cs="宋体"/>
          <w:color w:val="auto"/>
          <w:sz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w:t>
      </w:r>
      <w:r>
        <w:rPr>
          <w:rFonts w:hint="eastAsia" w:ascii="宋体" w:hAnsi="宋体" w:eastAsia="宋体" w:cs="宋体"/>
          <w:color w:val="auto"/>
          <w:sz w:val="24"/>
          <w:highlight w:val="none"/>
          <w:lang w:eastAsia="zh-CN"/>
        </w:rPr>
        <w:t xml:space="preserve">“苏采云”系统自行下载</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（1）CA证书办理</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w:t>
      </w:r>
      <w:r>
        <w:rPr>
          <w:rFonts w:hint="eastAsia" w:ascii="宋体" w:hAnsi="宋体" w:eastAsia="宋体" w:cs="宋体"/>
          <w:color w:val="auto"/>
          <w:sz w:val="24"/>
          <w:szCs w:val="20"/>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（2）参与采购活动</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（3）电子投标准备</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在系统操作过程中如有疑问，请按以下方式联系：</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注册咨询：18261002950；</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CA技术咨询电话：400-608-6099；</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签章使用问题：025-83633811、025-83633812、15380932027、15371015030；</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系统使用指导与咨询：联系电话：18261002950；QQ：3048755361、1315179389、895706745。</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4.售价：免费</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注：未依照招标公告要求获取招标文件的投标人，视为未参加该项政府采购活动，不具备对该政府采购项目提出质疑的法定权利。</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四、提交投标文件截止时间、开标时间和地点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提交投标文件截止时间：</w:t>
      </w:r>
      <w:r>
        <w:rPr>
          <w:rFonts w:hint="eastAsia" w:ascii="宋体" w:hAnsi="宋体" w:eastAsia="宋体" w:cs="宋体"/>
          <w:color w:val="auto"/>
          <w:sz w:val="24"/>
          <w:highlight w:val="none"/>
          <w:lang w:val="zh-CN"/>
        </w:rPr>
        <w:t xml:space="preserve">2026年03月24日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eastAsia="宋体" w:cs="宋体"/>
          <w:color w:val="auto"/>
          <w:sz w:val="24"/>
          <w:highlight w:val="none"/>
          <w:lang w:val="zh-CN"/>
        </w:rPr>
        <w:t xml:space="preserve">2026年03月24日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地点：“苏采云”系统（网址：http://jszfcg.jsczt.cn/）</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4.本项目采用电子招投标形式，请供应商按照《苏采云系统供应商操作手册》进行制作、上传电子投标文件。</w:t>
      </w:r>
      <w:r>
        <w:rPr>
          <w:rFonts w:hint="eastAsia" w:ascii="宋体" w:hAnsi="宋体" w:eastAsia="宋体" w:cs="宋体"/>
          <w:b/>
          <w:bCs/>
          <w:color w:val="auto"/>
          <w:sz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五、公告期限</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highlight w:val="none"/>
          <w:lang w:val="en-US" w:eastAsia="zh-CN"/>
        </w:rPr>
        <w:t xml:space="preserve">昆山市财政局政府采购管理科电话：0512-57310854。</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3.单位负责人为同一人或者存在直接控股、管理关系的不同供应商，不得参加同一合同项下的政府采购活动。</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、对本次招标提出询问，请按以下方式联系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昆山市妇幼保健院</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单位地址：昆山市开发区青阳中路5号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联系人：方芳</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57027234</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联系方式：0512-69223600</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项目联系人：陈浩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王佳静</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电话：0512-69223600</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bookmarkStart w:id="2" w:name="_Toc520073482"/>
      <w:r>
        <w:rPr>
          <w:rFonts w:hint="eastAsia" w:ascii="宋体" w:hAnsi="宋体" w:eastAsia="宋体" w:cs="宋体"/>
          <w:color w:val="auto"/>
          <w:sz w:val="52"/>
          <w:highlight w:val="none"/>
        </w:rPr>
        <w:t xml:space="preserve">第二章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投标人须知</w:t>
      </w:r>
      <w:bookmarkEnd w:id="2"/>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lang w:val="zh-CN"/>
        </w:rPr>
        <w:t xml:space="preserve">1.说明</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1.1本招标文件仅适用于苏州乐慧招投标咨询有限公司组织的招标活动。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1.2本次招标活动及因本次招标产生的合同受中国法律制约和保护。</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1.3本招标文件的解释权属于苏州乐慧招投标咨询有限公司。</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2.词语释义</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2.1招标代理机构：具体组织实施招标活动的法人。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2.2投标人：经认定有资格响应招标，参加投标竞争的法人或其他组织和自然人。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2.3响应：投标人根据招标代理机构或招标代理机构发布的招标文件，编制投标文件并按规定投标的行为。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2.5甲方（采购</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rPr>
        <w:t xml:space="preserve">）：合同中明确规定的实际购买货物和服务的法人或其他组织和自然人(采购人)。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2.6乙方（</w:t>
      </w:r>
      <w:r>
        <w:rPr>
          <w:rFonts w:hint="eastAsia" w:ascii="宋体" w:hAnsi="宋体" w:eastAsia="宋体" w:cs="宋体"/>
          <w:color w:val="auto"/>
          <w:sz w:val="24"/>
          <w:highlight w:val="none"/>
        </w:rPr>
        <w:t xml:space="preserve">中标人</w:t>
      </w:r>
      <w:r>
        <w:rPr>
          <w:rFonts w:hint="eastAsia" w:ascii="宋体" w:hAnsi="宋体" w:eastAsia="宋体" w:cs="宋体"/>
          <w:color w:val="auto"/>
          <w:sz w:val="24"/>
          <w:highlight w:val="none"/>
          <w:lang w:val="zh-CN"/>
        </w:rPr>
        <w:t xml:space="preserve">）：合同中规定的向采购人提供货物和服务的法人或其他组织和自然人(中标人)。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2.7货物：系指乙方按招标招标文件规定，应向甲方提供的一切设备、备品、备件、工具、手册及其它有关技术资料和材料。</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2.9知识产权：指专利权、商标权、著作权等无形财产专有权的统称。</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2.10天：日历日。</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2.11交货安装地点：合同中明确约定的乙方提交的货物和服务最终到达地点。</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2.12合同价款：根据合同规定，乙方在正确地履行合同义务后甲方应支付乙方的</w:t>
      </w:r>
      <w:r>
        <w:rPr>
          <w:rFonts w:hint="eastAsia" w:ascii="宋体" w:hAnsi="宋体" w:eastAsia="宋体" w:cs="宋体"/>
          <w:color w:val="auto"/>
          <w:szCs w:val="24"/>
          <w:highlight w:val="none"/>
        </w:rPr>
        <w:t xml:space="preserve">价款。</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2.13产地：货物开采、生长、生产、最终制造、加工或提供服务的来源地。</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2.14不可抗力：不能预见、不能避免并且不能克服的客观情况。</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2.15进口产品：通过中国海关报关验放进入中国境内且产自关境外的产品。</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2.16书面形式：指书面文字、合同书、信件和传真等可以有形地表现所载内容的形式。</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2.17实质响应：满足有关本次采购标的、数量、质量、价款或者报酬、履行期限、履行地点和方式、违约责任和解决争议方法等要求。</w:t>
      </w:r>
      <w:r/>
    </w:p>
    <w:p>
      <w:pPr>
        <w:pStyle w:val="736"/>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3.合格投标人的一般条件：</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3.3具有履行合同所必需的设备和专业技术能力；</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3.4有依法缴纳税收和社会保障资金的良好记录；</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3.5参加政府采购活动前三年内，在经营活动中没有重大违法记录；</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3.6法律、行政法规规定的其他条件。</w:t>
      </w:r>
      <w:r/>
    </w:p>
    <w:p>
      <w:pPr>
        <w:pStyle w:val="736"/>
        <w:ind w:firstLine="482"/>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b/>
          <w:color w:val="auto"/>
          <w:szCs w:val="24"/>
          <w:highlight w:val="none"/>
        </w:rPr>
        <w:t xml:space="preserve">4.供应商的特殊条件：</w:t>
      </w:r>
      <w:r>
        <w:rPr>
          <w:rFonts w:hint="eastAsia" w:ascii="宋体" w:hAnsi="宋体" w:eastAsia="宋体" w:cs="宋体"/>
          <w:color w:val="auto"/>
          <w:szCs w:val="24"/>
          <w:highlight w:val="none"/>
          <w:lang w:val="en-US" w:eastAsia="zh-CN"/>
        </w:rPr>
        <w:t xml:space="preserve">具有</w:t>
      </w:r>
      <w:r>
        <w:rPr>
          <w:rFonts w:hint="eastAsia" w:ascii="宋体" w:hAnsi="宋体" w:eastAsia="宋体" w:cs="宋体"/>
          <w:color w:val="auto"/>
          <w:szCs w:val="24"/>
          <w:highlight w:val="none"/>
        </w:rPr>
        <w:t xml:space="preserve">医疗器械生产企业许可</w:t>
      </w:r>
      <w:r>
        <w:rPr>
          <w:rFonts w:hint="eastAsia" w:ascii="宋体" w:hAnsi="宋体" w:eastAsia="宋体" w:cs="宋体"/>
          <w:color w:val="auto"/>
          <w:szCs w:val="24"/>
          <w:highlight w:val="none"/>
          <w:lang w:eastAsia="zh-CN"/>
        </w:rPr>
        <w:t xml:space="preserve">。</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.投标人代表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.1指全权代表投标人参加投标活动并签署投标文件的人，如果投标人代表不是法定代表人，须持有《法定代表人授权委托书》（格式见第三章）。</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val="zh-CN"/>
        </w:rPr>
        <w:t xml:space="preserve">.投标费用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.1无论投标过程中的做法和结果如何，投标人自行承担所有与参加投标有关的全部费用。</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zh-CN"/>
        </w:rPr>
        <w:t xml:space="preserve">.联合投标及转包、分包</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.1本项目不接受联合体投标。</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.2本项目不接受转包、分包。</w:t>
      </w:r>
      <w:r/>
    </w:p>
    <w:p>
      <w:pPr>
        <w:ind w:firstLine="482"/>
        <w:jc w:val="left"/>
        <w:spacing w:line="360" w:lineRule="auto"/>
        <w:widowControl w:val="off"/>
        <w:tabs>
          <w:tab w:val="left" w:pos="630"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8</w:t>
      </w:r>
      <w:r>
        <w:rPr>
          <w:rFonts w:hint="eastAsia" w:ascii="宋体" w:hAnsi="宋体" w:eastAsia="宋体" w:cs="宋体"/>
          <w:b/>
          <w:bCs/>
          <w:color w:val="auto"/>
          <w:sz w:val="24"/>
          <w:highlight w:val="none"/>
          <w:lang w:val="zh-CN"/>
        </w:rPr>
        <w:t xml:space="preserve">.招标文件的询问</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投标人在收到招标文件后，若有问题需要询问，应于下载招标文件后，可通过公告中的联系方式及时提出，采购人或采购代理机构将予以解答。</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9.2供应商质疑办法具体详见《政府采购质疑和投诉办法》。供应商应在法定质疑期内一次性提出针对同一采购程序环节的质疑。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9.3供应商对招标文件如有质疑，请质疑以书面形式（当场送达或邮寄方式，不接收到付快递）递交至采购代理单位。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内容质疑时，需提供在采购交易系统中下载本项目</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的《交易文件下载确认单》，未提供的视为未依照招标公告要求获取招标文件，不具备对该政府采购项目提出质疑的法定权利。</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9.6质疑联系：苏州乐慧招投标咨询有限公司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联系电话：0512-69223600 </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陈浩</w:t>
      </w:r>
      <w:r>
        <w:rPr>
          <w:rFonts w:hint="eastAsia" w:ascii="宋体" w:hAnsi="宋体" w:eastAsia="宋体" w:cs="宋体"/>
          <w:color w:val="auto"/>
          <w:sz w:val="24"/>
          <w:highlight w:val="none"/>
        </w:rPr>
        <w:t xml:space="preserve">、王佳静</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w:t>
      </w:r>
      <w:r>
        <w:rPr>
          <w:rFonts w:hint="eastAsia" w:ascii="宋体" w:hAnsi="宋体" w:eastAsia="宋体" w:cs="宋体"/>
          <w:b/>
          <w:bCs/>
          <w:color w:val="auto"/>
          <w:sz w:val="24"/>
          <w:highlight w:val="none"/>
          <w:lang w:val="zh-CN"/>
        </w:rPr>
        <w:t xml:space="preserve">.招标文件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电子投标（响应）文件将被视为未实质性响应。</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10.2招标文件及其补充文件为未按规定的方式获得的，采购代理机构对招标文件及其补遗的真实性、完整性不承担任何责任。</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招标文件的澄清或修改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.4招标文件的澄清、修改、补充等内容均以苏州市政府采购网上发布的内容为准。</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提示与要求</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12.2无论是否递交投标文件，投标人都应将招标文件及以后的所有通知、文件等视为保密文件。</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13.投标文件计量单位和使用文字</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13.1投标文件中所使用的计量单位，除招标文件中有特殊要求外，均应使用中华人民共和国法定计量单位。</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14.投标文件的组成</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14.1封面</w:t>
      </w:r>
      <w:r/>
    </w:p>
    <w:p>
      <w:pPr>
        <w:ind w:left="0" w:firstLine="482"/>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14.2开标一览表</w:t>
      </w:r>
      <w:r/>
    </w:p>
    <w:p>
      <w:pPr>
        <w:ind w:left="0" w:firstLine="482"/>
        <w:jc w:val="both"/>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14.3</w:t>
      </w:r>
      <w:r>
        <w:rPr>
          <w:rFonts w:hint="eastAsia" w:ascii="宋体" w:hAnsi="宋体" w:eastAsia="宋体" w:cs="宋体"/>
          <w:b/>
          <w:color w:val="auto"/>
          <w:sz w:val="24"/>
          <w:szCs w:val="24"/>
          <w:highlight w:val="none"/>
          <w:lang w:eastAsia="zh-CN"/>
        </w:rPr>
        <w:t xml:space="preserve">投标报价明细表</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14.4资格审查文件</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1</w:t>
      </w:r>
      <w:r>
        <w:rPr>
          <w:rFonts w:ascii="宋体" w:hAnsi="宋体" w:eastAsia="宋体" w:cs="宋体"/>
          <w:b w:val="0"/>
          <w:bCs/>
          <w:color w:val="auto"/>
          <w:sz w:val="24"/>
          <w:szCs w:val="24"/>
          <w:highlight w:val="none"/>
        </w:rPr>
        <w:t xml:space="preserve">4.4</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w:t>
      </w:r>
      <w:r>
        <w:rPr>
          <w:rFonts w:hint="eastAsia" w:ascii="宋体" w:hAnsi="宋体" w:eastAsia="宋体" w:cs="宋体"/>
          <w:b w:val="0"/>
          <w:bCs w:val="0"/>
          <w:color w:val="auto"/>
          <w:sz w:val="24"/>
          <w:szCs w:val="24"/>
          <w:highlight w:val="none"/>
          <w:lang w:val="en-US" w:eastAsia="zh-CN" w:bidi="ar-SA"/>
        </w:rPr>
        <w:t xml:space="preserve">能力证明（包括法人或者其他组织的营业执照等证明文件，自然人的身份证明）；</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rPr>
          <w:rFonts w:ascii="宋体" w:hAnsi="宋体" w:eastAsia="宋体" w:cs="宋体"/>
          <w:b w:val="0"/>
          <w:bCs w:val="0"/>
          <w:color w:val="auto"/>
          <w:sz w:val="24"/>
          <w:szCs w:val="24"/>
          <w:highlight w:val="none"/>
        </w:rPr>
        <w:t xml:space="preserve">4.4</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具有良好的商业信誉和健全的财务会计制度证明；</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bidi="ar-SA"/>
        </w:rPr>
        <w:t xml:space="preserve">具备履行合同所必需的设备和专业技术能力的证明材料或承诺；</w:t>
      </w:r>
      <w:r/>
    </w:p>
    <w:p>
      <w:pPr>
        <w:ind w:left="0" w:firstLine="480"/>
        <w:jc w:val="both"/>
        <w:spacing w:line="360" w:lineRule="auto"/>
        <w:widowControl/>
        <w:tabs>
          <w:tab w:val="left" w:pos="0" w:leader="none"/>
        </w:tabs>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参加政府采购活动前三年内，在经营活动中没有重大违法记录（提供参加本次政府采购活动前3年内在经营活动中没有重大违法记录的书面声明）（格式自拟）</w:t>
      </w:r>
      <w:r>
        <w:rPr>
          <w:rFonts w:hint="eastAsia" w:ascii="宋体" w:hAnsi="宋体" w:eastAsia="宋体" w:cs="宋体"/>
          <w:b w:val="0"/>
          <w:bCs w:val="0"/>
          <w:color w:val="auto"/>
          <w:sz w:val="24"/>
          <w:szCs w:val="24"/>
          <w:highlight w:val="none"/>
          <w:lang w:val="en-US" w:eastAsia="zh-CN"/>
        </w:rPr>
        <w:t xml:space="preserve">；</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法律、行政法规规定的其他条件</w:t>
      </w:r>
      <w:r>
        <w:rPr>
          <w:rFonts w:hint="eastAsia" w:ascii="宋体" w:hAnsi="宋体" w:eastAsia="宋体" w:cs="宋体"/>
          <w:b w:val="0"/>
          <w:bCs w:val="0"/>
          <w:color w:val="auto"/>
          <w:sz w:val="24"/>
          <w:szCs w:val="24"/>
          <w:highlight w:val="none"/>
          <w:lang w:eastAsia="zh-CN"/>
        </w:rPr>
        <w:t xml:space="preserve">；</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14.4.7</w:t>
      </w:r>
      <w:r>
        <w:rPr>
          <w:rFonts w:hint="eastAsia" w:ascii="宋体" w:hAnsi="宋体" w:eastAsia="宋体" w:cs="宋体"/>
          <w:color w:val="auto"/>
          <w:sz w:val="24"/>
          <w:highlight w:val="none"/>
        </w:rPr>
        <w:t xml:space="preserve">医疗器械经营企业许可证</w:t>
      </w:r>
      <w:r>
        <w:rPr>
          <w:rFonts w:hint="eastAsia" w:ascii="宋体" w:hAnsi="宋体" w:eastAsia="宋体" w:cs="宋体"/>
          <w:color w:val="auto"/>
          <w:sz w:val="24"/>
          <w:highlight w:val="none"/>
          <w:lang w:eastAsia="zh-CN"/>
        </w:rPr>
        <w:t xml:space="preserve">。</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14.5符合性审查文件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14.5.1投标人法定代表人身份证扫描件；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14.5.2法定代表人授权委托书（如有授权，格式见第三章）；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14.5.3投标人授权代理人身份证扫描件（如有授权）；</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14.5.4投标函（格式见第三章）；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14.5.5关于资格文件的声明函（格式见第三章）；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14.5.6投标人基本情况表（格式见第三章）；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14.5.7商务条款偏离表（格式见第三章）；</w:t>
      </w:r>
      <w:r/>
    </w:p>
    <w:p>
      <w:pPr>
        <w:ind w:left="0" w:firstLine="480"/>
        <w:jc w:val="both"/>
        <w:spacing w:line="360" w:lineRule="auto"/>
        <w:widowControl/>
        <w:rPr>
          <w:rFonts w:hint="eastAsia" w:ascii="宋体" w:hAnsi="宋体" w:eastAsia="宋体" w:cs="宋体"/>
          <w:color w:val="auto"/>
          <w:sz w:val="24"/>
          <w:szCs w:val="22"/>
          <w:highlight w:val="none"/>
          <w:lang w:val="zh-CN" w:eastAsia="zh-CN"/>
        </w:rPr>
      </w:pPr>
      <w:r>
        <w:rPr>
          <w:rFonts w:hint="eastAsia" w:ascii="宋体" w:hAnsi="宋体" w:eastAsia="宋体" w:cs="宋体"/>
          <w:color w:val="auto"/>
          <w:sz w:val="24"/>
          <w:szCs w:val="22"/>
          <w:highlight w:val="none"/>
          <w:lang w:val="en-US" w:eastAsia="zh-CN"/>
        </w:rPr>
        <w:t xml:space="preserve">14.5.8</w:t>
      </w:r>
      <w:r>
        <w:rPr>
          <w:rFonts w:hint="eastAsia" w:ascii="宋体" w:hAnsi="宋体" w:eastAsia="宋体" w:cs="宋体"/>
          <w:color w:val="auto"/>
          <w:sz w:val="24"/>
          <w:szCs w:val="22"/>
          <w:highlight w:val="none"/>
          <w:lang w:val="zh-CN" w:eastAsia="zh-CN"/>
        </w:rPr>
        <w:t xml:space="preserve">远程参与开标会议诚信承诺书</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2"/>
          <w:highlight w:val="none"/>
          <w:lang w:val="zh-CN" w:eastAsia="zh-CN"/>
        </w:rPr>
        <w:t xml:space="preserve">；</w:t>
      </w:r>
      <w:r/>
    </w:p>
    <w:p>
      <w:pPr>
        <w:ind w:left="0" w:firstLine="480"/>
        <w:jc w:val="both"/>
        <w:spacing w:line="360" w:lineRule="auto"/>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4"/>
          <w:highlight w:val="none"/>
          <w:lang w:val="en-US" w:eastAsia="zh-CN" w:bidi="ar-SA"/>
        </w:rPr>
        <w:t xml:space="preserve">14.5.9</w:t>
      </w:r>
      <w:r>
        <w:rPr>
          <w:rFonts w:hint="eastAsia" w:ascii="宋体" w:hAnsi="宋体" w:eastAsia="宋体" w:cs="宋体"/>
          <w:color w:val="auto"/>
          <w:sz w:val="24"/>
          <w:szCs w:val="24"/>
          <w:highlight w:val="none"/>
          <w:lang w:val="en-US" w:eastAsia="zh-CN"/>
        </w:rPr>
        <w:t xml:space="preserve">售后服务承诺书</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4"/>
          <w:highlight w:val="none"/>
          <w:lang w:eastAsia="zh-CN"/>
        </w:rPr>
        <w:t xml:space="preserve">；</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14.5.10技术要求偏离表（格式见第三章）；</w:t>
      </w:r>
      <w:r/>
    </w:p>
    <w:p>
      <w:pPr>
        <w:ind w:left="0"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14.5.11</w:t>
      </w:r>
      <w:r>
        <w:rPr>
          <w:rFonts w:hint="eastAsia" w:ascii="Times New Roman" w:hAnsi="宋体" w:eastAsia="宋体" w:cs="宋体"/>
          <w:color w:val="auto"/>
          <w:sz w:val="24"/>
          <w:szCs w:val="24"/>
          <w:highlight w:val="none"/>
          <w:lang w:val="zh-CN"/>
        </w:rPr>
        <w:t xml:space="preserve">品牌、规格、材质、生产厂家说明</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4"/>
          <w:highlight w:val="none"/>
          <w:lang w:eastAsia="zh-CN"/>
        </w:rPr>
        <w:t xml:space="preserve">；</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14.6综合评审文件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1响应产品的技术参数表或彩页</w:t>
      </w:r>
      <w:r>
        <w:rPr>
          <w:rFonts w:hint="eastAsia" w:ascii="宋体" w:hAnsi="宋体" w:eastAsia="宋体" w:cs="宋体"/>
          <w:color w:val="auto"/>
          <w:sz w:val="24"/>
          <w:szCs w:val="24"/>
          <w:highlight w:val="none"/>
          <w:lang w:val="zh-CN" w:eastAsia="zh-CN" w:bidi="ar-SA"/>
        </w:rPr>
        <w:t xml:space="preserve">；</w:t>
      </w:r>
      <w:r/>
    </w:p>
    <w:p>
      <w:pPr>
        <w:ind w:left="0" w:firstLine="480"/>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14.6.2</w:t>
      </w:r>
      <w:r>
        <w:rPr>
          <w:rFonts w:hint="eastAsia" w:ascii="宋体" w:hAnsi="宋体" w:eastAsia="宋体" w:cs="宋体"/>
          <w:color w:val="auto"/>
          <w:sz w:val="24"/>
          <w:szCs w:val="24"/>
          <w:highlight w:val="none"/>
          <w:lang w:val="zh-CN" w:eastAsia="zh-CN" w:bidi="ar-SA"/>
        </w:rPr>
        <w:t xml:space="preserve">项目</w:t>
      </w:r>
      <w:r>
        <w:rPr>
          <w:rFonts w:hint="eastAsia" w:ascii="宋体" w:hAnsi="宋体" w:eastAsia="宋体" w:cs="宋体"/>
          <w:color w:val="auto"/>
          <w:sz w:val="24"/>
          <w:szCs w:val="24"/>
          <w:highlight w:val="none"/>
          <w:lang w:val="en-US" w:eastAsia="zh-CN" w:bidi="ar-SA"/>
        </w:rPr>
        <w:t xml:space="preserve">实施</w:t>
      </w:r>
      <w:r>
        <w:rPr>
          <w:rFonts w:hint="eastAsia" w:ascii="宋体" w:hAnsi="宋体" w:eastAsia="宋体" w:cs="宋体"/>
          <w:color w:val="auto"/>
          <w:sz w:val="24"/>
          <w:szCs w:val="24"/>
          <w:highlight w:val="none"/>
          <w:lang w:val="zh-CN" w:eastAsia="zh-CN" w:bidi="ar-SA"/>
        </w:rPr>
        <w:t xml:space="preserve">方案；</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3企业类似业绩一览表（格式见第三章）</w:t>
      </w:r>
      <w:r>
        <w:rPr>
          <w:rFonts w:hint="eastAsia" w:ascii="宋体" w:hAnsi="宋体" w:eastAsia="宋体" w:cs="宋体"/>
          <w:color w:val="auto"/>
          <w:sz w:val="24"/>
          <w:szCs w:val="24"/>
          <w:highlight w:val="none"/>
          <w:lang w:val="zh-CN" w:eastAsia="zh-CN" w:bidi="ar-SA"/>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zh-CN"/>
        </w:rPr>
      </w:pPr>
      <w:r>
        <w:rPr>
          <w:rFonts w:hint="eastAsia" w:ascii="宋体" w:hAnsi="宋体" w:eastAsia="宋体" w:cs="宋体"/>
          <w:b w:val="0"/>
          <w:bCs w:val="0"/>
          <w:i w:val="0"/>
          <w:iCs w:val="0"/>
          <w:color w:val="auto"/>
          <w:sz w:val="24"/>
          <w:szCs w:val="24"/>
          <w:highlight w:val="none"/>
          <w:lang w:val="zh-CN"/>
        </w:rPr>
        <w:t xml:space="preserve">14.</w:t>
      </w:r>
      <w:r>
        <w:rPr>
          <w:rFonts w:hint="eastAsia" w:ascii="宋体" w:hAnsi="宋体" w:eastAsia="宋体" w:cs="宋体"/>
          <w:b w:val="0"/>
          <w:bCs w:val="0"/>
          <w:color w:val="auto"/>
          <w:sz w:val="24"/>
          <w:highlight w:val="none"/>
          <w:lang w:val="zh-CN"/>
        </w:rPr>
        <w:t xml:space="preserve">6.</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color w:val="auto"/>
          <w:sz w:val="24"/>
          <w:highlight w:val="none"/>
        </w:rPr>
        <w:t xml:space="preserve">评分标准中所涉及到的其他材料、证明</w:t>
      </w:r>
      <w:r>
        <w:rPr>
          <w:rFonts w:hint="eastAsia" w:ascii="宋体" w:hAnsi="宋体" w:eastAsia="宋体" w:cs="宋体"/>
          <w:b w:val="0"/>
          <w:bCs w:val="0"/>
          <w:i w:val="0"/>
          <w:iCs w:val="0"/>
          <w:color w:val="auto"/>
          <w:sz w:val="24"/>
          <w:szCs w:val="24"/>
          <w:highlight w:val="none"/>
          <w:lang w:val="zh-CN"/>
        </w:rPr>
        <w:t xml:space="preserve">。</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注：（1）</w:t>
      </w:r>
      <w:r>
        <w:rPr>
          <w:rFonts w:hint="eastAsia" w:ascii="宋体" w:hAnsi="宋体" w:eastAsia="宋体" w:cs="宋体"/>
          <w:b/>
          <w:bCs/>
          <w:color w:val="auto"/>
          <w:sz w:val="24"/>
          <w:szCs w:val="24"/>
          <w:highlight w:val="none"/>
          <w:u w:val="single"/>
          <w:lang w:val="zh-CN" w:eastAsia="zh-CN" w:bidi="ar-SA"/>
        </w:rPr>
        <w:t xml:space="preserve">以上14.4为资格审查要求提供的材料</w:t>
      </w:r>
      <w:r>
        <w:rPr>
          <w:rFonts w:hint="eastAsia" w:ascii="宋体" w:hAnsi="宋体" w:eastAsia="宋体" w:cs="宋体"/>
          <w:b/>
          <w:bCs/>
          <w:color w:val="auto"/>
          <w:sz w:val="24"/>
          <w:szCs w:val="24"/>
          <w:highlight w:val="none"/>
          <w:lang w:val="zh-CN" w:eastAsia="zh-CN" w:bidi="ar-SA"/>
        </w:rPr>
        <w:t xml:space="preserve">，是作为对供应商资格审查的依据，投标人必须提供并加盖电子公章。否则，投标文件将被认定为不符合资格审查要求。</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w:t>
      </w:r>
      <w:r>
        <w:rPr>
          <w:rFonts w:hint="eastAsia" w:ascii="宋体" w:hAnsi="宋体" w:eastAsia="宋体" w:cs="宋体"/>
          <w:b/>
          <w:bCs/>
          <w:color w:val="auto"/>
          <w:sz w:val="24"/>
          <w:szCs w:val="24"/>
          <w:highlight w:val="none"/>
          <w:u w:val="single"/>
          <w:lang w:val="zh-CN" w:eastAsia="zh-CN" w:bidi="ar-SA"/>
        </w:rPr>
        <w:t xml:space="preserve">以上14.5为符合性审查须提供的资料</w:t>
      </w:r>
      <w:r>
        <w:rPr>
          <w:rFonts w:hint="eastAsia" w:ascii="宋体" w:hAnsi="宋体" w:eastAsia="宋体" w:cs="宋体"/>
          <w:b/>
          <w:bCs/>
          <w:color w:val="auto"/>
          <w:sz w:val="24"/>
          <w:szCs w:val="24"/>
          <w:highlight w:val="none"/>
          <w:lang w:val="zh-CN" w:eastAsia="zh-CN" w:bidi="ar-SA"/>
        </w:rPr>
        <w:t xml:space="preserve">，投标人必须提供并加盖电子公章。否则，投标文件将被认定为未实质性响应。</w:t>
      </w:r>
      <w:r/>
    </w:p>
    <w:p>
      <w:pPr>
        <w:ind w:left="0" w:firstLine="482"/>
        <w:jc w:val="both"/>
        <w:keepLines w:val="0"/>
        <w:keepNext w:val="0"/>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（3）</w:t>
      </w:r>
      <w:r>
        <w:rPr>
          <w:rFonts w:hint="eastAsia" w:ascii="宋体" w:hAnsi="宋体" w:eastAsia="宋体" w:cs="宋体"/>
          <w:color w:val="auto"/>
          <w:sz w:val="24"/>
          <w:szCs w:val="24"/>
          <w:highlight w:val="none"/>
          <w:lang w:val="zh-CN" w:eastAsia="zh-CN" w:bidi="ar-SA"/>
        </w:rPr>
        <w:t xml:space="preserve">投标人所提交的资料的完整与否，将直接影响投标人的评分。</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（4）制作电子投标文件时必须与投标文件制作软件目录一一对应，将相关资料上传至相应模块。</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15.电子投标文件的编制与提交</w:t>
      </w:r>
      <w:r/>
    </w:p>
    <w:p>
      <w:pPr>
        <w:ind w:left="0" w:firstLine="489"/>
        <w:jc w:val="both"/>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.1本项目采用电子招投标形式，请供应商按照</w:t>
      </w:r>
      <w:r>
        <w:rPr>
          <w:rFonts w:hint="eastAsia" w:ascii="宋体" w:hAnsi="宋体" w:eastAsia="宋体" w:cs="宋体"/>
          <w:b/>
          <w:color w:val="auto"/>
          <w:sz w:val="24"/>
          <w:szCs w:val="24"/>
          <w:highlight w:val="none"/>
          <w:lang w:val="zh-CN" w:eastAsia="zh-CN" w:bidi="ar-SA"/>
        </w:rPr>
        <w:t xml:space="preserve">《苏采云系统供应商操作手册》</w:t>
      </w:r>
      <w:r>
        <w:rPr>
          <w:rFonts w:hint="eastAsia" w:ascii="宋体" w:hAnsi="宋体" w:eastAsia="宋体" w:cs="宋体"/>
          <w:color w:val="auto"/>
          <w:sz w:val="24"/>
          <w:szCs w:val="24"/>
          <w:highlight w:val="none"/>
          <w:lang w:val="zh-CN" w:eastAsia="zh-CN" w:bidi="ar-SA"/>
        </w:rPr>
        <w:t xml:space="preserve">进行制作、上传电子投标文件。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.2制作电子投标文件时，应按照招标文件要求加盖投标人电子公章。</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.3</w:t>
      </w:r>
      <w:r>
        <w:rPr>
          <w:rFonts w:hint="eastAsia" w:ascii="宋体" w:hAnsi="宋体" w:eastAsia="宋体" w:cs="宋体"/>
          <w:b/>
          <w:color w:val="auto"/>
          <w:sz w:val="24"/>
          <w:szCs w:val="24"/>
          <w:highlight w:val="none"/>
          <w:lang w:val="zh-CN" w:eastAsia="zh-CN" w:bidi="ar-SA"/>
        </w:rPr>
        <w:t xml:space="preserve">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eastAsia="宋体" w:cs="宋体"/>
          <w:color w:val="auto"/>
          <w:sz w:val="24"/>
          <w:szCs w:val="24"/>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16.</w:t>
      </w:r>
      <w:r>
        <w:rPr>
          <w:rFonts w:hint="eastAsia" w:ascii="宋体" w:hAnsi="宋体" w:eastAsia="宋体" w:cs="宋体"/>
          <w:b/>
          <w:color w:val="auto"/>
          <w:sz w:val="24"/>
          <w:highlight w:val="none"/>
        </w:rPr>
        <w:t xml:space="preserve">报价（编制）要求说明</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16.1投标报价</w:t>
      </w:r>
      <w:r>
        <w:rPr>
          <w:rFonts w:hint="eastAsia" w:ascii="宋体" w:hAnsi="宋体" w:eastAsia="宋体" w:cs="宋体"/>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投标人应对招标文件内所要采购的全部内容进行报价，只投其中部分内容者，其标书将被拒绝。但如果招标文件要求分标段投标的，则投标人可以按招标文件要求有选择地只投其中一个或几个标段，但各标段应分别计算填写单价和总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16.3一项投标内容只允许一个报价，采购人不接受任何有选择性的投标报价。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16.4投标文件中报价全部采用人民币表示，除非合同的特殊条款另有规定。</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16.5最低报价不能作为中标的保证。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17.投标保证金</w:t>
      </w:r>
      <w:r/>
    </w:p>
    <w:p>
      <w:pPr>
        <w:ind w:firstLine="480"/>
        <w:jc w:val="both"/>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本项目不收投标（响应）保证金。</w:t>
      </w:r>
      <w:r/>
    </w:p>
    <w:p>
      <w:pPr>
        <w:ind w:firstLine="482"/>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18.投标文件的有效期</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18.1自投标截止之日起</w:t>
      </w:r>
      <w:r>
        <w:rPr>
          <w:rFonts w:hint="eastAsia" w:ascii="宋体" w:hAnsi="宋体" w:eastAsia="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zh-CN"/>
        </w:rPr>
        <w:t xml:space="preserve">0</w:t>
      </w:r>
      <w:r>
        <w:rPr>
          <w:rFonts w:hint="eastAsia" w:ascii="宋体" w:hAnsi="宋体" w:eastAsia="宋体" w:cs="宋体"/>
          <w:color w:val="auto"/>
          <w:sz w:val="24"/>
          <w:highlight w:val="none"/>
          <w:lang w:val="zh-CN"/>
        </w:rPr>
        <w:t xml:space="preserve">天内，投标书应保持有效。有效期短于这个规定期限的投标，将被拒绝。</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18.2在特殊情况下，招标代理机构可与投标人协商延长投标书的有效期。这种要求和答复都应以书面的形式进行。同意延长有效期的投标人不能修改投标文件；拒绝延长的，其投标失效。</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19.投标截止时间</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.3在投标截止时间止成功解密的投标文件少于三份，采购代理机构有权宣布本次招标失败。</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lang w:val="zh-CN"/>
        </w:rPr>
        <w:t xml:space="preserve">.投标文件的补充、修改或撤回</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val="zh-CN"/>
        </w:rPr>
        <w:t xml:space="preserve">.开标</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1开标由采购代理机构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3资格审查</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3.1公开招标采购项目开标结束后，采购人应当依法对投标人的资格进行审查，未通过资格审查的视为无效投标。</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3.2.1查询时间：投标文件递交截止时间。</w:t>
      </w:r>
      <w:r/>
    </w:p>
    <w:p>
      <w:pPr>
        <w:pStyle w:val="908"/>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3.2.2查询渠道</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08"/>
        <w:ind w:left="0" w:firstLine="42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rPr>
        <w:t xml:space="preserve">.评标委员会或评标小组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22.1评标委员会负责具体评标事务，并独立履行下列职责：</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22.1.1审查、评价投标文件是否符合招标文件的商务、技术等实质性要求；</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22.1.2要求投标人对投标文件有关事项作出澄清或者说明；</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22.1.3对投标文件进行比较和评价；</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22.1.4确定中标候选人名单，以及根据采购人委托直接确定中标人；</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22.1.5向采购人、采购代理机构或者有关部门报告评标中发现的违法行为。</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22.2评标委员会成员应当履行下列义务：</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22.2.1遵纪守法，客观、公正、廉洁地履行职责；</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22.2.2按照招标文件规定的评标办法和评标标准进行评标，对评审意见承担个人责任；</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22.2.3对评标过程和结果，以及投标人的商业秘密保密；</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22.2.4评标委员会根据全体评标成员签字的原始评标记录和评标结果编写评标报告。评标报告应当包括以下内容： </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（一）招标公告刊登的媒体名称、开标日期和地点；</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（二）投标人名单和评标委员会成员名单；</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（三）评标方法和标准；</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（四）开标记录和评标情况及说明，包括无效投标人名单及原因；</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（五）评标结果，确定的中标候选人名单或者经采购人委托直接确定的中标人；</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（六）其他需要说明的情况，包括评标过程中投标人根据评标委员会要求进行的澄清、说明或者补正，评标委员会成员的更换等。</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22.2.5配合相关部门的投诉处理工作；</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22.2.6配合采购人和采购代理机构答复投标人提出的质疑。</w:t>
      </w:r>
      <w:r/>
    </w:p>
    <w:p>
      <w:pPr>
        <w:pStyle w:val="908"/>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eastAsia="zh-CN"/>
        </w:rPr>
        <w:t xml:space="preserve">.保密</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.1公开开标后，直到宣布授予中标合同为止，凡属于审查、澄清、评价和比较投标的所有资料，有关授予合同的信息都不应向投标人或与评标无关的其他人泄露。</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.2在投标文件的审查、澄清、评价和比较以及授予合同的过程中，投标人对采购人、采购代理机构和评标委员会成员施加影响的任何行为，都将取消其中标资格。</w:t>
      </w:r>
      <w:r/>
    </w:p>
    <w:p>
      <w:pPr>
        <w:pStyle w:val="908"/>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rPr>
        <w:t xml:space="preserve">对投标文件初审</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1评标委员会应当对符合资格的投标人的投标文件进行符合性审查，以确定其是否满足招标文件的实质性要求。</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投标文件有下列情况之一者评标委员会有权将其拒绝：</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1.1投标人的投标文件未按照本须知规定制作的；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1.2未按本须知规定提交资格文件；</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1.3与招标文件有重大偏离；</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1.4投标人拒绝修正错误；</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1.5投标人的报价是选择性的；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1.6投标人的报价只投了部分内容；</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1.7投标人的投标文件出现了评标委员会认为不应当雷同的情况；</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1.8其他被评委会认定无效的情况。</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3投标文件报价出现前后不一致的，除招标文件另有规定外，按照下列规定修正：</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24.6提供相同品牌产品且通过资格审查、符合性审查的不同投标人参加同一合同项下投标的，按一家投标人计算，评审后得分最高的同品牌投标人获得中标人推荐资格。得分相同的，由投标报价最低的同品牌投标人获得中标人推荐资格；得分且投标报价相同的，则优先推荐使用节能（节水）产品、环境标志产品较多的投标单位，若该项也一致，则由评标委员会组织采取随机抽取方式确定，其他同品牌投标人不作为中标候选人。非单一产品采购项目，多家投标人提供的核心产品品牌相同的，按照此规定处理。</w:t>
      </w:r>
      <w:r/>
    </w:p>
    <w:p>
      <w:pPr>
        <w:pStyle w:val="908"/>
        <w:ind w:left="0"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.投标的澄清</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.1对于投标文件中含义不明确、同类问题表述不一致或者有明显文字和计算错误的内容，评标委员会应当以书面形式要求投标人作出必要的澄清、说明或者补正。</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.2投标人的澄清、说明或者补正应当采用书面形式，并加盖</w:t>
      </w:r>
      <w:r>
        <w:rPr>
          <w:rFonts w:hint="eastAsia" w:ascii="宋体" w:hAnsi="宋体" w:eastAsia="宋体" w:cs="宋体"/>
          <w:color w:val="auto"/>
          <w:sz w:val="24"/>
          <w:szCs w:val="24"/>
          <w:highlight w:val="none"/>
          <w:lang w:val="en-US"/>
        </w:rPr>
        <w:t xml:space="preserve">其单位电子</w:t>
      </w:r>
      <w:r>
        <w:rPr>
          <w:rFonts w:hint="eastAsia" w:ascii="宋体" w:hAnsi="宋体" w:eastAsia="宋体" w:cs="宋体"/>
          <w:color w:val="auto"/>
          <w:sz w:val="24"/>
          <w:szCs w:val="24"/>
          <w:highlight w:val="none"/>
        </w:rPr>
        <w:t xml:space="preserve">公章。投标人的澄清、说明或者补正不得超出投标文件的范围或者改变投标文件的实质性内容。</w:t>
      </w:r>
      <w:r/>
    </w:p>
    <w:p>
      <w:pPr>
        <w:pStyle w:val="908"/>
        <w:ind w:left="0"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auto"/>
          <w:sz w:val="24"/>
          <w:szCs w:val="24"/>
          <w:highlight w:val="none"/>
          <w:lang w:eastAsia="zh-CN"/>
        </w:rPr>
        <w:t xml:space="preserve">）</w:t>
      </w:r>
      <w:r/>
    </w:p>
    <w:p>
      <w:pPr>
        <w:pStyle w:val="908"/>
        <w:ind w:left="0"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.无效投标</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1投标人存在下列情况之一的，投标无效:</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一</w:t>
      </w:r>
      <w:r>
        <w:rPr>
          <w:rFonts w:hint="eastAsia" w:ascii="宋体" w:hAnsi="宋体" w:eastAsia="宋体" w:cs="宋体"/>
          <w:color w:val="auto"/>
          <w:sz w:val="24"/>
          <w:szCs w:val="24"/>
          <w:highlight w:val="none"/>
        </w:rPr>
        <w:t xml:space="preserve">）投标文件未按招标文件要求签署、盖章的；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二</w:t>
      </w:r>
      <w:r>
        <w:rPr>
          <w:rFonts w:hint="eastAsia" w:ascii="宋体" w:hAnsi="宋体" w:eastAsia="宋体" w:cs="宋体"/>
          <w:color w:val="auto"/>
          <w:sz w:val="24"/>
          <w:szCs w:val="24"/>
          <w:highlight w:val="none"/>
        </w:rPr>
        <w:t xml:space="preserve">）不具备招标文件中规定的资格要求的；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三</w:t>
      </w:r>
      <w:r>
        <w:rPr>
          <w:rFonts w:hint="eastAsia" w:ascii="宋体" w:hAnsi="宋体" w:eastAsia="宋体" w:cs="宋体"/>
          <w:color w:val="auto"/>
          <w:sz w:val="24"/>
          <w:szCs w:val="24"/>
          <w:highlight w:val="none"/>
        </w:rPr>
        <w:t xml:space="preserve">）报价超过招标文件中规定的预算金额或者最高限价的；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四</w:t>
      </w:r>
      <w:r>
        <w:rPr>
          <w:rFonts w:hint="eastAsia" w:ascii="宋体" w:hAnsi="宋体" w:eastAsia="宋体" w:cs="宋体"/>
          <w:color w:val="auto"/>
          <w:sz w:val="24"/>
          <w:szCs w:val="24"/>
          <w:highlight w:val="none"/>
        </w:rPr>
        <w:t xml:space="preserve">）投标文件含有采购人不能接受的附加条件的；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（五）法律、法规和招标文件规定的其他无效情形</w:t>
      </w:r>
      <w:r>
        <w:rPr>
          <w:rFonts w:hint="eastAsia" w:ascii="宋体" w:hAnsi="宋体" w:eastAsia="宋体" w:cs="宋体"/>
          <w:color w:val="auto"/>
          <w:sz w:val="24"/>
          <w:szCs w:val="24"/>
          <w:highlight w:val="none"/>
          <w:lang w:eastAsia="zh-CN"/>
        </w:rPr>
        <w:t xml:space="preserve">；</w:t>
      </w:r>
      <w:r/>
    </w:p>
    <w:p>
      <w:pPr>
        <w:pStyle w:val="908"/>
        <w:ind w:left="0"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机器码一致的。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2投标人应当遵循公平竞争的原则，不得恶意串通，不得妨碍其他投标人的竞争行为，不得损害采购人或者其他投标人的合法权益。</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3有下列情形之一的，视为投标人串通投标，其投标无效：</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（一）不同投标人的投标文件由同一单位或者个人编制；</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（二）不同投标人委托同一单位或者个人办理投标事宜；</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（三）不同投标人的投标文件载明的项目管理成员或者联系人员为同一人；</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（四）不同投标人的投标文件异常一致或者投标报价呈规律性差异；</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（五）不同投标人的投标文件相互混装。</w:t>
      </w:r>
      <w:r/>
    </w:p>
    <w:p>
      <w:pPr>
        <w:pStyle w:val="908"/>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.废标</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.1在招标过程中，出现下列情况之一的，应予废标：</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.1.1符合专业条件的供应商或者对招标文件作实质投标的供应商不足</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家的；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.1.2出现影响采购公正的违法、违规行为的；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.1.3投标人的报价均超过了采购预算，采购人不能支付的；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.1.4因重大变故，采购任务取消的；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.2废标后，采购人和采购代理机构将把废标的理由通知所有投标人。</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28.</w:t>
      </w:r>
      <w:r>
        <w:rPr>
          <w:rFonts w:hint="eastAsia" w:ascii="宋体" w:hAnsi="宋体" w:eastAsia="宋体"/>
          <w:b/>
          <w:bCs/>
          <w:color w:val="auto"/>
          <w:sz w:val="24"/>
          <w:szCs w:val="24"/>
          <w:highlight w:val="none"/>
          <w:lang w:val="en-US" w:eastAsia="zh-CN"/>
        </w:rPr>
        <w:t xml:space="preserve">异常低价投标（响应）审查</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评审过程中出现下列情形之一的，评审委员会应当启动异常低价投标（响应）审查程序：</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③投标（响应）报价低于采购项目最高限价45%的，即投标（响应）报价&lt;采购项目最高限价×45%；</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③项情形，供应商已随投标（响应）文件一并提交相关书面说明及必要的证明材料的，在评审现场可不再重复提交。</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8"/>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投标文件的评价和比较</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jc w:val="left"/>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.2最低的投标报价或最高的折扣比例是中标的重要条件，但不是唯一条件。</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.中标人的确认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.1评标委员会根据投标人资格审查情况，对投标文件进行评价和比较，按照评标办法和标准进行评标，并按招标采购人的委托向招标采购人推荐中标候选单位。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.2经评标委员会评审并确定中标人后，招标代理机构将在规定的时间内</w:t>
      </w:r>
      <w:r>
        <w:rPr>
          <w:rFonts w:hint="eastAsia" w:ascii="宋体" w:hAnsi="宋体" w:eastAsia="宋体" w:cs="宋体"/>
          <w:color w:val="auto"/>
          <w:sz w:val="24"/>
          <w:highlight w:val="none"/>
        </w:rPr>
        <w:t xml:space="preserve">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原件)。招标代理机构将在收到经投标人法定代表人或参加投标的代理人签署和盖公章(原件)的书面质疑后七个工作日内，对质疑内容做出答复。如投标人在中标公告公告期届满之日起七个工作日后向招标代理机构提出质疑或质疑未经投标人法定代表人或参加投标的代理人签署和盖公章(原件)，招标代理机构有权对该质疑不予答复。</w:t>
      </w:r>
      <w:r/>
    </w:p>
    <w:p>
      <w:pPr>
        <w:ind w:firstLine="482"/>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lang w:val="zh-CN"/>
        </w:rPr>
        <w:t xml:space="preserve">.合同</w:t>
      </w:r>
      <w:r>
        <w:rPr>
          <w:rFonts w:hint="eastAsia" w:ascii="宋体" w:hAnsi="宋体" w:eastAsia="宋体" w:cs="宋体"/>
          <w:b/>
          <w:color w:val="auto"/>
          <w:sz w:val="24"/>
          <w:szCs w:val="24"/>
          <w:highlight w:val="none"/>
        </w:rPr>
        <w:t xml:space="preserve">授予标准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31.1</w:t>
      </w:r>
      <w:r>
        <w:rPr>
          <w:rFonts w:hint="eastAsia" w:ascii="宋体" w:hAnsi="宋体" w:eastAsia="宋体" w:cs="宋体"/>
          <w:color w:val="auto"/>
          <w:sz w:val="24"/>
          <w:highlight w:val="none"/>
        </w:rPr>
        <w:t xml:space="preserve">采购人将把合同授予其投标文件在实质上响应投标招标文件要求且按本须知规定评选出的投标人。确定为中标的投标人必须具有实施本合同的能力和资源</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val="zh-CN"/>
        </w:rPr>
        <w:t xml:space="preserve">.中标通知书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.2中标通知书将成为合同的组成部分，对采购人和中标人具有同等法律效力。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.3中标通知书发出后，采购人不得违法改变中标结果，中标人无正当理由不得放弃中标。</w:t>
      </w:r>
      <w:r/>
    </w:p>
    <w:p>
      <w:pPr>
        <w:ind w:firstLine="482"/>
        <w:jc w:val="left"/>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33.合同的签订</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最多三十日内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内，按照招标文件及投标文件规定与中标人签订书面合同。</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33.2采购人与中标人所签订的合同不得对招标文件确定的事项和中标人投标文件作实质性修改，采购人不得向中标人提出任何不合理的要求作为签订合同的条件。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34</w:t>
      </w:r>
      <w:r>
        <w:rPr>
          <w:rFonts w:hint="eastAsia" w:ascii="宋体" w:hAnsi="宋体" w:eastAsia="宋体" w:cs="宋体"/>
          <w:b/>
          <w:bCs/>
          <w:color w:val="auto"/>
          <w:sz w:val="24"/>
          <w:highlight w:val="none"/>
          <w:lang w:val="zh-CN"/>
        </w:rPr>
        <w:t xml:space="preserve">.代理服务费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.1中标单位须按前附表的规定计算并支付代理服务费，该费用应在领取合同前付清。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.2中标单位如果未按规定缴纳代理服务费，招标代理机构将保留诉讼的权利。</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.监督</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.1政府有关监督部门将对招投标全过程进行监督。</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36</w:t>
      </w:r>
      <w:r>
        <w:rPr>
          <w:rFonts w:hint="eastAsia" w:ascii="宋体" w:hAnsi="宋体" w:eastAsia="宋体" w:cs="宋体"/>
          <w:b/>
          <w:bCs/>
          <w:color w:val="auto"/>
          <w:sz w:val="24"/>
          <w:highlight w:val="none"/>
          <w:lang w:val="zh-CN"/>
        </w:rPr>
        <w:t xml:space="preserve">.未尽事宜</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按《中华人民共和国政府采购法》及其他有关政府采购的法律法规的规定执行。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b w:val="0"/>
          <w:color w:val="auto"/>
          <w:sz w:val="52"/>
          <w:highlight w:val="none"/>
        </w:rPr>
      </w:pPr>
      <w:r/>
      <w:bookmarkStart w:id="5" w:name="_Toc520073483"/>
      <w:r>
        <w:rPr>
          <w:rFonts w:hint="eastAsia" w:ascii="宋体" w:hAnsi="宋体" w:eastAsia="宋体" w:cs="宋体"/>
          <w:color w:val="auto"/>
          <w:sz w:val="52"/>
          <w:highlight w:val="none"/>
        </w:rPr>
        <w:t xml:space="preserve">第三章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投标文件格式</w:t>
      </w:r>
      <w:bookmarkEnd w:id="5"/>
      <w:r/>
      <w:r/>
    </w:p>
    <w:p>
      <w:pPr>
        <w:pStyle w:val="727"/>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727"/>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对本章所有的格式，投标人可根据自身情况进行补充和修改，但补充和修改不得造成与本格式内容有实质性的违背。</w:t>
      </w:r>
      <w:r/>
    </w:p>
    <w:p>
      <w:pPr>
        <w:pStyle w:val="727"/>
        <w:ind w:firstLine="26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 w:val="28"/>
          <w:highlight w:val="none"/>
        </w:rPr>
        <w:br w:type="page" w:clear="all"/>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rPr>
        <w:t xml:space="preserve">、</w:t>
      </w:r>
      <w:r>
        <w:rPr>
          <w:rFonts w:hint="eastAsia" w:ascii="宋体" w:hAnsi="宋体" w:eastAsia="宋体" w:cs="宋体"/>
          <w:b/>
          <w:color w:val="auto"/>
          <w:szCs w:val="24"/>
          <w:highlight w:val="none"/>
        </w:rPr>
        <w:t xml:space="preserve">开标一览表</w:t>
      </w:r>
      <w:r/>
    </w:p>
    <w:p>
      <w:pPr>
        <w:jc w:val="center"/>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开标一览表</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投标人全称（加盖公章）：</w:t>
      </w:r>
      <w:bookmarkStart w:id="6" w:name="TBR"/>
      <w:r/>
      <w:bookmarkEnd w:id="6"/>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7" w:name="XMBH"/>
      <w:r/>
      <w:bookmarkEnd w:id="7"/>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8" w:name="FBH"/>
      <w:r/>
      <w:bookmarkEnd w:id="8"/>
      <w:r/>
      <w:r/>
    </w:p>
    <w:tbl>
      <w:tblPr>
        <w:tblStyle w:val="72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bookmarkStart w:id="9" w:name="XMMC"/>
            <w:r/>
            <w:bookmarkEnd w:id="9"/>
            <w:r>
              <w:rPr>
                <w:rFonts w:hint="eastAsia" w:ascii="宋体" w:hAnsi="宋体" w:eastAsia="宋体" w:cs="宋体"/>
                <w:color w:val="auto"/>
                <w:sz w:val="24"/>
                <w:szCs w:val="24"/>
                <w:highlight w:val="none"/>
                <w:lang w:eastAsia="zh-CN"/>
              </w:rPr>
              <w:t xml:space="preserve">眼科设备一批</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u w:val="single"/>
                <w:lang w:val="en-US" w:eastAsia="zh-CN"/>
              </w:rPr>
            </w:pPr>
            <w:r/>
            <w:bookmarkStart w:id="10" w:name="JEDX"/>
            <w:r/>
            <w:bookmarkEnd w:id="10"/>
            <w:r/>
            <w:r/>
          </w:p>
        </w:tc>
      </w:tr>
    </w:tbl>
    <w:p>
      <w:pPr>
        <w:ind w:left="1024"/>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bookmarkStart w:id="11" w:name="NF"/>
      <w:r/>
      <w:bookmarkEnd w:id="11"/>
      <w:r>
        <w:rPr>
          <w:rFonts w:hint="eastAsia" w:ascii="宋体" w:hAnsi="宋体" w:eastAsia="宋体" w:cs="宋体"/>
          <w:color w:val="auto"/>
          <w:sz w:val="24"/>
          <w:szCs w:val="24"/>
          <w:highlight w:val="none"/>
        </w:rPr>
        <w:t xml:space="preserve"> 年 </w:t>
      </w:r>
      <w:bookmarkStart w:id="12" w:name="YF"/>
      <w:r/>
      <w:bookmarkEnd w:id="12"/>
      <w:r>
        <w:rPr>
          <w:rFonts w:hint="eastAsia" w:ascii="宋体" w:hAnsi="宋体" w:eastAsia="宋体" w:cs="宋体"/>
          <w:color w:val="auto"/>
          <w:sz w:val="24"/>
          <w:szCs w:val="24"/>
          <w:highlight w:val="none"/>
        </w:rPr>
        <w:t xml:space="preserve">  月 </w:t>
      </w:r>
      <w:bookmarkStart w:id="13" w:name="RI"/>
      <w:r/>
      <w:bookmarkEnd w:id="13"/>
      <w:r>
        <w:rPr>
          <w:rFonts w:hint="eastAsia" w:ascii="宋体" w:hAnsi="宋体" w:eastAsia="宋体" w:cs="宋体"/>
          <w:color w:val="auto"/>
          <w:sz w:val="24"/>
          <w:szCs w:val="24"/>
          <w:highlight w:val="none"/>
        </w:rPr>
        <w:t xml:space="preserve">  日</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如有分包，投标人投任何一个包的标的，都需单独填写开标一览表。</w:t>
      </w:r>
      <w:r/>
    </w:p>
    <w:p>
      <w:pPr>
        <w:ind w:left="0" w:firstLine="2560"/>
        <w:jc w:val="both"/>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eastAsia="zh-CN"/>
        </w:rPr>
        <w:t xml:space="preserve">投标报价明细表</w:t>
      </w:r>
      <w:r/>
    </w:p>
    <w:p>
      <w:pPr>
        <w:pStyle w:val="730"/>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center"/>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投标报价明细表</w:t>
      </w:r>
      <w:r/>
    </w:p>
    <w:p>
      <w:pPr>
        <w:ind w:firstLine="360"/>
        <w:jc w:val="left"/>
        <w:spacing w:line="360" w:lineRule="auto"/>
        <w:tabs>
          <w:tab w:val="left" w:pos="70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w:t>
      </w:r>
      <w:r/>
    </w:p>
    <w:tbl>
      <w:tblPr>
        <w:tblStyle w:val="7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53"/>
        <w:gridCol w:w="970"/>
        <w:gridCol w:w="1502"/>
        <w:gridCol w:w="840"/>
        <w:gridCol w:w="878"/>
        <w:gridCol w:w="970"/>
        <w:gridCol w:w="1347"/>
        <w:gridCol w:w="942"/>
      </w:tblGrid>
      <w:tr>
        <w:trPr>
          <w:jc w:val="center"/>
          <w:trHeight w:val="90"/>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型号</w:t>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生产厂家</w:t>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jc w:val="center"/>
          <w:trHeight w:val="843"/>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gridSpan w:val="8"/>
            <w:tcW w:w="4613" w:type="pct"/>
            <w:vAlign w:val="center"/>
            <w:textDirection w:val="lrTb"/>
            <w:noWrap w:val="false"/>
          </w:tcPr>
          <w:p>
            <w:pPr>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金额大写：</w:t>
            </w:r>
            <w:r>
              <w:rPr>
                <w:rFonts w:hint="eastAsia" w:ascii="宋体" w:hAnsi="宋体" w:eastAsia="宋体" w:cs="宋体"/>
                <w:color w:val="auto"/>
                <w:sz w:val="24"/>
                <w:szCs w:val="24"/>
                <w:highlight w:val="none"/>
                <w:u w:val="single"/>
              </w:rPr>
              <w:t xml:space="preserve">                            （￥          ）</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注：明细总价须与开标一览表一致。</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910"/>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《中小企业声明函》或《残疾人福利性单位声明函》或省级以上监狱管理局、戒毒管理局（含新疆生产建设兵团）出具的属于监狱企业的证明文件</w:t>
      </w:r>
      <w:r/>
    </w:p>
    <w:p>
      <w:pPr>
        <w:jc w:val="center"/>
        <w:spacing w:line="360" w:lineRule="auto"/>
        <w:widowControl w:val="off"/>
        <w:rPr>
          <w:rFonts w:hint="default" w:ascii="宋体" w:hAnsi="宋体" w:eastAsia="楷体_GB2312" w:cs="Times New Roman"/>
          <w:b/>
          <w:color w:val="auto"/>
          <w:spacing w:val="6"/>
          <w:sz w:val="24"/>
          <w:szCs w:val="24"/>
          <w:highlight w:val="none"/>
        </w:rPr>
      </w:pPr>
      <w:r>
        <w:rPr>
          <w:rFonts w:hint="eastAsia" w:ascii="宋体" w:hAnsi="宋体" w:eastAsia="宋体" w:cs="Times New Roman"/>
          <w:b/>
          <w:color w:val="auto"/>
          <w:sz w:val="24"/>
          <w:szCs w:val="24"/>
          <w:highlight w:val="none"/>
        </w:rPr>
        <w:t xml:space="preserve">中小企业声明函（货物）</w:t>
      </w:r>
      <w:r/>
    </w:p>
    <w:p>
      <w:pPr>
        <w:ind w:firstLine="480"/>
        <w:jc w:val="both"/>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zh-CN"/>
        </w:rPr>
        <w:t xml:space="preserve">本公司（联合体）郑重声明，根据《政府采购促进中小企业发展管理办法》（财库﹝2020﹞46 号）的规定，本公司（联合体）参加</w:t>
      </w:r>
      <w:r>
        <w:rPr>
          <w:rFonts w:hint="default" w:ascii="宋体" w:hAnsi="宋体" w:eastAsia="宋体" w:cs="Times New Roman"/>
          <w:color w:val="auto"/>
          <w:sz w:val="24"/>
          <w:szCs w:val="24"/>
          <w:highlight w:val="none"/>
          <w:u w:val="single"/>
          <w:lang w:val="zh-CN"/>
        </w:rPr>
        <w:t xml:space="preserve">（单位名称）</w:t>
      </w:r>
      <w:r>
        <w:rPr>
          <w:rFonts w:hint="default" w:ascii="宋体" w:hAnsi="宋体" w:eastAsia="宋体" w:cs="Times New Roman"/>
          <w:color w:val="auto"/>
          <w:sz w:val="24"/>
          <w:szCs w:val="24"/>
          <w:highlight w:val="none"/>
          <w:lang w:val="zh-CN"/>
        </w:rPr>
        <w:t xml:space="preserve">的</w:t>
      </w:r>
      <w:r>
        <w:rPr>
          <w:rFonts w:hint="eastAsia" w:ascii="宋体" w:hAnsi="宋体" w:eastAsia="宋体" w:cs="Times New Roman"/>
          <w:bCs/>
          <w:color w:val="auto"/>
          <w:sz w:val="24"/>
          <w:szCs w:val="24"/>
          <w:highlight w:val="none"/>
          <w:u w:val="single"/>
        </w:rPr>
        <w:t xml:space="preserve">（项目名称）</w:t>
      </w:r>
      <w:r>
        <w:rPr>
          <w:rFonts w:hint="default" w:ascii="宋体" w:hAnsi="宋体" w:eastAsia="宋体" w:cs="Times New Roman"/>
          <w:color w:val="auto"/>
          <w:sz w:val="24"/>
          <w:szCs w:val="24"/>
          <w:highlight w:val="none"/>
          <w:lang w:val="zh-CN"/>
        </w:rPr>
        <w:t xml:space="preserve">采购活动，</w:t>
      </w:r>
      <w:r>
        <w:rPr>
          <w:rFonts w:hint="eastAsia" w:ascii="宋体" w:hAnsi="宋体" w:eastAsia="宋体" w:cs="Times New Roman"/>
          <w:color w:val="auto"/>
          <w:sz w:val="24"/>
          <w:szCs w:val="24"/>
          <w:highlight w:val="none"/>
        </w:rPr>
        <w:t xml:space="preserve">提供的货物全部由符合政策要求的中小企业制造。</w:t>
      </w:r>
      <w:r>
        <w:rPr>
          <w:rFonts w:hint="default" w:ascii="宋体" w:hAnsi="宋体" w:eastAsia="宋体" w:cs="Times New Roman"/>
          <w:color w:val="auto"/>
          <w:sz w:val="24"/>
          <w:szCs w:val="24"/>
          <w:highlight w:val="none"/>
          <w:lang w:val="zh-CN"/>
        </w:rPr>
        <w:t xml:space="preserve">相关企业（含联合体中的中小企业、签订分包意向协议的中小企业）的具体情况如下：</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1. </w:t>
      </w:r>
      <w:r>
        <w:rPr>
          <w:rFonts w:hint="default" w:ascii="宋体" w:hAnsi="宋体" w:eastAsia="宋体" w:cs="Times New Roman"/>
          <w:color w:val="auto"/>
          <w:sz w:val="24"/>
          <w:szCs w:val="24"/>
          <w:highlight w:val="none"/>
          <w:u w:val="single"/>
          <w:lang w:val="zh-CN"/>
        </w:rPr>
        <w:t xml:space="preserve">（标的名称）</w:t>
      </w:r>
      <w:r>
        <w:rPr>
          <w:rFonts w:hint="default" w:ascii="宋体" w:hAnsi="宋体" w:eastAsia="宋体" w:cs="Times New Roman"/>
          <w:color w:val="auto"/>
          <w:sz w:val="24"/>
          <w:szCs w:val="24"/>
          <w:highlight w:val="none"/>
          <w:lang w:val="zh-CN"/>
        </w:rPr>
        <w:t xml:space="preserve">，属于</w:t>
      </w:r>
      <w:r>
        <w:rPr>
          <w:rFonts w:hint="eastAsia" w:ascii="宋体" w:hAnsi="宋体" w:eastAsia="宋体" w:cs="Times New Roman"/>
          <w:color w:val="auto"/>
          <w:sz w:val="24"/>
          <w:szCs w:val="24"/>
          <w:highlight w:val="none"/>
          <w:u w:val="single"/>
          <w:lang w:val="zh-CN"/>
        </w:rPr>
        <w:t xml:space="preserve"> 工业 </w:t>
      </w:r>
      <w:r>
        <w:rPr>
          <w:rFonts w:hint="default"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制造商</w:t>
      </w:r>
      <w:r>
        <w:rPr>
          <w:rFonts w:hint="default" w:ascii="宋体" w:hAnsi="宋体" w:eastAsia="宋体" w:cs="Times New Roman"/>
          <w:color w:val="auto"/>
          <w:sz w:val="24"/>
          <w:szCs w:val="24"/>
          <w:highlight w:val="none"/>
          <w:lang w:val="zh-CN"/>
        </w:rPr>
        <w:t xml:space="preserve">为</w:t>
      </w:r>
      <w:r>
        <w:rPr>
          <w:rFonts w:hint="default" w:ascii="宋体" w:hAnsi="宋体" w:eastAsia="宋体" w:cs="Times New Roman"/>
          <w:color w:val="auto"/>
          <w:sz w:val="24"/>
          <w:szCs w:val="24"/>
          <w:highlight w:val="none"/>
          <w:u w:val="single"/>
          <w:lang w:val="zh-CN"/>
        </w:rPr>
        <w:t xml:space="preserve">（企业名称）</w:t>
      </w:r>
      <w:r>
        <w:rPr>
          <w:rFonts w:hint="default" w:ascii="宋体" w:hAnsi="宋体" w:eastAsia="宋体" w:cs="Times New Roman"/>
          <w:color w:val="auto"/>
          <w:sz w:val="24"/>
          <w:szCs w:val="24"/>
          <w:highlight w:val="none"/>
          <w:lang w:val="zh-CN"/>
        </w:rPr>
        <w:t xml:space="preserve">，从业人员</w:t>
      </w:r>
      <w:r>
        <w:rPr>
          <w:rFonts w:hint="eastAsia"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人，营业收入为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万元，资产总额为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万元，属于</w:t>
      </w:r>
      <w:r>
        <w:rPr>
          <w:rFonts w:hint="default" w:ascii="宋体" w:hAnsi="宋体" w:eastAsia="宋体" w:cs="Times New Roman"/>
          <w:color w:val="auto"/>
          <w:sz w:val="24"/>
          <w:szCs w:val="24"/>
          <w:highlight w:val="none"/>
          <w:u w:val="single"/>
          <w:lang w:val="zh-CN"/>
        </w:rPr>
        <w:t xml:space="preserve">（中型企业、小型企业、微型企业</w:t>
      </w:r>
      <w:r>
        <w:rPr>
          <w:rFonts w:hint="eastAsia" w:ascii="宋体" w:hAnsi="宋体" w:eastAsia="宋体" w:cs="Times New Roman"/>
          <w:color w:val="auto"/>
          <w:sz w:val="24"/>
          <w:szCs w:val="24"/>
          <w:highlight w:val="none"/>
          <w:u w:val="single"/>
          <w:lang w:val="zh-CN"/>
        </w:rPr>
        <w:t xml:space="preserve">，三者选一填写</w:t>
      </w:r>
      <w:r>
        <w:rPr>
          <w:rFonts w:hint="default" w:ascii="宋体" w:hAnsi="宋体" w:eastAsia="宋体" w:cs="Times New Roman"/>
          <w:color w:val="auto"/>
          <w:sz w:val="24"/>
          <w:szCs w:val="24"/>
          <w:highlight w:val="none"/>
          <w:u w:val="single"/>
          <w:lang w:val="zh-CN"/>
        </w:rPr>
        <w:t xml:space="preserve">）</w:t>
      </w: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2. </w:t>
      </w:r>
      <w:r>
        <w:rPr>
          <w:rFonts w:hint="default" w:ascii="宋体" w:hAnsi="宋体" w:eastAsia="宋体" w:cs="Times New Roman"/>
          <w:color w:val="auto"/>
          <w:sz w:val="24"/>
          <w:szCs w:val="24"/>
          <w:highlight w:val="none"/>
          <w:u w:val="single"/>
          <w:lang w:val="zh-CN"/>
        </w:rPr>
        <w:t xml:space="preserve">（标的名称）</w:t>
      </w:r>
      <w:r>
        <w:rPr>
          <w:rFonts w:hint="default" w:ascii="宋体" w:hAnsi="宋体" w:eastAsia="宋体" w:cs="Times New Roman"/>
          <w:color w:val="auto"/>
          <w:sz w:val="24"/>
          <w:szCs w:val="24"/>
          <w:highlight w:val="none"/>
          <w:lang w:val="zh-CN"/>
        </w:rPr>
        <w:t xml:space="preserve">，属于</w:t>
      </w:r>
      <w:r>
        <w:rPr>
          <w:rFonts w:hint="eastAsia" w:ascii="宋体" w:hAnsi="宋体" w:eastAsia="宋体" w:cs="Times New Roman"/>
          <w:color w:val="auto"/>
          <w:sz w:val="24"/>
          <w:szCs w:val="24"/>
          <w:highlight w:val="none"/>
          <w:u w:val="single"/>
          <w:lang w:val="zh-CN"/>
        </w:rPr>
        <w:t xml:space="preserve"> 工业 </w:t>
      </w:r>
      <w:r>
        <w:rPr>
          <w:rFonts w:hint="default"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制造商</w:t>
      </w:r>
      <w:r>
        <w:rPr>
          <w:rFonts w:hint="default" w:ascii="宋体" w:hAnsi="宋体" w:eastAsia="宋体" w:cs="Times New Roman"/>
          <w:color w:val="auto"/>
          <w:sz w:val="24"/>
          <w:szCs w:val="24"/>
          <w:highlight w:val="none"/>
          <w:lang w:val="zh-CN"/>
        </w:rPr>
        <w:t xml:space="preserve">为</w:t>
      </w:r>
      <w:r>
        <w:rPr>
          <w:rFonts w:hint="default" w:ascii="宋体" w:hAnsi="宋体" w:eastAsia="宋体" w:cs="Times New Roman"/>
          <w:color w:val="auto"/>
          <w:sz w:val="24"/>
          <w:szCs w:val="24"/>
          <w:highlight w:val="none"/>
          <w:u w:val="single"/>
          <w:lang w:val="zh-CN"/>
        </w:rPr>
        <w:t xml:space="preserve">（企业名称）</w:t>
      </w:r>
      <w:r>
        <w:rPr>
          <w:rFonts w:hint="default" w:ascii="宋体" w:hAnsi="宋体" w:eastAsia="宋体" w:cs="Times New Roman"/>
          <w:color w:val="auto"/>
          <w:sz w:val="24"/>
          <w:szCs w:val="24"/>
          <w:highlight w:val="none"/>
          <w:lang w:val="zh-CN"/>
        </w:rPr>
        <w:t xml:space="preserve">，从业人员</w:t>
      </w:r>
      <w:r>
        <w:rPr>
          <w:rFonts w:hint="eastAsia"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人，营业收入为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万元，资产总额为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万元，属于</w:t>
      </w:r>
      <w:r>
        <w:rPr>
          <w:rFonts w:hint="default" w:ascii="宋体" w:hAnsi="宋体" w:eastAsia="宋体" w:cs="Times New Roman"/>
          <w:color w:val="auto"/>
          <w:sz w:val="24"/>
          <w:szCs w:val="24"/>
          <w:highlight w:val="none"/>
          <w:u w:val="single"/>
          <w:lang w:val="zh-CN"/>
        </w:rPr>
        <w:t xml:space="preserve">（中型企业、小型企业、微型企业</w:t>
      </w:r>
      <w:r>
        <w:rPr>
          <w:rFonts w:hint="eastAsia" w:ascii="宋体" w:hAnsi="宋体" w:eastAsia="宋体" w:cs="Times New Roman"/>
          <w:color w:val="auto"/>
          <w:sz w:val="24"/>
          <w:szCs w:val="24"/>
          <w:highlight w:val="none"/>
          <w:u w:val="single"/>
          <w:lang w:val="zh-CN"/>
        </w:rPr>
        <w:t xml:space="preserve">，三者选一填写</w:t>
      </w:r>
      <w:r>
        <w:rPr>
          <w:rFonts w:hint="default" w:ascii="宋体" w:hAnsi="宋体" w:eastAsia="宋体" w:cs="Times New Roman"/>
          <w:color w:val="auto"/>
          <w:sz w:val="24"/>
          <w:szCs w:val="24"/>
          <w:highlight w:val="none"/>
          <w:u w:val="single"/>
          <w:lang w:val="zh-CN"/>
        </w:rPr>
        <w:t xml:space="preserve">）</w:t>
      </w: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本企业对上述声明内容的真实性负责。如有虚假，将依法承担相应责任。</w:t>
      </w:r>
      <w:r/>
    </w:p>
    <w:p>
      <w:pPr>
        <w:ind w:firstLine="480"/>
        <w:jc w:val="right"/>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企业名称（盖章）：</w:t>
      </w:r>
      <w:r>
        <w:rPr>
          <w:rFonts w:hint="eastAsia" w:ascii="宋体" w:hAnsi="宋体" w:eastAsia="宋体" w:cs="Times New Roman"/>
          <w:color w:val="auto"/>
          <w:sz w:val="24"/>
          <w:szCs w:val="24"/>
          <w:highlight w:val="none"/>
          <w:lang w:val="zh-CN"/>
        </w:rPr>
        <w:t xml:space="preserve">          </w:t>
      </w:r>
      <w:r/>
    </w:p>
    <w:p>
      <w:pPr>
        <w:ind w:firstLine="480"/>
        <w:jc w:val="right"/>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日期：</w:t>
      </w:r>
      <w:r>
        <w:rPr>
          <w:rFonts w:hint="eastAsia" w:ascii="宋体" w:hAnsi="宋体" w:eastAsia="宋体" w:cs="Times New Roman"/>
          <w:color w:val="auto"/>
          <w:sz w:val="24"/>
          <w:szCs w:val="24"/>
          <w:highlight w:val="none"/>
          <w:lang w:val="zh-CN"/>
        </w:rPr>
        <w:t xml:space="preserve">          </w:t>
      </w:r>
      <w:r/>
    </w:p>
    <w:p>
      <w:pPr>
        <w:ind w:firstLine="482"/>
        <w:jc w:val="left"/>
        <w:spacing w:line="360" w:lineRule="auto"/>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备注：</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w:t>
      </w:r>
      <w:r>
        <w:rPr>
          <w:rFonts w:hint="default" w:ascii="宋体" w:hAnsi="宋体" w:eastAsia="宋体" w:cs="Times New Roman"/>
          <w:color w:val="auto"/>
          <w:sz w:val="24"/>
          <w:szCs w:val="24"/>
          <w:highlight w:val="none"/>
          <w:lang w:val="zh-CN"/>
        </w:rPr>
        <w:t xml:space="preserve">从业人员、营业收入、资产总额填报上一年度数据，无上一年度数据的新成立企业可不填报。</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2</w:t>
      </w:r>
      <w:r>
        <w:rPr>
          <w:rFonts w:hint="eastAsia" w:ascii="宋体" w:hAnsi="宋体" w:eastAsia="宋体" w:cs="Times New Roman"/>
          <w:color w:val="auto"/>
          <w:sz w:val="24"/>
          <w:szCs w:val="24"/>
          <w:highlight w:val="none"/>
          <w:lang w:val="zh-CN"/>
        </w:rPr>
        <w:t xml:space="preserve">.若一个采购项目或采购包中含有多个货物采购标的，则每个采购标的均应由中小企业制造。声明函中未包含采购的所有货物的制造商的，视为未提供中小企业声明函，不享受中小企业扶持政策。</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3</w:t>
      </w:r>
      <w:r>
        <w:rPr>
          <w:rFonts w:hint="eastAsia" w:ascii="宋体" w:hAnsi="宋体" w:eastAsia="宋体" w:cs="Times New Roman"/>
          <w:color w:val="auto"/>
          <w:sz w:val="24"/>
          <w:szCs w:val="24"/>
          <w:highlight w:val="none"/>
          <w:lang w:val="zh-CN"/>
        </w:rPr>
        <w:t xml:space="preserve">.</w:t>
      </w:r>
      <w:r>
        <w:rPr>
          <w:rFonts w:hint="default" w:ascii="宋体" w:hAnsi="宋体" w:eastAsia="宋体" w:cs="Times New Roman"/>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jc w:val="both"/>
        <w:spacing w:line="276" w:lineRule="auto"/>
        <w:widowControl w:val="off"/>
        <w:rPr>
          <w:rFonts w:hint="eastAsia"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4</w:t>
      </w:r>
      <w:r>
        <w:rPr>
          <w:rFonts w:hint="eastAsia" w:ascii="宋体" w:hAnsi="宋体" w:eastAsia="宋体" w:cs="Times New Roman"/>
          <w:color w:val="auto"/>
          <w:sz w:val="24"/>
          <w:szCs w:val="24"/>
          <w:highlight w:val="none"/>
          <w:lang w:val="zh-CN"/>
        </w:rPr>
        <w:t xml:space="preserve">.</w:t>
      </w:r>
      <w:r>
        <w:rPr>
          <w:rFonts w:hint="default" w:ascii="宋体" w:hAnsi="宋体" w:eastAsia="宋体" w:cs="Times New Roman"/>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auto"/>
          <w:sz w:val="24"/>
          <w:szCs w:val="24"/>
          <w:highlight w:val="none"/>
          <w:lang w:val="zh-CN"/>
        </w:rPr>
        <w:t xml:space="preserve">。</w:t>
      </w:r>
      <w:r/>
    </w:p>
    <w:p>
      <w:pPr>
        <w:ind w:firstLine="482"/>
        <w:jc w:val="both"/>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br w:type="page" w:clear="all"/>
      </w:r>
      <w:r/>
    </w:p>
    <w:p>
      <w:pPr>
        <w:jc w:val="center"/>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残疾人福利性单位声明函</w:t>
      </w:r>
      <w:r/>
    </w:p>
    <w:p>
      <w:pPr>
        <w:jc w:val="left"/>
        <w:spacing w:line="360" w:lineRule="auto"/>
        <w:widowControl w:val="off"/>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本单位对上述声明的真实性负责。如有虚假，将依法承担相应责任。</w:t>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11"/>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pStyle w:val="911"/>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10"/>
        <w:jc w:val="left"/>
        <w:spacing w:line="360" w:lineRule="auto"/>
        <w:rPr>
          <w:rFonts w:hint="eastAsia" w:ascii="宋体" w:hAnsi="宋体" w:eastAsia="宋体" w:cs="宋体"/>
          <w:b/>
          <w:color w:val="auto"/>
          <w:sz w:val="24"/>
          <w:szCs w:val="24"/>
          <w:highlight w:val="none"/>
        </w:rPr>
      </w:pPr>
      <w:r>
        <w:rPr>
          <w:rFonts w:hint="eastAsia" w:hAnsi="宋体" w:eastAsia="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法定代表人授权委托书</w:t>
      </w:r>
      <w:r/>
    </w:p>
    <w:p>
      <w:pPr>
        <w:jc w:val="center"/>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法定代表人授权委托书</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  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（投标人名称）的法定代表人，现授权委托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zh-CN"/>
        </w:rPr>
        <w:t xml:space="preserve">姓名</w:t>
      </w:r>
      <w:r>
        <w:rPr>
          <w:rFonts w:hint="eastAsia" w:ascii="宋体" w:hAnsi="宋体" w:eastAsia="宋体" w:cs="宋体"/>
          <w:color w:val="auto"/>
          <w:sz w:val="24"/>
          <w:szCs w:val="24"/>
          <w:highlight w:val="none"/>
          <w:lang w:val="en-US" w:eastAsia="zh-CN"/>
        </w:rPr>
        <w:t xml:space="preserve">及身份证号码</w:t>
      </w:r>
      <w:r>
        <w:rPr>
          <w:rFonts w:hint="eastAsia" w:ascii="宋体" w:hAnsi="宋体" w:eastAsia="宋体" w:cs="宋体"/>
          <w:color w:val="auto"/>
          <w:sz w:val="24"/>
          <w:highlight w:val="none"/>
        </w:rPr>
        <w:t xml:space="preserve">）为我公司代理人，以本公司的名义参加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（采购人名称）组织实施的编号为</w:t>
      </w:r>
      <w:r>
        <w:rPr>
          <w:rFonts w:hint="eastAsia" w:ascii="宋体" w:hAnsi="宋体" w:eastAsia="宋体" w:cs="宋体"/>
          <w:bCs/>
          <w:color w:val="auto"/>
          <w:sz w:val="24"/>
          <w:szCs w:val="24"/>
          <w:highlight w:val="none"/>
          <w:u w:val="single"/>
          <w:lang w:val="zh-CN"/>
        </w:rPr>
        <w:t xml:space="preserve">JSZC-320583-LHZX-G2025-0054</w:t>
      </w:r>
      <w:r>
        <w:rPr>
          <w:rFonts w:hint="eastAsia" w:ascii="宋体" w:hAnsi="宋体" w:eastAsia="宋体" w:cs="宋体"/>
          <w:color w:val="auto"/>
          <w:sz w:val="24"/>
          <w:highlight w:val="none"/>
        </w:rPr>
        <w:t xml:space="preserve">号的采购活动。代理人在投标、开标、评标、合同订立和履行过程中所签署的一切文件和处理与这有关的一切事务，我均予以承认。</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、投标函</w:t>
      </w:r>
      <w:r/>
    </w:p>
    <w:p>
      <w:pPr>
        <w:jc w:val="center"/>
        <w:spacing w:line="360" w:lineRule="auto"/>
        <w:widowControl/>
        <w:rPr>
          <w:rFonts w:hint="eastAsia" w:ascii="宋体" w:hAnsi="宋体" w:eastAsia="宋体" w:cs="宋体"/>
          <w:b/>
          <w:color w:val="auto"/>
          <w:sz w:val="24"/>
          <w:highlight w:val="none"/>
          <w:lang w:val="zh-CN"/>
        </w:rPr>
        <w:outlineLvl w:val="0"/>
      </w:pPr>
      <w:r/>
      <w:bookmarkStart w:id="14" w:name="_Hlk136550814"/>
      <w:r>
        <w:rPr>
          <w:rFonts w:hint="eastAsia" w:ascii="宋体" w:hAnsi="宋体" w:eastAsia="宋体" w:cs="宋体"/>
          <w:b/>
          <w:color w:val="auto"/>
          <w:sz w:val="24"/>
          <w:highlight w:val="none"/>
          <w:lang w:val="zh-CN"/>
        </w:rPr>
        <w:t xml:space="preserve">投标函</w:t>
      </w:r>
      <w:r/>
    </w:p>
    <w:p>
      <w:pPr>
        <w:pStyle w:val="749"/>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我方收到贵公司</w:t>
      </w:r>
      <w:r>
        <w:rPr>
          <w:rFonts w:hint="eastAsia" w:ascii="宋体" w:hAnsi="宋体" w:eastAsia="宋体" w:cs="宋体"/>
          <w:bCs/>
          <w:color w:val="auto"/>
          <w:sz w:val="24"/>
          <w:szCs w:val="24"/>
          <w:highlight w:val="none"/>
          <w:u w:val="single"/>
          <w:lang w:val="zh-CN"/>
        </w:rPr>
        <w:t xml:space="preserve">JSZC-320583-LHZX-G2025-0054</w:t>
      </w:r>
      <w:r>
        <w:rPr>
          <w:rFonts w:hint="eastAsia" w:ascii="宋体" w:hAnsi="宋体" w:eastAsia="宋体" w:cs="宋体"/>
          <w:color w:val="auto"/>
          <w:sz w:val="24"/>
          <w:highlight w:val="none"/>
        </w:rPr>
        <w:t xml:space="preserve">号招标文件，经仔细阅读和研究，我方决定参加投标。</w:t>
      </w:r>
      <w:r/>
    </w:p>
    <w:p>
      <w:pPr>
        <w:ind w:firstLine="480"/>
        <w:jc w:val="left"/>
        <w:keepLines w:val="0"/>
        <w:keepNext w:val="0"/>
        <w:pageBreakBefore w:val="0"/>
        <w:spacing w:line="312"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1、我们愿意按照招标文件的一切要求，</w:t>
      </w:r>
      <w:r>
        <w:rPr>
          <w:rFonts w:hint="eastAsia" w:ascii="宋体" w:hAnsi="宋体" w:eastAsia="宋体" w:cs="宋体"/>
          <w:bCs/>
          <w:color w:val="auto"/>
          <w:sz w:val="24"/>
          <w:highlight w:val="none"/>
        </w:rPr>
        <w:t xml:space="preserve">报价</w:t>
      </w:r>
      <w:r>
        <w:rPr>
          <w:rFonts w:hint="eastAsia" w:ascii="宋体" w:hAnsi="宋体" w:eastAsia="宋体" w:cs="宋体"/>
          <w:bCs/>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rPr>
          <w:rFonts w:hint="eastAsia" w:ascii="宋体" w:hAnsi="宋体" w:eastAsia="宋体" w:cs="宋体"/>
          <w:bCs/>
          <w:color w:val="auto"/>
          <w:sz w:val="24"/>
          <w:highlight w:val="none"/>
        </w:rPr>
        <w:t xml:space="preserve">投标报价为最终报价，除非因特殊原因并经买卖双方协商同意，投标人不得再要求追加任何费用。</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3、我方同意按招标文件中的规定，本投标书的有效期限为投标截止之日起</w:t>
      </w:r>
      <w:r>
        <w:rPr>
          <w:rFonts w:hint="eastAsia" w:ascii="宋体" w:hAnsi="宋体" w:eastAsia="宋体" w:cs="宋体"/>
          <w:color w:val="auto"/>
          <w:sz w:val="24"/>
          <w:highlight w:val="none"/>
          <w:u w:val="single"/>
          <w:lang w:val="en-US" w:eastAsia="zh-CN"/>
        </w:rPr>
        <w:t xml:space="preserve">90</w:t>
      </w:r>
      <w:r>
        <w:rPr>
          <w:rFonts w:hint="eastAsia" w:ascii="宋体" w:hAnsi="宋体" w:eastAsia="宋体" w:cs="宋体"/>
          <w:color w:val="auto"/>
          <w:sz w:val="24"/>
          <w:highlight w:val="none"/>
        </w:rPr>
        <w:t xml:space="preserve">天，如果我方在开标后规定的投标有效期内撤回投标，我方愿接受处罚。</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5、我方认为贵方有权决定中标者，还认为贵方有权接受或拒绝所有的投标者。</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6、我方愿意遵守招标公告及招标文件中所列的收费标准。</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7、我方承诺该项投标在开标后的全过程中保持有效，不作任何更改和变动。我方同意中标后若不履行投标文件的内容要求和各项承诺及义务的即被视为违约，我方的中标资格将被取消。</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8、我方同意中标方若无法按约定条款履行义务等行为，招标方有权取消我方的中标资格。</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9、与本投标有关的通讯地址：</w:t>
      </w:r>
      <w:r/>
    </w:p>
    <w:p>
      <w:pPr>
        <w:pStyle w:val="749"/>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单    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none"/>
        </w:rPr>
        <w:t xml:space="preserve">_____________________</w:t>
      </w:r>
      <w:r/>
    </w:p>
    <w:p>
      <w:pPr>
        <w:pStyle w:val="749"/>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none"/>
        </w:rPr>
        <w:t xml:space="preserve">_____________________</w:t>
      </w:r>
      <w:r/>
    </w:p>
    <w:p>
      <w:pPr>
        <w:pStyle w:val="749"/>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none"/>
        </w:rPr>
        <w:t xml:space="preserve">_____________________</w:t>
      </w:r>
      <w:r/>
    </w:p>
    <w:p>
      <w:pPr>
        <w:pStyle w:val="749"/>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电子邮箱：</w:t>
      </w:r>
      <w:r>
        <w:rPr>
          <w:rFonts w:hint="eastAsia" w:ascii="宋体" w:hAnsi="宋体" w:eastAsia="宋体" w:cs="宋体"/>
          <w:color w:val="auto"/>
          <w:highlight w:val="none"/>
          <w:u w:val="none"/>
        </w:rPr>
        <w:t xml:space="preserve">______________________________</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bookmarkEnd w:id="14"/>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关于资格文件的声明函</w:t>
      </w:r>
      <w:r/>
    </w:p>
    <w:p>
      <w:pPr>
        <w:pStyle w:val="727"/>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关于资格文件的声明函</w:t>
      </w:r>
      <w:r/>
    </w:p>
    <w:p>
      <w:pPr>
        <w:pStyle w:val="727"/>
        <w:ind w:left="0"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本公司愿就由贵公司组织实施的编号为</w:t>
      </w:r>
      <w:r>
        <w:rPr>
          <w:rFonts w:hint="eastAsia" w:ascii="宋体" w:hAnsi="宋体" w:eastAsia="宋体" w:cs="宋体"/>
          <w:color w:val="auto"/>
          <w:sz w:val="24"/>
          <w:highlight w:val="none"/>
          <w:u w:val="single"/>
          <w:lang w:eastAsia="zh-CN"/>
        </w:rPr>
        <w:t xml:space="preserve">JSZC-320583-LHZX-G2025-0054</w:t>
      </w:r>
      <w:r>
        <w:rPr>
          <w:rFonts w:hint="eastAsia" w:ascii="宋体" w:hAnsi="宋体" w:eastAsia="宋体" w:cs="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910"/>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7"/>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highlight w:val="none"/>
        </w:rPr>
        <w:br w:type="page" w:clear="all"/>
      </w: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情况表</w:t>
      </w:r>
      <w:r/>
    </w:p>
    <w:p>
      <w:pPr>
        <w:pStyle w:val="727"/>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投标人</w:t>
      </w:r>
      <w:r>
        <w:rPr>
          <w:rFonts w:hint="eastAsia" w:ascii="宋体" w:hAnsi="宋体" w:eastAsia="宋体" w:cs="宋体"/>
          <w:b/>
          <w:color w:val="auto"/>
          <w:szCs w:val="24"/>
          <w:highlight w:val="none"/>
          <w:lang w:val="en-US" w:eastAsia="zh-CN"/>
        </w:rPr>
        <w:t xml:space="preserve">基本</w:t>
      </w:r>
      <w:r>
        <w:rPr>
          <w:rFonts w:hint="eastAsia" w:ascii="宋体" w:hAnsi="宋体" w:eastAsia="宋体" w:cs="宋体"/>
          <w:b/>
          <w:color w:val="auto"/>
          <w:szCs w:val="24"/>
          <w:highlight w:val="none"/>
        </w:rPr>
        <w:t xml:space="preserve">情况表</w:t>
      </w:r>
      <w:r/>
    </w:p>
    <w:tbl>
      <w:tblPr>
        <w:tblStyle w:val="725"/>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285" w:type="dxa"/>
            <w:vAlign w:val="center"/>
            <w:textDirection w:val="lrTb"/>
            <w:noWrap w:val="false"/>
          </w:tcPr>
          <w:p>
            <w:pPr>
              <w:pStyle w:val="727"/>
              <w:ind w:firstLine="216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509"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234"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平方米</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自有面积平方米</w:t>
            </w:r>
            <w:r/>
          </w:p>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承租面积平方米</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w:t>
            </w:r>
            <w:r>
              <w:rPr>
                <w:rFonts w:hint="eastAsia" w:ascii="宋体" w:hAnsi="宋体" w:eastAsia="宋体" w:cs="宋体"/>
                <w:color w:val="auto"/>
                <w:szCs w:val="24"/>
                <w:highlight w:val="none"/>
                <w:lang w:eastAsia="zh-CN"/>
              </w:rPr>
              <w:t xml:space="preserve">自合同签订之日起60日内交货、安装及调试完成</w:t>
            </w:r>
            <w:r>
              <w:rPr>
                <w:rFonts w:hint="eastAsia" w:ascii="宋体" w:hAnsi="宋体" w:eastAsia="宋体" w:cs="宋体"/>
                <w:color w:val="auto"/>
                <w:szCs w:val="24"/>
                <w:highlight w:val="none"/>
              </w:rPr>
              <w:t xml:space="preserve">内在经营过程中受到何种奖励或处分</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727"/>
        <w:ind w:firstLine="0"/>
        <w:jc w:val="both"/>
        <w:spacing w:line="360" w:lineRule="auto"/>
        <w:rPr>
          <w:rFonts w:hint="eastAsia" w:ascii="宋体" w:hAnsi="宋体" w:eastAsia="宋体" w:cs="宋体"/>
          <w:color w:val="auto"/>
          <w:sz w:val="26"/>
          <w:szCs w:val="24"/>
          <w:highlight w:val="none"/>
        </w:rPr>
        <w:outlineLvl w:val="1"/>
      </w:pPr>
      <w:r>
        <w:rPr>
          <w:rFonts w:hint="eastAsia" w:ascii="宋体" w:hAnsi="宋体" w:eastAsia="宋体" w:cs="宋体"/>
          <w:b/>
          <w:color w:val="auto"/>
          <w:highlight w:val="none"/>
          <w:lang w:val="en-US" w:eastAsia="zh-CN"/>
        </w:rPr>
        <w:br w:type="page" w:clear="all"/>
      </w:r>
      <w:bookmarkStart w:id="15" w:name="_Hlk136550733"/>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商务条款偏离表</w:t>
      </w:r>
      <w:r/>
    </w:p>
    <w:p>
      <w:pPr>
        <w:pStyle w:val="727"/>
        <w:ind w:firstLine="0"/>
        <w:jc w:val="center"/>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商务条款偏离表</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41"/>
        <w:gridCol w:w="2675"/>
        <w:gridCol w:w="2675"/>
        <w:gridCol w:w="1913"/>
      </w:tblGrid>
      <w:tr>
        <w:trPr/>
        <w:tc>
          <w:tcPr>
            <w:tcW w:w="387"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50"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商务内容</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招标文件的商务条款</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938"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注：投标人的投标文件（除</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部分）与招标文件规定的有偏离的，应在此表中说明。未在上表中说明的，如在投标文件其他内容中已有文字说明的，则以已有文字说明为准。但该表不作为投标人对所投标的物关于商务条款等详细描述和说明的替代。</w:t>
      </w:r>
      <w:bookmarkEnd w:id="15"/>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758"/>
        <w:ind w:left="0" w:firstLine="0"/>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9、</w:t>
      </w:r>
      <w:r>
        <w:rPr>
          <w:rFonts w:hint="eastAsia" w:ascii="宋体" w:hAnsi="宋体" w:eastAsia="宋体" w:cs="宋体"/>
          <w:b/>
          <w:color w:val="auto"/>
          <w:sz w:val="24"/>
          <w:szCs w:val="24"/>
          <w:highlight w:val="none"/>
          <w:lang w:val="zh-CN" w:eastAsia="zh-CN" w:bidi="ar-SA"/>
        </w:rPr>
        <w:t xml:space="preserve">远程参与开标会议诚信承诺书</w:t>
      </w:r>
      <w:r/>
    </w:p>
    <w:p>
      <w:pPr>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远程参与开标会议诚信承诺书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（项目名称及项目编号）的投标（响应），并做出如下承诺：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br w:type="page" w:clear="all"/>
      </w:r>
      <w:r/>
    </w:p>
    <w:p>
      <w:pPr>
        <w:ind w:firstLine="0"/>
        <w:jc w:val="lef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10、售后服务承诺书</w:t>
      </w:r>
      <w:r/>
    </w:p>
    <w:p>
      <w:pPr>
        <w:jc w:val="center"/>
        <w:spacing w:before="25" w:after="25"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p>
    <w:p>
      <w:pPr>
        <w:jc w:val="center"/>
        <w:spacing w:before="25" w:after="25" w:line="36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售后服务承诺书</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407"/>
        <w:gridCol w:w="2005"/>
        <w:gridCol w:w="2913"/>
      </w:tblGrid>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序号</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售后服务内容</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期限（时间）</w:t>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备注</w:t>
            </w:r>
            <w:r/>
          </w:p>
        </w:tc>
      </w:tr>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highlight w:val="none"/>
              </w:rPr>
              <w:t xml:space="preserve">免费保修期</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2</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服务响应</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3</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到达现场</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4</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szCs w:val="24"/>
                <w:highlight w:val="none"/>
              </w:rPr>
              <w:t xml:space="preserve">解决问题</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bl>
    <w:p>
      <w:pPr>
        <w:ind w:firstLine="360"/>
        <w:jc w:val="center"/>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firstLine="36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注：1.上述1、2、3、4条请明确期限；</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2.针对服务内容有必须说明的事项，请在“备注”栏目内注明；</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3.如有其它售后服务内容，可自行参照填写。</w:t>
      </w:r>
      <w:r/>
    </w:p>
    <w:p>
      <w:pPr>
        <w:ind w:firstLine="480"/>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pStyle w:val="912"/>
        <w:spacing w:line="360" w:lineRule="auto"/>
        <w:rPr>
          <w:rFonts w:hint="eastAsia" w:ascii="宋体" w:hAnsi="宋体" w:eastAsia="宋体" w:cs="宋体"/>
          <w:b/>
          <w:color w:val="auto"/>
          <w:szCs w:val="24"/>
          <w:highlight w:val="none"/>
          <w:lang w:val="en-US" w:eastAsia="zh-CN"/>
        </w:rPr>
        <w:outlineLvl w:val="1"/>
      </w:pPr>
      <w:r>
        <w:rPr>
          <w:rFonts w:hint="eastAsia" w:ascii="宋体" w:hAnsi="宋体" w:eastAsia="宋体" w:cs="宋体"/>
          <w:b/>
          <w:color w:val="auto"/>
          <w:szCs w:val="24"/>
          <w:highlight w:val="none"/>
          <w:lang w:val="en-US" w:eastAsia="zh-CN"/>
        </w:rPr>
      </w:r>
      <w:r/>
    </w:p>
    <w:p>
      <w:pPr>
        <w:pStyle w:val="912"/>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2"/>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2"/>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2"/>
        <w:spacing w:line="360" w:lineRule="auto"/>
        <w:rPr>
          <w:rFonts w:hint="eastAsia" w:ascii="宋体" w:hAnsi="宋体" w:eastAsia="宋体" w:cs="宋体"/>
          <w:b/>
          <w:color w:val="auto"/>
          <w:highlight w:val="none"/>
        </w:rPr>
        <w:outlineLvl w:val="1"/>
      </w:pPr>
      <w:r>
        <w:rPr>
          <w:rFonts w:hint="eastAsia" w:ascii="宋体" w:hAnsi="宋体" w:eastAsia="宋体" w:cs="宋体"/>
          <w:b/>
          <w:color w:val="auto"/>
          <w:szCs w:val="24"/>
          <w:highlight w:val="none"/>
        </w:rPr>
        <w:br w:type="page" w:clear="all"/>
      </w:r>
      <w:r>
        <w:rPr>
          <w:rFonts w:hint="eastAsia"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val="en-US" w:eastAsia="zh-CN"/>
        </w:rPr>
        <w:t xml:space="preserve">、</w:t>
      </w:r>
      <w:r>
        <w:rPr>
          <w:rFonts w:hint="eastAsia" w:hAnsi="宋体" w:eastAsia="宋体" w:cs="宋体"/>
          <w:b/>
          <w:color w:val="auto"/>
          <w:sz w:val="24"/>
          <w:szCs w:val="24"/>
          <w:highlight w:val="none"/>
          <w:lang w:eastAsia="zh-CN"/>
        </w:rPr>
        <w:t xml:space="preserve">技术要求偏离表</w:t>
      </w:r>
      <w:r/>
    </w:p>
    <w:p>
      <w:pPr>
        <w:pStyle w:val="727"/>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27"/>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技术要求偏离表</w:t>
      </w:r>
      <w:r/>
    </w:p>
    <w:tbl>
      <w:tblPr>
        <w:tblStyle w:val="725"/>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42"/>
        <w:gridCol w:w="2299"/>
        <w:gridCol w:w="2268"/>
        <w:gridCol w:w="1559"/>
        <w:gridCol w:w="1238"/>
      </w:tblGrid>
      <w:tr>
        <w:trPr>
          <w:jc w:val="center"/>
        </w:trPr>
        <w:tc>
          <w:tcPr>
            <w:tcW w:w="71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42"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内容</w:t>
            </w:r>
            <w:r/>
          </w:p>
        </w:tc>
        <w:tc>
          <w:tcPr>
            <w:tcW w:w="229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226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1559" w:type="dxa"/>
            <w:vAlign w:val="center"/>
            <w:textDirection w:val="lrTb"/>
            <w:noWrap w:val="false"/>
          </w:tcPr>
          <w:p>
            <w:pPr>
              <w:jc w:val="center"/>
              <w:widowControl/>
              <w:rPr>
                <w:rFonts w:hint="eastAsia" w:ascii="宋体" w:hAnsi="宋体" w:eastAsia="宋体" w:cs="宋体"/>
                <w:color w:val="auto"/>
                <w:sz w:val="24"/>
                <w:highlight w:val="none"/>
              </w:rPr>
            </w:pPr>
            <w:r>
              <w:rPr>
                <w:rStyle w:val="913"/>
                <w:rFonts w:hint="eastAsia" w:ascii="宋体" w:hAnsi="宋体" w:eastAsia="宋体" w:cs="宋体"/>
                <w:color w:val="auto"/>
                <w:highlight w:val="none"/>
              </w:rPr>
              <w:t xml:space="preserve">偏离/响应</w:t>
            </w:r>
            <w:r/>
          </w:p>
        </w:tc>
        <w:tc>
          <w:tcPr>
            <w:tcW w:w="123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注：1、投标人应对照招标文件</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要求，所投标的物与招标文件的规定有偏离的，应在此表中申明与</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要求条文的偏差和例外。</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912"/>
        <w:numPr>
          <w:ilvl w:val="0"/>
          <w:numId w:val="0"/>
        </w:numPr>
        <w:spacing w:line="360" w:lineRule="auto"/>
        <w:rPr>
          <w:rFonts w:hint="eastAsia" w:hAnsi="宋体" w:eastAsia="宋体" w:cs="Times New Roman"/>
          <w:b/>
          <w:color w:val="auto"/>
          <w:sz w:val="24"/>
          <w:szCs w:val="24"/>
          <w:highlight w:val="none"/>
          <w:lang w:val="en-US" w:eastAsia="zh-CN"/>
        </w:rPr>
        <w:outlineLvl w:val="1"/>
      </w:pPr>
      <w:r>
        <w:rPr>
          <w:rFonts w:hint="eastAsia"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lang w:val="en-US" w:eastAsia="zh-CN"/>
        </w:rPr>
        <w:t xml:space="preserve">、</w:t>
      </w:r>
      <w:r>
        <w:rPr>
          <w:rFonts w:hint="eastAsia" w:hAnsi="宋体" w:eastAsia="宋体" w:cs="Times New Roman"/>
          <w:b/>
          <w:color w:val="auto"/>
          <w:sz w:val="24"/>
          <w:szCs w:val="24"/>
          <w:highlight w:val="none"/>
          <w:lang w:val="en-US" w:eastAsia="zh-CN"/>
        </w:rPr>
        <w:t xml:space="preserve">品牌、规格、材质、生产厂家说明</w:t>
      </w:r>
      <w:r/>
    </w:p>
    <w:p>
      <w:pPr>
        <w:pStyle w:val="912"/>
        <w:numPr>
          <w:ilvl w:val="0"/>
          <w:numId w:val="0"/>
        </w:numPr>
        <w:jc w:val="both"/>
        <w:spacing w:line="360" w:lineRule="auto"/>
        <w:widowControl w:val="off"/>
        <w:rPr>
          <w:rFonts w:hint="default" w:hAnsi="宋体" w:eastAsia="宋体" w:cs="Times New Roman"/>
          <w:b/>
          <w:color w:val="auto"/>
          <w:sz w:val="24"/>
          <w:szCs w:val="24"/>
          <w:highlight w:val="none"/>
          <w:lang w:val="en-US" w:eastAsia="zh-CN"/>
        </w:rPr>
        <w:outlineLvl w:val="1"/>
      </w:pPr>
      <w:r>
        <w:rPr>
          <w:rFonts w:hint="default" w:hAnsi="宋体" w:eastAsia="宋体" w:cs="Times New Roman"/>
          <w:b/>
          <w:color w:val="auto"/>
          <w:sz w:val="24"/>
          <w:szCs w:val="24"/>
          <w:highlight w:val="none"/>
          <w:lang w:val="en-US" w:eastAsia="zh-CN"/>
        </w:rPr>
      </w:r>
      <w:r/>
    </w:p>
    <w:p>
      <w:pPr>
        <w:pStyle w:val="912"/>
        <w:numPr>
          <w:ilvl w:val="0"/>
          <w:numId w:val="0"/>
        </w:numPr>
        <w:jc w:val="center"/>
        <w:spacing w:line="360" w:lineRule="auto"/>
        <w:widowControl w:val="off"/>
        <w:rPr>
          <w:rFonts w:hint="eastAsia" w:hAnsi="宋体" w:eastAsia="宋体" w:cs="Times New Roman"/>
          <w:b/>
          <w:color w:val="auto"/>
          <w:sz w:val="24"/>
          <w:szCs w:val="24"/>
          <w:highlight w:val="none"/>
          <w:lang w:val="en-US" w:eastAsia="zh-CN"/>
        </w:rPr>
        <w:outlineLvl w:val="1"/>
      </w:pPr>
      <w:r>
        <w:rPr>
          <w:rFonts w:hint="eastAsia" w:hAnsi="宋体" w:eastAsia="宋体" w:cs="Times New Roman"/>
          <w:b/>
          <w:color w:val="auto"/>
          <w:sz w:val="24"/>
          <w:szCs w:val="24"/>
          <w:highlight w:val="none"/>
          <w:lang w:val="en-US" w:eastAsia="zh-CN"/>
        </w:rPr>
        <w:t xml:space="preserve">品牌、规格、材质、生产厂家说明</w:t>
      </w:r>
      <w:r/>
    </w:p>
    <w:p>
      <w:pPr>
        <w:pStyle w:val="912"/>
        <w:numPr>
          <w:ilvl w:val="0"/>
          <w:numId w:val="0"/>
        </w:numPr>
        <w:jc w:val="center"/>
        <w:spacing w:line="360" w:lineRule="auto"/>
        <w:widowControl w:val="off"/>
        <w:rPr>
          <w:rFonts w:hint="default" w:hAnsi="宋体" w:eastAsia="宋体" w:cs="Times New Roman"/>
          <w:b/>
          <w:color w:val="auto"/>
          <w:sz w:val="24"/>
          <w:szCs w:val="24"/>
          <w:highlight w:val="none"/>
          <w:lang w:val="en-US" w:eastAsia="zh-CN"/>
        </w:rPr>
        <w:outlineLvl w:val="1"/>
      </w:pPr>
      <w:r>
        <w:rPr>
          <w:rFonts w:hint="default" w:hAnsi="宋体" w:eastAsia="宋体" w:cs="Times New Roman"/>
          <w:b/>
          <w:color w:val="auto"/>
          <w:sz w:val="24"/>
          <w:szCs w:val="24"/>
          <w:highlight w:val="none"/>
          <w:lang w:val="en-US" w:eastAsia="zh-CN"/>
        </w:rPr>
      </w:r>
      <w:r/>
    </w:p>
    <w:tbl>
      <w:tblPr>
        <w:tblStyle w:val="7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234"/>
        <w:gridCol w:w="1617"/>
        <w:gridCol w:w="2655"/>
        <w:gridCol w:w="1542"/>
        <w:gridCol w:w="1236"/>
        <w:gridCol w:w="1026"/>
      </w:tblGrid>
      <w:tr>
        <w:trPr>
          <w:jc w:val="center"/>
          <w:trHeight w:val="454"/>
        </w:trPr>
        <w:tc>
          <w:tcPr>
            <w:tcW w:w="431"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序号</w:t>
            </w:r>
            <w:r/>
          </w:p>
        </w:tc>
        <w:tc>
          <w:tcPr>
            <w:tcW w:w="605"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品名</w:t>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产品外形尺寸</w:t>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品牌、规格、材质</w:t>
            </w:r>
            <w:r/>
          </w:p>
        </w:tc>
        <w:tc>
          <w:tcPr>
            <w:tcW w:w="756"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生产厂家</w:t>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交付时间</w:t>
            </w:r>
            <w:r/>
          </w:p>
        </w:tc>
        <w:tc>
          <w:tcPr>
            <w:tcW w:w="50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使用年限</w:t>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pStyle w:val="912"/>
        <w:spacing w:line="360" w:lineRule="auto"/>
        <w:rPr>
          <w:rFonts w:hint="eastAsia" w:ascii="宋体" w:hAnsi="宋体" w:eastAsia="宋体" w:cs="Times New Roman"/>
          <w:b/>
          <w:color w:val="auto"/>
          <w:highlight w:val="none"/>
          <w:lang w:val="en-US" w:eastAsia="zh-CN"/>
        </w:rPr>
        <w:outlineLvl w:val="1"/>
      </w:pPr>
      <w:r>
        <w:rPr>
          <w:rFonts w:hint="eastAsia" w:ascii="宋体" w:hAnsi="宋体" w:eastAsia="宋体" w:cs="Times New Roman"/>
          <w:b/>
          <w:color w:val="auto"/>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58"/>
        <w:ind w:left="0" w:firstLine="0"/>
        <w:rPr>
          <w:rFonts w:hint="eastAsia"/>
          <w:color w:val="auto"/>
          <w:highlight w:val="none"/>
        </w:rPr>
      </w:pPr>
      <w:r>
        <w:rPr>
          <w:rFonts w:hint="eastAsia" w:ascii="宋体" w:hAnsi="宋体" w:eastAsia="宋体" w:cs="宋体"/>
          <w:color w:val="auto"/>
          <w:sz w:val="24"/>
          <w:szCs w:val="24"/>
          <w:highlight w:val="none"/>
          <w:lang w:val="en-US" w:eastAsia="zh-CN"/>
        </w:rPr>
        <w:br w:type="page" w:clear="all"/>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企业类似业绩一览表</w:t>
      </w:r>
      <w:r/>
    </w:p>
    <w:p>
      <w:pPr>
        <w:pStyle w:val="734"/>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bookmarkStart w:id="16" w:name="_Toc13642115"/>
      <w:r>
        <w:rPr>
          <w:rFonts w:hint="eastAsia" w:ascii="宋体" w:hAnsi="宋体" w:eastAsia="宋体" w:cs="宋体"/>
          <w:b/>
          <w:color w:val="auto"/>
          <w:sz w:val="24"/>
          <w:szCs w:val="24"/>
          <w:highlight w:val="none"/>
        </w:rPr>
        <w:t xml:space="preserve">企业类似业绩一览表</w:t>
      </w:r>
      <w:r/>
    </w:p>
    <w:tbl>
      <w:tblPr>
        <w:tblStyle w:val="7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034"/>
        <w:gridCol w:w="1136"/>
        <w:gridCol w:w="2295"/>
        <w:gridCol w:w="1722"/>
        <w:gridCol w:w="1093"/>
        <w:gridCol w:w="1407"/>
        <w:gridCol w:w="847"/>
      </w:tblGrid>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55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844" w:type="pct"/>
            <w:vAlign w:val="center"/>
            <w:textDirection w:val="lrTb"/>
            <w:noWrap w:val="false"/>
          </w:tcPr>
          <w:p>
            <w:pPr>
              <w:jc w:val="center"/>
              <w:spacing w:line="360" w:lineRule="auto"/>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注：若事项较多，投标人可根据投标内容的实际情况另纸说明。</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5"/>
        <w:jc w:val="center"/>
        <w:rPr>
          <w:rFonts w:hint="eastAsia" w:ascii="宋体" w:hAnsi="宋体" w:eastAsia="宋体" w:cs="宋体"/>
          <w:color w:val="auto"/>
          <w:sz w:val="52"/>
          <w:szCs w:val="52"/>
          <w:highlight w:val="none"/>
        </w:rPr>
      </w:pPr>
      <w:r/>
      <w:bookmarkStart w:id="17" w:name="_Toc520073484"/>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第四章 </w:t>
      </w:r>
      <w:bookmarkEnd w:id="16"/>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招标书</w:t>
      </w:r>
      <w:bookmarkEnd w:id="17"/>
      <w:r/>
      <w:r/>
    </w:p>
    <w:p>
      <w:pPr>
        <w:jc w:val="left"/>
        <w:widowControl/>
        <w:rPr>
          <w:rFonts w:hint="eastAsia" w:ascii="宋体" w:hAnsi="宋体" w:eastAsia="宋体" w:cs="宋体"/>
          <w:color w:val="auto"/>
          <w:sz w:val="24"/>
          <w:highlight w:val="none"/>
        </w:rPr>
      </w:pPr>
      <w:r/>
      <w:bookmarkStart w:id="18" w:name="_Toc13543212"/>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招标书</w:t>
      </w:r>
      <w:bookmarkEnd w:id="18"/>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苏州乐慧招投标咨询有限公司受</w:t>
      </w:r>
      <w:r>
        <w:rPr>
          <w:rFonts w:hint="eastAsia" w:ascii="宋体" w:hAnsi="宋体" w:eastAsia="宋体" w:cs="宋体"/>
          <w:color w:val="auto"/>
          <w:sz w:val="24"/>
          <w:highlight w:val="none"/>
          <w:lang w:eastAsia="zh-CN"/>
        </w:rPr>
        <w:t xml:space="preserve">昆山市妇幼保健院</w:t>
      </w:r>
      <w:r>
        <w:rPr>
          <w:rFonts w:hint="eastAsia" w:ascii="宋体" w:hAnsi="宋体" w:eastAsia="宋体" w:cs="宋体"/>
          <w:color w:val="auto"/>
          <w:sz w:val="24"/>
          <w:highlight w:val="none"/>
        </w:rPr>
        <w:t xml:space="preserve">的委托，就其所需</w:t>
      </w:r>
      <w:r>
        <w:rPr>
          <w:rFonts w:hint="eastAsia" w:ascii="宋体" w:hAnsi="宋体" w:eastAsia="宋体" w:cs="宋体"/>
          <w:color w:val="auto"/>
          <w:sz w:val="24"/>
          <w:highlight w:val="none"/>
          <w:lang w:eastAsia="zh-CN"/>
        </w:rPr>
        <w:t xml:space="preserve">眼科设备一批</w:t>
      </w:r>
      <w:r>
        <w:rPr>
          <w:rFonts w:hint="eastAsia" w:ascii="宋体" w:hAnsi="宋体" w:eastAsia="宋体" w:cs="宋体"/>
          <w:color w:val="auto"/>
          <w:sz w:val="24"/>
          <w:highlight w:val="none"/>
        </w:rPr>
        <w:t xml:space="preserve">项目采用公开招标方式进行采购，欢迎有资格的供应商前来参加本次采购。</w:t>
      </w:r>
      <w:r/>
    </w:p>
    <w:p>
      <w:pPr>
        <w:ind w:firstLine="482"/>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一、招标编号：</w:t>
      </w:r>
      <w:r>
        <w:rPr>
          <w:rFonts w:hint="eastAsia" w:ascii="宋体" w:hAnsi="宋体" w:eastAsia="宋体" w:cs="宋体"/>
          <w:color w:val="auto"/>
          <w:sz w:val="24"/>
          <w:highlight w:val="none"/>
          <w:lang w:eastAsia="zh-CN"/>
        </w:rPr>
        <w:t xml:space="preserve">JSZC-320583-LHZX-G2025-0054</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二、项目名称：</w:t>
      </w:r>
      <w:r>
        <w:rPr>
          <w:rFonts w:hint="eastAsia" w:ascii="宋体" w:hAnsi="宋体" w:eastAsia="宋体" w:cs="宋体"/>
          <w:bCs/>
          <w:color w:val="auto"/>
          <w:sz w:val="24"/>
          <w:highlight w:val="none"/>
          <w:lang w:eastAsia="zh-CN"/>
        </w:rPr>
        <w:t xml:space="preserve">眼科设备一批</w:t>
      </w:r>
      <w:r>
        <w:rPr>
          <w:rFonts w:hint="eastAsia" w:ascii="宋体" w:hAnsi="宋体" w:eastAsia="宋体" w:cs="宋体"/>
          <w:bCs/>
          <w:color w:val="auto"/>
          <w:sz w:val="24"/>
          <w:highlight w:val="none"/>
        </w:rPr>
        <w:t xml:space="preserve">项目</w:t>
      </w:r>
      <w:r/>
    </w:p>
    <w:p>
      <w:pPr>
        <w:ind w:firstLine="482"/>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
          <w:bCs/>
          <w:color w:val="auto"/>
          <w:sz w:val="24"/>
          <w:highlight w:val="none"/>
        </w:rPr>
        <w:t xml:space="preserve">三、项目预算</w:t>
      </w:r>
      <w:r>
        <w:rPr>
          <w:rFonts w:hint="eastAsia" w:ascii="宋体" w:hAnsi="宋体" w:eastAsia="宋体" w:cs="宋体"/>
          <w:b/>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人民币肆佰叁拾玖万元整（¥4390000.00）</w:t>
      </w:r>
      <w:r/>
    </w:p>
    <w:p>
      <w:pPr>
        <w:ind w:firstLine="482"/>
        <w:jc w:val="both"/>
        <w:spacing w:line="360" w:lineRule="auto"/>
        <w:widowControl w:val="off"/>
        <w:rPr>
          <w:rFonts w:hint="eastAsia" w:ascii="宋体" w:hAnsi="宋体" w:eastAsia="宋体" w:cs="宋体"/>
          <w:color w:val="auto"/>
          <w:sz w:val="24"/>
          <w:highlight w:val="none"/>
          <w:lang w:val="en-US" w:eastAsia="zh-CN"/>
        </w:rPr>
      </w:pPr>
      <w:r/>
      <w:bookmarkStart w:id="19" w:name="_Toc291668811"/>
      <w:r/>
      <w:bookmarkStart w:id="20" w:name="_Toc13642116"/>
      <w:r>
        <w:rPr>
          <w:rFonts w:hint="eastAsia" w:ascii="宋体" w:hAnsi="宋体" w:eastAsia="宋体" w:cs="宋体"/>
          <w:b/>
          <w:bCs/>
          <w:color w:val="auto"/>
          <w:sz w:val="24"/>
          <w:highlight w:val="none"/>
          <w:lang w:val="en-US" w:eastAsia="zh-CN"/>
        </w:rPr>
        <w:t xml:space="preserve">四、采购包数量：</w:t>
      </w:r>
      <w:r>
        <w:rPr>
          <w:rFonts w:hint="eastAsia" w:ascii="宋体" w:hAnsi="宋体" w:eastAsia="宋体" w:cs="宋体"/>
          <w:color w:val="auto"/>
          <w:sz w:val="24"/>
          <w:highlight w:val="none"/>
          <w:lang w:val="en-US" w:eastAsia="zh-CN"/>
        </w:rPr>
        <w:t xml:space="preserve">一个</w:t>
      </w:r>
      <w:r/>
    </w:p>
    <w:tbl>
      <w:tblPr>
        <w:tblStyle w:val="75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3201"/>
        <w:gridCol w:w="1089"/>
        <w:gridCol w:w="1111"/>
        <w:gridCol w:w="1650"/>
        <w:gridCol w:w="2116"/>
      </w:tblGrid>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7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53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限价金额</w:t>
            </w:r>
            <w:r/>
          </w:p>
        </w:tc>
        <w:tc>
          <w:tcPr>
            <w:tcW w:w="103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眼生物测量仪</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光学相干断层扫描仪(OCT)</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1570"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新生儿眼底相机筛查系统</w:t>
            </w:r>
            <w:r/>
          </w:p>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（核心产品）</w:t>
            </w:r>
            <w:r/>
          </w:p>
        </w:tc>
        <w:tc>
          <w:tcPr>
            <w:tcW w:w="534"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230万元</w:t>
            </w:r>
            <w:r/>
          </w:p>
        </w:tc>
        <w:tc>
          <w:tcPr>
            <w:shd w:val="clear" w:color="auto" w:fill="auto"/>
            <w:tcW w:w="103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接受进口产品</w:t>
            </w:r>
            <w:r/>
          </w:p>
        </w:tc>
      </w:tr>
    </w:tbl>
    <w:p>
      <w:pPr>
        <w:ind w:firstLine="482"/>
        <w:jc w:val="both"/>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五、招标内容</w:t>
      </w:r>
      <w:r>
        <w:rPr>
          <w:rFonts w:hint="eastAsia" w:ascii="宋体" w:hAnsi="宋体" w:eastAsia="宋体" w:cs="宋体"/>
          <w:b/>
          <w:bCs/>
          <w:color w:val="auto"/>
          <w:sz w:val="24"/>
          <w:highlight w:val="none"/>
          <w:lang w:eastAsia="zh-CN"/>
        </w:rPr>
        <w:t xml:space="preserve">：</w:t>
      </w:r>
      <w:r/>
    </w:p>
    <w:p>
      <w:pPr>
        <w:ind w:firstLine="482"/>
        <w:jc w:val="both"/>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w:t>
      </w:r>
      <w:r>
        <w:rPr>
          <w:rFonts w:hint="default" w:ascii="宋体" w:hAnsi="宋体" w:eastAsia="宋体" w:cs="宋体"/>
          <w:b/>
          <w:bCs/>
          <w:color w:val="auto"/>
          <w:sz w:val="24"/>
          <w:highlight w:val="none"/>
          <w:lang w:val="en-US" w:eastAsia="zh-CN"/>
        </w:rPr>
        <w:t xml:space="preserve">眼生物测量仪</w:t>
      </w:r>
      <w:r>
        <w:rPr>
          <w:rFonts w:hint="eastAsia" w:ascii="宋体" w:hAnsi="宋体" w:eastAsia="宋体" w:cs="宋体"/>
          <w:b/>
          <w:bCs/>
          <w:color w:val="auto"/>
          <w:sz w:val="24"/>
          <w:highlight w:val="none"/>
          <w:lang w:val="en-US" w:eastAsia="zh-CN"/>
        </w:rPr>
        <w:t xml:space="preserve">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Hans"/>
        </w:rPr>
        <w:t xml:space="preserve">光源波长：</w:t>
      </w:r>
      <w:r>
        <w:rPr>
          <w:rFonts w:hint="eastAsia" w:ascii="宋体" w:hAnsi="宋体" w:eastAsia="宋体" w:cs="宋体"/>
          <w:b w:val="0"/>
          <w:bCs w:val="0"/>
          <w:color w:val="auto"/>
          <w:sz w:val="24"/>
          <w:highlight w:val="none"/>
          <w:lang w:val="en-US" w:eastAsia="zh-CN"/>
        </w:rPr>
        <w:t xml:space="preserve">≥830nm。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2、测量参数：满足测量眼轴长度、角膜厚度、前房深度、角膜曲率、白-白直径，瞳孔直径等。</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★2.1眼轴长度测量范围：≥14至40mm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2.2角膜曲率半径测量范围：≥5.00至11.00mm。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★2.3中心角膜厚度测量范围：≥250至1200μm。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2.4瞳孔直径测量范围：≥2至9.5mm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★2.5前房深度测量范围：≥1.5至6.5mm。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2.6白-白角膜直径测量测量范围：≥8至14mm。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3、具备</w:t>
      </w:r>
      <w:r>
        <w:rPr>
          <w:rFonts w:hint="eastAsia" w:ascii="宋体" w:hAnsi="宋体" w:eastAsia="宋体" w:cs="宋体"/>
          <w:b w:val="0"/>
          <w:bCs w:val="0"/>
          <w:color w:val="auto"/>
          <w:sz w:val="24"/>
          <w:highlight w:val="none"/>
          <w:lang w:val="en-US" w:eastAsia="zh-Hans"/>
        </w:rPr>
        <w:t xml:space="preserve">常规</w:t>
      </w:r>
      <w:r>
        <w:rPr>
          <w:rFonts w:hint="eastAsia" w:ascii="宋体" w:hAnsi="宋体" w:eastAsia="宋体" w:cs="宋体"/>
          <w:b w:val="0"/>
          <w:bCs w:val="0"/>
          <w:color w:val="auto"/>
          <w:sz w:val="24"/>
          <w:highlight w:val="none"/>
          <w:lang w:val="en-US" w:eastAsia="zh-CN"/>
        </w:rPr>
        <w:t xml:space="preserve">人工晶体度数公式：SRK II, SRK/T, HoffreQ, Holladay,  Haigis等。</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★4、具备散光人工晶体公式：Kane、Barrett(Toric)，至少满足其中一种。</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5、可测量Kappa角、Alpha角。</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★6、具备角膜屈光术后公式：Shammas-PL、EVO，至少满足其中一种。</w:t>
      </w:r>
      <w:r/>
    </w:p>
    <w:p>
      <w:pPr>
        <w:ind w:firstLine="482"/>
        <w:jc w:val="both"/>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w:t>
      </w:r>
      <w:r>
        <w:rPr>
          <w:rFonts w:hint="default"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具有自动追踪、自动对焦、自动测量功能</w:t>
      </w:r>
      <w:r>
        <w:rPr>
          <w:rFonts w:hint="default" w:ascii="宋体" w:hAnsi="宋体" w:eastAsia="宋体" w:cs="宋体"/>
          <w:b w:val="0"/>
          <w:bCs w:val="0"/>
          <w:color w:val="auto"/>
          <w:sz w:val="24"/>
          <w:highlight w:val="none"/>
          <w:lang w:val="en-US" w:eastAsia="zh-CN"/>
        </w:rPr>
        <w:t xml:space="preserve">。</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w:t>
      </w:r>
      <w:r>
        <w:rPr>
          <w:rFonts w:hint="default" w:ascii="宋体" w:hAnsi="宋体" w:eastAsia="宋体" w:cs="宋体"/>
          <w:b w:val="0"/>
          <w:bCs w:val="0"/>
          <w:color w:val="auto"/>
          <w:sz w:val="24"/>
          <w:highlight w:val="none"/>
          <w:lang w:val="en-US" w:eastAsia="zh-CN"/>
        </w:rPr>
        <w:t xml:space="preserve">、连接配套工作站可打印A4版纸质图文报告</w:t>
      </w:r>
      <w:r>
        <w:rPr>
          <w:rFonts w:hint="eastAsia" w:ascii="宋体" w:hAnsi="宋体" w:eastAsia="宋体" w:cs="宋体"/>
          <w:b w:val="0"/>
          <w:bCs w:val="0"/>
          <w:color w:val="auto"/>
          <w:sz w:val="24"/>
          <w:highlight w:val="none"/>
          <w:lang w:val="en-US" w:eastAsia="zh-CN"/>
        </w:rPr>
        <w:t xml:space="preserve">。</w:t>
      </w:r>
      <w:r/>
    </w:p>
    <w:p>
      <w:pPr>
        <w:ind w:firstLine="482"/>
        <w:jc w:val="both"/>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w:t>
      </w:r>
      <w:r>
        <w:rPr>
          <w:rFonts w:hint="default" w:ascii="宋体" w:hAnsi="宋体" w:eastAsia="宋体" w:cs="宋体"/>
          <w:b/>
          <w:bCs/>
          <w:color w:val="auto"/>
          <w:sz w:val="24"/>
          <w:highlight w:val="none"/>
          <w:lang w:val="en-US" w:eastAsia="zh-CN"/>
        </w:rPr>
        <w:t xml:space="preserve">光学相干断层扫描仪(OCT)</w:t>
      </w:r>
      <w:r>
        <w:rPr>
          <w:rFonts w:hint="eastAsia" w:ascii="宋体" w:hAnsi="宋体" w:eastAsia="宋体" w:cs="宋体"/>
          <w:b/>
          <w:bCs/>
          <w:color w:val="auto"/>
          <w:sz w:val="24"/>
          <w:highlight w:val="none"/>
          <w:lang w:val="en-US" w:eastAsia="zh-CN"/>
        </w:rPr>
        <w:t xml:space="preserve">技术参数要求（多台设备兼容满足功能需求即可）</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（1）OCT技术参数要求：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★1.OCT光源：扫频光源。</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2.光源波长：≥1050nm。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3.扫描速度：≥100000次/秒。</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4.轴向OCT分辨率（光学）：≤5μm。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★5.横向OCT分辨率（光学）：≤10μm。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6.眼后节扫描深度（组织内）：≥6mm。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7.眼后节单次扫描最大范围：≥18mm。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★8.血流OCTA成像范围：≥18*18mm。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9.单次血流OCTA成像分辨率：≥1024*1024。</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10.瞳孔要求：≤2mm。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11.具备视网膜分析功能。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12.具备青光眼分析功能。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（2）彩照技术参数要求：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1.用于眼底的检查及拍摄并显示眼部图像。</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2.成像原理：①利用共焦激光眼底成像技术生成眼底图。</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或②利用激光扫描和宽光谱宽线扫描成像技术生成眼底图。</w:t>
      </w:r>
      <w:r/>
    </w:p>
    <w:p>
      <w:pPr>
        <w:ind w:firstLine="482"/>
        <w:jc w:val="both"/>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3.具备眼底彩照、立体成像模式。</w:t>
      </w:r>
      <w:r/>
    </w:p>
    <w:p>
      <w:pPr>
        <w:ind w:firstLine="482"/>
        <w:jc w:val="both"/>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★4.具备蓝激光、绿激光、红激光及红外激光4波长。蓝色成像光源：≥488nm;绿色成像光源：≥520nm;红色成像光源：≥660nm;红外成像光源：≥785nm.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5.具备大视场角、小视场角，其中大视场角（成像范围）：≥90度。</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★6.具备蓝光、绿光两种自发荧光成像模式。</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7.具备高清分辨率：图像分辨率 ≤5μm或数字分辨率≥3072*3072。</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8.拍摄瞳孔：≤2mm。</w:t>
      </w:r>
      <w:r/>
    </w:p>
    <w:p>
      <w:pPr>
        <w:ind w:firstLine="482"/>
        <w:jc w:val="both"/>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w:t>
      </w:r>
      <w:r>
        <w:rPr>
          <w:rFonts w:hint="default" w:ascii="宋体" w:hAnsi="宋体" w:eastAsia="宋体" w:cs="宋体"/>
          <w:b/>
          <w:bCs/>
          <w:color w:val="auto"/>
          <w:sz w:val="24"/>
          <w:highlight w:val="none"/>
          <w:lang w:val="en-US" w:eastAsia="zh-CN"/>
        </w:rPr>
        <w:t xml:space="preserve">新生儿眼底相机筛查系统</w:t>
      </w:r>
      <w:r>
        <w:rPr>
          <w:rFonts w:hint="eastAsia" w:ascii="宋体" w:hAnsi="宋体" w:eastAsia="宋体" w:cs="宋体"/>
          <w:b/>
          <w:bCs/>
          <w:color w:val="auto"/>
          <w:sz w:val="24"/>
          <w:highlight w:val="none"/>
          <w:lang w:val="en-US" w:eastAsia="zh-CN"/>
        </w:rPr>
        <w:t xml:space="preserve">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★1、成像所需最小瞳孔直径≤4mm。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2、采用LED固态冷光源照明。</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3、配置配套可移动台车。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4、影像分辨率≥200万像素。</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5、对焦调整具备手持端按钮、脚踏、主机触摸屏和键盘等多部位控制功能。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6、光源亮度调整具备手持端按钮、脚踏、主机触摸屏和键盘等多部位控制功能。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7、最大视场角≥130°。</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8、无线数据传输速率：≥512KB/S。</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9、具备对比度、亮度、红绿蓝三色调节功能；具备单张照片整体、局部放大功能；具备注释、标记功能。(提供有效证明文件)。</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10、数据分诊系统：多终端实时共享主机数据库，使患者信息登记、检查、出具报告等工作可同步执行，提高工作效率。</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11、主机可外接大尺寸显示器，同步显示手持设备端采集的动态及静态影像，方便医生细微观察、教学及远程会诊。</w:t>
      </w:r>
      <w:r/>
    </w:p>
    <w:p>
      <w:pPr>
        <w:ind w:firstLine="482"/>
        <w:jc w:val="both"/>
        <w:spacing w:line="360" w:lineRule="auto"/>
        <w:widowControl w:val="off"/>
        <w:rPr>
          <w:color w:val="auto"/>
          <w:highlight w:val="none"/>
        </w:rPr>
      </w:pPr>
      <w:r>
        <w:rPr>
          <w:rFonts w:hint="eastAsia" w:ascii="宋体" w:hAnsi="宋体" w:eastAsia="宋体" w:cs="宋体"/>
          <w:b w:val="0"/>
          <w:bCs w:val="0"/>
          <w:color w:val="auto"/>
          <w:sz w:val="24"/>
          <w:highlight w:val="none"/>
          <w:lang w:val="en-US" w:eastAsia="zh-CN"/>
        </w:rPr>
        <w:t xml:space="preserve">12、提供云端远程诊疗系统， 实现远程医疗诊断。</w:t>
      </w:r>
      <w:bookmarkStart w:id="24" w:name="_GoBack"/>
      <w:r/>
      <w:bookmarkEnd w:id="24"/>
      <w:r/>
      <w:r/>
    </w:p>
    <w:p>
      <w:pPr>
        <w:ind w:firstLine="482"/>
        <w:jc w:val="left"/>
        <w:spacing w:line="360" w:lineRule="auto"/>
        <w:widowControl w:val="off"/>
        <w:tabs>
          <w:tab w:val="left" w:pos="36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五、服务要求：</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1.投标人明确所投产品的品牌、型号、规格和外形、尺寸及一些必须说明的技术参数，以及使用的材料的清单，同时明确生产厂家、型号规格，使用年限等，并提供详细的技术参数及性能说明书。</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签订合同前甲方有权要求中标单位提供设备验证是否真实响应招标文件技术参数，如确定投标，各供应商提前准备，验证合格后方可签订合同。不满足招标技术要求的取消中标资格并提交当地政府采购诚信失信记录。</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3.免费质保期：</w:t>
      </w:r>
      <w:r>
        <w:rPr>
          <w:rFonts w:hint="eastAsia" w:ascii="宋体" w:hAnsi="宋体" w:eastAsia="宋体"/>
          <w:b w:val="0"/>
          <w:bCs/>
          <w:color w:val="auto"/>
          <w:sz w:val="24"/>
          <w:szCs w:val="24"/>
          <w:highlight w:val="none"/>
          <w:lang w:val="en-US" w:eastAsia="zh-CN"/>
        </w:rPr>
        <w:t xml:space="preserve">整机免费质保期≥3年（包含所有零配件），自验收合格之日起算,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乙方负责免费更换同型号全新产品。若乙方未及时作出响应或解决问题的，甲方有权另行委托第三方维修，并由乙方承担全部维修费用。</w:t>
      </w:r>
      <w:r/>
    </w:p>
    <w:p>
      <w:pPr>
        <w:ind w:firstLine="482"/>
        <w:jc w:val="left"/>
        <w:spacing w:line="360" w:lineRule="auto"/>
        <w:widowControl w:val="off"/>
        <w:tabs>
          <w:tab w:val="left" w:pos="3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、综合说明及要求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1、本次招标不接受联合体投标。</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2、投标人必须承诺招标文件中提出的全部要求，如果其中某些条款不响应时，应在文件中逐条列出，未列出的视同响应。</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3、投标人应对所投项目的全部内容进行报价，只投其中部分内容者，其投标文件将被拒绝。中标单位对服务缺陷不予更正，采购方有权另请其他单位更正，所发生的费用由中标单位承担。</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伴随服务：按国家行业标准规定和招标文件执行。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凡涉及招标文件的补充说明和修改，均以苏州政府采购网发布的内容为准。</w:t>
      </w:r>
      <w:r/>
    </w:p>
    <w:p>
      <w:pPr>
        <w:ind w:firstLine="482"/>
        <w:jc w:val="left"/>
        <w:spacing w:line="360" w:lineRule="auto"/>
        <w:widowControl w:val="off"/>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lang w:val="zh-CN"/>
        </w:rPr>
        <w:t xml:space="preserve">、政府采购政策：</w:t>
      </w:r>
      <w:r/>
    </w:p>
    <w:p>
      <w:pPr>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（1）绿色采购</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（2）促进残疾人就业：</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促进残疾人就业政府采购政策的通知》（财库〔2017〕141号）规定条件的残疾人福利性单位在参加政府采购活动时，应当提供《残疾人福利性单位声明函》，并对声明的真实性负责，未提供视为非残疾人福利性单位，不视同小微企业，不享受残疾人福利性单位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（3）支持监狱企业发展：</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（4）中小</w:t>
      </w:r>
      <w:r>
        <w:rPr>
          <w:rFonts w:hint="eastAsia" w:ascii="宋体" w:hAnsi="宋体" w:eastAsia="宋体" w:cs="宋体"/>
          <w:bCs/>
          <w:color w:val="auto"/>
          <w:sz w:val="24"/>
          <w:highlight w:val="none"/>
          <w:lang w:val="en-US" w:eastAsia="zh-CN"/>
        </w:rPr>
        <w:t xml:space="preserve">微</w:t>
      </w:r>
      <w:r>
        <w:rPr>
          <w:rFonts w:hint="eastAsia" w:ascii="宋体" w:hAnsi="宋体" w:eastAsia="宋体" w:cs="宋体"/>
          <w:bCs/>
          <w:color w:val="auto"/>
          <w:sz w:val="24"/>
          <w:highlight w:val="none"/>
        </w:rPr>
        <w:t xml:space="preserve">企业：</w:t>
      </w:r>
      <w:r/>
    </w:p>
    <w:p>
      <w:pPr>
        <w:contextualSpacing/>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spacing w:line="360" w:lineRule="auto"/>
        <w:widowControl w:val="off"/>
        <w:rPr>
          <w:rFonts w:ascii="宋体" w:hAnsi="宋体" w:eastAsia="宋体"/>
          <w:bCs/>
          <w:color w:val="auto"/>
          <w:sz w:val="24"/>
          <w:szCs w:val="24"/>
          <w:highlight w:val="none"/>
        </w:rPr>
      </w:pPr>
      <w:r>
        <w:rPr>
          <w:rFonts w:hint="eastAsia" w:ascii="宋体" w:hAnsi="宋体" w:eastAsia="宋体" w:cs="宋体"/>
          <w:bCs/>
          <w:color w:val="auto"/>
          <w:sz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szCs w:val="24"/>
          <w:highlight w:val="none"/>
        </w:rPr>
        <w:t xml:space="preserve">对于小型、微型企业（生产厂家）产品的价格给予20%的扣除，用扣除后的价格参与评审。</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（5）关于对参与供应商信用记录的政府采购要求</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1.采购代理机构会在接收投标文件截止时间后，登录信用中国网站（www.creditchina.gov.cn/）和中国政府采购网（www.ccgp.gov.cn/）查询供应商的信用记录，并将查询结果递交评标委员会。</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3.供应商若在经营活动中受到罚款的，请携带相关地方、部门对较大数额认定标准的证明材料，与投标文件一并提交。若无法提供，则可能承担投标无效等相应不利后果。</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4.对存在失信信息的供应商，由失信供应商进行确认。同时，采购代理机构工作人员应根据评标委员会确认的失信信息，登陆到相关来源网站页面进行复核并打印，作为证据留存。</w:t>
      </w:r>
      <w:r/>
    </w:p>
    <w:p>
      <w:pPr>
        <w:jc w:val="lef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715"/>
        <w:jc w:val="center"/>
        <w:rPr>
          <w:rFonts w:hint="eastAsia" w:ascii="宋体" w:hAnsi="宋体" w:eastAsia="宋体" w:cs="宋体"/>
          <w:color w:val="auto"/>
          <w:sz w:val="52"/>
          <w:szCs w:val="52"/>
          <w:highlight w:val="none"/>
        </w:rPr>
      </w:pPr>
      <w:r/>
      <w:bookmarkStart w:id="21" w:name="_Toc520073485"/>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第五章</w:t>
      </w:r>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合同主要条款</w:t>
      </w:r>
      <w:bookmarkEnd w:id="19"/>
      <w:r/>
      <w:bookmarkEnd w:id="20"/>
      <w:r/>
      <w:bookmarkEnd w:id="21"/>
      <w:r/>
      <w:r/>
    </w:p>
    <w:p>
      <w:pPr>
        <w:jc w:val="center"/>
        <w:spacing w:line="360" w:lineRule="auto"/>
        <w:widowControl/>
        <w:rPr>
          <w:rFonts w:hint="eastAsia" w:ascii="宋体" w:hAnsi="宋体" w:eastAsia="宋体" w:cs="宋体"/>
          <w:b/>
          <w:color w:val="auto"/>
          <w:sz w:val="48"/>
          <w:szCs w:val="48"/>
          <w:highlight w:val="none"/>
        </w:rPr>
        <w:outlineLvl w:val="0"/>
      </w:pPr>
      <w:r>
        <w:rPr>
          <w:rFonts w:hint="eastAsia" w:ascii="宋体" w:hAnsi="宋体" w:eastAsia="宋体" w:cs="宋体"/>
          <w:color w:val="auto"/>
          <w:sz w:val="24"/>
          <w:highlight w:val="none"/>
        </w:rPr>
        <w:br w:type="page" w:clear="all"/>
      </w:r>
      <w:r>
        <w:rPr>
          <w:rFonts w:hint="eastAsia" w:ascii="宋体" w:hAnsi="宋体" w:eastAsia="宋体" w:cs="宋体"/>
          <w:b/>
          <w:color w:val="auto"/>
          <w:sz w:val="48"/>
          <w:szCs w:val="48"/>
          <w:highlight w:val="none"/>
        </w:rPr>
        <w:t xml:space="preserve">合同主要条款</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项目名称：</w:t>
      </w:r>
      <w:r>
        <w:rPr>
          <w:rFonts w:hint="eastAsia" w:ascii="宋体" w:hAnsi="宋体" w:eastAsia="宋体" w:cs="宋体"/>
          <w:b/>
          <w:bCs w:val="0"/>
          <w:color w:val="auto"/>
          <w:sz w:val="24"/>
          <w:highlight w:val="none"/>
          <w:lang w:eastAsia="zh-CN"/>
        </w:rPr>
        <w:t xml:space="preserve">眼科设备一批</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招标编号：</w:t>
      </w:r>
      <w:r>
        <w:rPr>
          <w:rFonts w:hint="eastAsia" w:ascii="宋体" w:hAnsi="宋体" w:eastAsia="宋体" w:cs="宋体"/>
          <w:b/>
          <w:bCs w:val="0"/>
          <w:color w:val="auto"/>
          <w:sz w:val="24"/>
          <w:highlight w:val="none"/>
          <w:lang w:eastAsia="zh-CN"/>
        </w:rPr>
        <w:t xml:space="preserve">JSZC-320583-LHZX-G2025-0054</w:t>
      </w:r>
      <w:r/>
    </w:p>
    <w:p>
      <w:pPr>
        <w:pStyle w:val="730"/>
        <w:ind w:left="0" w:firstLine="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甲方(招标人)：</w:t>
      </w:r>
      <w:r>
        <w:rPr>
          <w:rFonts w:hint="eastAsia" w:ascii="宋体" w:hAnsi="宋体" w:eastAsia="宋体" w:cs="宋体"/>
          <w:color w:val="auto"/>
          <w:sz w:val="24"/>
          <w:highlight w:val="none"/>
          <w:lang w:eastAsia="zh-CN"/>
        </w:rPr>
        <w:t xml:space="preserve">昆山市妇幼保健院</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pStyle w:val="730"/>
        <w:ind w:left="0"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乙方（中标人）：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pStyle w:val="730"/>
        <w:ind w:left="0"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根据苏州乐慧招投标咨询有限公司招标编号</w:t>
      </w:r>
      <w:r>
        <w:rPr>
          <w:rFonts w:hint="eastAsia" w:ascii="宋体" w:hAnsi="宋体" w:eastAsia="宋体" w:cs="宋体"/>
          <w:color w:val="auto"/>
          <w:sz w:val="24"/>
          <w:highlight w:val="none"/>
          <w:u w:val="single"/>
          <w:lang w:eastAsia="zh-CN"/>
        </w:rPr>
        <w:t xml:space="preserve">JSZC-320583-LHZX-G2025-0054</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眼科设备一批</w:t>
      </w:r>
      <w:r>
        <w:rPr>
          <w:rFonts w:hint="eastAsia"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rPr>
        <w:t xml:space="preserve">的招标文件及中标单位的投标文件和中标通知书，甲乙双方就此次中标的标的物的购销事宜，签订本合同书。</w:t>
      </w:r>
      <w:r/>
    </w:p>
    <w:p>
      <w:pPr>
        <w:ind w:firstLine="480"/>
        <w:spacing w:line="360" w:lineRule="auto"/>
        <w:rPr>
          <w:rFonts w:hint="eastAsia" w:ascii="宋体" w:hAnsi="宋体" w:eastAsia="宋体" w:cs="Times New Roman"/>
          <w:color w:val="auto"/>
          <w:sz w:val="24"/>
          <w:szCs w:val="24"/>
          <w:highlight w:val="none"/>
          <w:lang w:val="en-US" w:eastAsia="zh-CN"/>
        </w:rPr>
      </w:pPr>
      <w:r/>
      <w:bookmarkStart w:id="22" w:name="_Toc291668812"/>
      <w:r>
        <w:rPr>
          <w:rFonts w:hint="eastAsia" w:ascii="宋体" w:hAnsi="宋体" w:eastAsia="宋体" w:cs="Times New Roman"/>
          <w:color w:val="auto"/>
          <w:sz w:val="24"/>
          <w:szCs w:val="24"/>
          <w:highlight w:val="none"/>
          <w:lang w:val="en-US" w:eastAsia="zh-CN"/>
        </w:rPr>
        <w:t xml:space="preserve">一、合同文件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下列文件为本合同不可分割部分：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1.招标文件及其附件；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2.乙方的投标文件；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3.合同条款；</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4.乙方在招投标过程中所作的其它承诺、声明、书面澄清等；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5.中标通知书；</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6.本合同附件。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二、合同价款</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ascii="宋体" w:hAnsi="宋体" w:eastAsia="宋体" w:cs="宋体"/>
          <w:b w:val="0"/>
          <w:bCs/>
          <w:color w:val="auto"/>
          <w:sz w:val="24"/>
          <w:highlight w:val="none"/>
        </w:rPr>
        <w:t xml:space="preserve">合同</w:t>
      </w:r>
      <w:r>
        <w:rPr>
          <w:rFonts w:hint="eastAsia" w:ascii="宋体" w:hAnsi="宋体" w:eastAsia="宋体" w:cs="宋体"/>
          <w:b w:val="0"/>
          <w:bCs/>
          <w:color w:val="auto"/>
          <w:sz w:val="24"/>
          <w:highlight w:val="none"/>
          <w:lang w:val="en-US" w:eastAsia="zh-CN"/>
        </w:rPr>
        <w:t xml:space="preserve">总金额</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价格</w:t>
      </w:r>
      <w:r>
        <w:rPr>
          <w:rFonts w:hint="eastAsia" w:ascii="宋体" w:hAnsi="宋体" w:eastAsia="宋体" w:cs="Times New Roman"/>
          <w:color w:val="auto"/>
          <w:sz w:val="24"/>
          <w:szCs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2.价格明细如下：</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3.付款步骤：合同签订后，待全部货物到达甲方指定地点安装验收合格后支付90％货款，余款10%在使用满一年后，无质量问题，由甲方一次性付清。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乙方应向甲方提供以下材料：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A、甲方签收的送货回单。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B、合格销售发票。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C、由甲乙双方及采购代理机构签章的《采购合同履行验收报告》。</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合同签订后，乙方在验收时需提供所投设备生产厂家盖章的在投标文件响应的全部技术参数的证明文件（原厂盖章的原件）等书面资料，并按国家制造和安装的标准要求检测验收，如无法提供，甲方有权拒绝验收，并向乙方索取因投标方造成废标、延误装机等相关经济损失。</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5.安装设备时如涉及到的基建改造费用由乙方承担（如电箱改动等）。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6.设备如需接入信息系统的端口接入费用及其他涉及到接入信息系统的费用由乙方承担。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7.安装设备所需的运输费用、搬运设备所需的人工费用及其他设备安装所需的费用由乙方承担。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8.包含人员外出培训费用。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9.支付方式：银行转账等。</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三、质量保证</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3.3除特别约定外，合同条款成交的物的质量保证期均自标的物通过最终验收之日起计算。</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3.4</w:t>
      </w:r>
      <w:r>
        <w:rPr>
          <w:rFonts w:hint="eastAsia" w:ascii="宋体" w:hAnsi="宋体" w:eastAsia="宋体"/>
          <w:color w:val="auto"/>
          <w:sz w:val="24"/>
          <w:szCs w:val="24"/>
          <w:highlight w:val="none"/>
        </w:rPr>
        <w:t xml:space="preserve">乙方</w:t>
      </w:r>
      <w:r>
        <w:rPr>
          <w:rFonts w:hint="eastAsia" w:ascii="宋体" w:hAnsi="宋体" w:eastAsia="宋体"/>
          <w:color w:val="auto"/>
          <w:sz w:val="24"/>
          <w:szCs w:val="24"/>
          <w:highlight w:val="none"/>
          <w:lang w:val="en-US" w:eastAsia="zh-CN"/>
        </w:rPr>
        <w:t xml:space="preserve">提供</w:t>
      </w:r>
      <w:r>
        <w:rPr>
          <w:rFonts w:hint="eastAsia" w:ascii="宋体" w:hAnsi="宋体" w:eastAsia="宋体"/>
          <w:color w:val="auto"/>
          <w:sz w:val="24"/>
          <w:szCs w:val="24"/>
          <w:highlight w:val="none"/>
        </w:rPr>
        <w:t xml:space="preserve">产品应当符合《医疗器械监督管理条例》、《医疗器械生产监督管理办法》等相关法律法规规定。若乙方违反相关法律法规的，所产的一切责任由乙方自行承担，若因此导致甲方</w:t>
      </w:r>
      <w:r>
        <w:rPr>
          <w:rFonts w:hint="eastAsia" w:ascii="宋体" w:hAnsi="宋体" w:eastAsia="宋体"/>
          <w:color w:val="auto"/>
          <w:sz w:val="24"/>
          <w:szCs w:val="24"/>
          <w:highlight w:val="none"/>
          <w:lang w:val="en-US" w:eastAsia="zh-CN"/>
        </w:rPr>
        <w:t xml:space="preserve">遭受损失的，乙方应当赔偿全部损失。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、售后服务要求</w:t>
      </w:r>
      <w:r/>
    </w:p>
    <w:p>
      <w:pPr>
        <w:ind w:firstLine="480"/>
        <w:spacing w:line="360" w:lineRule="auto"/>
        <w:rPr>
          <w:rFonts w:hint="eastAsia" w:ascii="宋体" w:hAnsi="宋体" w:eastAsia="宋体"/>
          <w:b/>
          <w:bCs w:val="0"/>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w:t>
      </w:r>
      <w:r>
        <w:rPr>
          <w:rFonts w:hint="eastAsia" w:ascii="宋体" w:hAnsi="宋体" w:eastAsia="宋体"/>
          <w:b w:val="0"/>
          <w:bCs/>
          <w:color w:val="auto"/>
          <w:sz w:val="24"/>
          <w:szCs w:val="24"/>
          <w:highlight w:val="none"/>
          <w:lang w:val="en-US" w:eastAsia="zh-CN"/>
        </w:rPr>
        <w:t xml:space="preserve">.1整机免费质保期≥3年（包含所有零配件），自验收合格之日起算,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乙方负责免费更换同型号全新产品。若乙方未及时作出响应或解决问题的，甲方有权另行委托第三方维修，并由乙方承担全部维修费用。   </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五、服务要求</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5.1全部货物到达项目现场后，采购人将进行验收并有权对相关功能进行测试，验收及测试内容包括货物的型号、规格、数量、外观质量、性能功能等是否符合规定，包装是否完好，安装调试是否合格，用户手册、检测报告、相关证书、质保证明、随机资料及配件、随机工具等是否齐全。</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5.2投标人须保证所投货物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、包装</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6.1乙方提供的设备必须为原包装，在送交甲方验收前不得拆箱。若乙方提供包装不符合本合同要求的，甲方有权拒绝收货，并要求乙方在指定期限内免费更换。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、标的物的交付</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7.1</w:t>
      </w:r>
      <w:r>
        <w:rPr>
          <w:rFonts w:hint="eastAsia" w:ascii="宋体" w:hAnsi="宋体" w:eastAsia="宋体"/>
          <w:color w:val="auto"/>
          <w:sz w:val="24"/>
          <w:szCs w:val="24"/>
          <w:highlight w:val="none"/>
        </w:rPr>
        <w:t xml:space="preserve"> 标的物的所有权自标的物交付时转移。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.2 乙方应当按照约定的期限和约定的地点交付标的物。</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.3 乙方应当按照约定或者交易习惯向甲方交付提取标的物单证以外的有关单证和资料。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.4合同履行期限：</w:t>
      </w:r>
      <w:r>
        <w:rPr>
          <w:rFonts w:hint="eastAsia" w:ascii="宋体" w:hAnsi="宋体" w:eastAsia="宋体"/>
          <w:color w:val="auto"/>
          <w:sz w:val="24"/>
          <w:szCs w:val="24"/>
          <w:highlight w:val="none"/>
          <w:lang w:eastAsia="zh-CN"/>
        </w:rPr>
        <w:t xml:space="preserve">合同签订之日起30个工作日内交货、安装及调试完成</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.5交付地点：</w:t>
      </w:r>
      <w:r>
        <w:rPr>
          <w:rFonts w:hint="eastAsia" w:ascii="宋体" w:hAnsi="宋体" w:eastAsia="宋体"/>
          <w:color w:val="auto"/>
          <w:sz w:val="24"/>
          <w:szCs w:val="24"/>
          <w:highlight w:val="none"/>
          <w:lang w:eastAsia="zh-CN"/>
        </w:rPr>
        <w:t xml:space="preserve">昆山市妇幼保健院</w:t>
      </w:r>
      <w:r>
        <w:rPr>
          <w:rFonts w:hint="eastAsia" w:ascii="宋体" w:hAnsi="宋体" w:eastAsia="宋体"/>
          <w:color w:val="auto"/>
          <w:sz w:val="24"/>
          <w:szCs w:val="24"/>
          <w:highlight w:val="none"/>
        </w:rPr>
        <w:t xml:space="preserve">内，</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指定地点。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八、伴随服务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8.1乙方除应履行按期按量交付合格标的物的义务之外，还应提供下列服务。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8.1.1标的物的现场安装、启动、调试、监督；</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8.1.2提供标的物组装和一般维修所必须的工具；</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8.1.3在合同规定的期限内对所提供标的物实行运行监督、维修服务的前提条件是该服务并不能免除乙方在质量保证期内所承担的义务；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8.1.4对甲方技术人员的技术指导或培训。</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8.1.5标的物的详细配置清单作为附件，在签订合同时递交给采购单位，采购单位验收根据配置清单进行验收。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8.2.除合同另有规定之外，伴随服务的费用均已含在合同价款中，甲方不再另行进行支付。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8.3.现场培训：项目安装调试验收结束后，由专业技术工程师进行免费现场技术培训，列出培训计划。</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8.3.1基本使操作人员达到能独立进行设备的操作使用；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8.3.2能独立进行设备的日常维护和常见故障的解决。培训费用已包含在设备总价款内。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九、检验和验收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9.1在交货前，乙方应对标的物的质量、规格、性能、数量等进行详细而全面的检验，并出具一份合格检验证明，合格检验证明甲方可作为验收的依据，但不能作为有关标的物质量、规格、数量或性能的最终检验结果。若乙方未提供合格检验证明的，甲方有权拒绝收货。</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9.2甲方根据合同规定的内容和验收标准进行验收，同时比较采购文件技术参数部分进行验收，经检验无误后出具验收合格证明，如有疑问，甲方有权要求乙方出具技术白皮书进行核对，该证明作为最终付款所需文件的组成部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9.3验收期限自标的物交付之日起三十天内。特殊情况需延长的，双方应在合同的特殊条款中约定。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9.4如甲乙双方对验收结果有分歧，则以国家权威部门的检验结果为准，检验费用由有过失的一方支付。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9.5若货物经甲方验收不合格的，乙方应当在指定期限内为甲方免费更换，若因此导致逾期交货的，不免除乙方的逾期违约责任。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十、标的物提出异议的时间和办法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10.1 甲方在验收过程中，应当于双方约定的检验期间内将标的物的数量或质量不符合约定的情况及处理方式以书面方式通知乙方。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10.2 如果甲方在验收期满后既不出具验收合格证明又未提出书面异议的视为乙方所交标的物符合合同规定。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10.3 乙方应在收到甲方书面异议后七天内负责处理问题，否则将视为默认甲方提出的异议和处理意见。</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十一、违约责任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 甲方违约责任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11.1.1在合同生效后，甲方要求退货的，应向乙方偿付合同总价款的5%，作为违约金，违约金不足以补偿损失的，乙方有权要求甲方补足。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11.1.2 甲方逾期支付货款的应按照逾期付款金额的每天万分之一支付逾期付款违约金。</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11.1.3 甲方违反合同规定，拒绝接收乙方交付的合格标的物，应当承担乙方由此造成的损失。</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 乙方违约责任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11.2.1 乙方不能交货（逾期超过十五天视为不能交货），或交货不合格从而影响甲方按期正常使用的，应向甲方偿付合同总价款5%的违约金，违约金不足以补偿损失的，甲方有权要求乙方补足。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11.2.2 乙方逾期交货的 ，应在发货前与甲方协商，甲方仍需求的，乙方应立即发货，按照逾期交货部分货款的每天万分之一支付逾期交货违约金，同时承担甲方因此遭致的损失费用。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11.2.3乙方违反合同约定需承担违约金等费用的，甲方有权从未付金额中予以扣除，不足部分乙方应当补足。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十二、不可抗力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12.2 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十三、索赔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13.1 甲方有权根据当地产品质量检验机构或其他有权部门出具的检验证书向乙方提出索赔。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 在本合同规定的检验期限和质量保证期内，如果乙方对甲方提出的索赔或差异有责任，则乙方应按甲方同意的下列一种或多种方式解决索赔事宜：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13.2.2 根据标的物的低劣程度、损坏程度以及甲方遭受损失的数额，经双方协商确定降低标的物的价格。</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13.2.3 </w:t>
      </w:r>
      <w:r>
        <w:rPr>
          <w:rFonts w:hint="eastAsia" w:ascii="宋体" w:hAnsi="宋体" w:eastAsia="宋体" w:cs="Times New Roman"/>
          <w:color w:val="auto"/>
          <w:sz w:val="24"/>
          <w:szCs w:val="24"/>
          <w:highlight w:val="none"/>
          <w:lang w:val="zh-CN" w:eastAsia="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乙方为甲方更换货物的，货物质量保证期</w:t>
      </w:r>
      <w:r>
        <w:rPr>
          <w:rFonts w:hint="eastAsia" w:ascii="宋体" w:hAnsi="宋体" w:eastAsia="宋体" w:cs="Times New Roman"/>
          <w:color w:val="auto"/>
          <w:sz w:val="24"/>
          <w:szCs w:val="24"/>
          <w:highlight w:val="none"/>
          <w:lang w:val="en-US" w:eastAsia="zh-CN"/>
        </w:rPr>
        <w:t xml:space="preserve">自</w:t>
      </w:r>
      <w:r>
        <w:rPr>
          <w:rFonts w:hint="eastAsia" w:ascii="宋体" w:hAnsi="宋体" w:eastAsia="宋体" w:cs="Times New Roman"/>
          <w:color w:val="auto"/>
          <w:sz w:val="24"/>
          <w:szCs w:val="24"/>
          <w:highlight w:val="none"/>
          <w:lang w:val="zh-CN" w:eastAsia="zh-CN"/>
        </w:rPr>
        <w:t xml:space="preserve">甲方</w:t>
      </w:r>
      <w:r>
        <w:rPr>
          <w:rFonts w:hint="eastAsia" w:ascii="宋体" w:hAnsi="宋体" w:eastAsia="宋体" w:cs="Times New Roman"/>
          <w:color w:val="auto"/>
          <w:sz w:val="24"/>
          <w:szCs w:val="24"/>
          <w:highlight w:val="none"/>
          <w:lang w:val="en-US" w:eastAsia="zh-CN"/>
        </w:rPr>
        <w:t xml:space="preserve">重新</w:t>
      </w:r>
      <w:r>
        <w:rPr>
          <w:rFonts w:hint="eastAsia" w:ascii="宋体" w:hAnsi="宋体" w:eastAsia="宋体" w:cs="Times New Roman"/>
          <w:color w:val="auto"/>
          <w:sz w:val="24"/>
          <w:szCs w:val="24"/>
          <w:highlight w:val="none"/>
          <w:lang w:val="zh-CN" w:eastAsia="zh-CN"/>
        </w:rPr>
        <w:t xml:space="preserve">验收合格</w:t>
      </w:r>
      <w:r>
        <w:rPr>
          <w:rFonts w:hint="eastAsia" w:ascii="宋体" w:hAnsi="宋体" w:eastAsia="宋体" w:cs="Times New Roman"/>
          <w:color w:val="auto"/>
          <w:sz w:val="24"/>
          <w:szCs w:val="24"/>
          <w:highlight w:val="none"/>
          <w:lang w:val="en-US" w:eastAsia="zh-CN"/>
        </w:rPr>
        <w:t xml:space="preserve">开始重新计算。</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十四、合同的解除和转让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14.1 甲方和乙方协商一致，可以解除合同。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 有下列情形之一，合同一方可以解除合同：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14.2.1 因不可抗力致使不能实现合同目的，未受不可抗力影响的一方有权解除合同；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14.2.2 因合同一方违约导致合同不能履行，另一方有权解除合同。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14.2.3 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14.3 合同的部分和全部都不得转让。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14.4如政府采购合同继续履行将损害国家利益和社会公共利益，采购人有权变更、中止或者终止、解除合同。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十五、合同的生效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本合同在甲乙双方签字盖章后生效。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十六、争议的解决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甲乙双方因合同发生争议，应在采购代理机构的主持下进行调解，协商不成，任何一方可以向甲方所在地人民法院起诉。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十七、附则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17.1 合同份数：本合同一式叁份，甲乙双方各壹份，采购代理机构壹份，各份具有同等法律效力。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17.2 本合同文件使用中文书写、解释和说明。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17.3 本合同履行过程中产生的纪要、协议以及成交通知书、采购响应文件和采购文件为本合同的附件，与合同具有同等效力。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17.4 未尽事宜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本合同未尽事宜应按照《中华人民共和国民法典》、《中华人民共和国产品质量法》之规定解释。</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color w:val="auto"/>
          <w:sz w:val="52"/>
          <w:szCs w:val="52"/>
          <w:highlight w:val="none"/>
        </w:rPr>
      </w:pPr>
      <w:r/>
      <w:bookmarkStart w:id="23" w:name="_Toc520073486"/>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第六章</w:t>
      </w:r>
      <w:bookmarkEnd w:id="22"/>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评分标准</w:t>
      </w:r>
      <w:bookmarkEnd w:id="23"/>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4"/>
          <w:szCs w:val="24"/>
          <w:highlight w:val="none"/>
        </w:rPr>
        <w:t xml:space="preserve">一、评标办法：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1、本次招标评标采用综合评分法，即在满足招标文件实质性要求前提下，按照招标文件中规定的评分标准和各项因素进行综合评审后，以评标总得分最高的投标人作为中标候选人。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标委员会各成员独立对每个进入打分程序的有效投标人的标书技术部分以打分的形式进行评审和评价（计算结果均四舍五入保留两位小数）。对评标委员会（简称：评委）的评分（除价格分外）进行统计汇总，直接算术平均计算得分。投标报价得分加上技术得分为评标总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3、如出现评标总得分最高的投标人有两个或两个以上的，以投标报价较低者优先作为该标段中标候选人，如果投标报价也相同的，则以抽签方式确定中标候选人。</w:t>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（一）价格基准分：30分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第一步：投标报价低于或等于采购预算价格的，为有效投标报价。超采购预算的投标报价为无效投标报价。无效投标报价的投标文件不进行评审，也不得标。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第二步：根据各投标人通过符合性审查的有效投标报价中的最低价作为评标基准价，其他投标人的价格分按照下列公式计算（计算结果四舍五入保留两位小数）。</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投标报价得分＝（评标基准价/投标报价）×30％×100。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（二）技术评审：70分</w:t>
      </w:r>
      <w:r/>
    </w:p>
    <w:tbl>
      <w:tblPr>
        <w:tblStyle w:val="7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2090"/>
        <w:gridCol w:w="5176"/>
        <w:gridCol w:w="1319"/>
      </w:tblGrid>
      <w:tr>
        <w:trPr>
          <w:cantSplit/>
          <w:trHeight w:val="471"/>
        </w:trPr>
        <w:tc>
          <w:tcPr>
            <w:tcW w:w="78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评审类别</w:t>
            </w:r>
            <w:r/>
          </w:p>
        </w:tc>
        <w:tc>
          <w:tcPr>
            <w:tcW w:w="1025"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评审项</w:t>
            </w:r>
            <w:r/>
          </w:p>
        </w:tc>
        <w:tc>
          <w:tcPr>
            <w:tcW w:w="2539" w:type="pct"/>
            <w:vAlign w:val="center"/>
            <w:textDirection w:val="lrTb"/>
            <w:noWrap w:val="false"/>
          </w:tcPr>
          <w:p>
            <w:pPr>
              <w:ind w:right="111"/>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评审规则</w:t>
            </w:r>
            <w:r/>
          </w:p>
        </w:tc>
        <w:tc>
          <w:tcPr>
            <w:tcW w:w="647"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r>
      <w:tr>
        <w:trPr>
          <w:cantSplit/>
          <w:trHeight w:val="1678"/>
        </w:trPr>
        <w:tc>
          <w:tcPr>
            <w:tcW w:w="787" w:type="pct"/>
            <w:vAlign w:val="center"/>
            <w:vMerge w:val="restart"/>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设备配置与质量（</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1025"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1、技术参数符合性（</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2539"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所投产品的技术参数应满足或高于招标文件要求；带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每负偏离一项扣</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其他每负偏离一项扣2分，扣完为止，各投标单位均应提供相关的证明材料（彩页、实物图片、技术白皮书或提供厂家技术参数表等证明材料作为佐证）并作出相应的对比（列表）供评委评判，否则评委可视为未对此进行响应。（最高得</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w:t>
            </w:r>
            <w:r/>
          </w:p>
        </w:tc>
      </w:tr>
      <w:tr>
        <w:trPr>
          <w:cantSplit/>
          <w:trHeight w:val="1678"/>
        </w:trPr>
        <w:tc>
          <w:tcPr>
            <w:tcW w:w="787" w:type="pct"/>
            <w:vAlign w:val="center"/>
            <w:vMerge w:val="continue"/>
            <w:textDirection w:val="lrTb"/>
            <w:noWrap w:val="false"/>
          </w:tcPr>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5"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b w:val="0"/>
                <w:bCs w:val="0"/>
                <w:color w:val="auto"/>
                <w:sz w:val="24"/>
                <w:highlight w:val="none"/>
                <w:lang w:val="en-US" w:eastAsia="zh-CN"/>
              </w:rPr>
              <w:t xml:space="preserve">近视防控软件</w:t>
            </w:r>
            <w:r>
              <w:rPr>
                <w:rFonts w:hint="eastAsia" w:ascii="宋体" w:hAnsi="宋体" w:eastAsia="宋体" w:cs="宋体"/>
                <w:b w:val="0"/>
                <w:bCs w:val="0"/>
                <w:color w:val="auto"/>
                <w:sz w:val="24"/>
                <w:highlight w:val="none"/>
                <w:lang w:val="en-US" w:eastAsia="zh-CN"/>
              </w:rPr>
              <w:t xml:space="preserve">（4分）</w:t>
            </w:r>
            <w:r/>
          </w:p>
        </w:tc>
        <w:tc>
          <w:tcPr>
            <w:tcW w:w="2539" w:type="pct"/>
            <w:vAlign w:val="center"/>
            <w:textDirection w:val="lrTb"/>
            <w:noWrap w:val="false"/>
          </w:tcPr>
          <w:p>
            <w:pPr>
              <w:spacing w:line="276" w:lineRule="auto"/>
              <w:rPr>
                <w:rFonts w:hint="default" w:ascii="宋体" w:hAnsi="宋体" w:eastAsia="宋体" w:cs="宋体"/>
                <w:color w:val="auto"/>
                <w:sz w:val="24"/>
                <w:highlight w:val="none"/>
                <w:lang w:val="en-US"/>
              </w:rPr>
            </w:pPr>
            <w:r>
              <w:rPr>
                <w:rFonts w:hint="eastAsia" w:ascii="宋体" w:hAnsi="宋体" w:eastAsia="宋体" w:cs="宋体"/>
                <w:color w:val="auto"/>
                <w:sz w:val="24"/>
                <w:szCs w:val="24"/>
                <w:highlight w:val="none"/>
                <w:lang w:val="en-US" w:eastAsia="zh-CN"/>
              </w:rPr>
              <w:t xml:space="preserve">为满足医院临床使用需求，</w:t>
            </w:r>
            <w:r>
              <w:rPr>
                <w:rFonts w:hint="default" w:ascii="宋体" w:hAnsi="宋体" w:eastAsia="宋体" w:cs="宋体"/>
                <w:color w:val="auto"/>
                <w:sz w:val="24"/>
                <w:szCs w:val="24"/>
                <w:highlight w:val="none"/>
                <w:lang w:val="en-US" w:eastAsia="zh-CN"/>
              </w:rPr>
              <w:t xml:space="preserve">眼生物测量仪</w:t>
            </w:r>
            <w:r>
              <w:rPr>
                <w:rFonts w:hint="eastAsia" w:ascii="宋体" w:hAnsi="宋体" w:eastAsia="宋体" w:cs="宋体"/>
                <w:color w:val="auto"/>
                <w:sz w:val="24"/>
                <w:szCs w:val="24"/>
                <w:highlight w:val="none"/>
                <w:lang w:val="en-US" w:eastAsia="zh-CN"/>
              </w:rPr>
              <w:t xml:space="preserve">设备需</w:t>
            </w:r>
            <w:r>
              <w:rPr>
                <w:rFonts w:hint="default" w:ascii="宋体" w:hAnsi="宋体" w:eastAsia="宋体" w:cs="宋体"/>
                <w:color w:val="auto"/>
                <w:sz w:val="24"/>
                <w:szCs w:val="24"/>
                <w:highlight w:val="none"/>
                <w:lang w:val="en-US" w:eastAsia="zh-CN"/>
              </w:rPr>
              <w:t xml:space="preserve">具备近视防控软件</w:t>
            </w:r>
            <w:r>
              <w:rPr>
                <w:rFonts w:hint="eastAsia" w:ascii="宋体" w:hAnsi="宋体" w:eastAsia="宋体" w:cs="宋体"/>
                <w:color w:val="auto"/>
                <w:sz w:val="24"/>
                <w:szCs w:val="24"/>
                <w:highlight w:val="none"/>
                <w:lang w:val="en-US" w:eastAsia="zh-CN"/>
              </w:rPr>
              <w:t xml:space="preserve">，提供软件相关证明材料，未提供软件证明材料或提供软件材料无法证明满足临床使用需求的不得分，本项得4分。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r>
      <w:tr>
        <w:trPr>
          <w:cantSplit/>
          <w:trHeight w:val="72"/>
        </w:trPr>
        <w:tc>
          <w:tcPr>
            <w:tcW w:w="787" w:type="pct"/>
            <w:vAlign w:val="center"/>
            <w:vMerge w:val="restart"/>
            <w:textDirection w:val="lrTb"/>
            <w:noWrap w:val="false"/>
          </w:tcPr>
          <w:p>
            <w:pPr>
              <w:ind w:right="8"/>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售后服务比较（</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分）</w:t>
            </w:r>
            <w:r/>
          </w:p>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spacing w:line="276"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实施方案</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W w:w="2539" w:type="pct"/>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针对本项目设置分工明确的项目管理团队，并具有合理明确的安装调试实施方案，以保障货物交付、安装、验收等有效的项目管理:</w:t>
            </w:r>
            <w:r/>
          </w:p>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供货计划合理可行，人员投入合理，供货前期准备工作、方法和步骤全面合理可行，安装调试计划完整，验收方案</w:t>
            </w:r>
            <w:r>
              <w:rPr>
                <w:rFonts w:hint="eastAsia" w:ascii="宋体" w:hAnsi="宋体" w:eastAsia="宋体" w:cs="宋体"/>
                <w:color w:val="auto"/>
                <w:sz w:val="24"/>
                <w:highlight w:val="none"/>
                <w:lang w:val="en-US" w:eastAsia="zh-CN"/>
              </w:rPr>
              <w:t xml:space="preserve">等内容完整</w:t>
            </w:r>
            <w:r>
              <w:rPr>
                <w:rFonts w:hint="eastAsia" w:ascii="宋体" w:hAnsi="宋体" w:eastAsia="宋体" w:cs="宋体"/>
                <w:color w:val="auto"/>
                <w:sz w:val="24"/>
                <w:highlight w:val="none"/>
                <w:lang w:val="zh-CN"/>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r>
      <w:tr>
        <w:trPr>
          <w:cantSplit/>
          <w:trHeight w:val="256"/>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4、送货安装</w:t>
            </w:r>
            <w:r>
              <w:rPr>
                <w:rFonts w:hint="eastAsia" w:ascii="宋体" w:hAnsi="宋体" w:eastAsia="宋体" w:cs="宋体"/>
                <w:color w:val="auto"/>
                <w:sz w:val="24"/>
                <w:highlight w:val="none"/>
                <w:lang w:val="zh-CN"/>
              </w:rPr>
              <w:t xml:space="preserve">进度计划(</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针对本项目特点提供产品进度方案，包括对送货及安装的组织计划等内容。项目进度的控制管理保证措施、方法和步骤。</w:t>
            </w:r>
            <w:r>
              <w:rPr>
                <w:rFonts w:hint="eastAsia" w:ascii="宋体" w:hAnsi="宋体" w:eastAsia="宋体" w:cs="宋体"/>
                <w:color w:val="auto"/>
                <w:sz w:val="24"/>
                <w:highlight w:val="none"/>
                <w:lang w:val="en-US" w:eastAsia="zh-CN"/>
              </w:rPr>
              <w:t xml:space="preserve">方案内容完整的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r>
      <w:tr>
        <w:trPr>
          <w:cantSplit/>
          <w:trHeight w:val="619"/>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售后服务方案</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分）</w:t>
            </w:r>
            <w:r/>
          </w:p>
        </w:tc>
        <w:tc>
          <w:tcPr>
            <w:tcW w:w="2539" w:type="pct"/>
            <w:vAlign w:val="top"/>
            <w:textDirection w:val="lrTb"/>
            <w:noWrap w:val="false"/>
          </w:tcPr>
          <w:p>
            <w:pPr>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针对本项目提供的售后服务方案，</w:t>
            </w:r>
            <w:r>
              <w:rPr>
                <w:rFonts w:hint="eastAsia" w:ascii="宋体" w:hAnsi="宋体" w:eastAsia="宋体" w:cs="宋体"/>
                <w:color w:val="auto"/>
                <w:sz w:val="24"/>
                <w:highlight w:val="none"/>
                <w:lang w:val="en-US" w:eastAsia="zh-CN"/>
              </w:rPr>
              <w:t xml:space="preserve">包括</w:t>
            </w:r>
            <w:r>
              <w:rPr>
                <w:rFonts w:hint="eastAsia" w:ascii="宋体" w:hAnsi="宋体" w:eastAsia="宋体" w:cs="宋体"/>
                <w:color w:val="auto"/>
                <w:sz w:val="24"/>
                <w:highlight w:val="none"/>
                <w:lang w:val="zh-CN"/>
              </w:rPr>
              <w:t xml:space="preserve">人员培训计划、售后服务安排、质保期满后的维修保养、备品备件、应急故障处理、专业技术人员及保障电话</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方案内容完整的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、培训方案（</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投标单位的培训方案</w:t>
            </w:r>
            <w:r>
              <w:rPr>
                <w:rFonts w:hint="eastAsia" w:ascii="宋体" w:hAnsi="宋体" w:eastAsia="宋体" w:cs="宋体"/>
                <w:color w:val="auto"/>
                <w:sz w:val="24"/>
                <w:highlight w:val="none"/>
              </w:rPr>
              <w:t xml:space="preserve">详细完整、描述清晰</w:t>
            </w:r>
            <w:r>
              <w:rPr>
                <w:rFonts w:hint="eastAsia" w:ascii="宋体" w:hAnsi="宋体" w:eastAsia="宋体" w:cs="宋体"/>
                <w:color w:val="auto"/>
                <w:sz w:val="24"/>
                <w:highlight w:val="none"/>
                <w:lang w:val="zh-CN"/>
              </w:rPr>
              <w:t xml:space="preserve">的得</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方案缺失或不完善的不得分。</w:t>
            </w:r>
            <w:r/>
          </w:p>
        </w:tc>
        <w:tc>
          <w:tcPr>
            <w:tcW w:w="647"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7、原厂售后维修证明材料</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原厂售后维修保障服务证明能力，需提供针对本项目的原厂授权盖章售后维修证明材料，未提供不得分或证明材料不符合要求的不得分，本项得2分。</w:t>
            </w:r>
            <w:r/>
          </w:p>
        </w:tc>
        <w:tc>
          <w:tcPr>
            <w:tcW w:w="647"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025" w:type="pct"/>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8、免费质保期限（4分）</w:t>
            </w:r>
            <w:r/>
          </w:p>
        </w:tc>
        <w:tc>
          <w:tcPr>
            <w:shd w:val="clear" w:color="auto" w:fill="auto"/>
            <w:tcW w:w="2539" w:type="pct"/>
            <w:vAlign w:val="center"/>
            <w:textDirection w:val="lrTb"/>
            <w:noWrap w:val="false"/>
          </w:tcPr>
          <w:p>
            <w:pP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highlight w:val="none"/>
                <w:lang w:val="zh-CN"/>
              </w:rPr>
              <w:t xml:space="preserve">投标单位</w:t>
            </w:r>
            <w:r>
              <w:rPr>
                <w:rFonts w:hint="eastAsia" w:ascii="宋体" w:hAnsi="宋体" w:eastAsia="宋体" w:cs="宋体"/>
                <w:color w:val="auto"/>
                <w:sz w:val="24"/>
                <w:highlight w:val="none"/>
                <w:lang w:val="en-US" w:eastAsia="zh-CN"/>
              </w:rPr>
              <w:t xml:space="preserve">在招标文件要求的免费质保期基础上，每增加一年得2分，最高得4分，需提供原厂盖章的免费质保期限证明材料，未提供不得分。</w:t>
            </w:r>
            <w:r/>
          </w:p>
        </w:tc>
        <w:tc>
          <w:tcPr>
            <w:shd w:val="clear" w:color="auto" w:fill="auto"/>
            <w:tcW w:w="647"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4</w:t>
            </w:r>
            <w:r/>
          </w:p>
        </w:tc>
      </w:tr>
      <w:tr>
        <w:trPr>
          <w:cantSplit/>
          <w:trHeight w:val="90"/>
        </w:trPr>
        <w:tc>
          <w:tcPr>
            <w:tcW w:w="787" w:type="pct"/>
            <w:vAlign w:val="center"/>
            <w:vMerge w:val="restart"/>
            <w:textDirection w:val="lrTb"/>
            <w:noWrap w:val="false"/>
          </w:tcPr>
          <w:p>
            <w:pPr>
              <w:ind w:right="8"/>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履约能力比较（</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shd w:val="clear" w:color="auto" w:fill="auto"/>
            <w:tcW w:w="1025" w:type="pct"/>
            <w:vAlign w:val="center"/>
            <w:textDirection w:val="lrTb"/>
            <w:noWrap w:val="false"/>
          </w:tcPr>
          <w:p>
            <w:pPr>
              <w:spacing w:line="276"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产品生产厂家</w:t>
            </w:r>
            <w:r>
              <w:rPr>
                <w:rFonts w:hint="eastAsia" w:ascii="宋体" w:hAnsi="宋体" w:eastAsia="宋体" w:cs="宋体"/>
                <w:color w:val="auto"/>
                <w:sz w:val="24"/>
                <w:highlight w:val="none"/>
              </w:rPr>
              <w:t xml:space="preserve">业绩合同</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分）</w:t>
            </w:r>
            <w:r/>
          </w:p>
        </w:tc>
        <w:tc>
          <w:tcPr>
            <w:shd w:val="clear" w:color="auto" w:fill="auto"/>
            <w:tcW w:w="2539" w:type="pct"/>
            <w:vAlign w:val="center"/>
            <w:textDirection w:val="lrTb"/>
            <w:noWrap w:val="false"/>
          </w:tcPr>
          <w:p>
            <w:pPr>
              <w:spacing w:line="276"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产品生产厂家自</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年1月1日至今</w:t>
            </w:r>
            <w:r>
              <w:rPr>
                <w:rFonts w:hint="eastAsia" w:ascii="宋体" w:hAnsi="宋体" w:eastAsia="宋体" w:cs="宋体"/>
                <w:color w:val="auto"/>
                <w:sz w:val="24"/>
                <w:highlight w:val="none"/>
                <w:lang w:val="en-US" w:eastAsia="zh-CN"/>
              </w:rPr>
              <w:t xml:space="preserve">的业绩合同证明材料</w:t>
            </w:r>
            <w:r>
              <w:rPr>
                <w:rFonts w:hint="eastAsia" w:ascii="宋体" w:hAnsi="宋体" w:eastAsia="宋体" w:cs="宋体"/>
                <w:color w:val="auto"/>
                <w:sz w:val="24"/>
                <w:highlight w:val="none"/>
              </w:rPr>
              <w:t xml:space="preserve">（以合同签订日期为准），</w:t>
            </w:r>
            <w:r>
              <w:rPr>
                <w:rFonts w:hint="eastAsia" w:ascii="宋体" w:hAnsi="宋体" w:eastAsia="宋体" w:cs="宋体"/>
                <w:color w:val="auto"/>
                <w:sz w:val="24"/>
                <w:highlight w:val="none"/>
                <w:lang w:val="en-US" w:eastAsia="zh-CN"/>
              </w:rPr>
              <w:t xml:space="preserve">每提供三个产品业绩合同为一份，缺失不完整或不提供不得分，</w:t>
            </w:r>
            <w:r>
              <w:rPr>
                <w:rFonts w:hint="eastAsia" w:ascii="宋体" w:hAnsi="宋体" w:eastAsia="宋体" w:cs="宋体"/>
                <w:color w:val="auto"/>
                <w:sz w:val="24"/>
                <w:highlight w:val="none"/>
              </w:rPr>
              <w:t xml:space="preserve">由评委根据提供的合同，有一</w:t>
            </w:r>
            <w:r>
              <w:rPr>
                <w:rFonts w:hint="eastAsia" w:ascii="宋体" w:hAnsi="宋体" w:eastAsia="宋体" w:cs="宋体"/>
                <w:color w:val="auto"/>
                <w:sz w:val="24"/>
                <w:highlight w:val="none"/>
                <w:lang w:val="en-US" w:eastAsia="zh-CN"/>
              </w:rPr>
              <w:t xml:space="preserve">份</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提供完整合同复印件，如合同不完整、模糊不可分辨的不得分。</w:t>
            </w:r>
            <w:r>
              <w:rPr>
                <w:rFonts w:hint="eastAsia" w:ascii="宋体" w:hAnsi="宋体" w:eastAsia="宋体" w:cs="宋体"/>
                <w:color w:val="auto"/>
                <w:sz w:val="24"/>
                <w:highlight w:val="none"/>
              </w:rPr>
              <w:t xml:space="preserve">）</w:t>
            </w:r>
            <w:r/>
          </w:p>
        </w:tc>
        <w:tc>
          <w:tcPr>
            <w:shd w:val="clear" w:color="auto" w:fill="auto"/>
            <w:tcW w:w="647" w:type="pct"/>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8</w:t>
            </w:r>
            <w:r/>
          </w:p>
        </w:tc>
      </w:tr>
      <w:tr>
        <w:trPr>
          <w:cantSplit/>
          <w:trHeight w:val="90"/>
        </w:trPr>
        <w:tc>
          <w:tcPr>
            <w:tcW w:w="787" w:type="pct"/>
            <w:vAlign w:val="center"/>
            <w:vMerge w:val="continue"/>
            <w:textDirection w:val="lrTb"/>
            <w:noWrap w:val="false"/>
          </w:tcPr>
          <w:p>
            <w:pPr>
              <w:ind w:right="8"/>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5"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增值服务条款</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单位提供优惠可行的增值服务条款（如增加产品相关配置等），如增值服务与本项目实际采购需求不符或不切实际的不得分，由评委根据提供的增值服务进行打分，每提供一条可行的增值服务得1分，最高得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r>
    </w:tbl>
    <w:p>
      <w:pPr>
        <w:ind w:firstLine="480"/>
        <w:spacing w:line="34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注：针对评分标准中评分的每一条，投标人均应提供相关资料并作出相应说明供评委评判，不提供相关资料的视为不具备该项得分的条件。</w:t>
      </w:r>
      <w:r/>
    </w:p>
    <w:p>
      <w:pPr>
        <w:ind w:firstLine="480"/>
        <w:jc w:val="right"/>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（全文完）</w:t>
      </w:r>
      <w:r/>
    </w:p>
    <w:p>
      <w:pPr>
        <w:rPr>
          <w:color w:val="auto"/>
          <w:highlight w:val="none"/>
        </w:rPr>
      </w:pPr>
      <w:r>
        <w:rPr>
          <w:color w:val="auto"/>
          <w:highlight w:val="none"/>
        </w:rPr>
      </w:r>
      <w:r/>
    </w:p>
    <w:sectPr>
      <w:headerReference w:type="default" r:id="rId8"/>
      <w:headerReference w:type="first" r:id="rId9"/>
      <w:footerReference w:type="default" r:id="rId10"/>
      <w:footerReference w:type="even" r:id="rId11"/>
      <w:footnotePr/>
      <w:endnotePr/>
      <w:type w:val="nextPage"/>
      <w:pgSz w:w="11906" w:h="16838" w:orient="portrait"/>
      <w:pgMar w:top="1440" w:right="849" w:bottom="1440" w:left="1080"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instrText xml:space="preserve"> PAGE   \* MERGEFORMAT </w:instrText>
    </w:r>
    <w:r>
      <w:fldChar w:fldCharType="separate"/>
    </w:r>
    <w:r>
      <w:rPr>
        <w:lang w:val="zh-CN"/>
      </w:rPr>
      <w:t xml:space="preserve">54</w:t>
    </w:r>
    <w:r>
      <w:rPr>
        <w:lang w:val="zh-CN"/>
      </w:rPr>
      <w:fldChar w:fldCharType="end"/>
    </w:r>
    <w:r/>
  </w:p>
  <w:p>
    <w:pPr>
      <w:pStyle w:val="738"/>
      <w:ind w:right="360"/>
      <w:jc w:val="lef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left"/>
      <w:rPr>
        <w:rStyle w:val="755"/>
      </w:rPr>
      <w:framePr w:wrap="around" w:vAnchor="text" w:hAnchor="margin" w:xAlign="right" w:y="1"/>
    </w:pPr>
    <w:r>
      <w:fldChar w:fldCharType="begin"/>
    </w:r>
    <w:r>
      <w:rPr>
        <w:rStyle w:val="755"/>
        <w:rFonts w:ascii="宋体" w:hAnsi="宋体" w:eastAsia="宋体" w:cs="宋体"/>
        <w:sz w:val="24"/>
        <w:szCs w:val="24"/>
      </w:rPr>
      <w:instrText xml:space="preserve">PAGE  </w:instrText>
    </w:r>
    <w:r>
      <w:fldChar w:fldCharType="end"/>
    </w:r>
    <w:r/>
  </w:p>
  <w:p>
    <w:pPr>
      <w:pStyle w:val="738"/>
      <w:ind w:right="360" w:firstLine="360"/>
      <w:jc w:val="lef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1" name="图片 3"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JSZC-320583-LHZX-G2025-0054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2" name="图片 2"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JSZC-320583-LHZX-G2025-0054</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914"/>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5">
    <w:name w:val="Heading 1"/>
    <w:next w:val="714"/>
    <w:uiPriority w:val="0"/>
    <w:qFormat/>
    <w:pPr>
      <w:jc w:val="both"/>
      <w:keepLines/>
      <w:keepNext/>
      <w:spacing w:before="340" w:after="330" w:line="578"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716">
    <w:name w:val="Heading 2"/>
    <w:basedOn w:val="714"/>
    <w:next w:val="714"/>
    <w:link w:val="760"/>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61"/>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62"/>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3"/>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4"/>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6"/>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7"/>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0"/>
    <w:semiHidden/>
    <w:qFormat/>
  </w:style>
  <w:style w:type="table" w:styleId="725" w:default="1">
    <w:name w:val="Normal Table"/>
    <w:uiPriority w:val="0"/>
    <w:semiHidden/>
    <w:qFormat/>
    <w:tblPr>
      <w:tblCellMar>
        <w:left w:w="108" w:type="dxa"/>
        <w:top w:w="0" w:type="dxa"/>
        <w:right w:w="108" w:type="dxa"/>
        <w:bottom w:w="0" w:type="dxa"/>
      </w:tblCellMar>
    </w:tblPr>
  </w:style>
  <w:style w:type="paragraph" w:styleId="726">
    <w:name w:val="toc 7"/>
    <w:next w:val="714"/>
    <w:uiPriority w:val="0"/>
    <w:semiHidden/>
    <w:qFormat/>
    <w:pPr>
      <w:ind w:left="2520"/>
      <w:jc w:val="both"/>
      <w:keepLines/>
      <w:keepNext/>
      <w:spacing w:before="340" w:after="330" w:line="578" w:lineRule="auto"/>
      <w:widowControl w:val="off"/>
      <w:outlineLvl w:val="0"/>
    </w:pPr>
    <w:rPr>
      <w:rFonts w:hint="default" w:ascii="Times New Roman" w:hAnsi="Times New Roman" w:eastAsia="楷体_GB2312" w:cs="Times New Roman"/>
      <w:b/>
      <w:sz w:val="26"/>
      <w:szCs w:val="20"/>
      <w:lang w:val="en-US" w:eastAsia="zh-CN" w:bidi="ar-SA"/>
    </w:rPr>
  </w:style>
  <w:style w:type="paragraph" w:styleId="727">
    <w:name w:val="Normal Indent"/>
    <w:basedOn w:val="714"/>
    <w:uiPriority w:val="0"/>
    <w:qFormat/>
    <w:pPr>
      <w:ind w:firstLine="420"/>
      <w:widowControl w:val="off"/>
    </w:pPr>
    <w:rPr>
      <w:rFonts w:hint="default" w:ascii="Times New Roman" w:hAnsi="Times New Roman" w:eastAsia="楷体_GB2312" w:cs="Times New Roman"/>
      <w:sz w:val="24"/>
      <w:szCs w:val="20"/>
      <w:lang w:val="en-US" w:eastAsia="zh-CN" w:bidi="ar-SA"/>
    </w:rPr>
  </w:style>
  <w:style w:type="paragraph" w:styleId="728">
    <w:name w:val="Caption"/>
    <w:basedOn w:val="714"/>
    <w:next w:val="71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9">
    <w:name w:val="Body Text"/>
    <w:basedOn w:val="714"/>
    <w:uiPriority w:val="1"/>
    <w:qFormat/>
    <w:rPr>
      <w:rFonts w:ascii="宋体" w:hAnsi="宋体" w:eastAsia="宋体" w:cs="宋体"/>
      <w:sz w:val="24"/>
      <w:szCs w:val="24"/>
      <w:lang w:val="zh-CN" w:eastAsia="zh-CN" w:bidi="zh-CN"/>
    </w:rPr>
  </w:style>
  <w:style w:type="paragraph" w:styleId="730">
    <w:name w:val="Body Text Indent"/>
    <w:basedOn w:val="714"/>
    <w:uiPriority w:val="0"/>
    <w:qFormat/>
    <w:pPr>
      <w:ind w:left="570"/>
      <w:jc w:val="both"/>
      <w:spacing w:line="520" w:lineRule="exact"/>
      <w:widowControl w:val="off"/>
    </w:pPr>
    <w:rPr>
      <w:rFonts w:hint="default" w:ascii="方正仿宋简体" w:hAnsi="创艺简仿宋" w:eastAsia="方正仿宋简体" w:cs="Times New Roman"/>
      <w:sz w:val="24"/>
      <w:szCs w:val="20"/>
      <w:lang w:val="en-US" w:eastAsia="zh-CN" w:bidi="ar-SA"/>
    </w:rPr>
  </w:style>
  <w:style w:type="paragraph" w:styleId="731">
    <w:name w:val="List 2"/>
    <w:next w:val="726"/>
    <w:uiPriority w:val="0"/>
    <w:qFormat/>
    <w:pPr>
      <w:ind w:left="100" w:firstLine="3640"/>
      <w:jc w:val="both"/>
      <w:keepLines/>
      <w:keepNext/>
      <w:spacing w:before="0" w:after="0" w:line="240"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732">
    <w:name w:val="toc 5"/>
    <w:basedOn w:val="714"/>
    <w:next w:val="714"/>
    <w:uiPriority w:val="39"/>
    <w:unhideWhenUsed/>
    <w:qFormat/>
    <w:pPr>
      <w:ind w:left="1134" w:right="0" w:firstLine="0"/>
      <w:spacing w:after="57"/>
    </w:pPr>
  </w:style>
  <w:style w:type="paragraph" w:styleId="733">
    <w:name w:val="toc 3"/>
    <w:basedOn w:val="714"/>
    <w:next w:val="714"/>
    <w:uiPriority w:val="39"/>
    <w:unhideWhenUsed/>
    <w:qFormat/>
    <w:pPr>
      <w:ind w:left="567" w:right="0" w:firstLine="0"/>
      <w:spacing w:after="57"/>
    </w:pPr>
  </w:style>
  <w:style w:type="paragraph" w:styleId="734">
    <w:name w:val="Plain Text"/>
    <w:uiPriority w:val="0"/>
    <w:qFormat/>
    <w:pPr>
      <w:jc w:val="both"/>
      <w:widowControl w:val="off"/>
    </w:pPr>
    <w:rPr>
      <w:rFonts w:hint="default" w:ascii="宋体" w:hAnsi="Courier New" w:eastAsia="楷体_GB2312" w:cs="Times New Roman"/>
      <w:sz w:val="26"/>
      <w:szCs w:val="20"/>
      <w:lang w:val="en-US" w:eastAsia="zh-CN" w:bidi="ar-SA"/>
    </w:rPr>
  </w:style>
  <w:style w:type="paragraph" w:styleId="735">
    <w:name w:val="toc 8"/>
    <w:basedOn w:val="714"/>
    <w:next w:val="714"/>
    <w:uiPriority w:val="39"/>
    <w:unhideWhenUsed/>
    <w:qFormat/>
    <w:pPr>
      <w:ind w:left="1984" w:right="0" w:firstLine="0"/>
      <w:spacing w:after="57"/>
    </w:pPr>
  </w:style>
  <w:style w:type="paragraph" w:styleId="736">
    <w:name w:val="Date"/>
    <w:next w:val="714"/>
    <w:uiPriority w:val="0"/>
    <w:qFormat/>
    <w:pPr>
      <w:jc w:val="both"/>
      <w:widowControl w:val="off"/>
    </w:pPr>
    <w:rPr>
      <w:rFonts w:hint="default" w:ascii="宋体" w:hAnsi="宋体" w:eastAsia="楷体_GB2312" w:cs="Times New Roman"/>
      <w:sz w:val="24"/>
      <w:szCs w:val="20"/>
      <w:lang w:val="en-US" w:eastAsia="zh-CN" w:bidi="ar-SA"/>
    </w:rPr>
  </w:style>
  <w:style w:type="paragraph" w:styleId="737">
    <w:name w:val="endnote text"/>
    <w:basedOn w:val="714"/>
    <w:link w:val="905"/>
    <w:uiPriority w:val="99"/>
    <w:semiHidden/>
    <w:unhideWhenUsed/>
    <w:qFormat/>
    <w:pPr>
      <w:spacing w:after="0" w:line="240" w:lineRule="auto"/>
    </w:pPr>
    <w:rPr>
      <w:sz w:val="20"/>
    </w:rPr>
  </w:style>
  <w:style w:type="paragraph" w:styleId="738">
    <w:name w:val="Footer"/>
    <w:basedOn w:val="714"/>
    <w:uiPriority w:val="0"/>
    <w:qFormat/>
    <w:pPr>
      <w:widowControl w:val="off"/>
      <w:tabs>
        <w:tab w:val="center" w:pos="4153" w:leader="none"/>
        <w:tab w:val="right" w:pos="8306" w:leader="none"/>
      </w:tabs>
    </w:pPr>
    <w:rPr>
      <w:rFonts w:hint="default" w:ascii="Times New Roman" w:hAnsi="Times New Roman" w:eastAsia="楷体_GB2312" w:cs="Times New Roman"/>
      <w:sz w:val="18"/>
      <w:szCs w:val="20"/>
      <w:lang w:val="en-US" w:eastAsia="zh-CN" w:bidi="ar-SA"/>
    </w:rPr>
  </w:style>
  <w:style w:type="paragraph" w:styleId="739">
    <w:name w:val="envelope return"/>
    <w:basedOn w:val="714"/>
    <w:uiPriority w:val="99"/>
    <w:unhideWhenUsed/>
    <w:qFormat/>
    <w:pPr>
      <w:jc w:val="both"/>
      <w:widowControl w:val="off"/>
    </w:pPr>
    <w:rPr>
      <w:rFonts w:ascii="Arial" w:hAnsi="Arial" w:eastAsia="宋体" w:cs="Times New Roman"/>
      <w:sz w:val="21"/>
      <w:szCs w:val="24"/>
      <w:lang w:val="en-US" w:eastAsia="zh-CN" w:bidi="ar-SA"/>
    </w:rPr>
  </w:style>
  <w:style w:type="paragraph" w:styleId="740">
    <w:name w:val="Header"/>
    <w:uiPriority w:val="0"/>
    <w:qFormat/>
    <w:pPr>
      <w:jc w:val="center"/>
      <w:widowControl w:val="off"/>
      <w:tabs>
        <w:tab w:val="center" w:pos="4153" w:leader="none"/>
        <w:tab w:val="right" w:pos="8306" w:leader="none"/>
      </w:tabs>
      <w:pBdr>
        <w:bottom w:val="single" w:color="auto" w:sz="6" w:space="1"/>
      </w:pBdr>
    </w:pPr>
    <w:rPr>
      <w:rFonts w:hint="default" w:ascii="Times New Roman" w:hAnsi="Times New Roman" w:eastAsia="楷体_GB2312" w:cs="Times New Roman"/>
      <w:sz w:val="18"/>
      <w:szCs w:val="20"/>
      <w:lang w:val="en-US" w:eastAsia="zh-CN" w:bidi="ar-SA"/>
    </w:rPr>
  </w:style>
  <w:style w:type="paragraph" w:styleId="741">
    <w:name w:val="toc 1"/>
    <w:next w:val="714"/>
    <w:uiPriority w:val="39"/>
    <w:qFormat/>
    <w:pPr>
      <w:widowControl w:val="off"/>
    </w:pPr>
    <w:rPr>
      <w:rFonts w:hint="default" w:ascii="Times New Roman" w:hAnsi="Times New Roman" w:eastAsia="楷体_GB2312" w:cs="Times New Roman"/>
      <w:sz w:val="24"/>
      <w:szCs w:val="20"/>
      <w:lang w:val="en-US" w:eastAsia="zh-CN" w:bidi="ar-SA"/>
    </w:rPr>
  </w:style>
  <w:style w:type="paragraph" w:styleId="742">
    <w:name w:val="toc 4"/>
    <w:basedOn w:val="714"/>
    <w:next w:val="714"/>
    <w:uiPriority w:val="39"/>
    <w:unhideWhenUsed/>
    <w:qFormat/>
    <w:pPr>
      <w:ind w:left="850" w:right="0" w:firstLine="0"/>
      <w:spacing w:after="57"/>
    </w:pPr>
  </w:style>
  <w:style w:type="paragraph" w:styleId="743">
    <w:name w:val="Subtitle"/>
    <w:basedOn w:val="714"/>
    <w:next w:val="714"/>
    <w:link w:val="771"/>
    <w:uiPriority w:val="11"/>
    <w:qFormat/>
    <w:pPr>
      <w:spacing w:before="200" w:after="200"/>
    </w:pPr>
    <w:rPr>
      <w:sz w:val="24"/>
      <w:szCs w:val="24"/>
    </w:rPr>
  </w:style>
  <w:style w:type="paragraph" w:styleId="744">
    <w:name w:val="footnote text"/>
    <w:basedOn w:val="714"/>
    <w:link w:val="904"/>
    <w:uiPriority w:val="99"/>
    <w:semiHidden/>
    <w:unhideWhenUsed/>
    <w:qFormat/>
    <w:pPr>
      <w:spacing w:after="40" w:line="240" w:lineRule="auto"/>
    </w:pPr>
    <w:rPr>
      <w:sz w:val="18"/>
    </w:rPr>
  </w:style>
  <w:style w:type="paragraph" w:styleId="745">
    <w:name w:val="toc 6"/>
    <w:basedOn w:val="714"/>
    <w:next w:val="714"/>
    <w:uiPriority w:val="39"/>
    <w:unhideWhenUsed/>
    <w:qFormat/>
    <w:pPr>
      <w:ind w:left="1417" w:right="0" w:firstLine="0"/>
      <w:spacing w:after="57"/>
    </w:pPr>
  </w:style>
  <w:style w:type="paragraph" w:styleId="746">
    <w:name w:val="table of figures"/>
    <w:basedOn w:val="714"/>
    <w:next w:val="714"/>
    <w:uiPriority w:val="99"/>
    <w:unhideWhenUsed/>
    <w:qFormat/>
    <w:pPr>
      <w:spacing w:after="0" w:afterAutospacing="0"/>
    </w:pPr>
  </w:style>
  <w:style w:type="paragraph" w:styleId="747">
    <w:name w:val="toc 2"/>
    <w:basedOn w:val="714"/>
    <w:next w:val="714"/>
    <w:uiPriority w:val="39"/>
    <w:unhideWhenUsed/>
    <w:qFormat/>
    <w:pPr>
      <w:ind w:left="283" w:right="0" w:firstLine="0"/>
      <w:spacing w:after="57"/>
    </w:pPr>
  </w:style>
  <w:style w:type="paragraph" w:styleId="748">
    <w:name w:val="toc 9"/>
    <w:basedOn w:val="714"/>
    <w:next w:val="714"/>
    <w:uiPriority w:val="39"/>
    <w:unhideWhenUsed/>
    <w:qFormat/>
    <w:pPr>
      <w:ind w:left="2268" w:right="0" w:firstLine="0"/>
      <w:spacing w:after="57"/>
    </w:pPr>
  </w:style>
  <w:style w:type="paragraph" w:styleId="749">
    <w:name w:val="Normal (Web)"/>
    <w:basedOn w:val="714"/>
    <w:uiPriority w:val="0"/>
    <w:qFormat/>
    <w:pPr>
      <w:spacing w:before="100" w:beforeAutospacing="1" w:after="100" w:afterAutospacing="1"/>
    </w:pPr>
    <w:rPr>
      <w:rFonts w:hint="default" w:ascii="宋体" w:hAnsi="宋体" w:eastAsia="宋体" w:cs="宋体"/>
      <w:sz w:val="24"/>
      <w:szCs w:val="24"/>
      <w:lang w:val="en-US" w:eastAsia="zh-CN" w:bidi="ar-SA"/>
    </w:rPr>
  </w:style>
  <w:style w:type="paragraph" w:styleId="750">
    <w:name w:val="Title"/>
    <w:basedOn w:val="714"/>
    <w:next w:val="714"/>
    <w:link w:val="770"/>
    <w:uiPriority w:val="10"/>
    <w:qFormat/>
    <w:pPr>
      <w:contextualSpacing/>
      <w:spacing w:before="300" w:after="200"/>
    </w:pPr>
    <w:rPr>
      <w:sz w:val="48"/>
      <w:szCs w:val="48"/>
    </w:rPr>
  </w:style>
  <w:style w:type="paragraph" w:styleId="751">
    <w:name w:val="Body Text First Indent"/>
    <w:next w:val="752"/>
    <w:uiPriority w:val="0"/>
    <w:qFormat/>
    <w:pPr>
      <w:ind w:firstLine="420"/>
      <w:jc w:val="both"/>
      <w:spacing w:line="380" w:lineRule="exact"/>
      <w:widowControl w:val="off"/>
    </w:pPr>
    <w:rPr>
      <w:rFonts w:ascii="Times New Roman" w:hAnsi="Times New Roman" w:eastAsia="宋体" w:cs="Times New Roman"/>
      <w:sz w:val="24"/>
      <w:szCs w:val="24"/>
      <w:lang w:val="en-US" w:eastAsia="zh-CN" w:bidi="ar-SA"/>
    </w:rPr>
  </w:style>
  <w:style w:type="paragraph" w:styleId="752">
    <w:name w:val="Body Text First Indent 2"/>
    <w:basedOn w:val="730"/>
    <w:next w:val="714"/>
    <w:uiPriority w:val="99"/>
    <w:unhideWhenUsed/>
    <w:qFormat/>
    <w:pPr>
      <w:ind w:firstLine="420"/>
    </w:pPr>
  </w:style>
  <w:style w:type="table" w:styleId="75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basedOn w:val="724"/>
    <w:uiPriority w:val="99"/>
    <w:semiHidden/>
    <w:unhideWhenUsed/>
    <w:qFormat/>
    <w:rPr>
      <w:vertAlign w:val="superscript"/>
    </w:rPr>
  </w:style>
  <w:style w:type="character" w:styleId="755">
    <w:name w:val="page number"/>
    <w:basedOn w:val="724"/>
    <w:uiPriority w:val="0"/>
    <w:qFormat/>
  </w:style>
  <w:style w:type="character" w:styleId="756">
    <w:name w:val="Hyperlink"/>
    <w:uiPriority w:val="99"/>
    <w:unhideWhenUsed/>
    <w:qFormat/>
    <w:rPr>
      <w:color w:val="0026e5" w:themeColor="hyperlink"/>
      <w:u w:val="single"/>
      <w14:textFill>
        <w14:solidFill>
          <w14:schemeClr w14:val="hlink"/>
        </w14:solidFill>
      </w14:textFill>
    </w:rPr>
  </w:style>
  <w:style w:type="character" w:styleId="757">
    <w:name w:val="footnote reference"/>
    <w:basedOn w:val="724"/>
    <w:uiPriority w:val="99"/>
    <w:unhideWhenUsed/>
    <w:qFormat/>
    <w:rPr>
      <w:vertAlign w:val="superscript"/>
    </w:rPr>
  </w:style>
  <w:style w:type="paragraph" w:styleId="758" w:customStyle="1">
    <w:name w:val="正文 首行缩进加粗"/>
    <w:uiPriority w:val="0"/>
    <w:qFormat/>
    <w:pPr>
      <w:ind w:firstLine="422"/>
      <w:jc w:val="both"/>
      <w:spacing w:line="360" w:lineRule="auto"/>
      <w:widowControl w:val="off"/>
    </w:pPr>
    <w:rPr>
      <w:rFonts w:hint="default" w:ascii="Arial" w:hAnsi="Arial" w:eastAsia="宋体" w:cs="宋体"/>
      <w:b/>
      <w:sz w:val="21"/>
      <w:lang w:val="en-US" w:eastAsia="zh-CN" w:bidi="ar-SA"/>
    </w:rPr>
  </w:style>
  <w:style w:type="character" w:styleId="759" w:customStyle="1">
    <w:name w:val="Heading 1 Char"/>
    <w:basedOn w:val="724"/>
    <w:uiPriority w:val="9"/>
    <w:qFormat/>
    <w:rPr>
      <w:rFonts w:ascii="Arial" w:hAnsi="Arial" w:eastAsia="Arial" w:cs="Arial"/>
      <w:sz w:val="40"/>
      <w:szCs w:val="40"/>
    </w:rPr>
  </w:style>
  <w:style w:type="character" w:styleId="760" w:customStyle="1">
    <w:name w:val="Heading 2 Char"/>
    <w:basedOn w:val="724"/>
    <w:link w:val="716"/>
    <w:uiPriority w:val="9"/>
    <w:qFormat/>
    <w:rPr>
      <w:rFonts w:ascii="Arial" w:hAnsi="Arial" w:eastAsia="Arial" w:cs="Arial"/>
      <w:sz w:val="34"/>
    </w:rPr>
  </w:style>
  <w:style w:type="character" w:styleId="761" w:customStyle="1">
    <w:name w:val="Heading 3 Char"/>
    <w:basedOn w:val="724"/>
    <w:link w:val="717"/>
    <w:uiPriority w:val="9"/>
    <w:qFormat/>
    <w:rPr>
      <w:rFonts w:ascii="Arial" w:hAnsi="Arial" w:eastAsia="Arial" w:cs="Arial"/>
      <w:sz w:val="30"/>
      <w:szCs w:val="30"/>
    </w:rPr>
  </w:style>
  <w:style w:type="character" w:styleId="762" w:customStyle="1">
    <w:name w:val="Heading 4 Char"/>
    <w:basedOn w:val="724"/>
    <w:link w:val="718"/>
    <w:uiPriority w:val="9"/>
    <w:qFormat/>
    <w:rPr>
      <w:rFonts w:ascii="Arial" w:hAnsi="Arial" w:eastAsia="Arial" w:cs="Arial"/>
      <w:b/>
      <w:bCs/>
      <w:sz w:val="26"/>
      <w:szCs w:val="26"/>
    </w:rPr>
  </w:style>
  <w:style w:type="character" w:styleId="763" w:customStyle="1">
    <w:name w:val="Heading 5 Char"/>
    <w:basedOn w:val="724"/>
    <w:link w:val="719"/>
    <w:uiPriority w:val="9"/>
    <w:qFormat/>
    <w:rPr>
      <w:rFonts w:ascii="Arial" w:hAnsi="Arial" w:eastAsia="Arial" w:cs="Arial"/>
      <w:b/>
      <w:bCs/>
      <w:sz w:val="24"/>
      <w:szCs w:val="24"/>
    </w:rPr>
  </w:style>
  <w:style w:type="character" w:styleId="764" w:customStyle="1">
    <w:name w:val="Heading 6 Char"/>
    <w:basedOn w:val="724"/>
    <w:link w:val="720"/>
    <w:uiPriority w:val="9"/>
    <w:qFormat/>
    <w:rPr>
      <w:rFonts w:ascii="Arial" w:hAnsi="Arial" w:eastAsia="Arial" w:cs="Arial"/>
      <w:b/>
      <w:bCs/>
      <w:sz w:val="22"/>
      <w:szCs w:val="22"/>
    </w:rPr>
  </w:style>
  <w:style w:type="character" w:styleId="765" w:customStyle="1">
    <w:name w:val="Heading 7 Char"/>
    <w:basedOn w:val="724"/>
    <w:link w:val="721"/>
    <w:uiPriority w:val="9"/>
    <w:qFormat/>
    <w:rPr>
      <w:rFonts w:ascii="Arial" w:hAnsi="Arial" w:eastAsia="Arial" w:cs="Arial"/>
      <w:b/>
      <w:bCs/>
      <w:i/>
      <w:iCs/>
      <w:sz w:val="22"/>
      <w:szCs w:val="22"/>
    </w:rPr>
  </w:style>
  <w:style w:type="character" w:styleId="766" w:customStyle="1">
    <w:name w:val="Heading 8 Char"/>
    <w:basedOn w:val="724"/>
    <w:link w:val="722"/>
    <w:uiPriority w:val="9"/>
    <w:qFormat/>
    <w:rPr>
      <w:rFonts w:ascii="Arial" w:hAnsi="Arial" w:eastAsia="Arial" w:cs="Arial"/>
      <w:i/>
      <w:iCs/>
      <w:sz w:val="22"/>
      <w:szCs w:val="22"/>
    </w:rPr>
  </w:style>
  <w:style w:type="character" w:styleId="767" w:customStyle="1">
    <w:name w:val="Heading 9 Char"/>
    <w:basedOn w:val="724"/>
    <w:link w:val="723"/>
    <w:uiPriority w:val="9"/>
    <w:qFormat/>
    <w:rPr>
      <w:rFonts w:ascii="Arial" w:hAnsi="Arial" w:eastAsia="Arial" w:cs="Arial"/>
      <w:i/>
      <w:iCs/>
      <w:sz w:val="21"/>
      <w:szCs w:val="21"/>
    </w:rPr>
  </w:style>
  <w:style w:type="paragraph" w:styleId="768">
    <w:name w:val="List Paragraph"/>
    <w:basedOn w:val="714"/>
    <w:uiPriority w:val="34"/>
    <w:qFormat/>
    <w:pPr>
      <w:contextualSpacing/>
      <w:ind w:left="720"/>
    </w:pPr>
  </w:style>
  <w:style w:type="paragraph" w:styleId="769">
    <w:name w:val="No Spacing"/>
    <w:uiPriority w:val="1"/>
    <w:qFormat/>
    <w:pPr>
      <w:spacing w:before="0" w:after="0" w:line="240" w:lineRule="auto"/>
    </w:pPr>
    <w:rPr>
      <w:rFonts w:hint="default" w:asciiTheme="minorHAnsi" w:hAnsiTheme="minorHAnsi" w:eastAsiaTheme="minorEastAsia" w:cstheme="minorBidi"/>
    </w:rPr>
  </w:style>
  <w:style w:type="character" w:styleId="770" w:customStyle="1">
    <w:name w:val="Title Char"/>
    <w:basedOn w:val="724"/>
    <w:link w:val="750"/>
    <w:uiPriority w:val="10"/>
    <w:qFormat/>
    <w:rPr>
      <w:sz w:val="48"/>
      <w:szCs w:val="48"/>
    </w:rPr>
  </w:style>
  <w:style w:type="character" w:styleId="771" w:customStyle="1">
    <w:name w:val="Subtitle Char"/>
    <w:basedOn w:val="724"/>
    <w:link w:val="743"/>
    <w:uiPriority w:val="11"/>
    <w:qFormat/>
    <w:rPr>
      <w:sz w:val="24"/>
      <w:szCs w:val="24"/>
    </w:rPr>
  </w:style>
  <w:style w:type="paragraph" w:styleId="772">
    <w:name w:val="Quote"/>
    <w:basedOn w:val="714"/>
    <w:next w:val="714"/>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14"/>
    <w:next w:val="714"/>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basedOn w:val="724"/>
    <w:uiPriority w:val="99"/>
    <w:qFormat/>
  </w:style>
  <w:style w:type="character" w:styleId="777" w:customStyle="1">
    <w:name w:val="Footer Char"/>
    <w:basedOn w:val="724"/>
    <w:uiPriority w:val="99"/>
    <w:qFormat/>
  </w:style>
  <w:style w:type="character" w:styleId="778" w:customStyle="1">
    <w:name w:val="Caption Char"/>
    <w:uiPriority w:val="99"/>
    <w:qFormat/>
  </w:style>
  <w:style w:type="table" w:styleId="779"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9"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2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8" w:customStyle="1">
    <w:name w:val="Grid Table 4 - Accent 2"/>
    <w:basedOn w:val="72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9" w:customStyle="1">
    <w:name w:val="Grid Table 4 - Accent 3"/>
    <w:basedOn w:val="72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0" w:customStyle="1">
    <w:name w:val="Grid Table 4 - Accent 4"/>
    <w:basedOn w:val="72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1" w:customStyle="1">
    <w:name w:val="Grid Table 4 - Accent 5"/>
    <w:basedOn w:val="72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2" w:customStyle="1">
    <w:name w:val="Grid Table 4 - Accent 6"/>
    <w:basedOn w:val="72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3"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5"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6"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7"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8"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9"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0"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2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2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2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6" w:customStyle="1">
    <w:name w:val="Grid Table 6 Colorful - Accent 6"/>
    <w:basedOn w:val="72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7"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2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2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2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2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2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2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2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2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2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2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2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2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1"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2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3" w:customStyle="1">
    <w:name w:val="List Table 2 - Accent 2"/>
    <w:basedOn w:val="72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4" w:customStyle="1">
    <w:name w:val="List Table 2 - Accent 3"/>
    <w:basedOn w:val="72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5" w:customStyle="1">
    <w:name w:val="List Table 2 - Accent 4"/>
    <w:basedOn w:val="72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6" w:customStyle="1">
    <w:name w:val="List Table 2 - Accent 5"/>
    <w:basedOn w:val="72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7" w:customStyle="1">
    <w:name w:val="List Table 2 - Accent 6"/>
    <w:basedOn w:val="72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8"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2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0" w:customStyle="1">
    <w:name w:val="List Table 3 - Accent 2"/>
    <w:basedOn w:val="7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2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2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2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5"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2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7" w:customStyle="1">
    <w:name w:val="List Table 4 - Accent 2"/>
    <w:basedOn w:val="72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8" w:customStyle="1">
    <w:name w:val="List Table 4 - Accent 3"/>
    <w:basedOn w:val="72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9" w:customStyle="1">
    <w:name w:val="List Table 4 - Accent 4"/>
    <w:basedOn w:val="72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0" w:customStyle="1">
    <w:name w:val="List Table 4 - Accent 5"/>
    <w:basedOn w:val="72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1" w:customStyle="1">
    <w:name w:val="List Table 4 - Accent 6"/>
    <w:basedOn w:val="72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2"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2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2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2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2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2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2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2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1" w:customStyle="1">
    <w:name w:val="List Table 6 Colorful - Accent 2"/>
    <w:basedOn w:val="72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2" w:customStyle="1">
    <w:name w:val="List Table 6 Colorful - Accent 3"/>
    <w:basedOn w:val="72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3" w:customStyle="1">
    <w:name w:val="List Table 6 Colorful - Accent 4"/>
    <w:basedOn w:val="72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4" w:customStyle="1">
    <w:name w:val="List Table 6 Colorful - Accent 5"/>
    <w:basedOn w:val="72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5" w:customStyle="1">
    <w:name w:val="List Table 6 Colorful - Accent 6"/>
    <w:basedOn w:val="72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6"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2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2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2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2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2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2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5"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6"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7"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8"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9"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0"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2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2" w:customStyle="1">
    <w:name w:val="Bordered &amp; Lined - Accent 2"/>
    <w:basedOn w:val="72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3" w:customStyle="1">
    <w:name w:val="Bordered &amp; Lined - Accent 3"/>
    <w:basedOn w:val="72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4" w:customStyle="1">
    <w:name w:val="Bordered &amp; Lined - Accent 4"/>
    <w:basedOn w:val="72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5" w:customStyle="1">
    <w:name w:val="Bordered &amp; Lined - Accent 5"/>
    <w:basedOn w:val="72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6" w:customStyle="1">
    <w:name w:val="Bordered &amp; Lined - Accent 6"/>
    <w:basedOn w:val="72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7"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9" w:customStyle="1">
    <w:name w:val="Bordered - Accent 2"/>
    <w:basedOn w:val="7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0" w:customStyle="1">
    <w:name w:val="Bordered - Accent 3"/>
    <w:basedOn w:val="7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1" w:customStyle="1">
    <w:name w:val="Bordered - Accent 4"/>
    <w:basedOn w:val="7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2" w:customStyle="1">
    <w:name w:val="Bordered - Accent 5"/>
    <w:basedOn w:val="7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3" w:customStyle="1">
    <w:name w:val="Bordered - Accent 6"/>
    <w:basedOn w:val="7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4" w:customStyle="1">
    <w:name w:val="Footnote Text Char"/>
    <w:link w:val="744"/>
    <w:uiPriority w:val="99"/>
    <w:qFormat/>
    <w:rPr>
      <w:sz w:val="18"/>
    </w:rPr>
  </w:style>
  <w:style w:type="character" w:styleId="905" w:customStyle="1">
    <w:name w:val="Endnote Text Char"/>
    <w:link w:val="737"/>
    <w:uiPriority w:val="99"/>
    <w:qFormat/>
    <w:rPr>
      <w:sz w:val="20"/>
    </w:rPr>
  </w:style>
  <w:style w:type="paragraph" w:styleId="906" w:customStyle="1">
    <w:name w:val="TOC Heading"/>
    <w:uiPriority w:val="39"/>
    <w:unhideWhenUsed/>
    <w:qFormat/>
    <w:rPr>
      <w:rFonts w:hint="default" w:asciiTheme="minorHAnsi" w:hAnsiTheme="minorHAnsi" w:eastAsiaTheme="minorEastAsia" w:cstheme="minorBidi"/>
    </w:rPr>
  </w:style>
  <w:style w:type="paragraph" w:styleId="907" w:customStyle="1">
    <w:name w:val="纯文本1"/>
    <w:uiPriority w:val="0"/>
    <w:qFormat/>
    <w:pPr>
      <w:jc w:val="both"/>
      <w:widowControl w:val="off"/>
    </w:pPr>
    <w:rPr>
      <w:rFonts w:hint="default" w:ascii="宋体" w:hAnsi="Courier New" w:eastAsia="楷体_GB2312" w:cs="Times New Roman"/>
      <w:sz w:val="26"/>
      <w:szCs w:val="20"/>
      <w:lang w:val="en-US" w:eastAsia="zh-CN" w:bidi="ar-SA"/>
    </w:rPr>
  </w:style>
  <w:style w:type="paragraph" w:styleId="908" w:customStyle="1">
    <w:name w:val="首行缩进"/>
    <w:uiPriority w:val="0"/>
    <w:qFormat/>
    <w:pPr>
      <w:ind w:firstLine="480"/>
      <w:jc w:val="both"/>
      <w:widowControl w:val="off"/>
    </w:pPr>
    <w:rPr>
      <w:rFonts w:hint="default" w:ascii="Times New Roman" w:hAnsi="Times New Roman" w:eastAsia="宋体" w:cs="Times New Roman"/>
      <w:sz w:val="21"/>
      <w:szCs w:val="20"/>
      <w:lang w:val="zh-CN" w:eastAsia="zh-CN" w:bidi="ar-SA"/>
    </w:rPr>
  </w:style>
  <w:style w:type="paragraph" w:styleId="909" w:customStyle="1">
    <w:name w:val="段"/>
    <w:next w:val="714"/>
    <w:uiPriority w:val="0"/>
    <w:qFormat/>
    <w:pPr>
      <w:ind w:firstLine="200"/>
      <w:jc w:val="both"/>
    </w:pPr>
    <w:rPr>
      <w:rFonts w:hint="default" w:ascii="宋体" w:hAnsi="Times New Roman" w:eastAsia="宋体" w:cs="Times New Roman"/>
      <w:sz w:val="21"/>
      <w:lang w:val="en-US" w:eastAsia="zh-CN" w:bidi="ar-SA"/>
    </w:rPr>
  </w:style>
  <w:style w:type="paragraph" w:styleId="910" w:customStyle="1">
    <w:name w:val="纯文本4"/>
    <w:uiPriority w:val="0"/>
    <w:qFormat/>
    <w:pPr>
      <w:jc w:val="both"/>
      <w:widowControl w:val="off"/>
    </w:pPr>
    <w:rPr>
      <w:rFonts w:hint="default" w:ascii="宋体" w:hAnsi="Courier New" w:eastAsia="楷体_GB2312" w:cs="Times New Roman"/>
      <w:sz w:val="26"/>
      <w:szCs w:val="20"/>
      <w:lang w:val="en-US" w:eastAsia="zh-CN" w:bidi="ar-SA"/>
    </w:rPr>
  </w:style>
  <w:style w:type="paragraph" w:styleId="911" w:customStyle="1">
    <w:name w:val="纯文本5"/>
    <w:uiPriority w:val="0"/>
    <w:qFormat/>
    <w:pPr>
      <w:jc w:val="both"/>
      <w:widowControl w:val="off"/>
    </w:pPr>
    <w:rPr>
      <w:rFonts w:hint="default" w:ascii="宋体" w:hAnsi="Courier New" w:eastAsia="楷体_GB2312" w:cs="Times New Roman"/>
      <w:sz w:val="26"/>
      <w:szCs w:val="20"/>
      <w:lang w:val="en-US" w:eastAsia="zh-CN" w:bidi="ar-SA"/>
    </w:rPr>
  </w:style>
  <w:style w:type="paragraph" w:styleId="912" w:customStyle="1">
    <w:name w:val="纯文本11"/>
    <w:uiPriority w:val="0"/>
    <w:qFormat/>
    <w:pPr>
      <w:jc w:val="both"/>
      <w:widowControl w:val="off"/>
    </w:pPr>
    <w:rPr>
      <w:rFonts w:hint="default" w:ascii="宋体" w:hAnsi="Courier New" w:eastAsia="楷体_GB2312" w:cs="Times New Roman"/>
      <w:sz w:val="26"/>
      <w:szCs w:val="20"/>
      <w:lang w:val="en-US" w:eastAsia="zh-CN" w:bidi="ar-SA"/>
    </w:rPr>
  </w:style>
  <w:style w:type="character" w:styleId="913" w:customStyle="1">
    <w:name w:val="fontstyle01"/>
    <w:uiPriority w:val="0"/>
    <w:qFormat/>
    <w:rPr>
      <w:rFonts w:hint="eastAsia" w:ascii="宋体" w:hAnsi="宋体" w:eastAsia="宋体"/>
      <w:color w:val="000000"/>
      <w:sz w:val="24"/>
      <w:szCs w:val="24"/>
    </w:rPr>
  </w:style>
  <w:style w:type="character" w:styleId="914" w:customStyle="1">
    <w:name w:val="NormalCharacter"/>
    <w:basedOn w:val="724"/>
    <w:link w:val="714"/>
    <w:uiPriority w:val="0"/>
    <w:semiHidden/>
    <w:qFormat/>
    <w:rPr>
      <w:rFonts w:hint="default" w:asciiTheme="minorHAnsi" w:hAnsiTheme="minorHAnsi" w:eastAsiaTheme="minorEastAsia" w:cstheme="minorBidi"/>
      <w:sz w:val="21"/>
      <w:szCs w:val="24"/>
      <w:lang w:val="en-US" w:eastAsia="zh-CN" w:bidi="ar-SA"/>
    </w:rPr>
  </w:style>
  <w:style w:type="paragraph" w:styleId="915" w:customStyle="1">
    <w:name w:val="Other|1"/>
    <w:basedOn w:val="714"/>
    <w:uiPriority w:val="0"/>
    <w:qFormat/>
    <w:pPr>
      <w:shd w:val="clear" w:color="auto" w:fill="auto"/>
      <w:widowControl w:val="off"/>
    </w:pPr>
    <w:rPr>
      <w:rFonts w:ascii="宋体" w:hAnsi="宋体" w:eastAsia="宋体" w:cs="宋体"/>
      <w:u w:val="none"/>
      <w:shd w:val="clear" w:color="auto" w:fill="auto"/>
      <w:lang w:val="zh-TW" w:eastAsia="zh-TW" w:bidi="zh-TW"/>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6</cp:revision>
  <dcterms:created xsi:type="dcterms:W3CDTF">2024-04-26T06:45:00Z</dcterms:created>
  <dcterms:modified xsi:type="dcterms:W3CDTF">2026-03-19T08:17:06Z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1417F1CC4D654DE795D74CE0C61CA4F5_12</vt:lpwstr>
  </property>
  <property fmtid="{D5CDD505-2E9C-101B-9397-08002B2CF9AE}" pid="4" name="KSOTemplateDocerSaveRecord">
    <vt:lpwstr>eyJoZGlkIjoiMzFlODM0ZTRlYmQ0YWQ5MDRlODdkYjZmZjA5NTk2MjIiLCJ1c2VySWQiOiIzNjE2Mzc1MzkifQ==</vt:lpwstr>
  </property>
</Properties>
</file>