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auto"/>
          <w:sz w:val="32"/>
          <w:szCs w:val="24"/>
          <w:u w:val="none"/>
        </w:rPr>
      </w:pPr>
      <w:r>
        <w:rPr>
          <w:rFonts w:hint="eastAsia" w:ascii="Arial" w:hAnsi="Arial"/>
          <w:b/>
          <w:bCs/>
          <w:color w:val="auto"/>
          <w:sz w:val="32"/>
          <w:szCs w:val="24"/>
          <w:u w:val="none"/>
        </w:rPr>
      </w:r>
      <w:r/>
    </w:p>
    <w:p>
      <w:pPr>
        <w:ind w:firstLine="964"/>
        <w:jc w:val="left"/>
        <w:spacing w:before="120" w:after="120" w:line="360" w:lineRule="auto"/>
        <w:rPr>
          <w:rFonts w:hint="eastAsia" w:ascii="Arial" w:hAnsi="Arial" w:eastAsia="宋体"/>
          <w:b/>
          <w:bCs/>
          <w:color w:val="auto"/>
          <w:sz w:val="32"/>
          <w:szCs w:val="24"/>
          <w:u w:val="none"/>
          <w:lang w:eastAsia="zh-CN"/>
        </w:rPr>
      </w:pPr>
      <w:r>
        <w:rPr>
          <w:rFonts w:hint="eastAsia" w:ascii="Arial" w:hAnsi="Arial"/>
          <w:b/>
          <w:bCs/>
          <w:color w:val="auto"/>
          <w:sz w:val="32"/>
          <w:szCs w:val="24"/>
          <w:u w:val="none"/>
        </w:rPr>
        <w:t xml:space="preserve">项目名称：</w:t>
      </w:r>
      <w:r>
        <w:rPr>
          <w:rFonts w:hint="eastAsia" w:ascii="Arial" w:hAnsi="Arial"/>
          <w:b/>
          <w:bCs/>
          <w:color w:val="auto"/>
          <w:sz w:val="32"/>
          <w:szCs w:val="24"/>
          <w:u w:val="none"/>
          <w:lang w:eastAsia="zh-CN"/>
        </w:rPr>
        <w:t xml:space="preserve">南通市公安局海门分局采购燃油服务</w:t>
      </w:r>
      <w:r>
        <w:rPr>
          <w:rFonts w:hint="eastAsia" w:ascii="Arial" w:hAnsi="Arial"/>
          <w:b/>
          <w:bCs/>
          <w:color w:val="auto"/>
          <w:sz w:val="32"/>
          <w:szCs w:val="24"/>
          <w:u w:val="none"/>
        </w:rPr>
        <w:t xml:space="preserve">项目</w:t>
      </w:r>
      <w:r>
        <w:rPr>
          <w:rFonts w:hint="eastAsia" w:ascii="Arial" w:hAnsi="Arial"/>
          <w:b/>
          <w:bCs/>
          <w:color w:val="auto"/>
          <w:sz w:val="32"/>
          <w:szCs w:val="24"/>
          <w:u w:val="none"/>
          <w:lang w:eastAsia="zh-CN"/>
        </w:rPr>
        <w:t xml:space="preserve">（第二次）</w:t>
      </w:r>
      <w:r/>
    </w:p>
    <w:p>
      <w:pPr>
        <w:ind w:firstLine="964"/>
        <w:spacing w:before="120" w:after="120" w:line="360" w:lineRule="auto"/>
        <w:rPr>
          <w:rFonts w:hint="eastAsia" w:ascii="宋体" w:hAnsi="宋体" w:eastAsia="宋体" w:cs="宋体"/>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JSZC-320614-JZCG-T2026-0019</w:t>
      </w:r>
      <w:r/>
    </w:p>
    <w:p>
      <w:pPr>
        <w:pStyle w:val="668"/>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3</w:t>
      </w:r>
      <w:r>
        <w:rPr>
          <w:rFonts w:hint="eastAsia" w:ascii="宋体" w:hAnsi="宋体" w:eastAsia="宋体" w:cs="宋体"/>
          <w:b/>
          <w:bCs/>
          <w:color w:val="000000"/>
          <w:sz w:val="32"/>
          <w:szCs w:val="24"/>
        </w:rPr>
        <w:t xml:space="preserve">月</w:t>
      </w:r>
      <w:r/>
    </w:p>
    <w:p>
      <w:pPr>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p>
    <w:tbl>
      <w:tblPr>
        <w:tblStyle w:val="66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1"/>
      </w:tblGrid>
      <w:tr>
        <w:trPr/>
        <w:tc>
          <w:tcPr>
            <w:tcW w:w="9781" w:type="dxa"/>
            <w:vAlign w:val="center"/>
            <w:textDirection w:val="lrTb"/>
            <w:noWrap w:val="false"/>
          </w:tcPr>
          <w:p>
            <w:pPr>
              <w:pStyle w:val="871"/>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项目概况</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南通市公安局海门分局采购燃油服务项目</w:t>
            </w:r>
            <w:r>
              <w:rPr>
                <w:rFonts w:hint="eastAsia"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JSZC-320614-JZCG-T2026-0019</w:t>
            </w:r>
            <w:bookmarkStart w:id="80" w:name="_GoBack"/>
            <w:r/>
            <w:bookmarkEnd w:id="80"/>
            <w:r>
              <w:rPr>
                <w:rFonts w:hint="eastAsia"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采购项目的潜在供应商应在江苏政府采购网 获取采购文件，并于202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04</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08</w:t>
            </w:r>
            <w:r>
              <w:rPr>
                <w:rFonts w:hint="eastAsia" w:ascii="宋体" w:hAnsi="宋体" w:eastAsia="宋体" w:cs="宋体"/>
                <w:color w:val="auto"/>
                <w:sz w:val="28"/>
                <w:szCs w:val="28"/>
                <w:shd w:val="clear" w:color="auto" w:fill="auto"/>
              </w:rPr>
              <w:t xml:space="preserve"> 09:00（北京时间）前递交响应文件。</w:t>
            </w:r>
            <w:r/>
          </w:p>
        </w:tc>
      </w:tr>
    </w:tbl>
    <w:p>
      <w:pPr>
        <w:pStyle w:val="845"/>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874"/>
          <w:rFonts w:hint="eastAsia" w:ascii="宋体" w:hAnsi="宋体" w:eastAsia="宋体" w:cs="宋体"/>
          <w:b/>
          <w:bCs/>
          <w:color w:val="auto"/>
          <w:sz w:val="28"/>
          <w:szCs w:val="28"/>
          <w:shd w:val="clear" w:color="auto" w:fill="auto"/>
        </w:rPr>
        <w:t xml:space="preserve">一、项目基本情况</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项目编号：JSZC-320614-JZCG-T2026-0019</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eastAsia="宋体" w:cs="宋体"/>
          <w:color w:val="auto"/>
          <w:sz w:val="28"/>
          <w:szCs w:val="28"/>
          <w:shd w:val="clear" w:color="auto" w:fill="auto"/>
          <w:lang w:val="en-US" w:eastAsia="zh-CN"/>
        </w:rPr>
        <w:t xml:space="preserve">南通市公安局海门分局采购燃油服务项目</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采购方式：竞争性</w:t>
      </w:r>
      <w:r>
        <w:rPr>
          <w:rFonts w:hint="eastAsia" w:ascii="宋体" w:hAnsi="宋体" w:eastAsia="宋体" w:cs="宋体"/>
          <w:color w:val="auto"/>
          <w:sz w:val="28"/>
          <w:szCs w:val="28"/>
          <w:shd w:val="clear" w:color="auto" w:fill="auto"/>
          <w:lang w:eastAsia="zh-CN"/>
        </w:rPr>
        <w:t xml:space="preserve">谈判</w:t>
      </w:r>
      <w:r>
        <w:rPr>
          <w:rFonts w:hint="eastAsia" w:ascii="宋体" w:hAnsi="宋体" w:eastAsia="宋体" w:cs="宋体"/>
          <w:color w:val="auto"/>
          <w:sz w:val="28"/>
          <w:szCs w:val="28"/>
          <w:shd w:val="clear" w:color="auto" w:fill="auto"/>
        </w:rPr>
        <w:t xml:space="preserve"> </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230</w:t>
      </w:r>
      <w:r>
        <w:rPr>
          <w:rFonts w:hint="eastAsia" w:ascii="宋体" w:hAnsi="宋体" w:eastAsia="宋体" w:cs="宋体"/>
          <w:color w:val="auto"/>
          <w:sz w:val="28"/>
          <w:szCs w:val="28"/>
          <w:shd w:val="clear" w:color="auto" w:fill="auto"/>
        </w:rPr>
        <w:t xml:space="preserve">万元 </w:t>
      </w:r>
      <w:r/>
    </w:p>
    <w:p>
      <w:pPr>
        <w:pStyle w:val="871"/>
        <w:ind w:firstLine="560"/>
        <w:jc w:val="left"/>
        <w:keepLines w:val="0"/>
        <w:keepNext w:val="0"/>
        <w:pageBreakBefore w:val="0"/>
        <w:spacing w:before="0" w:beforeAutospacing="0" w:after="0" w:afterAutospacing="0" w:line="360" w:lineRule="auto"/>
        <w:widowControl/>
        <w:rPr>
          <w:rFonts w:hint="default" w:ascii="宋体" w:hAnsi="宋体" w:eastAsia="宋体" w:cs="宋体"/>
          <w:color w:val="auto"/>
          <w:sz w:val="28"/>
          <w:szCs w:val="28"/>
          <w:shd w:val="clear" w:color="auto" w:fill="auto"/>
          <w:lang w:val="en-US"/>
        </w:rPr>
        <w:pBdr>
          <w:left w:val="none" w:color="000000" w:sz="0" w:space="0"/>
        </w:pBdr>
        <w:suppressLineNumbers w:val="0"/>
      </w:pPr>
      <w:r>
        <w:rPr>
          <w:rFonts w:hint="eastAsia" w:ascii="宋体" w:hAnsi="宋体" w:eastAsia="宋体" w:cs="宋体"/>
          <w:color w:val="auto"/>
          <w:sz w:val="28"/>
          <w:szCs w:val="28"/>
          <w:shd w:val="clear" w:color="auto" w:fill="auto"/>
        </w:rPr>
        <w:t xml:space="preserve">最高限价：</w:t>
      </w:r>
      <w:r>
        <w:rPr>
          <w:rFonts w:hint="eastAsia" w:cs="宋体"/>
          <w:color w:val="auto"/>
          <w:sz w:val="28"/>
          <w:szCs w:val="28"/>
          <w:shd w:val="clear" w:color="auto" w:fill="auto"/>
          <w:lang w:val="en-US" w:eastAsia="zh-CN"/>
        </w:rPr>
        <w:t xml:space="preserve">优惠率2%</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color w:val="auto"/>
          <w:sz w:val="28"/>
          <w:szCs w:val="28"/>
        </w:rPr>
        <w:pBdr>
          <w:left w:val="none" w:color="000000" w:sz="0" w:space="0"/>
        </w:pBdr>
        <w:suppressLineNumbers w:val="0"/>
      </w:pPr>
      <w:r>
        <w:rPr>
          <w:rFonts w:hint="eastAsia" w:ascii="宋体" w:hAnsi="宋体" w:cs="宋体"/>
          <w:color w:val="auto"/>
          <w:sz w:val="28"/>
          <w:szCs w:val="28"/>
          <w:lang w:val="en-US" w:eastAsia="zh-CN"/>
        </w:rPr>
        <w:t xml:space="preserve">注：</w:t>
      </w:r>
      <w:r>
        <w:rPr>
          <w:rFonts w:hint="eastAsia" w:ascii="宋体" w:hAnsi="宋体" w:eastAsia="宋体" w:cs="宋体"/>
          <w:color w:val="auto"/>
          <w:sz w:val="28"/>
          <w:szCs w:val="28"/>
          <w:highlight w:val="none"/>
          <w:lang w:eastAsia="zh-CN"/>
        </w:rPr>
        <w:t xml:space="preserve">报价方式为优惠率报价，</w:t>
      </w:r>
      <w:r>
        <w:rPr>
          <w:rFonts w:hint="eastAsia"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%≤优惠率报价＜</w:t>
      </w:r>
      <w:r>
        <w:rPr>
          <w:rFonts w:hint="eastAsia" w:cs="宋体"/>
          <w:color w:val="auto"/>
          <w:sz w:val="28"/>
          <w:szCs w:val="28"/>
          <w:highlight w:val="none"/>
          <w:lang w:val="en-US" w:eastAsia="zh-CN"/>
        </w:rPr>
        <w:t xml:space="preserve">100.00</w:t>
      </w:r>
      <w:r>
        <w:rPr>
          <w:rFonts w:hint="eastAsia" w:ascii="宋体" w:hAnsi="宋体" w:eastAsia="宋体" w:cs="宋体"/>
          <w:color w:val="auto"/>
          <w:sz w:val="28"/>
          <w:szCs w:val="28"/>
          <w:highlight w:val="none"/>
          <w:lang w:eastAsia="zh-CN"/>
        </w:rPr>
        <w:t xml:space="preserve">%，否则为无效响应。</w:t>
      </w:r>
      <w:r>
        <w:rPr>
          <w:rFonts w:hint="eastAsia" w:ascii="宋体" w:hAnsi="宋体"/>
          <w:b/>
          <w:bCs/>
          <w:color w:val="auto"/>
          <w:sz w:val="28"/>
          <w:szCs w:val="28"/>
        </w:rPr>
        <w:t xml:space="preserve">(特别提醒：因本项目采用苏采云线上开评标系统，系统仅默认优惠率报价方式，供应商须按优惠率进行报价。优惠率是指价格下降幅度的百分比。</w:t>
      </w:r>
      <w:r>
        <w:rPr>
          <w:rFonts w:hint="eastAsia" w:ascii="宋体" w:hAnsi="宋体"/>
          <w:color w:val="auto"/>
          <w:sz w:val="28"/>
          <w:szCs w:val="28"/>
        </w:rPr>
        <w:t xml:space="preserve">)</w:t>
      </w:r>
      <w:r/>
    </w:p>
    <w:p>
      <w:pPr>
        <w:pStyle w:val="871"/>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w:t>
      </w:r>
      <w:r>
        <w:rPr>
          <w:rFonts w:hint="eastAsia" w:ascii="宋体" w:hAnsi="宋体" w:cs="宋体"/>
          <w:sz w:val="28"/>
          <w:szCs w:val="28"/>
          <w:lang w:eastAsia="zh-CN"/>
        </w:rPr>
        <w:t xml:space="preserve">谈判</w:t>
      </w:r>
      <w:r>
        <w:rPr>
          <w:rFonts w:hint="eastAsia" w:ascii="宋体" w:hAnsi="宋体" w:cs="宋体"/>
          <w:sz w:val="28"/>
          <w:szCs w:val="28"/>
        </w:rPr>
        <w:t xml:space="preserve">文件，请仔细研究。</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4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874"/>
          <w:rFonts w:hint="eastAsia" w:ascii="宋体" w:hAnsi="宋体" w:eastAsia="宋体" w:cs="宋体"/>
          <w:b/>
          <w:bCs/>
          <w:color w:val="000000"/>
          <w:sz w:val="28"/>
          <w:szCs w:val="28"/>
          <w:shd w:val="clear" w:color="auto" w:fill="auto"/>
        </w:rPr>
        <w:t xml:space="preserve">二、申请人的资格要求</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w:t>
      </w:r>
      <w:r>
        <w:rPr>
          <w:rFonts w:hint="eastAsia" w:ascii="宋体" w:hAnsi="宋体" w:eastAsia="宋体" w:cs="宋体"/>
          <w:b w:val="0"/>
          <w:bCs w:val="0"/>
          <w:color w:val="auto"/>
          <w:sz w:val="28"/>
          <w:szCs w:val="28"/>
          <w:shd w:val="clear" w:color="auto" w:fill="auto"/>
        </w:rPr>
        <w:t xml:space="preserve">求：</w:t>
      </w:r>
      <w:r>
        <w:rPr>
          <w:rFonts w:hint="eastAsia" w:eastAsia="宋体" w:cs="宋体"/>
          <w:color w:val="auto"/>
          <w:sz w:val="28"/>
          <w:szCs w:val="28"/>
          <w:u w:val="none"/>
          <w:lang w:val="en-US" w:eastAsia="zh-CN"/>
        </w:rPr>
        <w:t xml:space="preserve">无</w:t>
      </w:r>
      <w:r>
        <w:rPr>
          <w:rFonts w:hint="eastAsia" w:ascii="宋体" w:hAnsi="宋体" w:eastAsia="宋体" w:cs="宋体"/>
          <w:color w:val="auto"/>
          <w:sz w:val="28"/>
          <w:szCs w:val="28"/>
          <w:u w:val="none"/>
        </w:rPr>
        <w:t xml:space="preserve">。</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871"/>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2.供应商具有</w:t>
      </w:r>
      <w:r>
        <w:rPr>
          <w:rFonts w:hint="eastAsia" w:ascii="宋体" w:hAnsi="宋体" w:eastAsia="宋体" w:cs="宋体"/>
          <w:color w:val="auto"/>
          <w:sz w:val="28"/>
          <w:szCs w:val="28"/>
          <w:shd w:val="clear" w:color="auto" w:fill="auto"/>
          <w:lang w:val="en-US" w:eastAsia="zh-CN"/>
        </w:rPr>
        <w:t xml:space="preserve">《成品油零售经营批准证书》</w:t>
      </w:r>
      <w:r>
        <w:rPr>
          <w:rFonts w:hint="eastAsia" w:eastAsia="宋体" w:cs="宋体"/>
          <w:color w:val="auto"/>
          <w:sz w:val="28"/>
          <w:szCs w:val="28"/>
          <w:shd w:val="clear" w:color="auto" w:fill="auto"/>
          <w:lang w:val="en-US" w:eastAsia="zh-CN"/>
        </w:rPr>
        <w:t xml:space="preserve">。</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eastAsia="宋体" w:cs="宋体"/>
          <w:color w:val="auto"/>
          <w:sz w:val="28"/>
          <w:szCs w:val="28"/>
          <w:shd w:val="clear" w:color="auto" w:fill="auto"/>
          <w:lang w:val="en-US" w:eastAsia="zh-CN"/>
        </w:rPr>
        <w:t xml:space="preserve">3</w:t>
      </w:r>
      <w:r>
        <w:rPr>
          <w:rFonts w:hint="eastAsia" w:ascii="宋体" w:hAnsi="宋体" w:eastAsia="宋体" w:cs="宋体"/>
          <w:color w:val="auto"/>
          <w:sz w:val="28"/>
          <w:szCs w:val="28"/>
          <w:shd w:val="clear" w:color="auto" w:fill="auto"/>
          <w:lang w:val="en-US" w:eastAsia="zh-CN"/>
        </w:rPr>
        <w:t xml:space="preserve">.</w:t>
      </w:r>
      <w:r>
        <w:rPr>
          <w:rFonts w:hint="eastAsia" w:ascii="宋体" w:hAnsi="宋体" w:eastAsia="宋体" w:cs="宋体"/>
          <w:b w:val="0"/>
          <w:bCs w:val="0"/>
          <w:color w:val="auto"/>
          <w:sz w:val="28"/>
          <w:szCs w:val="28"/>
          <w:shd w:val="clear" w:color="auto" w:fill="auto"/>
          <w:lang w:val="en-US" w:eastAsia="zh-CN"/>
        </w:rPr>
        <w:t xml:space="preserve">供应商具有</w:t>
      </w:r>
      <w:r>
        <w:rPr>
          <w:rFonts w:hint="eastAsia" w:ascii="宋体" w:hAnsi="宋体" w:eastAsia="宋体" w:cs="宋体"/>
          <w:color w:val="auto"/>
          <w:sz w:val="28"/>
          <w:szCs w:val="28"/>
          <w:shd w:val="clear" w:color="auto" w:fill="auto"/>
          <w:lang w:val="en-US" w:eastAsia="zh-CN"/>
        </w:rPr>
        <w:t xml:space="preserve">《危险化学品经营许可证》</w:t>
      </w:r>
      <w:r>
        <w:rPr>
          <w:rFonts w:hint="eastAsia" w:eastAsia="宋体" w:cs="宋体"/>
          <w:color w:val="auto"/>
          <w:sz w:val="28"/>
          <w:szCs w:val="28"/>
          <w:shd w:val="clear" w:color="auto" w:fill="auto"/>
          <w:lang w:val="en-US" w:eastAsia="zh-CN"/>
        </w:rPr>
        <w:t xml:space="preserve">。</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04</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02</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04</w:t>
      </w:r>
      <w:r>
        <w:rPr>
          <w:rFonts w:hint="eastAsia" w:ascii="宋体" w:hAnsi="宋体" w:eastAsia="宋体" w:cs="宋体"/>
          <w:sz w:val="28"/>
          <w:szCs w:val="28"/>
          <w:shd w:val="clear" w:color="auto" w:fill="auto"/>
          <w:lang w:val="en-US" w:eastAsia="zh-CN" w:bidi="ar"/>
        </w:rPr>
        <w:t xml:space="preserve">-07</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auto"/>
          <w:sz w:val="28"/>
          <w:szCs w:val="28"/>
          <w:shd w:val="clear" w:color="auto" w:fill="auto"/>
        </w:rPr>
        <w:t xml:space="preserve"> </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售价：0.00元 </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四、响应文件提交</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截止时间：202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04</w:t>
      </w:r>
      <w:r>
        <w:rPr>
          <w:rFonts w:hint="eastAsia" w:ascii="宋体" w:hAnsi="宋体" w:eastAsia="宋体" w:cs="宋体"/>
          <w:color w:val="auto"/>
          <w:sz w:val="28"/>
          <w:szCs w:val="28"/>
          <w:shd w:val="clear" w:color="auto" w:fill="auto"/>
        </w:rPr>
        <w:t xml:space="preserve">-08</w:t>
      </w:r>
      <w:r>
        <w:rPr>
          <w:rFonts w:hint="eastAsia" w:ascii="宋体" w:hAnsi="宋体" w:eastAsia="宋体" w:cs="宋体"/>
          <w:color w:val="auto"/>
          <w:sz w:val="28"/>
          <w:szCs w:val="28"/>
          <w:shd w:val="clear" w:color="auto" w:fill="auto"/>
        </w:rPr>
        <w:t xml:space="preserve"> 09:00 （北京时间）</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五、开启</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04</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08</w:t>
      </w:r>
      <w:r>
        <w:rPr>
          <w:rFonts w:hint="eastAsia" w:ascii="宋体" w:hAnsi="宋体" w:eastAsia="宋体" w:cs="宋体"/>
          <w:color w:val="auto"/>
          <w:sz w:val="28"/>
          <w:szCs w:val="28"/>
          <w:shd w:val="clear" w:color="auto" w:fill="auto"/>
        </w:rPr>
        <w:t xml:space="preserve"> 09:00 （北京时间）</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地点：海门区政府采购不见面开标室 </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六、公告期限</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自本公告发布之日起3个工作日。</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七、其他补充事宜</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68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658"/>
        <w:ind w:firstLine="562"/>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Style w:val="692"/>
          <w:rFonts w:hint="eastAsia" w:ascii="宋体" w:hAnsi="宋体" w:eastAsia="宋体" w:cs="宋体"/>
          <w:b/>
          <w:bCs/>
          <w:color w:val="auto"/>
          <w:sz w:val="28"/>
          <w:szCs w:val="28"/>
          <w:shd w:val="clear" w:color="auto" w:fill="auto"/>
        </w:rPr>
        <w:t xml:space="preserve">八、凡对本次采购提出询问，请按以下方式联系</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pStyle w:val="871"/>
        <w:ind w:firstLine="560"/>
        <w:spacing w:before="0" w:beforeAutospacing="0" w:after="0" w:afterAutospacing="0"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单位名称：南通市</w:t>
      </w:r>
      <w:r>
        <w:rPr>
          <w:rFonts w:hint="eastAsia" w:ascii="宋体" w:hAnsi="宋体" w:eastAsia="宋体" w:cs="宋体"/>
          <w:color w:val="auto"/>
          <w:sz w:val="28"/>
          <w:szCs w:val="28"/>
          <w:lang w:eastAsia="zh-CN"/>
        </w:rPr>
        <w:t xml:space="preserve">公安局</w:t>
      </w:r>
      <w:r>
        <w:rPr>
          <w:rFonts w:hint="eastAsia" w:ascii="宋体" w:hAnsi="宋体" w:eastAsia="宋体" w:cs="宋体"/>
          <w:color w:val="auto"/>
          <w:sz w:val="28"/>
          <w:szCs w:val="28"/>
        </w:rPr>
        <w:t xml:space="preserve">海门</w:t>
      </w:r>
      <w:r>
        <w:rPr>
          <w:rFonts w:hint="eastAsia" w:ascii="宋体" w:hAnsi="宋体" w:eastAsia="宋体" w:cs="宋体"/>
          <w:color w:val="auto"/>
          <w:sz w:val="28"/>
          <w:szCs w:val="28"/>
          <w:lang w:eastAsia="zh-CN"/>
        </w:rPr>
        <w:t xml:space="preserve">分局</w:t>
      </w:r>
      <w:r/>
    </w:p>
    <w:p>
      <w:pPr>
        <w:pStyle w:val="871"/>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单位地址：南通市海门区</w:t>
      </w:r>
      <w:r>
        <w:rPr>
          <w:rFonts w:hint="eastAsia" w:ascii="宋体" w:hAnsi="宋体" w:eastAsia="宋体" w:cs="宋体"/>
          <w:color w:val="auto"/>
          <w:sz w:val="28"/>
          <w:szCs w:val="28"/>
          <w:lang w:eastAsia="zh-CN"/>
        </w:rPr>
        <w:t xml:space="preserve">政法</w:t>
      </w:r>
      <w:r>
        <w:rPr>
          <w:rFonts w:hint="eastAsia" w:ascii="宋体" w:hAnsi="宋体" w:eastAsia="宋体" w:cs="宋体"/>
          <w:color w:val="auto"/>
          <w:sz w:val="28"/>
          <w:szCs w:val="28"/>
        </w:rPr>
        <w:t xml:space="preserve">路</w:t>
      </w:r>
      <w:r>
        <w:rPr>
          <w:rFonts w:hint="eastAsia" w:ascii="宋体" w:hAnsi="宋体" w:eastAsia="宋体" w:cs="宋体"/>
          <w:color w:val="auto"/>
          <w:sz w:val="28"/>
          <w:szCs w:val="28"/>
          <w:lang w:val="en-US" w:eastAsia="zh-CN"/>
        </w:rPr>
        <w:t xml:space="preserve">99</w:t>
      </w:r>
      <w:r>
        <w:rPr>
          <w:rFonts w:hint="eastAsia" w:ascii="宋体" w:hAnsi="宋体" w:eastAsia="宋体" w:cs="宋体"/>
          <w:color w:val="auto"/>
          <w:sz w:val="28"/>
          <w:szCs w:val="28"/>
        </w:rPr>
        <w:t xml:space="preserve">号</w:t>
      </w:r>
      <w:r/>
    </w:p>
    <w:p>
      <w:pPr>
        <w:pStyle w:val="871"/>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eastAsia="zh-CN"/>
        </w:rPr>
        <w:t xml:space="preserve">纪先生</w:t>
      </w:r>
      <w:r/>
    </w:p>
    <w:p>
      <w:pPr>
        <w:pStyle w:val="871"/>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lang w:val="en-US" w:eastAsia="zh-CN"/>
        </w:rPr>
        <w:t xml:space="preserve">13801461799</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871"/>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jc w:val="center"/>
        <w:spacing w:line="500" w:lineRule="exact"/>
        <w:rPr>
          <w:rFonts w:hint="eastAsia" w:ascii="宋体" w:hAnsi="宋体" w:eastAsia="宋体" w:cs="宋体"/>
          <w:sz w:val="36"/>
          <w:szCs w:val="36"/>
          <w:lang w:val="zh-CN"/>
        </w:rPr>
      </w:pPr>
      <w:r>
        <w:rPr>
          <w:rFonts w:hint="eastAsia" w:ascii="宋体" w:hAnsi="宋体" w:eastAsia="宋体" w:cs="宋体"/>
          <w:b/>
          <w:bCs/>
          <w:sz w:val="36"/>
          <w:szCs w:val="36"/>
          <w:lang w:val="zh-CN"/>
        </w:rPr>
        <w:t xml:space="preserve">第二部分 谈判须知</w:t>
      </w:r>
      <w:r/>
    </w:p>
    <w:p>
      <w:pPr>
        <w:keepLines/>
        <w:keepNext/>
        <w:spacing w:line="500" w:lineRule="exact"/>
        <w:rPr>
          <w:rFonts w:hint="eastAsia" w:ascii="宋体" w:hAnsi="宋体" w:eastAsia="宋体" w:cs="宋体"/>
          <w:b/>
          <w:bCs/>
          <w:sz w:val="28"/>
          <w:szCs w:val="28"/>
        </w:rPr>
        <w:outlineLvl w:val="2"/>
      </w:pPr>
      <w:r/>
      <w:bookmarkStart w:id="0" w:name="_Toc120614214"/>
      <w:r/>
      <w:bookmarkStart w:id="1" w:name="_Toc16938519"/>
      <w:r/>
      <w:bookmarkStart w:id="2" w:name="_Toc513029203"/>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16938520"/>
      <w:r/>
      <w:bookmarkStart w:id="7" w:name="_Toc513029204"/>
      <w:r/>
      <w:bookmarkStart w:id="8" w:name="_Toc20823276"/>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本次采取竞争性谈判方式，本谈判文件仅适用于谈判公告中所述项目。</w:t>
      </w:r>
      <w:r/>
    </w:p>
    <w:p>
      <w:pPr>
        <w:keepNext/>
        <w:spacing w:line="500" w:lineRule="exact"/>
        <w:rPr>
          <w:rFonts w:hint="eastAsia" w:ascii="宋体" w:hAnsi="宋体" w:eastAsia="宋体" w:cs="宋体"/>
          <w:b/>
          <w:bCs/>
          <w:sz w:val="28"/>
          <w:szCs w:val="28"/>
        </w:rPr>
        <w:outlineLvl w:val="3"/>
      </w:pPr>
      <w:r/>
      <w:bookmarkStart w:id="9" w:name="_Toc20823277"/>
      <w:r/>
      <w:bookmarkStart w:id="10" w:name="_Toc513029205"/>
      <w:r/>
      <w:bookmarkStart w:id="11" w:name="_Toc16938521"/>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p>
    <w:p>
      <w:pPr>
        <w:keepNext/>
        <w:spacing w:line="500" w:lineRule="exact"/>
        <w:rPr>
          <w:rFonts w:hint="eastAsia" w:ascii="宋体" w:hAnsi="宋体" w:eastAsia="宋体" w:cs="宋体"/>
          <w:b/>
          <w:bCs/>
          <w:sz w:val="28"/>
          <w:szCs w:val="28"/>
        </w:rPr>
        <w:outlineLvl w:val="3"/>
      </w:pPr>
      <w:r/>
      <w:bookmarkStart w:id="12" w:name="_Toc20823278"/>
      <w:r/>
      <w:bookmarkStart w:id="13" w:name="_Toc16938522"/>
      <w:r/>
      <w:bookmarkStart w:id="14" w:name="_Toc513029206"/>
      <w:r>
        <w:rPr>
          <w:rFonts w:hint="eastAsia" w:ascii="宋体" w:hAnsi="宋体" w:eastAsia="宋体" w:cs="宋体"/>
          <w:sz w:val="28"/>
          <w:szCs w:val="28"/>
        </w:rPr>
        <w:t xml:space="preserve">3.适用法律</w:t>
      </w:r>
      <w:bookmarkEnd w:id="12"/>
      <w:r/>
      <w:bookmarkEnd w:id="13"/>
      <w:r/>
      <w:bookmarkEnd w:id="14"/>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eastAsia="宋体" w:cs="宋体"/>
          <w:b/>
          <w:bCs/>
          <w:sz w:val="28"/>
          <w:szCs w:val="28"/>
        </w:rPr>
        <w:outlineLvl w:val="3"/>
      </w:pPr>
      <w:r/>
      <w:bookmarkStart w:id="15" w:name="_Toc462564067"/>
      <w:r/>
      <w:bookmarkStart w:id="16" w:name="_Toc20823279"/>
      <w:r/>
      <w:bookmarkStart w:id="17" w:name="_Toc16938523"/>
      <w:r/>
      <w:bookmarkStart w:id="18" w:name="_Toc513029207"/>
      <w:r>
        <w:rPr>
          <w:rFonts w:hint="eastAsia" w:ascii="宋体" w:hAnsi="宋体" w:eastAsia="宋体" w:cs="宋体"/>
          <w:sz w:val="28"/>
          <w:szCs w:val="28"/>
        </w:rPr>
        <w:t xml:space="preserve">4.谈判费用</w:t>
      </w:r>
      <w:bookmarkEnd w:id="15"/>
      <w:r/>
      <w:bookmarkEnd w:id="16"/>
      <w:r/>
      <w:bookmarkEnd w:id="17"/>
      <w:r/>
      <w:bookmarkEnd w:id="1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供应商一旦参加本项目采购活动，即被认为接受了本谈判文件的规定和约束。</w:t>
      </w:r>
      <w:r/>
    </w:p>
    <w:p>
      <w:pPr>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p>
    <w:p>
      <w:pPr>
        <w:keepLines/>
        <w:keepNext/>
        <w:spacing w:line="500" w:lineRule="exact"/>
        <w:rPr>
          <w:rFonts w:hint="eastAsia" w:ascii="宋体" w:hAnsi="宋体" w:eastAsia="宋体" w:cs="宋体"/>
          <w:b/>
          <w:bCs/>
          <w:sz w:val="28"/>
          <w:szCs w:val="28"/>
        </w:rPr>
        <w:outlineLvl w:val="2"/>
      </w:pPr>
      <w:r/>
      <w:bookmarkStart w:id="19" w:name="_Toc20823281"/>
      <w:r/>
      <w:bookmarkStart w:id="20" w:name="_Toc16938525"/>
      <w:r/>
      <w:bookmarkStart w:id="21" w:name="_Toc513029209"/>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
    </w:p>
    <w:p>
      <w:pPr>
        <w:keepNext/>
        <w:spacing w:line="500" w:lineRule="exact"/>
        <w:rPr>
          <w:rFonts w:hint="eastAsia" w:ascii="宋体" w:hAnsi="宋体" w:eastAsia="宋体" w:cs="宋体"/>
          <w:b/>
          <w:bCs/>
          <w:sz w:val="28"/>
          <w:szCs w:val="28"/>
        </w:rPr>
        <w:outlineLvl w:val="3"/>
      </w:pPr>
      <w:r/>
      <w:bookmarkStart w:id="23" w:name="_Toc16938526"/>
      <w:r/>
      <w:bookmarkStart w:id="24" w:name="_Toc513029210"/>
      <w:r/>
      <w:bookmarkStart w:id="25" w:name="_Toc20823282"/>
      <w:r>
        <w:rPr>
          <w:rFonts w:hint="eastAsia" w:ascii="宋体" w:hAnsi="宋体" w:eastAsia="宋体" w:cs="宋体"/>
          <w:sz w:val="28"/>
          <w:szCs w:val="28"/>
        </w:rPr>
        <w:t xml:space="preserve">1.谈判文件构成</w:t>
      </w:r>
      <w:bookmarkEnd w:id="23"/>
      <w:r/>
      <w:bookmarkEnd w:id="24"/>
      <w:r/>
      <w:bookmarkEnd w:id="25"/>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hint="eastAsia" w:ascii="宋体" w:hAnsi="宋体" w:eastAsia="宋体" w:cs="宋体"/>
          <w:b/>
          <w:bCs/>
          <w:sz w:val="28"/>
          <w:szCs w:val="28"/>
        </w:rPr>
        <w:outlineLvl w:val="3"/>
      </w:pPr>
      <w:r/>
      <w:bookmarkStart w:id="26" w:name="_Toc462564070"/>
      <w:r/>
      <w:bookmarkStart w:id="27" w:name="_Toc513029211"/>
      <w:r/>
      <w:bookmarkStart w:id="28" w:name="_Toc20823283"/>
      <w:r/>
      <w:bookmarkStart w:id="29" w:name="_Toc16938527"/>
      <w:r>
        <w:rPr>
          <w:rFonts w:hint="eastAsia" w:ascii="宋体" w:hAnsi="宋体" w:eastAsia="宋体" w:cs="宋体"/>
          <w:sz w:val="28"/>
          <w:szCs w:val="28"/>
        </w:rPr>
        <w:t xml:space="preserve">2.谈判文件的澄清</w:t>
      </w:r>
      <w:bookmarkEnd w:id="26"/>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keepNext/>
        <w:spacing w:line="500" w:lineRule="exact"/>
        <w:rPr>
          <w:rFonts w:hint="eastAsia" w:ascii="宋体" w:hAnsi="宋体" w:eastAsia="宋体" w:cs="宋体"/>
          <w:b/>
          <w:bCs/>
          <w:sz w:val="28"/>
          <w:szCs w:val="28"/>
        </w:rPr>
        <w:outlineLvl w:val="3"/>
      </w:pPr>
      <w:r/>
      <w:bookmarkStart w:id="30" w:name="_Toc462564071"/>
      <w:r/>
      <w:bookmarkStart w:id="31" w:name="_Toc513029212"/>
      <w:r/>
      <w:bookmarkStart w:id="32" w:name="_Toc16938528"/>
      <w:r/>
      <w:bookmarkStart w:id="33" w:name="_Toc20823284"/>
      <w:r>
        <w:rPr>
          <w:rFonts w:hint="eastAsia" w:ascii="宋体" w:hAnsi="宋体" w:eastAsia="宋体" w:cs="宋体"/>
          <w:sz w:val="28"/>
          <w:szCs w:val="28"/>
        </w:rPr>
        <w:t xml:space="preserve">3.谈判文件的修改</w:t>
      </w:r>
      <w:bookmarkEnd w:id="30"/>
      <w:r/>
      <w:bookmarkEnd w:id="31"/>
      <w:r/>
      <w:bookmarkEnd w:id="32"/>
      <w:r/>
      <w:bookmarkEnd w:id="33"/>
      <w:r/>
      <w:r/>
    </w:p>
    <w:p>
      <w:pPr>
        <w:ind w:firstLine="560"/>
        <w:keepLines w:val="0"/>
        <w:pageBreakBefore w:val="0"/>
        <w:spacing w:line="480" w:lineRule="exact"/>
        <w:widowControl w:val="off"/>
        <w:rPr>
          <w:rFonts w:hint="eastAsia" w:ascii="宋体" w:hAnsi="宋体" w:eastAsia="宋体" w:cs="宋体"/>
          <w:sz w:val="28"/>
          <w:szCs w:val="28"/>
        </w:rPr>
        <w:outlineLvl w:val="0"/>
      </w:pPr>
      <w:r/>
      <w:bookmarkStart w:id="34" w:name="_Toc16938529"/>
      <w:r/>
      <w:bookmarkStart w:id="35" w:name="_Toc120614216"/>
      <w:r/>
      <w:bookmarkStart w:id="36" w:name="_Toc513029213"/>
      <w:r/>
      <w:bookmarkStart w:id="37" w:name="_Toc20823285"/>
      <w:r/>
      <w:bookmarkStart w:id="38" w:name="_Toc462564072"/>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eastAsia="宋体" w:cs="宋体"/>
          <w:bCs/>
          <w:sz w:val="28"/>
          <w:szCs w:val="28"/>
        </w:rPr>
        <w:outlineLvl w:val="3"/>
      </w:pPr>
      <w:r/>
      <w:bookmarkStart w:id="39" w:name="_Toc462564073"/>
      <w:r/>
      <w:bookmarkStart w:id="40" w:name="_Toc513029214"/>
      <w:r/>
      <w:bookmarkStart w:id="41" w:name="_Toc16938530"/>
      <w:r/>
      <w:bookmarkStart w:id="42" w:name="_Toc20823286"/>
      <w:r>
        <w:rPr>
          <w:rFonts w:hint="eastAsia" w:ascii="宋体" w:hAnsi="宋体" w:eastAsia="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eastAsia="宋体" w:cs="宋体"/>
          <w:b/>
          <w:bCs/>
          <w:sz w:val="28"/>
          <w:szCs w:val="28"/>
        </w:rPr>
        <w:outlineLvl w:val="3"/>
      </w:pPr>
      <w:r/>
      <w:bookmarkStart w:id="43" w:name="_Toc462564074"/>
      <w:r/>
      <w:bookmarkStart w:id="44" w:name="_Toc513029215"/>
      <w:r/>
      <w:bookmarkStart w:id="45" w:name="_Toc16938531"/>
      <w:r/>
      <w:bookmarkStart w:id="46" w:name="_Toc20823287"/>
      <w:r>
        <w:rPr>
          <w:rFonts w:hint="eastAsia" w:ascii="宋体" w:hAnsi="宋体" w:eastAsia="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hint="eastAsia" w:ascii="宋体" w:hAnsi="宋体" w:eastAsia="宋体" w:cs="宋体"/>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bookmarkStart w:id="52" w:name="_Hlt26954739"/>
      <w:r/>
      <w:bookmarkEnd w:id="52"/>
      <w:r/>
      <w:bookmarkStart w:id="53" w:name="_Hlt26954852"/>
      <w:r/>
      <w:bookmarkEnd w:id="53"/>
      <w:r/>
      <w:bookmarkStart w:id="54" w:name="_Toc513029224"/>
      <w:r/>
      <w:bookmarkStart w:id="55" w:name="_Toc120614217"/>
      <w:r/>
      <w:bookmarkStart w:id="56" w:name="_Toc20823296"/>
      <w:r/>
      <w:bookmarkStart w:id="57" w:name="_Toc16938540"/>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eastAsia="宋体" w:cs="宋体"/>
          <w:color w:val="auto"/>
          <w:sz w:val="28"/>
          <w:szCs w:val="28"/>
          <w:lang w:val="en-US" w:eastAsia="zh-CN"/>
        </w:rPr>
        <w:t xml:space="preserve">5.5</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文件对证明文件无明确形式要求的，证明文件可以以文字资料、图纸和数据等形式提交</w:t>
      </w:r>
      <w:r>
        <w:rPr>
          <w:rFonts w:hint="eastAsia" w:ascii="宋体" w:hAnsi="宋体" w:eastAsia="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54"/>
      <w:bookmarkEnd w:id="55"/>
      <w:bookmarkEnd w:id="56"/>
      <w:bookmarkEnd w:id="57"/>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bookmarkStart w:id="58" w:name="_Toc513029229"/>
      <w:r/>
      <w:bookmarkStart w:id="59" w:name="_Toc120614218"/>
      <w:r/>
      <w:bookmarkStart w:id="60" w:name="_Toc16938545"/>
      <w:r/>
      <w:bookmarkStart w:id="61" w:name="_Toc20823301"/>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2" w:name="_Toc16938541"/>
      <w:r/>
      <w:bookmarkStart w:id="63" w:name="_Toc513029225"/>
      <w:r/>
      <w:bookmarkStart w:id="64" w:name="_Toc20823297"/>
      <w:r/>
      <w:bookmarkStart w:id="65" w:name="_Toc462564084"/>
      <w:r>
        <w:rPr>
          <w:rFonts w:hint="eastAsia" w:ascii="宋体" w:hAnsi="宋体" w:eastAsia="宋体" w:cs="宋体"/>
          <w:color w:val="auto"/>
          <w:sz w:val="28"/>
          <w:szCs w:val="28"/>
        </w:rPr>
        <w:t xml:space="preserve">1.响应文件</w:t>
      </w:r>
      <w:bookmarkEnd w:id="62"/>
      <w:r/>
      <w:bookmarkEnd w:id="63"/>
      <w:r/>
      <w:bookmarkEnd w:id="64"/>
      <w:r/>
      <w:bookmarkEnd w:id="65"/>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auto"/>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513029230"/>
      <w:r/>
      <w:bookmarkStart w:id="67" w:name="_Toc20823302"/>
      <w:r/>
      <w:bookmarkStart w:id="68" w:name="_Toc16938546"/>
      <w:r>
        <w:rPr>
          <w:rFonts w:hint="eastAsia" w:ascii="宋体" w:hAnsi="宋体" w:eastAsia="宋体" w:cs="宋体"/>
          <w:b/>
          <w:bCs/>
          <w:sz w:val="28"/>
          <w:szCs w:val="28"/>
        </w:rPr>
        <w:t xml:space="preserve">谈判与评审</w:t>
      </w:r>
      <w:r/>
    </w:p>
    <w:p>
      <w:pPr>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5.6 </w:t>
      </w:r>
      <w:r>
        <w:rPr>
          <w:rFonts w:hint="eastAsia" w:ascii="宋体" w:hAnsi="宋体" w:eastAsia="宋体" w:cs="宋体"/>
          <w:bCs/>
          <w:sz w:val="28"/>
          <w:szCs w:val="28"/>
          <w:lang w:val="en-US" w:eastAsia="zh-CN"/>
        </w:rPr>
        <w:t xml:space="preserve">谈判小组将允许修正响应文件中不构成重大偏离的、微小的、</w:t>
      </w:r>
      <w:r>
        <w:rPr>
          <w:rFonts w:hint="default" w:ascii="宋体" w:hAnsi="宋体" w:eastAsia="宋体" w:cs="宋体"/>
          <w:bCs/>
          <w:sz w:val="28"/>
          <w:szCs w:val="28"/>
          <w:lang w:val="en-US" w:eastAsia="zh-CN"/>
        </w:rPr>
        <w:t xml:space="preserve">非正规的、不一致的或不规则的地方，但这些修改不能影响任何供应商相应的名次排列。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5.8 供应商在评审全过程中应保持通讯畅通，并安排专人与采购中心及谈判小组联系。</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bookmarkEnd w:id="66"/>
      <w:bookmarkEnd w:id="67"/>
      <w:bookmarkEnd w:id="68"/>
      <w:r/>
    </w:p>
    <w:p>
      <w:pPr>
        <w:ind w:firstLine="562"/>
        <w:keepLines w:val="0"/>
        <w:pageBreakBefore w:val="0"/>
        <w:spacing w:line="480" w:lineRule="exact"/>
        <w:widowControl w:val="off"/>
        <w:rPr>
          <w:rFonts w:hint="eastAsia" w:ascii="宋体" w:hAnsi="宋体" w:eastAsia="宋体" w:cs="宋体"/>
          <w:b/>
          <w:bCs/>
          <w:color w:val="auto"/>
          <w:sz w:val="28"/>
          <w:szCs w:val="28"/>
        </w:rPr>
      </w:pPr>
      <w:r/>
      <w:bookmarkStart w:id="69" w:name="_Toc120614219"/>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p>
    <w:p>
      <w:pPr>
        <w:ind w:firstLine="560"/>
        <w:keepNext/>
        <w:spacing w:line="500" w:lineRule="exact"/>
        <w:rPr>
          <w:rFonts w:hint="eastAsia" w:ascii="宋体" w:hAnsi="宋体" w:eastAsia="宋体" w:cs="宋体"/>
          <w:b/>
          <w:sz w:val="28"/>
          <w:szCs w:val="28"/>
        </w:rPr>
        <w:outlineLvl w:val="3"/>
      </w:pPr>
      <w:r/>
      <w:bookmarkStart w:id="70" w:name="_Toc16938554"/>
      <w:r/>
      <w:bookmarkStart w:id="71" w:name="_Toc20823310"/>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采购人授权谈判小组在成交候选供应商中直接确定成交供应商。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未参加谈判活动的供应商或在谈判活动中自身权益未受到损害的供应商所提出的质疑。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hint="eastAsia" w:ascii="宋体" w:hAnsi="宋体" w:eastAsia="宋体" w:cs="宋体"/>
          <w:b/>
          <w:bCs/>
          <w:sz w:val="28"/>
          <w:szCs w:val="28"/>
        </w:rPr>
        <w:outlineLvl w:val="2"/>
      </w:pPr>
      <w:r/>
      <w:bookmarkStart w:id="73" w:name="_Toc120614220"/>
      <w:r/>
      <w:bookmarkStart w:id="74" w:name="_Toc20823308"/>
      <w:r/>
      <w:bookmarkStart w:id="75" w:name="_Toc513029236"/>
      <w:r/>
      <w:bookmarkStart w:id="76" w:name="_Toc16938552"/>
      <w:r>
        <w:rPr>
          <w:rFonts w:hint="eastAsia" w:ascii="宋体" w:hAnsi="宋体" w:eastAsia="宋体" w:cs="宋体"/>
          <w:b/>
          <w:bCs/>
          <w:sz w:val="28"/>
          <w:szCs w:val="28"/>
        </w:rPr>
        <w:t xml:space="preserve">（七）授予合同</w:t>
      </w:r>
      <w:bookmarkEnd w:id="73"/>
      <w:r/>
      <w:bookmarkEnd w:id="74"/>
      <w:bookmarkEnd w:id="75"/>
      <w:bookmarkEnd w:id="76"/>
      <w:r/>
    </w:p>
    <w:p>
      <w:pPr>
        <w:keepNext/>
        <w:spacing w:line="500" w:lineRule="exact"/>
        <w:rPr>
          <w:rFonts w:hint="eastAsia" w:ascii="宋体" w:hAnsi="宋体" w:eastAsia="宋体" w:cs="宋体"/>
          <w:b/>
          <w:sz w:val="28"/>
          <w:szCs w:val="28"/>
        </w:rPr>
        <w:outlineLvl w:val="3"/>
      </w:pPr>
      <w:r/>
      <w:bookmarkStart w:id="77" w:name="_Toc20823309"/>
      <w:r/>
      <w:bookmarkStart w:id="78" w:name="_Toc513029237"/>
      <w:r/>
      <w:bookmarkStart w:id="79" w:name="_Toc16938553"/>
      <w:r>
        <w:rPr>
          <w:rFonts w:hint="eastAsia" w:ascii="宋体" w:hAnsi="宋体" w:eastAsia="宋体" w:cs="宋体"/>
          <w:sz w:val="28"/>
          <w:szCs w:val="28"/>
        </w:rPr>
        <w:t xml:space="preserve">1.签订合同</w:t>
      </w:r>
      <w:r/>
    </w:p>
    <w:p>
      <w:pPr>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bookmarkEnd w:id="78"/>
      <w:bookmarkEnd w:id="79"/>
      <w:r/>
    </w:p>
    <w:p>
      <w:pPr>
        <w:pStyle w:val="660"/>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rPr>
        <w:t xml:space="preserve">采购标的清单</w:t>
      </w:r>
      <w:r/>
    </w:p>
    <w:p>
      <w:pPr>
        <w:ind w:firstLine="6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南通市</w:t>
      </w:r>
      <w:r>
        <w:rPr>
          <w:rFonts w:hint="eastAsia" w:ascii="宋体" w:hAnsi="宋体" w:eastAsia="宋体" w:cs="宋体"/>
          <w:color w:val="auto"/>
          <w:sz w:val="24"/>
          <w:szCs w:val="24"/>
          <w:lang w:eastAsia="zh-CN"/>
        </w:rPr>
        <w:t xml:space="preserve">公安局</w:t>
      </w:r>
      <w:r>
        <w:rPr>
          <w:rFonts w:hint="eastAsia" w:ascii="宋体" w:hAnsi="宋体" w:eastAsia="宋体" w:cs="宋体"/>
          <w:color w:val="auto"/>
          <w:sz w:val="24"/>
          <w:szCs w:val="24"/>
        </w:rPr>
        <w:t xml:space="preserve">海门</w:t>
      </w:r>
      <w:r>
        <w:rPr>
          <w:rFonts w:hint="eastAsia" w:ascii="宋体" w:hAnsi="宋体" w:eastAsia="宋体" w:cs="宋体"/>
          <w:color w:val="auto"/>
          <w:sz w:val="24"/>
          <w:szCs w:val="24"/>
          <w:lang w:eastAsia="zh-CN"/>
        </w:rPr>
        <w:t xml:space="preserve">分局为所属执法执勤</w:t>
      </w:r>
      <w:r>
        <w:rPr>
          <w:rFonts w:hint="eastAsia" w:ascii="宋体" w:hAnsi="宋体" w:eastAsia="宋体" w:cs="宋体"/>
          <w:color w:val="auto"/>
          <w:sz w:val="24"/>
          <w:szCs w:val="24"/>
          <w:lang w:val="zh-CN" w:eastAsia="zh-CN" w:bidi="ar-SA"/>
        </w:rPr>
        <w:t xml:space="preserve">用车（共计</w:t>
      </w:r>
      <w:r>
        <w:rPr>
          <w:rFonts w:hint="eastAsia" w:ascii="宋体" w:hAnsi="宋体" w:eastAsia="宋体" w:cs="宋体"/>
          <w:color w:val="auto"/>
          <w:sz w:val="24"/>
          <w:szCs w:val="24"/>
          <w:lang w:val="en-US" w:eastAsia="zh-CN" w:bidi="ar-SA"/>
        </w:rPr>
        <w:t xml:space="preserve">137辆</w:t>
      </w:r>
      <w:r>
        <w:rPr>
          <w:rFonts w:hint="eastAsia" w:ascii="宋体" w:hAnsi="宋体" w:eastAsia="宋体" w:cs="宋体"/>
          <w:color w:val="auto"/>
          <w:sz w:val="24"/>
          <w:szCs w:val="24"/>
          <w:lang w:val="zh-CN" w:eastAsia="zh-CN" w:bidi="ar-SA"/>
        </w:rPr>
        <w:t xml:space="preserve">）</w:t>
      </w:r>
      <w:r>
        <w:rPr>
          <w:rFonts w:hint="eastAsia" w:ascii="宋体" w:hAnsi="宋体" w:eastAsia="宋体" w:cs="宋体"/>
          <w:color w:val="auto"/>
          <w:sz w:val="24"/>
          <w:szCs w:val="24"/>
          <w:lang w:eastAsia="zh-CN"/>
        </w:rPr>
        <w:t xml:space="preserve">购买燃油服务</w:t>
      </w:r>
      <w:r>
        <w:rPr>
          <w:rFonts w:hint="eastAsia" w:ascii="宋体" w:hAnsi="宋体" w:eastAsia="宋体" w:cs="宋体"/>
          <w:color w:val="auto"/>
          <w:sz w:val="24"/>
          <w:szCs w:val="24"/>
        </w:rPr>
        <w:t xml:space="preserve">，每年</w:t>
      </w:r>
      <w:r>
        <w:rPr>
          <w:rFonts w:hint="eastAsia" w:ascii="宋体" w:hAnsi="宋体" w:eastAsia="宋体" w:cs="宋体"/>
          <w:color w:val="auto"/>
          <w:sz w:val="24"/>
          <w:szCs w:val="24"/>
          <w:lang w:eastAsia="zh-CN"/>
        </w:rPr>
        <w:t xml:space="preserve">燃油费用</w:t>
      </w:r>
      <w:r>
        <w:rPr>
          <w:rFonts w:hint="eastAsia" w:ascii="宋体" w:hAnsi="宋体" w:eastAsia="宋体" w:cs="宋体"/>
          <w:color w:val="auto"/>
          <w:sz w:val="24"/>
          <w:szCs w:val="24"/>
        </w:rPr>
        <w:t xml:space="preserve">约为</w:t>
      </w:r>
      <w:r>
        <w:rPr>
          <w:rFonts w:hint="eastAsia" w:ascii="宋体" w:hAnsi="宋体" w:eastAsia="宋体" w:cs="宋体"/>
          <w:color w:val="auto"/>
          <w:sz w:val="24"/>
          <w:szCs w:val="24"/>
          <w:lang w:val="en-US" w:eastAsia="zh-CN"/>
        </w:rPr>
        <w:t xml:space="preserve">230万元</w:t>
      </w:r>
      <w:r>
        <w:rPr>
          <w:rFonts w:hint="eastAsia" w:ascii="宋体" w:hAnsi="宋体" w:eastAsia="宋体" w:cs="宋体"/>
          <w:color w:val="auto"/>
          <w:sz w:val="24"/>
          <w:szCs w:val="24"/>
        </w:rPr>
        <w:t xml:space="preserve">。</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89"/>
        <w:gridCol w:w="4086"/>
      </w:tblGrid>
      <w:tr>
        <w:trPr>
          <w:cantSplit/>
          <w:jc w:val="center"/>
          <w:trHeight w:val="498"/>
        </w:trPr>
        <w:tc>
          <w:tcPr>
            <w:tcW w:w="8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序号</w:t>
            </w:r>
            <w:r/>
          </w:p>
        </w:tc>
        <w:tc>
          <w:tcPr>
            <w:tcW w:w="15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采购标的</w:t>
            </w:r>
            <w:r/>
          </w:p>
        </w:tc>
        <w:tc>
          <w:tcPr>
            <w:tcW w:w="40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对应中小企业划分标准所属行业</w:t>
            </w:r>
            <w:r/>
          </w:p>
        </w:tc>
      </w:tr>
      <w:tr>
        <w:trPr>
          <w:cantSplit/>
          <w:jc w:val="center"/>
          <w:trHeight w:val="513"/>
        </w:trPr>
        <w:tc>
          <w:tcPr>
            <w:tcW w:w="8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W w:w="15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燃油服务</w:t>
            </w:r>
            <w:r/>
          </w:p>
        </w:tc>
        <w:tc>
          <w:tcPr>
            <w:tcW w:w="40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零售业</w:t>
            </w:r>
            <w:r/>
          </w:p>
        </w:tc>
      </w:tr>
    </w:tbl>
    <w:p>
      <w:pP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rPr>
        <w:t xml:space="preserve">、技术要求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（一）经营网点要求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供应商中标后需在南通市海门区范围内设置不少于10个经营网点，确保加油服务的便利性。</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（二）油品质量与计量</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1.油品来源正规：必须从合法聚道、国有正规炼油厂或石油公司采购；</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2.质量保证：油品需符合国家标准，提供质检报告；</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3.计量准确：使用经检测合格的加油机，确保数量准确。</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（三）服务与管理</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1.全天候服务：提供7×24小时服务，随到随加服务；</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2.专用卡管理：为每辆执法执勤用车开设专用加油卡，卡与车牌绑定，实行“一车一卡一码”，并有专人负责管理执法执勤用车的加油账户。</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3.安全与监控：加油站需配备消防设备、高清监控（视频保存≥3个月）；</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（四）监督与违规处理</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1.定期对账：供应商需定期提供用油明细对账；</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2.严格监督：禁止用公务油卡为私车加油、购物或套现；</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3.违规清退：出现质量、计量问题或有效投诉可能被取消资格并列入黑名单</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、商务要求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eastAsia="zh-CN"/>
        </w:rPr>
        <w:t xml:space="preserve">期限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pacing w:val="-2"/>
          <w:sz w:val="24"/>
          <w:szCs w:val="24"/>
          <w:lang w:val="en-US" w:eastAsia="zh-CN"/>
        </w:rPr>
        <w:t xml:space="preserve">采购金额达到上限为止</w:t>
      </w:r>
      <w:r>
        <w:rPr>
          <w:rFonts w:hint="eastAsia" w:ascii="宋体" w:hAnsi="宋体" w:eastAsia="宋体" w:cs="宋体"/>
          <w:color w:val="auto"/>
          <w:sz w:val="24"/>
          <w:szCs w:val="24"/>
        </w:rPr>
        <w:t xml:space="preserve">。在国家政策不调整的情况下可签</w:t>
      </w:r>
      <w:r>
        <w:rPr>
          <w:rFonts w:hint="eastAsia" w:ascii="宋体" w:hAnsi="宋体" w:eastAsia="宋体" w:cs="宋体"/>
          <w:color w:val="auto"/>
          <w:sz w:val="24"/>
          <w:szCs w:val="24"/>
          <w:lang w:eastAsia="zh-CN"/>
        </w:rPr>
        <w:t xml:space="preserve">下</w:t>
      </w:r>
      <w:r>
        <w:rPr>
          <w:rFonts w:hint="eastAsia" w:ascii="宋体" w:hAnsi="宋体" w:eastAsia="宋体" w:cs="宋体"/>
          <w:color w:val="auto"/>
          <w:sz w:val="24"/>
          <w:szCs w:val="24"/>
        </w:rPr>
        <w:t xml:space="preserve">一年</w:t>
      </w:r>
      <w:r>
        <w:rPr>
          <w:rFonts w:hint="eastAsia" w:ascii="宋体" w:hAnsi="宋体" w:eastAsia="宋体" w:cs="宋体"/>
          <w:color w:val="auto"/>
          <w:sz w:val="24"/>
          <w:szCs w:val="24"/>
          <w:lang w:eastAsia="zh-CN"/>
        </w:rPr>
        <w:t xml:space="preserve">度</w:t>
      </w: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eastAsia="zh-CN"/>
        </w:rPr>
        <w:t xml:space="preserve">，最多可续签二年</w:t>
      </w:r>
      <w:r>
        <w:rPr>
          <w:rFonts w:hint="eastAsia" w:ascii="宋体" w:hAnsi="宋体" w:eastAsia="宋体" w:cs="宋体"/>
          <w:color w:val="auto"/>
          <w:sz w:val="24"/>
          <w:szCs w:val="24"/>
          <w:lang w:val="zh-CN"/>
        </w:rPr>
        <w:t xml:space="preserve">。</w:t>
      </w:r>
      <w:r/>
    </w:p>
    <w:p>
      <w:pPr>
        <w:ind w:firstLine="652"/>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付款方式：每月按实际充值金额结算。</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本项目采用优惠率报价，</w:t>
      </w:r>
      <w:r>
        <w:rPr>
          <w:rFonts w:hint="eastAsia" w:ascii="宋体" w:hAnsi="宋体" w:eastAsia="宋体" w:cs="宋体"/>
          <w:color w:val="auto"/>
          <w:sz w:val="24"/>
          <w:szCs w:val="24"/>
          <w:lang w:val="en-US" w:eastAsia="zh-CN"/>
        </w:rPr>
        <w:t xml:space="preserve">以国家发改委定期公布的汽柴油零售挂牌价作为基准价，实际结算价=基准价*（1-优惠率）。</w:t>
      </w:r>
      <w:r/>
    </w:p>
    <w:p>
      <w:pPr>
        <w:ind w:firstLine="65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项目属性:</w:t>
      </w:r>
      <w:r>
        <w:rPr>
          <w:rFonts w:hint="eastAsia" w:ascii="宋体" w:hAnsi="宋体" w:eastAsia="宋体" w:cs="宋体"/>
          <w:color w:val="000000"/>
          <w:sz w:val="24"/>
          <w:szCs w:val="24"/>
          <w:lang w:val="en-US" w:eastAsia="zh-CN"/>
        </w:rPr>
        <w:t xml:space="preserve">服务类</w:t>
      </w:r>
      <w:r>
        <w:rPr>
          <w:rFonts w:hint="eastAsia" w:ascii="宋体" w:hAnsi="宋体" w:eastAsia="宋体" w:cs="宋体"/>
          <w:color w:val="000000"/>
          <w:sz w:val="24"/>
          <w:szCs w:val="24"/>
        </w:rPr>
        <w:t xml:space="preserve">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2.履约保证金：无。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3.拟签订合同条款：</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南通市公安局海门分局采购</w:t>
      </w:r>
      <w:r>
        <w:rPr>
          <w:rFonts w:hint="eastAsia" w:ascii="宋体" w:hAnsi="宋体" w:eastAsia="宋体" w:cs="宋体"/>
          <w:color w:val="000000"/>
          <w:sz w:val="24"/>
          <w:szCs w:val="24"/>
          <w:lang w:val="en-US" w:eastAsia="zh-CN"/>
        </w:rPr>
        <w:t xml:space="preserve">燃油服务</w:t>
      </w:r>
      <w:r>
        <w:rPr>
          <w:rFonts w:hint="eastAsia" w:ascii="宋体" w:hAnsi="宋体" w:eastAsia="宋体" w:cs="宋体"/>
          <w:color w:val="000000"/>
          <w:sz w:val="24"/>
          <w:szCs w:val="24"/>
          <w:lang w:eastAsia="zh-CN"/>
        </w:rPr>
        <w:t xml:space="preserve">项目  </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项目编号</w:t>
      </w:r>
      <w:r>
        <w:rPr>
          <w:rFonts w:hint="eastAsia" w:ascii="宋体" w:hAnsi="宋体" w:eastAsia="宋体" w:cs="宋体"/>
          <w:color w:val="000000"/>
          <w:sz w:val="24"/>
          <w:szCs w:val="24"/>
        </w:rPr>
        <w:t xml:space="preserve">：</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lang w:eastAsia="zh-CN"/>
        </w:rPr>
        <w:t xml:space="preserve">南通市公安局海门分局</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乙方：_______</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__</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南通市</w:t>
      </w:r>
      <w:r>
        <w:rPr>
          <w:rFonts w:hint="eastAsia" w:ascii="宋体" w:hAnsi="宋体" w:eastAsia="宋体" w:cs="宋体"/>
          <w:sz w:val="24"/>
          <w:szCs w:val="24"/>
        </w:rPr>
        <w:t xml:space="preserve">海门</w:t>
      </w:r>
      <w:r>
        <w:rPr>
          <w:rFonts w:hint="eastAsia" w:ascii="宋体" w:hAnsi="宋体" w:eastAsia="宋体" w:cs="宋体"/>
          <w:sz w:val="24"/>
          <w:szCs w:val="24"/>
          <w:lang w:val="en-US" w:eastAsia="zh-CN"/>
        </w:rPr>
        <w:t xml:space="preserve">区</w:t>
      </w:r>
      <w:r>
        <w:rPr>
          <w:rFonts w:hint="eastAsia" w:ascii="宋体" w:hAnsi="宋体" w:eastAsia="宋体" w:cs="宋体"/>
          <w:sz w:val="24"/>
          <w:szCs w:val="24"/>
        </w:rPr>
        <w:t xml:space="preserve">公共资源交易中心招标结果，甲乙双方本着平等、自愿和诚实信用的原则,订立如下合同：</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一、</w:t>
      </w:r>
      <w:r>
        <w:rPr>
          <w:rFonts w:hint="eastAsia" w:ascii="宋体" w:hAnsi="宋体" w:eastAsia="宋体" w:cs="宋体"/>
          <w:b/>
          <w:sz w:val="24"/>
          <w:szCs w:val="24"/>
          <w:lang w:eastAsia="zh-CN"/>
        </w:rPr>
        <w:t xml:space="preserve">采购内容</w:t>
      </w:r>
      <w:r/>
    </w:p>
    <w:p>
      <w:pPr>
        <w:ind w:firstLine="54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甲方向乙方采购所属执法执勤</w:t>
      </w:r>
      <w:r>
        <w:rPr>
          <w:rFonts w:hint="eastAsia" w:ascii="宋体" w:hAnsi="宋体" w:eastAsia="宋体" w:cs="宋体"/>
          <w:sz w:val="24"/>
          <w:szCs w:val="24"/>
          <w:lang w:val="zh-CN" w:eastAsia="zh-CN"/>
        </w:rPr>
        <w:t xml:space="preserve">用车（共计</w:t>
      </w:r>
      <w:r>
        <w:rPr>
          <w:rFonts w:hint="eastAsia" w:ascii="宋体" w:hAnsi="宋体" w:eastAsia="宋体" w:cs="宋体"/>
          <w:sz w:val="24"/>
          <w:szCs w:val="24"/>
          <w:lang w:val="en-US" w:eastAsia="zh-CN"/>
        </w:rPr>
        <w:t xml:space="preserve">137辆</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购买燃油服务，每年用油费用约为</w:t>
      </w:r>
      <w:r>
        <w:rPr>
          <w:rFonts w:hint="eastAsia" w:ascii="宋体" w:hAnsi="宋体" w:eastAsia="宋体" w:cs="宋体"/>
          <w:sz w:val="24"/>
          <w:szCs w:val="24"/>
          <w:lang w:val="en-US" w:eastAsia="zh-CN"/>
        </w:rPr>
        <w:t xml:space="preserve">230万元</w:t>
      </w:r>
      <w:r>
        <w:rPr>
          <w:rFonts w:hint="eastAsia" w:ascii="宋体" w:hAnsi="宋体" w:eastAsia="宋体" w:cs="宋体"/>
          <w:sz w:val="24"/>
          <w:szCs w:val="24"/>
          <w:lang w:eastAsia="zh-CN"/>
        </w:rPr>
        <w:t xml:space="preserve">。</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二、合同期限</w:t>
      </w:r>
      <w:r/>
    </w:p>
    <w:p>
      <w:pPr>
        <w:ind w:firstLine="54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自合同签订次日起算一年或</w:t>
      </w:r>
      <w:r>
        <w:rPr>
          <w:rFonts w:hint="eastAsia" w:ascii="宋体" w:hAnsi="宋体" w:eastAsia="宋体" w:cs="宋体"/>
          <w:sz w:val="24"/>
          <w:szCs w:val="24"/>
          <w:lang w:val="en-US" w:eastAsia="zh-CN"/>
        </w:rPr>
        <w:t xml:space="preserve">采购金额达到上限为止</w:t>
      </w:r>
      <w:r>
        <w:rPr>
          <w:rFonts w:hint="eastAsia" w:ascii="宋体" w:hAnsi="宋体" w:eastAsia="宋体" w:cs="宋体"/>
          <w:sz w:val="24"/>
          <w:szCs w:val="24"/>
          <w:lang w:eastAsia="zh-CN"/>
        </w:rPr>
        <w:t xml:space="preserve">。在国家政策不调整的情况下可签下一年度合同，最多可续签二年</w:t>
      </w:r>
      <w:r>
        <w:rPr>
          <w:rFonts w:hint="eastAsia" w:ascii="宋体" w:hAnsi="宋体" w:eastAsia="宋体" w:cs="宋体"/>
          <w:sz w:val="24"/>
          <w:szCs w:val="24"/>
          <w:lang w:val="zh-CN" w:eastAsia="zh-CN"/>
        </w:rPr>
        <w:t xml:space="preserve">。</w:t>
      </w:r>
      <w:r/>
    </w:p>
    <w:p>
      <w:pPr>
        <w:ind w:firstLine="54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三、结算及付款方式</w:t>
      </w:r>
      <w:r/>
    </w:p>
    <w:p>
      <w:pPr>
        <w:ind w:firstLine="54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1、乙方按照中标折率给予甲方优惠。</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2、实际结算价=基准价*（1-优惠率）。</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四、相关要求：</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（一）经营网点要求</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供应商中标后需在南通市海门区范围内设置不少于10个经营网点，确保加油服务的便利性。</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（二）油品质量与计量</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1.油品来源正规：必须从合法聚道、国有正规炼油厂或石油公司采购；</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2.质量保证：油品需符合国家标准，提供质检报告；</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3.计量准确：使用经检测合格的加油机，确保数量准确。</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（三）服务与管理</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1.全天候服务：提供7×24小时服务，随到随加服务；</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2.专用卡管理：为每辆执法执勤用车开设专用加油卡，卡与车牌绑定，实行“一车一卡一码”，并有专人负责管理执法执勤用车的加油账户。</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3.安全与监控：加油站需配备消防设备、高清监控（视频保存≥3个月）；</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（四）监督与违规处理</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1.定期对账：乙方需定期提供用油明细对账；</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2.严格监督：禁止用公务油卡为私车加油、购物或套现；</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3.违规清退：出现质量、计量问题或有效投诉可能被取消资格并列入黑名单</w:t>
      </w:r>
      <w:r/>
    </w:p>
    <w:p>
      <w:pPr>
        <w:ind w:firstLine="63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五</w:t>
      </w:r>
      <w:r>
        <w:rPr>
          <w:rFonts w:hint="eastAsia" w:ascii="宋体" w:hAnsi="宋体" w:eastAsia="宋体" w:cs="宋体"/>
          <w:b/>
          <w:sz w:val="24"/>
          <w:szCs w:val="24"/>
        </w:rPr>
        <w:t xml:space="preserve">、合同争议的处理方式</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若发生争议,由双方友好协商解决或根据《中华人民共和国政府采购法》及《中华人民共和国合同法》有关规定进行解决。</w:t>
      </w:r>
      <w:r/>
    </w:p>
    <w:p>
      <w:pPr>
        <w:ind w:firstLine="63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、组成本合同的文件包括</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⒈ 本合同条款；</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⒉ 本项目的政府采购文件和乙方的应标文件；</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⒊ 甲方双方其它按规定约定事宜。</w:t>
      </w:r>
      <w:r/>
    </w:p>
    <w:p>
      <w:pPr>
        <w:numPr>
          <w:ilvl w:val="0"/>
          <w:numId w:val="0"/>
        </w:numPr>
        <w:ind w:firstLine="56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七、合同生效</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本合同由甲乙双方签字、盖章后生效。</w:t>
      </w:r>
      <w:r/>
    </w:p>
    <w:p>
      <w:pPr>
        <w:ind w:firstLine="56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八</w:t>
      </w:r>
      <w:r>
        <w:rPr>
          <w:rFonts w:hint="eastAsia" w:ascii="宋体" w:hAnsi="宋体" w:eastAsia="宋体" w:cs="宋体"/>
          <w:b/>
          <w:bCs/>
          <w:color w:val="000000"/>
          <w:sz w:val="24"/>
          <w:szCs w:val="24"/>
        </w:rPr>
        <w:t xml:space="preserve">、份数</w:t>
      </w:r>
      <w:r/>
    </w:p>
    <w:p>
      <w:pPr>
        <w:ind w:firstLine="5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两 </w:t>
      </w:r>
      <w:r>
        <w:rPr>
          <w:rFonts w:hint="eastAsia" w:ascii="宋体" w:hAnsi="宋体" w:eastAsia="宋体" w:cs="宋体"/>
          <w:color w:val="000000"/>
          <w:sz w:val="24"/>
          <w:szCs w:val="24"/>
        </w:rPr>
        <w:t xml:space="preserve">份，甲乙双方各执</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份，具有同等效力。</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u w:val="single"/>
          <w:lang w:eastAsia="zh-CN"/>
        </w:rPr>
        <w:t xml:space="preserve">南通市公安局海门分局</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法定（</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南通市海门区海门街道政法路99号</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b/>
          <w:sz w:val="24"/>
          <w:szCs w:val="24"/>
          <w:u w:val="single"/>
          <w:lang w:val="en-US"/>
        </w:rPr>
      </w:pPr>
      <w:r>
        <w:rPr>
          <w:rFonts w:hint="eastAsia" w:ascii="宋体" w:hAnsi="宋体" w:eastAsia="宋体" w:cs="宋体"/>
          <w:sz w:val="24"/>
          <w:szCs w:val="24"/>
        </w:rPr>
        <w:t xml:space="preserve">乙方（供方）（盖章）：</w:t>
      </w:r>
      <w:r>
        <w:rPr>
          <w:rFonts w:hint="eastAsia" w:ascii="宋体" w:hAnsi="宋体" w:eastAsia="宋体" w:cs="宋体"/>
          <w:b/>
          <w:sz w:val="24"/>
          <w:szCs w:val="24"/>
          <w:u w:val="single"/>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法定（</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授权）代表人：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u w:val="single"/>
          <w:lang w:val="en-US" w:eastAsia="zh-CN"/>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360" w:lineRule="auto"/>
        <w:widowControl w:val="off"/>
        <w:rPr>
          <w:rFonts w:hint="eastAsia" w:ascii="宋体" w:hAnsi="宋体" w:eastAsia="宋体" w:cs="宋体"/>
          <w:b/>
          <w: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签订地点：</w:t>
      </w:r>
      <w:r>
        <w:rPr>
          <w:rFonts w:hint="eastAsia" w:ascii="宋体" w:hAnsi="宋体" w:eastAsia="宋体" w:cs="宋体"/>
          <w:sz w:val="24"/>
          <w:szCs w:val="24"/>
          <w:u w:val="single"/>
          <w:lang w:eastAsia="zh-CN"/>
        </w:rPr>
        <w:t xml:space="preserve">南通海门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参加谈判活动。</w:t>
      </w:r>
      <w:r/>
    </w:p>
    <w:p>
      <w:pPr>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hint="default" w:ascii="宋体" w:hAnsi="宋体" w:eastAsia="宋体" w:cs="宋体"/>
          <w:bCs/>
          <w:sz w:val="28"/>
          <w:szCs w:val="28"/>
          <w:lang w:val="en-US" w:eastAsia="zh-CN"/>
        </w:rPr>
        <w:t xml:space="preserve">能满足采购文件实质性响应要求且最后报价最低的原则确定成交供应商。 </w:t>
      </w:r>
      <w:r/>
    </w:p>
    <w:p>
      <w:pPr>
        <w:ind w:firstLine="57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采购人委托谈判小组直接确定排名第一的成交候选人为成交供应商。</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rPr>
        <w:t xml:space="preserve">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sz w:val="24"/>
          <w:szCs w:val="21"/>
        </w:rPr>
        <w:t xml:space="preserve">投标函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rPr>
        <w:t xml:space="preserve">招标文件（含技术</w:t>
      </w:r>
      <w:r>
        <w:rPr>
          <w:rFonts w:ascii="宋体" w:hAnsi="宋体" w:eastAsia="宋体" w:cs="Times New Roman"/>
          <w:color w:val="auto"/>
          <w:sz w:val="24"/>
          <w:szCs w:val="24"/>
          <w:highlight w:val="none"/>
        </w:rPr>
        <w:t xml:space="preserve">要求和商务</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auto"/>
          <w:sz w:val="24"/>
          <w:szCs w:val="24"/>
          <w:highlight w:val="none"/>
        </w:rPr>
        <w:t xml:space="preserve">的实质性要求逐条做出响应，并按照招标文件要求提供证明材料，否则作无效</w:t>
      </w:r>
      <w:r>
        <w:rPr>
          <w:rFonts w:hint="eastAsia" w:ascii="宋体" w:hAnsi="宋体" w:eastAsia="宋体" w:cs="Times New Roman"/>
          <w:color w:val="auto"/>
          <w:sz w:val="24"/>
          <w:szCs w:val="24"/>
          <w:highlight w:val="none"/>
          <w:lang w:eastAsia="zh-CN"/>
        </w:rPr>
        <w:t xml:space="preserve">响应</w:t>
      </w:r>
      <w:r>
        <w:rPr>
          <w:rFonts w:hint="eastAsia" w:ascii="宋体" w:hAnsi="宋体" w:eastAsia="宋体" w:cs="Times New Roman"/>
          <w:color w:val="auto"/>
          <w:sz w:val="24"/>
          <w:szCs w:val="24"/>
          <w:highlight w:val="none"/>
        </w:rPr>
        <w:t xml:space="preserve">处理。（格式见附件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688"/>
        <w:jc w:val="center"/>
        <w:keepLines w:val="0"/>
        <w:keepNext w:val="0"/>
        <w:widowControl/>
        <w:rPr>
          <w:sz w:val="32"/>
          <w:szCs w:val="32"/>
        </w:rPr>
        <w:suppressLineNumbers w:val="0"/>
      </w:pPr>
      <w:r>
        <w:rPr>
          <w:rStyle w:val="692"/>
          <w:sz w:val="32"/>
          <w:szCs w:val="32"/>
        </w:rPr>
        <w:t xml:space="preserve">谈判报价表</w:t>
      </w:r>
      <w:r/>
    </w:p>
    <w:p>
      <w:pPr>
        <w:pStyle w:val="688"/>
        <w:keepLines w:val="0"/>
        <w:keepNext w:val="0"/>
        <w:widowControl/>
        <w:suppressLineNumbers w:val="0"/>
      </w:pPr>
      <w:r>
        <w:t xml:space="preserve">项目编号：</w:t>
      </w:r>
      <w:r>
        <w:rPr>
          <w:rFonts w:hint="eastAsia"/>
          <w:lang w:val="en-US" w:eastAsia="zh-CN"/>
        </w:rPr>
        <w:t xml:space="preserve"> </w:t>
      </w:r>
      <w:r>
        <w:t xml:space="preserve"> </w:t>
      </w:r>
      <w:r/>
    </w:p>
    <w:p>
      <w:pPr>
        <w:pStyle w:val="688"/>
        <w:keepLines w:val="0"/>
        <w:keepNext w:val="0"/>
        <w:widowControl/>
        <w:suppressLineNumbers w:val="0"/>
      </w:pPr>
      <w:r>
        <w:t xml:space="preserve">本次为首次报价</w:t>
      </w:r>
      <w:r/>
    </w:p>
    <w:p>
      <w:pPr>
        <w:pStyle w:val="688"/>
        <w:keepLines w:val="0"/>
        <w:keepNext w:val="0"/>
        <w:widowControl/>
        <w:suppressLineNumbers w:val="0"/>
      </w:pPr>
      <w:r>
        <w:t xml:space="preserve">货币单位：人民币元</w:t>
      </w:r>
      <w:r/>
    </w:p>
    <w:tbl>
      <w:tblPr>
        <w:tblStyle w:val="667"/>
        <w:tblW w:w="9397"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90"/>
        <w:gridCol w:w="3187"/>
        <w:gridCol w:w="2349"/>
        <w:gridCol w:w="1271"/>
      </w:tblGrid>
      <w:tr>
        <w:trPr>
          <w:tblCellSpacing w:w="15" w:type="dxa"/>
          <w:trHeight w:val="446"/>
        </w:trPr>
        <w:tc>
          <w:tcPr>
            <w:tcW w:w="2545" w:type="dxa"/>
            <w:vAlign w:val="center"/>
            <w:textDirection w:val="lrTb"/>
            <w:noWrap w:val="false"/>
          </w:tcPr>
          <w:p>
            <w:pPr>
              <w:pStyle w:val="688"/>
              <w:jc w:val="center"/>
              <w:keepLines w:val="0"/>
              <w:keepNext w:val="0"/>
              <w:widowControl/>
              <w:suppressLineNumbers w:val="0"/>
            </w:pPr>
            <w:r>
              <w:t xml:space="preserve">项目名称</w:t>
            </w:r>
            <w:r/>
          </w:p>
        </w:tc>
        <w:tc>
          <w:tcPr>
            <w:tcW w:w="3157" w:type="dxa"/>
            <w:vAlign w:val="center"/>
            <w:textDirection w:val="lrTb"/>
            <w:noWrap w:val="false"/>
          </w:tcPr>
          <w:p>
            <w:pPr>
              <w:pStyle w:val="688"/>
              <w:jc w:val="center"/>
              <w:keepLines w:val="0"/>
              <w:keepNext w:val="0"/>
              <w:widowControl/>
              <w:suppressLineNumbers w:val="0"/>
            </w:pPr>
            <w:r>
              <w:t xml:space="preserve">项目内容</w:t>
            </w:r>
            <w:r/>
          </w:p>
        </w:tc>
        <w:tc>
          <w:tcPr>
            <w:tcW w:w="2319" w:type="dxa"/>
            <w:vAlign w:val="center"/>
            <w:textDirection w:val="lrTb"/>
            <w:noWrap w:val="false"/>
          </w:tcPr>
          <w:p>
            <w:pPr>
              <w:pStyle w:val="688"/>
              <w:jc w:val="center"/>
              <w:keepLines w:val="0"/>
              <w:keepNext w:val="0"/>
              <w:widowControl/>
              <w:suppressLineNumbers w:val="0"/>
            </w:pPr>
            <w:r>
              <w:t xml:space="preserve">报价（小写）</w:t>
            </w:r>
            <w:r/>
          </w:p>
        </w:tc>
        <w:tc>
          <w:tcPr>
            <w:tcW w:w="1226" w:type="dxa"/>
            <w:vAlign w:val="center"/>
            <w:textDirection w:val="lrTb"/>
            <w:noWrap w:val="false"/>
          </w:tcPr>
          <w:p>
            <w:pPr>
              <w:pStyle w:val="688"/>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688"/>
              <w:keepLines w:val="0"/>
              <w:keepNext w:val="0"/>
              <w:widowControl/>
              <w:suppressLineNumbers w:val="0"/>
            </w:pPr>
            <w:r>
              <w:t xml:space="preserve"> </w:t>
            </w:r>
            <w:r/>
          </w:p>
        </w:tc>
        <w:tc>
          <w:tcPr>
            <w:tcW w:w="3157" w:type="dxa"/>
            <w:vAlign w:val="center"/>
            <w:textDirection w:val="lrTb"/>
            <w:noWrap w:val="false"/>
          </w:tcPr>
          <w:p>
            <w:pPr>
              <w:pStyle w:val="688"/>
              <w:keepLines w:val="0"/>
              <w:keepNext w:val="0"/>
              <w:widowControl/>
              <w:suppressLineNumbers w:val="0"/>
            </w:pPr>
            <w:r>
              <w:t xml:space="preserve">详见《谈判文件》</w:t>
            </w:r>
            <w:r/>
          </w:p>
        </w:tc>
        <w:tc>
          <w:tcPr>
            <w:tcW w:w="2319" w:type="dxa"/>
            <w:vAlign w:val="center"/>
            <w:textDirection w:val="lrTb"/>
            <w:noWrap w:val="false"/>
          </w:tcPr>
          <w:p>
            <w:pPr>
              <w:pStyle w:val="688"/>
              <w:ind w:firstLine="1440"/>
              <w:keepLines w:val="0"/>
              <w:keepNext w:val="0"/>
              <w:widowControl/>
              <w:suppressLineNumbers w:val="0"/>
            </w:pPr>
            <w:r>
              <w:t xml:space="preserve">元</w:t>
            </w:r>
            <w:r/>
          </w:p>
        </w:tc>
        <w:tc>
          <w:tcPr>
            <w:tcW w:w="1226" w:type="dxa"/>
            <w:vAlign w:val="center"/>
            <w:textDirection w:val="lrTb"/>
            <w:noWrap w:val="false"/>
          </w:tcPr>
          <w:p>
            <w:pPr>
              <w:pStyle w:val="688"/>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688"/>
              <w:jc w:val="center"/>
              <w:keepLines w:val="0"/>
              <w:keepNext w:val="0"/>
              <w:widowControl/>
              <w:suppressLineNumbers w:val="0"/>
            </w:pPr>
            <w:r>
              <w:t xml:space="preserve">报价（大写）：</w:t>
            </w:r>
            <w:r/>
          </w:p>
        </w:tc>
        <w:tc>
          <w:tcPr>
            <w:gridSpan w:val="3"/>
            <w:tcW w:w="6762" w:type="dxa"/>
            <w:vAlign w:val="center"/>
            <w:textDirection w:val="lrTb"/>
            <w:noWrap w:val="false"/>
          </w:tcPr>
          <w:p>
            <w:pPr>
              <w:pStyle w:val="688"/>
              <w:keepLines w:val="0"/>
              <w:keepNext w:val="0"/>
              <w:widowControl/>
              <w:suppressLineNumbers w:val="0"/>
            </w:pPr>
            <w:r>
              <w:t xml:space="preserve">金额大写 </w:t>
            </w:r>
            <w:r/>
          </w:p>
        </w:tc>
      </w:tr>
    </w:tbl>
    <w:p>
      <w:pPr>
        <w:pStyle w:val="688"/>
        <w:keepLines w:val="0"/>
        <w:keepNext w:val="0"/>
        <w:widowControl/>
        <w:suppressLineNumbers w:val="0"/>
      </w:pPr>
      <w:r>
        <w:t xml:space="preserve">供应商报价说明：报价大小写不一致以大写为准。</w:t>
      </w:r>
      <w:r/>
    </w:p>
    <w:p>
      <w:pPr>
        <w:pStyle w:val="688"/>
        <w:keepLines w:val="0"/>
        <w:keepNext w:val="0"/>
        <w:widowControl/>
        <w:suppressLineNumbers w:val="0"/>
      </w:pPr>
      <w:r>
        <w:t xml:space="preserve"> </w:t>
      </w:r>
      <w:r/>
    </w:p>
    <w:p>
      <w:pPr>
        <w:pStyle w:val="688"/>
        <w:keepLines w:val="0"/>
        <w:keepNext w:val="0"/>
        <w:widowControl/>
        <w:suppressLineNumbers w:val="0"/>
      </w:pPr>
      <w:r>
        <w:t xml:space="preserve">供应商公章：</w:t>
      </w:r>
      <w:r/>
    </w:p>
    <w:p>
      <w:pPr>
        <w:pStyle w:val="688"/>
        <w:keepLines w:val="0"/>
        <w:keepNext w:val="0"/>
        <w:widowControl/>
        <w:suppressLineNumbers w:val="0"/>
      </w:pPr>
      <w:r/>
      <w:r/>
    </w:p>
    <w:p>
      <w:pPr>
        <w:pStyle w:val="688"/>
        <w:keepLines w:val="0"/>
        <w:keepNext w:val="0"/>
        <w:widowControl/>
        <w:suppressLineNumbers w:val="0"/>
      </w:pPr>
      <w:r>
        <w:t xml:space="preserve">谈判代表（授权人）签字：</w:t>
      </w:r>
      <w:r/>
    </w:p>
    <w:p>
      <w:pPr>
        <w:pStyle w:val="688"/>
        <w:keepLines w:val="0"/>
        <w:keepNext w:val="0"/>
        <w:widowControl/>
        <w:suppressLineNumbers w:val="0"/>
      </w:pPr>
      <w:r>
        <w:t xml:space="preserve"> </w:t>
      </w:r>
      <w:r/>
    </w:p>
    <w:p>
      <w:pPr>
        <w:pStyle w:val="688"/>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spacing w:line="400" w:lineRule="exact"/>
        <w:rPr>
          <w:rFonts w:hint="eastAsia" w:ascii="宋体" w:hAnsi="宋体" w:eastAsia="宋体" w:cs="宋体"/>
          <w:b/>
          <w:bCs/>
          <w:sz w:val="32"/>
          <w:szCs w:val="32"/>
        </w:rPr>
      </w:pPr>
      <w:r>
        <w:rPr>
          <w:rFonts w:hint="eastAsia" w:ascii="宋体" w:hAnsi="宋体" w:cs="宋体"/>
          <w:b/>
          <w:bCs/>
          <w:sz w:val="32"/>
          <w:szCs w:val="32"/>
          <w:lang w:eastAsia="zh-CN"/>
        </w:rPr>
        <w:t xml:space="preserve">投标</w:t>
      </w:r>
      <w:r>
        <w:rPr>
          <w:rFonts w:hint="eastAsia" w:ascii="宋体" w:hAnsi="宋体" w:eastAsia="宋体" w:cs="宋体"/>
          <w:b/>
          <w:bCs/>
          <w:sz w:val="32"/>
          <w:szCs w:val="32"/>
        </w:rPr>
        <w:t xml:space="preserve">分项报价表</w:t>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688"/>
        <w:keepLines w:val="0"/>
        <w:keepNext w:val="0"/>
        <w:widowControl/>
        <w:suppressLineNumbers w:val="0"/>
      </w:pPr>
      <w:r>
        <w:t xml:space="preserve">投标人名称（公章）：</w:t>
      </w:r>
      <w:r/>
    </w:p>
    <w:tbl>
      <w:tblPr>
        <w:tblStyle w:val="667"/>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9"/>
        <w:gridCol w:w="2650"/>
        <w:gridCol w:w="3074"/>
      </w:tblGrid>
      <w:tr>
        <w:trPr>
          <w:cantSplit/>
          <w:jc w:val="center"/>
          <w:trHeight w:val="583"/>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报价项目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最高限价</w:t>
            </w:r>
            <w:r/>
          </w:p>
        </w:tc>
        <w:tc>
          <w:tcPr>
            <w:tcW w:w="1835" w:type="pct"/>
            <w:vAlign w:val="center"/>
            <w:textDirection w:val="lrTb"/>
            <w:noWrap w:val="false"/>
          </w:tcPr>
          <w:p>
            <w:pPr>
              <w:jc w:val="center"/>
              <w:widowControl/>
              <w:rPr>
                <w:rFonts w:ascii="宋体" w:hAnsi="宋体" w:eastAsia="宋体" w:cs="Times New Roman"/>
                <w:color w:val="auto"/>
                <w:sz w:val="28"/>
                <w:szCs w:val="28"/>
              </w:rPr>
            </w:pPr>
            <w:r>
              <w:rPr>
                <w:rFonts w:hint="eastAsia" w:ascii="宋体" w:hAnsi="宋体" w:eastAsia="宋体" w:cs="Times New Roman"/>
                <w:color w:val="auto"/>
                <w:sz w:val="28"/>
                <w:szCs w:val="28"/>
              </w:rPr>
              <w:t xml:space="preserve">优惠率报价</w:t>
            </w:r>
            <w:r/>
          </w:p>
        </w:tc>
      </w:tr>
      <w:tr>
        <w:trPr>
          <w:cantSplit/>
          <w:jc w:val="center"/>
          <w:trHeight w:val="628"/>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宋体"/>
                <w:sz w:val="28"/>
                <w:szCs w:val="28"/>
                <w:u w:val="none"/>
                <w:lang w:bidi="zh-CN"/>
              </w:rPr>
              <w:t xml:space="preserve">南通市</w:t>
            </w:r>
            <w:r>
              <w:rPr>
                <w:rFonts w:hint="eastAsia" w:cs="宋体"/>
                <w:color w:val="000000"/>
                <w:sz w:val="28"/>
                <w:szCs w:val="28"/>
                <w:lang w:eastAsia="zh-CN"/>
              </w:rPr>
              <w:t xml:space="preserve">公安局</w:t>
            </w:r>
            <w:r>
              <w:rPr>
                <w:rFonts w:hint="eastAsia" w:ascii="宋体" w:hAnsi="宋体" w:eastAsia="宋体" w:cs="宋体"/>
                <w:sz w:val="28"/>
                <w:szCs w:val="28"/>
                <w:u w:val="none"/>
                <w:lang w:bidi="zh-CN"/>
              </w:rPr>
              <w:t xml:space="preserve">海门</w:t>
            </w:r>
            <w:r>
              <w:rPr>
                <w:rFonts w:hint="eastAsia" w:ascii="宋体" w:hAnsi="宋体" w:eastAsia="宋体" w:cs="宋体"/>
                <w:sz w:val="28"/>
                <w:szCs w:val="28"/>
                <w:u w:val="none"/>
                <w:lang w:eastAsia="zh-CN" w:bidi="zh-CN"/>
              </w:rPr>
              <w:t xml:space="preserve">分局</w:t>
            </w:r>
            <w:r>
              <w:rPr>
                <w:rFonts w:hint="eastAsia" w:ascii="宋体" w:hAnsi="宋体" w:eastAsia="宋体" w:cs="宋体"/>
                <w:sz w:val="28"/>
                <w:szCs w:val="28"/>
                <w:u w:val="none"/>
                <w:lang w:bidi="zh-CN"/>
              </w:rPr>
              <w:t xml:space="preserve">采购燃油服务项目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eastAsia="zh-CN"/>
              </w:rPr>
              <w:t xml:space="preserve">优惠率</w:t>
            </w:r>
            <w:r>
              <w:rPr>
                <w:rFonts w:hint="eastAsia" w:ascii="宋体" w:hAnsi="宋体" w:cs="Times New Roman"/>
                <w:color w:val="auto"/>
                <w:sz w:val="28"/>
                <w:szCs w:val="28"/>
                <w:lang w:val="en-US" w:eastAsia="zh-CN"/>
              </w:rPr>
              <w:t xml:space="preserve">2</w:t>
            </w:r>
            <w:r>
              <w:rPr>
                <w:rFonts w:hint="eastAsia" w:ascii="宋体" w:hAnsi="宋体" w:eastAsia="宋体" w:cs="Times New Roman"/>
                <w:color w:val="auto"/>
                <w:sz w:val="28"/>
                <w:szCs w:val="28"/>
              </w:rPr>
              <w:t xml:space="preserve">%</w:t>
            </w:r>
            <w:r/>
          </w:p>
        </w:tc>
        <w:tc>
          <w:tcPr>
            <w:tcW w:w="1835" w:type="pct"/>
            <w:vAlign w:val="center"/>
            <w:textDirection w:val="lrTb"/>
            <w:noWrap w:val="false"/>
          </w:tcPr>
          <w:p>
            <w:pPr>
              <w:jc w:val="center"/>
              <w:rPr>
                <w:rFonts w:ascii="宋体" w:hAnsi="宋体" w:eastAsia="宋体" w:cs="Times New Roman"/>
                <w:color w:val="auto"/>
                <w:sz w:val="28"/>
                <w:szCs w:val="28"/>
              </w:rPr>
            </w:pPr>
            <w:r>
              <w:rPr>
                <w:rFonts w:hint="eastAsia"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w:t>
            </w:r>
            <w:r/>
          </w:p>
        </w:tc>
      </w:tr>
    </w:tbl>
    <w:p>
      <w:pPr>
        <w:pStyle w:val="688"/>
        <w:keepLines w:val="0"/>
        <w:keepNext w:val="0"/>
        <w:widowControl/>
        <w:suppressLineNumbers w:val="0"/>
      </w:pPr>
      <w:r/>
      <w:r/>
    </w:p>
    <w:p>
      <w:pPr>
        <w:jc w:val="left"/>
        <w:spacing w:line="480" w:lineRule="exact"/>
        <w:widowControl/>
        <w:rPr>
          <w:rFonts w:ascii="Arial" w:hAnsi="Arial" w:eastAsia="宋体" w:cs="Times New Roman"/>
          <w:b/>
          <w:color w:val="auto"/>
          <w:sz w:val="22"/>
        </w:rPr>
      </w:pPr>
      <w:r>
        <w:rPr>
          <w:rFonts w:hint="eastAsia" w:ascii="Arial" w:hAnsi="Arial" w:eastAsia="宋体" w:cs="Times New Roman"/>
          <w:b/>
          <w:color w:val="auto"/>
          <w:sz w:val="22"/>
        </w:rPr>
        <w:t xml:space="preserve">说明：</w:t>
      </w:r>
      <w:r/>
    </w:p>
    <w:p>
      <w:pPr>
        <w:jc w:val="left"/>
        <w:spacing w:line="480" w:lineRule="exact"/>
        <w:widowControl/>
        <w:rPr>
          <w:rFonts w:hint="eastAsia" w:ascii="Arial" w:hAnsi="Arial" w:eastAsia="宋体" w:cs="Times New Roman"/>
          <w:color w:val="auto"/>
          <w:sz w:val="22"/>
        </w:rPr>
      </w:pPr>
      <w:r>
        <w:rPr>
          <w:rFonts w:hint="eastAsia" w:ascii="Arial" w:hAnsi="Arial" w:eastAsia="宋体" w:cs="Times New Roman"/>
          <w:color w:val="auto"/>
          <w:sz w:val="22"/>
          <w:lang w:val="en-US" w:eastAsia="zh-CN"/>
        </w:rPr>
        <w:t xml:space="preserve">1.</w:t>
      </w:r>
      <w:r>
        <w:rPr>
          <w:rFonts w:hint="eastAsia" w:ascii="Arial" w:hAnsi="Arial" w:eastAsia="宋体" w:cs="Times New Roman"/>
          <w:color w:val="auto"/>
          <w:sz w:val="22"/>
        </w:rPr>
        <w:t xml:space="preserve">本项目报价方式为优惠率（价格下浮比例），</w:t>
      </w:r>
      <w:r>
        <w:rPr>
          <w:rFonts w:hint="eastAsia" w:ascii="Arial" w:hAnsi="Arial" w:eastAsia="宋体" w:cs="Times New Roman"/>
          <w:color w:val="auto"/>
          <w:sz w:val="22"/>
          <w:lang w:val="en-US" w:eastAsia="zh-CN"/>
        </w:rPr>
        <w:t xml:space="preserve">2</w:t>
      </w:r>
      <w:r>
        <w:rPr>
          <w:rFonts w:hint="eastAsia" w:ascii="Arial" w:hAnsi="Arial" w:eastAsia="宋体" w:cs="Times New Roman"/>
          <w:color w:val="auto"/>
          <w:sz w:val="22"/>
        </w:rPr>
        <w:t xml:space="preserve">%≤优惠率报价＜100.00%，否则为无效响应。</w:t>
      </w:r>
      <w:r/>
    </w:p>
    <w:p>
      <w:pPr>
        <w:jc w:val="left"/>
        <w:spacing w:line="480" w:lineRule="exact"/>
        <w:widowControl/>
        <w:rPr>
          <w:rFonts w:hint="eastAsia" w:ascii="Arial" w:hAnsi="Arial" w:eastAsia="宋体" w:cs="Times New Roman"/>
          <w:color w:val="auto"/>
          <w:sz w:val="22"/>
        </w:rPr>
      </w:pPr>
      <w:r>
        <w:rPr>
          <w:rFonts w:hint="eastAsia" w:ascii="Arial" w:hAnsi="Arial" w:eastAsia="宋体" w:cs="Times New Roman"/>
          <w:color w:val="auto"/>
          <w:sz w:val="22"/>
          <w:lang w:val="en-US" w:eastAsia="zh-CN"/>
        </w:rPr>
        <w:t xml:space="preserve">2.</w:t>
      </w:r>
      <w:r>
        <w:rPr>
          <w:rFonts w:hint="eastAsia" w:ascii="Arial" w:hAnsi="Arial" w:eastAsia="宋体" w:cs="Times New Roman"/>
          <w:color w:val="auto"/>
          <w:sz w:val="22"/>
        </w:rPr>
        <w:t xml:space="preserve">供应商的报价最多精确到小数点后两位，评审价精确到小数点后两位（四舍五入）。</w:t>
      </w:r>
      <w:r/>
    </w:p>
    <w:p>
      <w:pPr>
        <w:jc w:val="left"/>
        <w:spacing w:line="480" w:lineRule="exact"/>
        <w:widowControl/>
        <w:rPr>
          <w:rFonts w:hint="default" w:ascii="Arial" w:hAnsi="Arial" w:eastAsia="宋体" w:cs="Times New Roman"/>
          <w:color w:val="auto"/>
          <w:sz w:val="22"/>
          <w:lang w:val="en-US" w:eastAsia="zh-CN"/>
        </w:rPr>
      </w:pPr>
      <w:r>
        <w:rPr>
          <w:rFonts w:hint="eastAsia" w:ascii="Arial" w:hAnsi="Arial" w:eastAsia="宋体" w:cs="Times New Roman"/>
          <w:color w:val="auto"/>
          <w:sz w:val="22"/>
          <w:lang w:val="en-US" w:eastAsia="zh-CN"/>
        </w:rPr>
        <w:t xml:space="preserve">3.以国家发改委定期公布的汽柴油零售挂牌价作为基准价，实际结算价=基准价*（1-优惠率）</w:t>
      </w:r>
      <w:r>
        <w:rPr>
          <w:rFonts w:hint="eastAsia" w:ascii="Arial" w:hAnsi="Arial" w:cs="Times New Roman"/>
          <w:color w:val="auto"/>
          <w:sz w:val="22"/>
          <w:lang w:val="en-US" w:eastAsia="zh-CN"/>
        </w:rPr>
        <w:t xml:space="preserve">。</w:t>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58"/>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58"/>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58"/>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58"/>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89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89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南通市公安局海门分局采购燃油服务项目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燃油服务</w:t>
      </w:r>
      <w:r>
        <w:rPr>
          <w:rFonts w:hint="eastAsia" w:ascii="宋体" w:hAnsi="宋体" w:eastAsia="宋体" w:cs="宋体"/>
          <w:sz w:val="28"/>
          <w:szCs w:val="28"/>
          <w:lang w:bidi="zh-CN"/>
        </w:rPr>
        <w:t xml:space="preserve">，属于</w:t>
      </w:r>
      <w:r>
        <w:rPr>
          <w:rFonts w:hint="eastAsia" w:ascii="Times New Roman" w:hAnsi="Times New Roman" w:eastAsia="宋体" w:cs="宋体"/>
          <w:color w:val="000000"/>
          <w:sz w:val="28"/>
          <w:szCs w:val="28"/>
          <w:u w:val="single"/>
          <w:lang w:eastAsia="zh-CN"/>
        </w:rPr>
        <w:t xml:space="preserve">零售业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10</w:t>
      </w:r>
      <w:r>
        <w:rPr>
          <w:rFonts w:hint="eastAsia" w:ascii="宋体" w:hAnsi="宋体" w:eastAsia="宋体" w:cs="宋体"/>
          <w:b/>
          <w:color w:val="000000"/>
          <w:sz w:val="24"/>
          <w:szCs w:val="24"/>
        </w:rPr>
        <w:t xml:space="preserve"> </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pStyle w:val="668"/>
        <w:rPr>
          <w:rFonts w:hint="eastAsia"/>
          <w:lang w:eastAsia="zh-CN"/>
        </w:rPr>
      </w:pPr>
      <w:r>
        <w:rPr>
          <w:rFonts w:hint="eastAsia"/>
          <w:lang w:eastAsia="zh-CN"/>
        </w:rPr>
      </w:r>
      <w:r/>
    </w:p>
    <w:p>
      <w:pPr>
        <w:pStyle w:val="668"/>
        <w:ind w:left="0" w:firstLine="0"/>
        <w:rPr>
          <w:rFonts w:hint="eastAsia"/>
          <w:lang w:eastAsia="zh-CN"/>
        </w:rPr>
      </w:pPr>
      <w:r>
        <w:rPr>
          <w:rFonts w:hint="eastAsia"/>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Courier New">
    <w:panose1 w:val="02070309020205020404"/>
  </w:font>
  <w:font w:name="Tahoma">
    <w:panose1 w:val="020B0604030504040204"/>
  </w:font>
  <w:font w:name="仿宋">
    <w:panose1 w:val="02010609060101010101"/>
  </w:font>
  <w:font w:name="等线">
    <w:panose1 w:val="02010600030101010101"/>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98993"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998992" cy="301572"/>
                      </a:xfrm>
                      <a:prstGeom prst="rect">
                        <a:avLst/>
                      </a:prstGeom>
                      <a:noFill/>
                      <a:ln>
                        <a:noFill/>
                      </a:ln>
                    </wps:spPr>
                    <wps:txbx>
                      <w:txbxContent>
                        <w:p>
                          <w:pPr>
                            <w:pStyle w:val="86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8.7pt;height:23.7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link w:val="69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7"/>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8"/>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qFormat/>
    <w:pPr>
      <w:jc w:val="center"/>
      <w:keepNext/>
      <w:outlineLvl w:val="3"/>
    </w:pPr>
    <w:rPr>
      <w:rFonts w:eastAsia="新宋体"/>
      <w:sz w:val="30"/>
      <w:szCs w:val="21"/>
    </w:rPr>
  </w:style>
  <w:style w:type="paragraph" w:styleId="661">
    <w:name w:val="Heading 5"/>
    <w:basedOn w:val="656"/>
    <w:next w:val="656"/>
    <w:link w:val="700"/>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1"/>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3"/>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4"/>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首行缩进1"/>
    <w:basedOn w:val="669"/>
    <w:uiPriority w:val="0"/>
    <w:qFormat/>
    <w:pPr>
      <w:ind w:firstLine="200"/>
      <w:spacing w:line="360" w:lineRule="auto"/>
    </w:pPr>
    <w:rPr>
      <w:rFonts w:ascii="仿宋_GB2312" w:hAnsi="Times New Roman" w:eastAsia="仿宋_GB2312"/>
      <w:sz w:val="30"/>
      <w:szCs w:val="30"/>
    </w:rPr>
  </w:style>
  <w:style w:type="paragraph" w:styleId="669" w:customStyle="1">
    <w:name w:val="正文文本1"/>
    <w:basedOn w:val="670"/>
    <w:next w:val="656"/>
    <w:uiPriority w:val="99"/>
    <w:unhideWhenUsed/>
    <w:qFormat/>
    <w:rPr>
      <w:rFonts w:ascii="??_GB2312" w:hAnsi="??_GB2312"/>
      <w:sz w:val="28"/>
      <w:szCs w:val="28"/>
    </w:rPr>
  </w:style>
  <w:style w:type="paragraph" w:styleId="670" w:customStyle="1">
    <w:name w:val="正文11"/>
    <w:next w:val="669"/>
    <w:uiPriority w:val="0"/>
    <w:qFormat/>
    <w:pPr>
      <w:jc w:val="both"/>
      <w:widowControl w:val="off"/>
    </w:pPr>
    <w:rPr>
      <w:rFonts w:hint="default" w:ascii="Calibri" w:hAnsi="Calibri" w:eastAsia="宋体" w:cs="Times New Roman"/>
      <w:sz w:val="21"/>
      <w:szCs w:val="21"/>
      <w:lang w:val="en-US" w:eastAsia="zh-CN" w:bidi="ar-SA"/>
    </w:rPr>
  </w:style>
  <w:style w:type="paragraph" w:styleId="671">
    <w:name w:val="toc 7"/>
    <w:basedOn w:val="656"/>
    <w:next w:val="656"/>
    <w:uiPriority w:val="39"/>
    <w:unhideWhenUsed/>
    <w:qFormat/>
    <w:pPr>
      <w:ind w:left="1701" w:right="0" w:firstLine="0"/>
      <w:spacing w:after="57"/>
    </w:pPr>
  </w:style>
  <w:style w:type="paragraph" w:styleId="672">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Body Text"/>
    <w:basedOn w:val="656"/>
    <w:next w:val="656"/>
    <w:uiPriority w:val="0"/>
    <w:qFormat/>
    <w:rPr>
      <w:rFonts w:ascii="楷体_GB2312" w:hAnsi="Arial" w:eastAsia="楷体_GB2312" w:cs="Times New Roman"/>
      <w:sz w:val="28"/>
      <w:szCs w:val="28"/>
    </w:rPr>
  </w:style>
  <w:style w:type="paragraph" w:styleId="674">
    <w:name w:val="toc 5"/>
    <w:basedOn w:val="656"/>
    <w:next w:val="656"/>
    <w:uiPriority w:val="39"/>
    <w:unhideWhenUsed/>
    <w:qFormat/>
    <w:pPr>
      <w:ind w:left="1134" w:right="0" w:firstLine="0"/>
      <w:spacing w:after="57"/>
    </w:pPr>
  </w:style>
  <w:style w:type="paragraph" w:styleId="675">
    <w:name w:val="toc 3"/>
    <w:basedOn w:val="656"/>
    <w:next w:val="656"/>
    <w:uiPriority w:val="39"/>
    <w:unhideWhenUsed/>
    <w:qFormat/>
    <w:pPr>
      <w:ind w:left="567" w:right="0" w:firstLine="0"/>
      <w:spacing w:after="57"/>
    </w:pPr>
  </w:style>
  <w:style w:type="paragraph" w:styleId="676">
    <w:name w:val="toc 8"/>
    <w:basedOn w:val="656"/>
    <w:next w:val="656"/>
    <w:uiPriority w:val="39"/>
    <w:unhideWhenUsed/>
    <w:qFormat/>
    <w:pPr>
      <w:ind w:left="1984" w:right="0" w:firstLine="0"/>
      <w:spacing w:after="57"/>
    </w:pPr>
  </w:style>
  <w:style w:type="paragraph" w:styleId="677">
    <w:name w:val="endnote text"/>
    <w:basedOn w:val="656"/>
    <w:link w:val="842"/>
    <w:uiPriority w:val="99"/>
    <w:semiHidden/>
    <w:unhideWhenUsed/>
    <w:pPr>
      <w:spacing w:after="0" w:line="240" w:lineRule="auto"/>
    </w:pPr>
    <w:rPr>
      <w:sz w:val="20"/>
    </w:rPr>
  </w:style>
  <w:style w:type="paragraph" w:styleId="678">
    <w:name w:val="Footer"/>
    <w:basedOn w:val="656"/>
    <w:link w:val="715"/>
    <w:uiPriority w:val="99"/>
    <w:unhideWhenUsed/>
    <w:pPr>
      <w:spacing w:after="0" w:line="240" w:lineRule="auto"/>
      <w:tabs>
        <w:tab w:val="center" w:pos="7143" w:leader="none"/>
        <w:tab w:val="right" w:pos="14287" w:leader="none"/>
      </w:tabs>
    </w:pPr>
  </w:style>
  <w:style w:type="paragraph" w:styleId="679">
    <w:name w:val="Header"/>
    <w:basedOn w:val="656"/>
    <w:link w:val="713"/>
    <w:uiPriority w:val="99"/>
    <w:unhideWhenUsed/>
    <w:qFormat/>
    <w:pPr>
      <w:spacing w:after="0" w:line="240" w:lineRule="auto"/>
      <w:tabs>
        <w:tab w:val="center" w:pos="7143" w:leader="none"/>
        <w:tab w:val="right" w:pos="14287" w:leader="none"/>
      </w:tabs>
    </w:pPr>
  </w:style>
  <w:style w:type="paragraph" w:styleId="680">
    <w:name w:val="toc 1"/>
    <w:basedOn w:val="656"/>
    <w:next w:val="656"/>
    <w:uiPriority w:val="39"/>
    <w:unhideWhenUsed/>
    <w:qFormat/>
    <w:pPr>
      <w:ind w:left="0" w:right="0" w:firstLine="0"/>
      <w:spacing w:after="57"/>
    </w:pPr>
  </w:style>
  <w:style w:type="paragraph" w:styleId="681">
    <w:name w:val="toc 4"/>
    <w:basedOn w:val="656"/>
    <w:next w:val="656"/>
    <w:uiPriority w:val="39"/>
    <w:unhideWhenUsed/>
    <w:qFormat/>
    <w:pPr>
      <w:ind w:left="850" w:right="0" w:firstLine="0"/>
      <w:spacing w:after="57"/>
    </w:pPr>
  </w:style>
  <w:style w:type="paragraph" w:styleId="682">
    <w:name w:val="Subtitle"/>
    <w:basedOn w:val="656"/>
    <w:next w:val="656"/>
    <w:link w:val="708"/>
    <w:uiPriority w:val="11"/>
    <w:qFormat/>
    <w:pPr>
      <w:spacing w:before="200" w:after="200"/>
    </w:pPr>
    <w:rPr>
      <w:sz w:val="24"/>
      <w:szCs w:val="24"/>
    </w:rPr>
  </w:style>
  <w:style w:type="paragraph" w:styleId="683">
    <w:name w:val="footnote text"/>
    <w:basedOn w:val="656"/>
    <w:link w:val="841"/>
    <w:uiPriority w:val="99"/>
    <w:semiHidden/>
    <w:unhideWhenUsed/>
    <w:pPr>
      <w:spacing w:after="40" w:line="240" w:lineRule="auto"/>
    </w:pPr>
    <w:rPr>
      <w:sz w:val="18"/>
    </w:rPr>
  </w:style>
  <w:style w:type="paragraph" w:styleId="684">
    <w:name w:val="toc 6"/>
    <w:basedOn w:val="656"/>
    <w:next w:val="656"/>
    <w:uiPriority w:val="39"/>
    <w:unhideWhenUsed/>
    <w:qFormat/>
    <w:pPr>
      <w:ind w:left="1417" w:right="0" w:firstLine="0"/>
      <w:spacing w:after="57"/>
    </w:pPr>
  </w:style>
  <w:style w:type="paragraph" w:styleId="685">
    <w:name w:val="table of figures"/>
    <w:basedOn w:val="656"/>
    <w:next w:val="656"/>
    <w:uiPriority w:val="99"/>
    <w:unhideWhenUsed/>
    <w:qFormat/>
    <w:pPr>
      <w:spacing w:after="0" w:afterAutospacing="0"/>
    </w:pPr>
  </w:style>
  <w:style w:type="paragraph" w:styleId="686">
    <w:name w:val="toc 2"/>
    <w:basedOn w:val="656"/>
    <w:next w:val="656"/>
    <w:uiPriority w:val="39"/>
    <w:unhideWhenUsed/>
    <w:qFormat/>
    <w:pPr>
      <w:ind w:left="283" w:right="0" w:firstLine="0"/>
      <w:spacing w:after="57"/>
    </w:pPr>
  </w:style>
  <w:style w:type="paragraph" w:styleId="687">
    <w:name w:val="toc 9"/>
    <w:basedOn w:val="656"/>
    <w:next w:val="656"/>
    <w:uiPriority w:val="39"/>
    <w:unhideWhenUsed/>
    <w:qFormat/>
    <w:pPr>
      <w:ind w:left="2268" w:right="0" w:firstLine="0"/>
      <w:spacing w:after="57"/>
    </w:pPr>
  </w:style>
  <w:style w:type="paragraph" w:styleId="688">
    <w:name w:val="Normal (Web)"/>
    <w:basedOn w:val="656"/>
    <w:uiPriority w:val="0"/>
    <w:unhideWhenUsed/>
    <w:qFormat/>
    <w:pPr>
      <w:jc w:val="left"/>
      <w:spacing w:before="100" w:beforeAutospacing="1" w:after="100" w:afterAutospacing="1"/>
      <w:widowControl/>
    </w:pPr>
    <w:rPr>
      <w:rFonts w:ascii="宋体" w:hAnsi="宋体" w:cs="宋体"/>
      <w:sz w:val="24"/>
    </w:rPr>
  </w:style>
  <w:style w:type="paragraph" w:styleId="689">
    <w:name w:val="Title"/>
    <w:basedOn w:val="656"/>
    <w:next w:val="656"/>
    <w:link w:val="707"/>
    <w:uiPriority w:val="10"/>
    <w:qFormat/>
    <w:pPr>
      <w:contextualSpacing/>
      <w:spacing w:before="300" w:after="200"/>
    </w:pPr>
    <w:rPr>
      <w:sz w:val="48"/>
      <w:szCs w:val="48"/>
    </w:rPr>
  </w:style>
  <w:style w:type="paragraph" w:styleId="690">
    <w:name w:val="Body Text First Indent"/>
    <w:basedOn w:val="673"/>
    <w:uiPriority w:val="0"/>
    <w:qFormat/>
    <w:pPr>
      <w:ind w:firstLine="420"/>
      <w:spacing w:after="120"/>
    </w:pPr>
    <w:rPr>
      <w:rFonts w:ascii="Times New Roman" w:eastAsia="宋体"/>
      <w:szCs w:val="24"/>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basedOn w:val="666"/>
    <w:uiPriority w:val="22"/>
    <w:qFormat/>
    <w:rPr>
      <w:b/>
      <w:bCs/>
    </w:rPr>
  </w:style>
  <w:style w:type="character" w:styleId="693">
    <w:name w:val="endnote reference"/>
    <w:uiPriority w:val="99"/>
    <w:semiHidden/>
    <w:unhideWhenUsed/>
    <w:rPr>
      <w:vertAlign w:val="superscript"/>
    </w:rPr>
  </w:style>
  <w:style w:type="character" w:styleId="694">
    <w:name w:val="Hyperlink"/>
    <w:uiPriority w:val="99"/>
    <w:unhideWhenUsed/>
    <w:rPr>
      <w:color w:val="0000ff" w:themeColor="hyperlink"/>
      <w:u w:val="single"/>
      <w14:textFill>
        <w14:solidFill>
          <w14:schemeClr w14:val="hlink"/>
        </w14:solidFill>
      </w14:textFill>
    </w:rPr>
  </w:style>
  <w:style w:type="character" w:styleId="695">
    <w:name w:val="footnote reference"/>
    <w:uiPriority w:val="99"/>
    <w:unhideWhenUsed/>
    <w:rPr>
      <w:vertAlign w:val="superscript"/>
    </w:rPr>
  </w:style>
  <w:style w:type="character" w:styleId="696" w:customStyle="1">
    <w:name w:val="Heading 1 Char"/>
    <w:link w:val="657"/>
    <w:uiPriority w:val="9"/>
    <w:qFormat/>
    <w:rPr>
      <w:rFonts w:ascii="Arial" w:hAnsi="Arial" w:eastAsia="Arial" w:cs="Arial"/>
      <w:sz w:val="40"/>
      <w:szCs w:val="40"/>
    </w:rPr>
  </w:style>
  <w:style w:type="character" w:styleId="697" w:customStyle="1">
    <w:name w:val="Heading 2 Char"/>
    <w:link w:val="658"/>
    <w:uiPriority w:val="9"/>
    <w:rPr>
      <w:rFonts w:ascii="Arial" w:hAnsi="Arial" w:eastAsia="Arial" w:cs="Arial"/>
      <w:sz w:val="34"/>
    </w:rPr>
  </w:style>
  <w:style w:type="character" w:styleId="698" w:customStyle="1">
    <w:name w:val="Heading 3 Char"/>
    <w:link w:val="659"/>
    <w:uiPriority w:val="9"/>
    <w:rPr>
      <w:rFonts w:ascii="Arial" w:hAnsi="Arial" w:eastAsia="Arial" w:cs="Arial"/>
      <w:sz w:val="30"/>
      <w:szCs w:val="30"/>
    </w:rPr>
  </w:style>
  <w:style w:type="character" w:styleId="699" w:customStyle="1">
    <w:name w:val="Heading 4 Char"/>
    <w:uiPriority w:val="9"/>
    <w:qFormat/>
    <w:rPr>
      <w:rFonts w:ascii="Arial" w:hAnsi="Arial" w:eastAsia="Arial" w:cs="Arial"/>
      <w:b/>
      <w:bCs/>
      <w:sz w:val="26"/>
      <w:szCs w:val="26"/>
    </w:rPr>
  </w:style>
  <w:style w:type="character" w:styleId="700" w:customStyle="1">
    <w:name w:val="Heading 5 Char"/>
    <w:link w:val="661"/>
    <w:uiPriority w:val="9"/>
    <w:rPr>
      <w:rFonts w:ascii="Arial" w:hAnsi="Arial" w:eastAsia="Arial" w:cs="Arial"/>
      <w:b/>
      <w:bCs/>
      <w:sz w:val="24"/>
      <w:szCs w:val="24"/>
    </w:rPr>
  </w:style>
  <w:style w:type="character" w:styleId="701" w:customStyle="1">
    <w:name w:val="Heading 6 Char"/>
    <w:link w:val="662"/>
    <w:uiPriority w:val="9"/>
    <w:rPr>
      <w:rFonts w:ascii="Arial" w:hAnsi="Arial" w:eastAsia="Arial" w:cs="Arial"/>
      <w:b/>
      <w:bCs/>
      <w:sz w:val="22"/>
      <w:szCs w:val="22"/>
    </w:rPr>
  </w:style>
  <w:style w:type="character" w:styleId="702" w:customStyle="1">
    <w:name w:val="Heading 7 Char"/>
    <w:link w:val="663"/>
    <w:uiPriority w:val="9"/>
    <w:qFormat/>
    <w:rPr>
      <w:rFonts w:ascii="Arial" w:hAnsi="Arial" w:eastAsia="Arial" w:cs="Arial"/>
      <w:b/>
      <w:bCs/>
      <w:i/>
      <w:iCs/>
      <w:sz w:val="22"/>
      <w:szCs w:val="22"/>
    </w:rPr>
  </w:style>
  <w:style w:type="character" w:styleId="703" w:customStyle="1">
    <w:name w:val="Heading 8 Char"/>
    <w:link w:val="664"/>
    <w:uiPriority w:val="9"/>
    <w:rPr>
      <w:rFonts w:ascii="Arial" w:hAnsi="Arial" w:eastAsia="Arial" w:cs="Arial"/>
      <w:i/>
      <w:iCs/>
      <w:sz w:val="22"/>
      <w:szCs w:val="22"/>
    </w:rPr>
  </w:style>
  <w:style w:type="character" w:styleId="704" w:customStyle="1">
    <w:name w:val="Heading 9 Char"/>
    <w:link w:val="665"/>
    <w:uiPriority w:val="9"/>
    <w:rPr>
      <w:rFonts w:ascii="Arial" w:hAnsi="Arial" w:eastAsia="Arial" w:cs="Arial"/>
      <w:i/>
      <w:iCs/>
      <w:sz w:val="21"/>
      <w:szCs w:val="21"/>
    </w:rPr>
  </w:style>
  <w:style w:type="paragraph" w:styleId="705">
    <w:name w:val="List Paragraph"/>
    <w:basedOn w:val="656"/>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link w:val="689"/>
    <w:uiPriority w:val="10"/>
    <w:qFormat/>
    <w:rPr>
      <w:sz w:val="48"/>
      <w:szCs w:val="48"/>
    </w:rPr>
  </w:style>
  <w:style w:type="character" w:styleId="708" w:customStyle="1">
    <w:name w:val="Subtitle Char"/>
    <w:link w:val="682"/>
    <w:uiPriority w:val="11"/>
    <w:qFormat/>
    <w:rPr>
      <w:sz w:val="24"/>
      <w:szCs w:val="24"/>
    </w:rPr>
  </w:style>
  <w:style w:type="paragraph" w:styleId="709">
    <w:name w:val="Quote"/>
    <w:basedOn w:val="656"/>
    <w:next w:val="656"/>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56"/>
    <w:next w:val="656"/>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link w:val="679"/>
    <w:uiPriority w:val="99"/>
    <w:qFormat/>
  </w:style>
  <w:style w:type="character" w:styleId="714" w:customStyle="1">
    <w:name w:val="Footer Char"/>
    <w:link w:val="678"/>
    <w:uiPriority w:val="99"/>
    <w:qFormat/>
  </w:style>
  <w:style w:type="character" w:styleId="715" w:customStyle="1">
    <w:name w:val="Caption Char"/>
    <w:link w:val="678"/>
    <w:uiPriority w:val="99"/>
    <w:qFormat/>
  </w:style>
  <w:style w:type="table" w:styleId="716"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Footnote Text Char"/>
    <w:link w:val="683"/>
    <w:uiPriority w:val="99"/>
    <w:qFormat/>
    <w:rPr>
      <w:sz w:val="18"/>
    </w:rPr>
  </w:style>
  <w:style w:type="character" w:styleId="842" w:customStyle="1">
    <w:name w:val="Endnote Text Char"/>
    <w:link w:val="677"/>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656"/>
    <w:next w:val="656"/>
    <w:link w:val="850"/>
    <w:uiPriority w:val="0"/>
    <w:qFormat/>
    <w:pPr>
      <w:keepLines/>
      <w:keepNext/>
      <w:spacing w:before="340" w:after="330" w:line="578" w:lineRule="auto"/>
      <w:outlineLvl w:val="0"/>
    </w:pPr>
    <w:rPr>
      <w:b/>
      <w:bCs/>
      <w:sz w:val="44"/>
      <w:szCs w:val="44"/>
    </w:rPr>
  </w:style>
  <w:style w:type="paragraph" w:styleId="845" w:customStyle="1">
    <w:name w:val="标题 21"/>
    <w:basedOn w:val="656"/>
    <w:next w:val="656"/>
    <w:link w:val="851"/>
    <w:uiPriority w:val="0"/>
    <w:qFormat/>
    <w:pPr>
      <w:keepLines/>
      <w:keepNext/>
      <w:spacing w:before="260" w:after="260" w:line="416" w:lineRule="auto"/>
      <w:outlineLvl w:val="1"/>
    </w:pPr>
    <w:rPr>
      <w:rFonts w:ascii="Arial" w:hAnsi="Arial" w:eastAsia="黑体"/>
      <w:b/>
      <w:bCs/>
      <w:sz w:val="32"/>
      <w:szCs w:val="32"/>
    </w:rPr>
  </w:style>
  <w:style w:type="paragraph" w:styleId="846" w:customStyle="1">
    <w:name w:val="标题 31"/>
    <w:basedOn w:val="656"/>
    <w:next w:val="656"/>
    <w:link w:val="852"/>
    <w:uiPriority w:val="0"/>
    <w:qFormat/>
    <w:pPr>
      <w:keepLines/>
      <w:keepNext/>
      <w:spacing w:before="260" w:after="260" w:line="416" w:lineRule="auto"/>
      <w:outlineLvl w:val="2"/>
    </w:pPr>
    <w:rPr>
      <w:b/>
      <w:bCs/>
      <w:sz w:val="32"/>
      <w:szCs w:val="32"/>
    </w:rPr>
  </w:style>
  <w:style w:type="paragraph" w:styleId="847" w:customStyle="1">
    <w:name w:val="标题 41"/>
    <w:basedOn w:val="656"/>
    <w:next w:val="656"/>
    <w:link w:val="853"/>
    <w:uiPriority w:val="0"/>
    <w:qFormat/>
    <w:pPr>
      <w:jc w:val="center"/>
      <w:keepNext/>
      <w:outlineLvl w:val="3"/>
    </w:pPr>
    <w:rPr>
      <w:rFonts w:eastAsia="新宋体"/>
      <w:sz w:val="30"/>
      <w:szCs w:val="21"/>
    </w:rPr>
  </w:style>
  <w:style w:type="character" w:styleId="848" w:customStyle="1">
    <w:name w:val="默认段落字体1"/>
    <w:link w:val="656"/>
    <w:uiPriority w:val="1"/>
    <w:unhideWhenUsed/>
    <w:qFormat/>
  </w:style>
  <w:style w:type="table" w:styleId="849" w:customStyle="1">
    <w:name w:val="普通表格1"/>
    <w:uiPriority w:val="99"/>
    <w:unhideWhenUsed/>
    <w:qFormat/>
    <w:tblPr/>
  </w:style>
  <w:style w:type="character" w:styleId="850" w:customStyle="1">
    <w:name w:val="标题 1 Char"/>
    <w:link w:val="844"/>
    <w:uiPriority w:val="0"/>
    <w:qFormat/>
    <w:rPr>
      <w:b/>
      <w:bCs/>
      <w:sz w:val="44"/>
      <w:szCs w:val="44"/>
    </w:rPr>
  </w:style>
  <w:style w:type="character" w:styleId="851" w:customStyle="1">
    <w:name w:val="标题 2 Char"/>
    <w:link w:val="845"/>
    <w:uiPriority w:val="0"/>
    <w:qFormat/>
    <w:rPr>
      <w:rFonts w:ascii="Arial" w:hAnsi="Arial" w:eastAsia="黑体"/>
      <w:b/>
      <w:bCs/>
      <w:sz w:val="32"/>
      <w:szCs w:val="32"/>
    </w:rPr>
  </w:style>
  <w:style w:type="character" w:styleId="852" w:customStyle="1">
    <w:name w:val="标题 3 Char"/>
    <w:link w:val="846"/>
    <w:uiPriority w:val="0"/>
    <w:qFormat/>
    <w:rPr>
      <w:b/>
      <w:bCs/>
      <w:sz w:val="32"/>
      <w:szCs w:val="32"/>
    </w:rPr>
  </w:style>
  <w:style w:type="character" w:styleId="853" w:customStyle="1">
    <w:name w:val="标题 4 Char"/>
    <w:link w:val="847"/>
    <w:uiPriority w:val="0"/>
    <w:qFormat/>
    <w:rPr>
      <w:rFonts w:eastAsia="新宋体"/>
      <w:sz w:val="30"/>
      <w:szCs w:val="21"/>
    </w:rPr>
  </w:style>
  <w:style w:type="paragraph" w:styleId="854" w:customStyle="1">
    <w:name w:val="正文缩进1"/>
    <w:basedOn w:val="656"/>
    <w:link w:val="855"/>
    <w:uiPriority w:val="0"/>
    <w:qFormat/>
    <w:pPr>
      <w:ind w:firstLine="420"/>
    </w:pPr>
    <w:rPr>
      <w:szCs w:val="20"/>
    </w:rPr>
  </w:style>
  <w:style w:type="character" w:styleId="855" w:customStyle="1">
    <w:name w:val="正文缩进 Char"/>
    <w:link w:val="854"/>
    <w:uiPriority w:val="0"/>
    <w:qFormat/>
    <w:rPr>
      <w:sz w:val="21"/>
    </w:rPr>
  </w:style>
  <w:style w:type="paragraph" w:styleId="856" w:customStyle="1">
    <w:name w:val="文档结构图1"/>
    <w:basedOn w:val="656"/>
    <w:link w:val="857"/>
    <w:uiPriority w:val="0"/>
    <w:semiHidden/>
    <w:qFormat/>
    <w:pPr>
      <w:shd w:val="clear" w:color="auto" w:fill="000080"/>
    </w:pPr>
  </w:style>
  <w:style w:type="character" w:styleId="857" w:customStyle="1">
    <w:name w:val="文档结构图 Char"/>
    <w:link w:val="856"/>
    <w:uiPriority w:val="0"/>
    <w:semiHidden/>
    <w:qFormat/>
    <w:rPr>
      <w:sz w:val="21"/>
      <w:szCs w:val="24"/>
      <w:shd w:val="clear" w:color="auto" w:fill="000080"/>
    </w:rPr>
  </w:style>
  <w:style w:type="paragraph" w:styleId="858" w:customStyle="1">
    <w:name w:val="正文文本2"/>
    <w:basedOn w:val="656"/>
    <w:next w:val="656"/>
    <w:uiPriority w:val="0"/>
    <w:qFormat/>
    <w:rPr>
      <w:rFonts w:ascii="楷体_GB2312" w:hAnsi="Arial" w:eastAsia="楷体_GB2312" w:cs="Times New Roman"/>
      <w:sz w:val="28"/>
      <w:szCs w:val="28"/>
    </w:rPr>
  </w:style>
  <w:style w:type="paragraph" w:styleId="859" w:customStyle="1">
    <w:name w:val="正文文本缩进1"/>
    <w:basedOn w:val="656"/>
    <w:link w:val="860"/>
    <w:uiPriority w:val="0"/>
    <w:qFormat/>
    <w:pPr>
      <w:ind w:left="420"/>
      <w:spacing w:after="120"/>
    </w:pPr>
  </w:style>
  <w:style w:type="character" w:styleId="860" w:customStyle="1">
    <w:name w:val="正文文本缩进 Char"/>
    <w:link w:val="859"/>
    <w:uiPriority w:val="0"/>
    <w:qFormat/>
    <w:rPr>
      <w:sz w:val="21"/>
      <w:szCs w:val="24"/>
    </w:rPr>
  </w:style>
  <w:style w:type="paragraph" w:styleId="861" w:customStyle="1">
    <w:name w:val="日期1"/>
    <w:basedOn w:val="656"/>
    <w:next w:val="656"/>
    <w:link w:val="862"/>
    <w:uiPriority w:val="0"/>
    <w:qFormat/>
    <w:pPr>
      <w:ind w:left="100"/>
    </w:pPr>
  </w:style>
  <w:style w:type="character" w:styleId="862" w:customStyle="1">
    <w:name w:val="日期 Char"/>
    <w:link w:val="861"/>
    <w:uiPriority w:val="0"/>
    <w:qFormat/>
    <w:rPr>
      <w:sz w:val="21"/>
      <w:szCs w:val="24"/>
    </w:rPr>
  </w:style>
  <w:style w:type="paragraph" w:styleId="863" w:customStyle="1">
    <w:name w:val="批注框文本1"/>
    <w:basedOn w:val="656"/>
    <w:link w:val="864"/>
    <w:uiPriority w:val="0"/>
    <w:semiHidden/>
    <w:qFormat/>
    <w:rPr>
      <w:sz w:val="18"/>
      <w:szCs w:val="18"/>
    </w:rPr>
  </w:style>
  <w:style w:type="character" w:styleId="864" w:customStyle="1">
    <w:name w:val="批注框文本 Char"/>
    <w:link w:val="863"/>
    <w:uiPriority w:val="0"/>
    <w:semiHidden/>
    <w:qFormat/>
    <w:rPr>
      <w:sz w:val="18"/>
      <w:szCs w:val="18"/>
    </w:rPr>
  </w:style>
  <w:style w:type="paragraph" w:styleId="865" w:customStyle="1">
    <w:name w:val="页脚1"/>
    <w:basedOn w:val="656"/>
    <w:link w:val="866"/>
    <w:uiPriority w:val="99"/>
    <w:qFormat/>
    <w:pPr>
      <w:jc w:val="left"/>
      <w:tabs>
        <w:tab w:val="center" w:pos="4153" w:leader="none"/>
        <w:tab w:val="right" w:pos="8306" w:leader="none"/>
      </w:tabs>
    </w:pPr>
    <w:rPr>
      <w:sz w:val="18"/>
      <w:szCs w:val="18"/>
    </w:rPr>
  </w:style>
  <w:style w:type="character" w:styleId="866" w:customStyle="1">
    <w:name w:val="页脚 Char"/>
    <w:link w:val="865"/>
    <w:uiPriority w:val="99"/>
    <w:qFormat/>
    <w:rPr>
      <w:sz w:val="18"/>
      <w:szCs w:val="18"/>
    </w:rPr>
  </w:style>
  <w:style w:type="paragraph" w:styleId="867" w:customStyle="1">
    <w:name w:val="页眉1"/>
    <w:basedOn w:val="656"/>
    <w:link w:val="868"/>
    <w:uiPriority w:val="0"/>
    <w:qFormat/>
    <w:pPr>
      <w:jc w:val="center"/>
      <w:tabs>
        <w:tab w:val="center" w:pos="4153" w:leader="none"/>
        <w:tab w:val="right" w:pos="8306" w:leader="none"/>
      </w:tabs>
      <w:pBdr>
        <w:bottom w:val="single" w:color="000000" w:sz="6" w:space="1"/>
      </w:pBdr>
    </w:pPr>
    <w:rPr>
      <w:sz w:val="18"/>
      <w:szCs w:val="18"/>
    </w:rPr>
  </w:style>
  <w:style w:type="character" w:styleId="868" w:customStyle="1">
    <w:name w:val="页眉 Char"/>
    <w:link w:val="867"/>
    <w:uiPriority w:val="0"/>
    <w:qFormat/>
    <w:rPr>
      <w:sz w:val="18"/>
      <w:szCs w:val="18"/>
    </w:rPr>
  </w:style>
  <w:style w:type="paragraph" w:styleId="869" w:customStyle="1">
    <w:name w:val="正文文本缩进 31"/>
    <w:basedOn w:val="656"/>
    <w:link w:val="870"/>
    <w:uiPriority w:val="0"/>
    <w:qFormat/>
    <w:pPr>
      <w:ind w:firstLine="539"/>
      <w:spacing w:line="520" w:lineRule="exact"/>
    </w:pPr>
    <w:rPr>
      <w:rFonts w:ascii="宋体"/>
      <w:b/>
      <w:spacing w:val="6"/>
      <w:sz w:val="28"/>
    </w:rPr>
  </w:style>
  <w:style w:type="character" w:styleId="870" w:customStyle="1">
    <w:name w:val="正文文本缩进 3 Char"/>
    <w:link w:val="869"/>
    <w:uiPriority w:val="0"/>
    <w:qFormat/>
    <w:rPr>
      <w:rFonts w:ascii="宋体"/>
      <w:b/>
      <w:spacing w:val="6"/>
      <w:sz w:val="28"/>
      <w:szCs w:val="24"/>
    </w:rPr>
  </w:style>
  <w:style w:type="paragraph" w:styleId="871" w:customStyle="1">
    <w:name w:val="普通(网站)1"/>
    <w:basedOn w:val="656"/>
    <w:uiPriority w:val="0"/>
    <w:unhideWhenUsed/>
    <w:qFormat/>
    <w:pPr>
      <w:jc w:val="left"/>
      <w:spacing w:before="100" w:beforeAutospacing="1" w:after="100" w:afterAutospacing="1"/>
      <w:widowControl/>
    </w:pPr>
    <w:rPr>
      <w:rFonts w:ascii="宋体" w:hAnsi="宋体" w:cs="宋体"/>
      <w:sz w:val="24"/>
    </w:rPr>
  </w:style>
  <w:style w:type="paragraph" w:styleId="872" w:customStyle="1">
    <w:name w:val="正文首行缩进2"/>
    <w:basedOn w:val="858"/>
    <w:uiPriority w:val="0"/>
    <w:qFormat/>
    <w:pPr>
      <w:ind w:firstLine="420"/>
      <w:spacing w:after="120"/>
    </w:pPr>
    <w:rPr>
      <w:rFonts w:ascii="Times New Roman" w:eastAsia="宋体"/>
      <w:szCs w:val="24"/>
    </w:rPr>
  </w:style>
  <w:style w:type="table" w:styleId="873" w:customStyle="1">
    <w:name w:val="网格型1"/>
    <w:basedOn w:val="849"/>
    <w:uiPriority w:val="0"/>
    <w:qFormat/>
    <w:pPr>
      <w:jc w:val="both"/>
      <w:widowControl w:val="off"/>
    </w:pPr>
    <w:tblPr/>
  </w:style>
  <w:style w:type="character" w:styleId="874" w:customStyle="1">
    <w:name w:val="要点1"/>
    <w:basedOn w:val="848"/>
    <w:link w:val="656"/>
    <w:uiPriority w:val="22"/>
    <w:qFormat/>
    <w:rPr>
      <w:b/>
      <w:bCs/>
    </w:rPr>
  </w:style>
  <w:style w:type="character" w:styleId="875" w:customStyle="1">
    <w:name w:val="页码1"/>
    <w:link w:val="656"/>
    <w:uiPriority w:val="0"/>
    <w:qFormat/>
  </w:style>
  <w:style w:type="character" w:styleId="876" w:customStyle="1">
    <w:name w:val="已访问的超链接1"/>
    <w:link w:val="656"/>
    <w:uiPriority w:val="99"/>
    <w:unhideWhenUsed/>
    <w:qFormat/>
    <w:rPr>
      <w:color w:val="800080"/>
      <w:u w:val="none"/>
    </w:rPr>
  </w:style>
  <w:style w:type="character" w:styleId="877" w:customStyle="1">
    <w:name w:val="强调1"/>
    <w:link w:val="656"/>
    <w:uiPriority w:val="0"/>
    <w:qFormat/>
    <w:rPr>
      <w:b/>
      <w:bCs/>
    </w:rPr>
  </w:style>
  <w:style w:type="character" w:styleId="878" w:customStyle="1">
    <w:name w:val="HTML 定义1"/>
    <w:link w:val="656"/>
    <w:uiPriority w:val="99"/>
    <w:unhideWhenUsed/>
    <w:qFormat/>
  </w:style>
  <w:style w:type="character" w:styleId="879" w:customStyle="1">
    <w:name w:val="HTML 打字机1"/>
    <w:link w:val="656"/>
    <w:uiPriority w:val="99"/>
    <w:unhideWhenUsed/>
    <w:qFormat/>
    <w:rPr>
      <w:rFonts w:ascii="monospace" w:hAnsi="monospace" w:eastAsia="monospace" w:cs="monospace"/>
      <w:sz w:val="20"/>
    </w:rPr>
  </w:style>
  <w:style w:type="character" w:styleId="880" w:customStyle="1">
    <w:name w:val="HTML 缩写1"/>
    <w:link w:val="656"/>
    <w:uiPriority w:val="99"/>
    <w:unhideWhenUsed/>
    <w:qFormat/>
  </w:style>
  <w:style w:type="character" w:styleId="881" w:customStyle="1">
    <w:name w:val="HTML 变量1"/>
    <w:link w:val="656"/>
    <w:uiPriority w:val="99"/>
    <w:unhideWhenUsed/>
    <w:qFormat/>
  </w:style>
  <w:style w:type="character" w:styleId="882" w:customStyle="1">
    <w:name w:val="超链接1"/>
    <w:link w:val="656"/>
    <w:uiPriority w:val="99"/>
    <w:unhideWhenUsed/>
    <w:qFormat/>
    <w:rPr>
      <w:color w:val="0000ff"/>
      <w:u w:val="none"/>
    </w:rPr>
  </w:style>
  <w:style w:type="character" w:styleId="883" w:customStyle="1">
    <w:name w:val="HTML 代码1"/>
    <w:link w:val="656"/>
    <w:uiPriority w:val="99"/>
    <w:unhideWhenUsed/>
    <w:qFormat/>
    <w:rPr>
      <w:rFonts w:ascii="monospace" w:hAnsi="monospace" w:eastAsia="monospace" w:cs="monospace"/>
      <w:sz w:val="20"/>
    </w:rPr>
  </w:style>
  <w:style w:type="character" w:styleId="884" w:customStyle="1">
    <w:name w:val="HTML 引文1"/>
    <w:link w:val="656"/>
    <w:uiPriority w:val="99"/>
    <w:unhideWhenUsed/>
    <w:qFormat/>
  </w:style>
  <w:style w:type="character" w:styleId="885" w:customStyle="1">
    <w:name w:val="HTML 键盘1"/>
    <w:link w:val="656"/>
    <w:uiPriority w:val="99"/>
    <w:unhideWhenUsed/>
    <w:qFormat/>
    <w:rPr>
      <w:rFonts w:ascii="monospace" w:hAnsi="monospace" w:eastAsia="monospace" w:cs="monospace"/>
      <w:sz w:val="20"/>
    </w:rPr>
  </w:style>
  <w:style w:type="character" w:styleId="886" w:customStyle="1">
    <w:name w:val="HTML 样本1"/>
    <w:link w:val="656"/>
    <w:uiPriority w:val="99"/>
    <w:unhideWhenUsed/>
    <w:qFormat/>
    <w:rPr>
      <w:rFonts w:ascii="monospace" w:hAnsi="monospace" w:eastAsia="monospace" w:cs="monospace"/>
    </w:rPr>
  </w:style>
  <w:style w:type="character" w:styleId="887" w:customStyle="1">
    <w:name w:val="正文缩进2格 Char"/>
    <w:link w:val="888"/>
    <w:uiPriority w:val="0"/>
    <w:qFormat/>
    <w:rPr>
      <w:rFonts w:ascii="仿宋_GB2312" w:hAnsi="宋体" w:eastAsia="仿宋_GB2312"/>
      <w:sz w:val="31"/>
      <w:szCs w:val="28"/>
    </w:rPr>
  </w:style>
  <w:style w:type="paragraph" w:styleId="888" w:customStyle="1">
    <w:name w:val="正文缩进2格"/>
    <w:basedOn w:val="656"/>
    <w:link w:val="887"/>
    <w:uiPriority w:val="0"/>
    <w:qFormat/>
    <w:pPr>
      <w:ind w:firstLine="639"/>
      <w:spacing w:line="600" w:lineRule="exact"/>
    </w:pPr>
    <w:rPr>
      <w:rFonts w:ascii="仿宋_GB2312" w:hAnsi="宋体" w:eastAsia="仿宋_GB2312"/>
      <w:sz w:val="31"/>
      <w:szCs w:val="28"/>
    </w:rPr>
  </w:style>
  <w:style w:type="character" w:styleId="889" w:customStyle="1">
    <w:name w:val="标题 3.1 Char"/>
    <w:link w:val="890"/>
    <w:uiPriority w:val="0"/>
    <w:qFormat/>
    <w:rPr>
      <w:rFonts w:ascii="宋体" w:hAnsi="宋体"/>
      <w:b/>
      <w:bCs/>
      <w:color w:val="000000"/>
      <w:sz w:val="32"/>
      <w:szCs w:val="32"/>
    </w:rPr>
  </w:style>
  <w:style w:type="paragraph" w:styleId="890" w:customStyle="1">
    <w:name w:val="标题 3.1"/>
    <w:basedOn w:val="846"/>
    <w:link w:val="889"/>
    <w:uiPriority w:val="0"/>
    <w:qFormat/>
    <w:pPr>
      <w:spacing w:line="600" w:lineRule="exact"/>
      <w:tabs>
        <w:tab w:val="left" w:pos="1440" w:leader="none"/>
        <w:tab w:val="left" w:pos="1620" w:leader="none"/>
      </w:tabs>
    </w:pPr>
    <w:rPr>
      <w:rFonts w:ascii="宋体" w:hAnsi="宋体"/>
      <w:color w:val="000000"/>
    </w:rPr>
  </w:style>
  <w:style w:type="character" w:styleId="891" w:customStyle="1">
    <w:name w:val="普通正文 Char"/>
    <w:link w:val="892"/>
    <w:uiPriority w:val="0"/>
    <w:qFormat/>
    <w:rPr>
      <w:rFonts w:ascii="Arial" w:hAnsi="Arial"/>
      <w:sz w:val="24"/>
      <w:szCs w:val="24"/>
    </w:rPr>
  </w:style>
  <w:style w:type="paragraph" w:styleId="892" w:customStyle="1">
    <w:name w:val="普通正文"/>
    <w:basedOn w:val="893"/>
    <w:link w:val="891"/>
    <w:uiPriority w:val="0"/>
    <w:qFormat/>
    <w:pPr>
      <w:ind w:left="-2" w:right="120" w:firstLine="480"/>
      <w:jc w:val="center"/>
      <w:spacing w:before="120" w:after="120" w:line="360" w:lineRule="auto"/>
    </w:pPr>
    <w:rPr>
      <w:rFonts w:ascii="Arial" w:hAnsi="Arial"/>
      <w:sz w:val="24"/>
    </w:rPr>
  </w:style>
  <w:style w:type="paragraph" w:styleId="893"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94" w:customStyle="1">
    <w:name w:val="mini-outputtext1"/>
    <w:link w:val="656"/>
    <w:uiPriority w:val="0"/>
    <w:qFormat/>
  </w:style>
  <w:style w:type="character" w:styleId="895" w:customStyle="1">
    <w:name w:val="font31"/>
    <w:link w:val="656"/>
    <w:uiPriority w:val="0"/>
    <w:qFormat/>
    <w:rPr>
      <w:rFonts w:hint="eastAsia" w:ascii="宋体" w:hAnsi="宋体" w:eastAsia="宋体" w:cs="宋体"/>
      <w:color w:val="000000"/>
      <w:sz w:val="21"/>
      <w:szCs w:val="21"/>
      <w:u w:val="none"/>
    </w:rPr>
  </w:style>
  <w:style w:type="character" w:styleId="896" w:customStyle="1">
    <w:name w:val="font61"/>
    <w:link w:val="656"/>
    <w:uiPriority w:val="0"/>
    <w:qFormat/>
    <w:rPr>
      <w:rFonts w:ascii="Times New Roman" w:hAnsi="Times New Roman" w:cs="Times New Roman"/>
      <w:color w:val="000000"/>
      <w:sz w:val="21"/>
      <w:szCs w:val="21"/>
      <w:u w:val="none"/>
    </w:rPr>
  </w:style>
  <w:style w:type="character" w:styleId="897" w:customStyle="1">
    <w:name w:val="font01"/>
    <w:link w:val="656"/>
    <w:uiPriority w:val="0"/>
    <w:qFormat/>
    <w:rPr>
      <w:rFonts w:ascii="等线" w:hAnsi="等线" w:eastAsia="等线" w:cs="等线"/>
      <w:color w:val="000000"/>
      <w:sz w:val="22"/>
      <w:szCs w:val="22"/>
      <w:u w:val="none"/>
    </w:rPr>
  </w:style>
  <w:style w:type="character" w:styleId="898" w:customStyle="1">
    <w:name w:val="font51"/>
    <w:link w:val="656"/>
    <w:uiPriority w:val="0"/>
    <w:qFormat/>
    <w:rPr>
      <w:rFonts w:ascii="等线" w:hAnsi="等线" w:eastAsia="等线" w:cs="等线"/>
      <w:b/>
      <w:bCs/>
      <w:color w:val="000000"/>
      <w:sz w:val="22"/>
      <w:szCs w:val="22"/>
      <w:u w:val="none"/>
    </w:rPr>
  </w:style>
  <w:style w:type="character" w:styleId="899" w:customStyle="1">
    <w:name w:val="active"/>
    <w:basedOn w:val="848"/>
    <w:link w:val="656"/>
    <w:uiPriority w:val="0"/>
    <w:qFormat/>
    <w:rPr>
      <w:color w:val="ffffff"/>
      <w:shd w:val="clear" w:color="auto" w:fill="0f5bb9"/>
    </w:rPr>
  </w:style>
  <w:style w:type="paragraph" w:styleId="900" w:customStyle="1">
    <w:name w:val="正文缩进4格"/>
    <w:basedOn w:val="888"/>
    <w:uiPriority w:val="0"/>
    <w:qFormat/>
    <w:pPr>
      <w:ind w:left="2" w:firstLine="538"/>
    </w:pPr>
    <w:rPr>
      <w:color w:val="000000"/>
      <w:sz w:val="28"/>
    </w:rPr>
  </w:style>
  <w:style w:type="paragraph" w:styleId="90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普通(网站) Char"/>
    <w:basedOn w:val="65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03" w:customStyle="1">
    <w:name w:val="para"/>
    <w:basedOn w:val="656"/>
    <w:uiPriority w:val="0"/>
    <w:qFormat/>
    <w:pPr>
      <w:jc w:val="left"/>
      <w:spacing w:before="100" w:beforeAutospacing="1" w:after="100" w:afterAutospacing="1"/>
      <w:widowControl/>
    </w:pPr>
    <w:rPr>
      <w:rFonts w:ascii="Arial" w:hAnsi="Arial" w:cs="Arial"/>
      <w:sz w:val="18"/>
      <w:szCs w:val="18"/>
    </w:rPr>
  </w:style>
  <w:style w:type="paragraph" w:styleId="904" w:customStyle="1">
    <w:name w:val=" Char Char 字元 字元 字元 Char Char Char Char"/>
    <w:basedOn w:val="656"/>
    <w:uiPriority w:val="0"/>
    <w:qFormat/>
    <w:pPr>
      <w:spacing w:line="360" w:lineRule="auto"/>
    </w:pPr>
    <w:rPr>
      <w:sz w:val="24"/>
      <w:szCs w:val="20"/>
    </w:rPr>
  </w:style>
  <w:style w:type="paragraph" w:styleId="905" w:customStyle="1">
    <w:name w:val=" Char Char Char Char"/>
    <w:basedOn w:val="656"/>
    <w:uiPriority w:val="0"/>
    <w:qFormat/>
    <w:rPr>
      <w:rFonts w:ascii="Tahoma" w:hAnsi="Tahoma"/>
      <w:sz w:val="24"/>
      <w:szCs w:val="20"/>
    </w:rPr>
  </w:style>
  <w:style w:type="paragraph" w:styleId="90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msonormalcxsplast"/>
    <w:basedOn w:val="656"/>
    <w:uiPriority w:val="0"/>
    <w:qFormat/>
    <w:pPr>
      <w:jc w:val="left"/>
      <w:spacing w:before="100" w:beforeAutospacing="1" w:after="100" w:afterAutospacing="1"/>
      <w:widowControl/>
    </w:pPr>
    <w:rPr>
      <w:rFonts w:ascii="宋体" w:hAnsi="宋体" w:cs="宋体"/>
      <w:sz w:val="24"/>
    </w:rPr>
  </w:style>
  <w:style w:type="paragraph" w:styleId="908" w:customStyle="1">
    <w:name w:val=" Char"/>
    <w:basedOn w:val="656"/>
    <w:uiPriority w:val="0"/>
    <w:qFormat/>
    <w:rPr>
      <w:rFonts w:ascii="Tahoma" w:hAnsi="Tahoma"/>
      <w:sz w:val="24"/>
      <w:szCs w:val="20"/>
    </w:rPr>
  </w:style>
  <w:style w:type="paragraph" w:styleId="909" w:customStyle="1">
    <w:name w:val="Char"/>
    <w:basedOn w:val="656"/>
    <w:uiPriority w:val="0"/>
    <w:qFormat/>
    <w:rPr>
      <w:rFonts w:ascii="Tahoma" w:hAnsi="Tahoma"/>
      <w:sz w:val="24"/>
      <w:szCs w:val="20"/>
    </w:rPr>
  </w:style>
  <w:style w:type="paragraph" w:styleId="910" w:customStyle="1">
    <w:name w:val="Char1"/>
    <w:basedOn w:val="656"/>
    <w:uiPriority w:val="0"/>
    <w:qFormat/>
    <w:pPr>
      <w:ind w:left="840" w:hanging="420"/>
      <w:tabs>
        <w:tab w:val="left" w:pos="840" w:leader="none"/>
      </w:tabs>
    </w:pPr>
    <w:rPr>
      <w:sz w:val="24"/>
    </w:rPr>
  </w:style>
  <w:style w:type="paragraph" w:styleId="911" w:customStyle="1">
    <w:name w:val="msonormalcxspmiddle"/>
    <w:basedOn w:val="656"/>
    <w:uiPriority w:val="0"/>
    <w:qFormat/>
    <w:pPr>
      <w:jc w:val="left"/>
      <w:spacing w:before="100" w:beforeAutospacing="1" w:after="100" w:afterAutospacing="1"/>
      <w:widowControl/>
    </w:pPr>
    <w:rPr>
      <w:rFonts w:ascii="宋体" w:hAnsi="宋体" w:cs="宋体"/>
      <w:sz w:val="24"/>
    </w:rPr>
  </w:style>
  <w:style w:type="paragraph" w:styleId="912" w:customStyle="1">
    <w:name w:val=" Char Char1 Char Char Char Char Char Char"/>
    <w:basedOn w:val="656"/>
    <w:uiPriority w:val="0"/>
    <w:qFormat/>
    <w:pPr>
      <w:jc w:val="left"/>
      <w:spacing w:after="160" w:line="240" w:lineRule="exact"/>
      <w:widowControl/>
    </w:pPr>
    <w:rPr>
      <w:rFonts w:ascii="Verdana" w:hAnsi="Verdana" w:eastAsia="仿宋_GB2312"/>
      <w:sz w:val="24"/>
      <w:szCs w:val="20"/>
      <w:lang w:eastAsia="en-US"/>
    </w:rPr>
  </w:style>
  <w:style w:type="numbering" w:styleId="5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9</cp:revision>
  <dcterms:created xsi:type="dcterms:W3CDTF">2021-11-26T05:08:00Z</dcterms:created>
  <dcterms:modified xsi:type="dcterms:W3CDTF">2026-03-31T02:18:11Z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2052-12.1.0.25225</vt:lpwstr>
  </property>
  <property fmtid="{D5CDD505-2E9C-101B-9397-08002B2CF9AE}" pid="4" name="ICV">
    <vt:lpwstr>D3F68114EBFC43C68E493C32868EE0AD_12</vt:lpwstr>
  </property>
</Properties>
</file>