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AC72A">
      <w:pPr>
        <w:ind w:right="-313"/>
        <w:jc w:val="center"/>
        <w:rPr>
          <w:rFonts w:hint="eastAsia" w:ascii="宋体" w:hAnsi="宋体"/>
          <w:b/>
          <w:bCs/>
          <w:color w:val="000000" w:themeColor="text1"/>
          <w:sz w:val="84"/>
          <w:szCs w:val="84"/>
          <w:highlight w:val="none"/>
          <w14:textFill>
            <w14:solidFill>
              <w14:schemeClr w14:val="tx1"/>
            </w14:solidFill>
          </w14:textFill>
        </w:rPr>
      </w:pPr>
    </w:p>
    <w:p w14:paraId="3ECFB7D2">
      <w:pPr>
        <w:ind w:right="-313"/>
        <w:jc w:val="center"/>
        <w:rPr>
          <w:rFonts w:ascii="宋体" w:hAnsi="宋体"/>
          <w:b/>
          <w:bCs/>
          <w:color w:val="000000" w:themeColor="text1"/>
          <w:sz w:val="84"/>
          <w:szCs w:val="84"/>
          <w:highlight w:val="none"/>
          <w14:textFill>
            <w14:solidFill>
              <w14:schemeClr w14:val="tx1"/>
            </w14:solidFill>
          </w14:textFill>
        </w:rPr>
      </w:pPr>
      <w:r>
        <w:rPr>
          <w:rFonts w:hint="eastAsia" w:ascii="宋体" w:hAnsi="宋体"/>
          <w:b/>
          <w:bCs/>
          <w:color w:val="000000" w:themeColor="text1"/>
          <w:sz w:val="84"/>
          <w:szCs w:val="84"/>
          <w:highlight w:val="none"/>
          <w14:textFill>
            <w14:solidFill>
              <w14:schemeClr w14:val="tx1"/>
            </w14:solidFill>
          </w14:textFill>
        </w:rPr>
        <w:t>苏 州 市 政 府 采 购</w:t>
      </w:r>
    </w:p>
    <w:p w14:paraId="1AD70F2C">
      <w:pPr>
        <w:jc w:val="center"/>
        <w:rPr>
          <w:rFonts w:hint="eastAsia" w:ascii="宋体" w:hAnsi="宋体"/>
          <w:b/>
          <w:bCs/>
          <w:color w:val="000000" w:themeColor="text1"/>
          <w:sz w:val="84"/>
          <w:szCs w:val="84"/>
          <w:highlight w:val="none"/>
          <w14:textFill>
            <w14:solidFill>
              <w14:schemeClr w14:val="tx1"/>
            </w14:solidFill>
          </w14:textFill>
        </w:rPr>
      </w:pPr>
      <w:r>
        <w:rPr>
          <w:rFonts w:hint="eastAsia" w:ascii="宋体" w:hAnsi="宋体"/>
          <w:b/>
          <w:bCs/>
          <w:color w:val="000000" w:themeColor="text1"/>
          <w:sz w:val="84"/>
          <w:szCs w:val="84"/>
          <w:highlight w:val="none"/>
          <w14:textFill>
            <w14:solidFill>
              <w14:schemeClr w14:val="tx1"/>
            </w14:solidFill>
          </w14:textFill>
        </w:rPr>
        <w:t>招 标 文 件</w:t>
      </w:r>
    </w:p>
    <w:p w14:paraId="6DE5AB49">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6347D9C">
      <w:pPr>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 xml:space="preserve"> </w:t>
      </w:r>
    </w:p>
    <w:p w14:paraId="608EB498">
      <w:pPr>
        <w:pStyle w:val="16"/>
        <w:rPr>
          <w:rFonts w:hint="eastAsia"/>
          <w:color w:val="000000" w:themeColor="text1"/>
          <w:highlight w:val="none"/>
          <w14:textFill>
            <w14:solidFill>
              <w14:schemeClr w14:val="tx1"/>
            </w14:solidFill>
          </w14:textFill>
        </w:rPr>
      </w:pPr>
    </w:p>
    <w:p w14:paraId="2806A0DC">
      <w:pPr>
        <w:rPr>
          <w:rFonts w:hint="eastAsia"/>
          <w:color w:val="000000" w:themeColor="text1"/>
          <w:highlight w:val="none"/>
          <w14:textFill>
            <w14:solidFill>
              <w14:schemeClr w14:val="tx1"/>
            </w14:solidFill>
          </w14:textFill>
        </w:rPr>
      </w:pPr>
    </w:p>
    <w:p w14:paraId="3CC98850">
      <w:pPr>
        <w:keepNext w:val="0"/>
        <w:keepLines w:val="0"/>
        <w:pageBreakBefore w:val="0"/>
        <w:widowControl w:val="0"/>
        <w:spacing w:line="360" w:lineRule="auto"/>
        <w:ind w:firstLine="1134"/>
        <w:jc w:val="left"/>
        <w:rPr>
          <w:rFonts w:hint="eastAsia" w:ascii="宋体" w:hAnsi="宋体" w:eastAsia="宋体"/>
          <w:color w:val="000000" w:themeColor="text1"/>
          <w:sz w:val="32"/>
          <w:szCs w:val="32"/>
          <w:highlight w:val="none"/>
          <w:lang w:eastAsia="zh-CN"/>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标    号：</w:t>
      </w:r>
      <w:bookmarkStart w:id="39" w:name="_GoBack"/>
      <w:r>
        <w:rPr>
          <w:rFonts w:hint="eastAsia" w:ascii="宋体" w:hAnsi="宋体"/>
          <w:color w:val="000000" w:themeColor="text1"/>
          <w:sz w:val="32"/>
          <w:szCs w:val="32"/>
          <w:highlight w:val="none"/>
          <w:lang w:eastAsia="zh-CN"/>
          <w14:textFill>
            <w14:solidFill>
              <w14:schemeClr w14:val="tx1"/>
            </w14:solidFill>
          </w14:textFill>
        </w:rPr>
        <w:t>JSZC-320500-HDPY-G2026-0002</w:t>
      </w:r>
      <w:bookmarkEnd w:id="39"/>
    </w:p>
    <w:p w14:paraId="40C20EDE">
      <w:pPr>
        <w:keepNext w:val="0"/>
        <w:keepLines w:val="0"/>
        <w:pageBreakBefore w:val="0"/>
        <w:widowControl w:val="0"/>
        <w:spacing w:line="360" w:lineRule="auto"/>
        <w:ind w:firstLine="1134"/>
        <w:jc w:val="left"/>
        <w:rPr>
          <w:rFonts w:hint="eastAsia" w:ascii="宋体" w:hAnsi="宋体" w:eastAsia="宋体"/>
          <w:color w:val="000000" w:themeColor="text1"/>
          <w:sz w:val="32"/>
          <w:szCs w:val="32"/>
          <w:highlight w:val="none"/>
          <w:lang w:eastAsia="zh-CN"/>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采购单位：</w:t>
      </w:r>
      <w:r>
        <w:rPr>
          <w:rFonts w:hint="eastAsia" w:ascii="宋体" w:hAnsi="宋体"/>
          <w:color w:val="000000" w:themeColor="text1"/>
          <w:sz w:val="32"/>
          <w:szCs w:val="32"/>
          <w:highlight w:val="none"/>
          <w:lang w:eastAsia="zh-CN"/>
          <w14:textFill>
            <w14:solidFill>
              <w14:schemeClr w14:val="tx1"/>
            </w14:solidFill>
          </w14:textFill>
        </w:rPr>
        <w:t>苏州市立医院</w:t>
      </w:r>
    </w:p>
    <w:p w14:paraId="4CB287CA">
      <w:pPr>
        <w:keepNext w:val="0"/>
        <w:keepLines w:val="0"/>
        <w:pageBreakBefore w:val="0"/>
        <w:widowControl w:val="0"/>
        <w:spacing w:line="360" w:lineRule="auto"/>
        <w:ind w:firstLine="1134"/>
        <w:rPr>
          <w:rFonts w:hint="eastAsia" w:ascii="宋体" w:hAnsi="宋体" w:eastAsia="宋体"/>
          <w:color w:val="000000" w:themeColor="text1"/>
          <w:sz w:val="32"/>
          <w:szCs w:val="32"/>
          <w:highlight w:val="none"/>
          <w:lang w:eastAsia="zh-CN"/>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采购内容：</w:t>
      </w:r>
      <w:r>
        <w:rPr>
          <w:rFonts w:hint="eastAsia" w:ascii="宋体" w:hAnsi="宋体"/>
          <w:color w:val="000000" w:themeColor="text1"/>
          <w:sz w:val="32"/>
          <w:szCs w:val="32"/>
          <w:highlight w:val="none"/>
          <w:lang w:eastAsia="zh-CN"/>
          <w14:textFill>
            <w14:solidFill>
              <w14:schemeClr w14:val="tx1"/>
            </w14:solidFill>
          </w14:textFill>
        </w:rPr>
        <w:t>太湖总院医用被服洗涤租赁服务</w:t>
      </w:r>
    </w:p>
    <w:p w14:paraId="27FE6609">
      <w:pPr>
        <w:keepNext w:val="0"/>
        <w:keepLines w:val="0"/>
        <w:pageBreakBefore w:val="0"/>
        <w:widowControl w:val="0"/>
        <w:spacing w:line="360" w:lineRule="auto"/>
        <w:ind w:firstLine="1134"/>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项目类别：服务类</w:t>
      </w:r>
    </w:p>
    <w:p w14:paraId="7EF2B50D">
      <w:pPr>
        <w:jc w:val="center"/>
        <w:rPr>
          <w:rFonts w:hint="eastAsia" w:ascii="宋体" w:hAnsi="宋体"/>
          <w:color w:val="000000" w:themeColor="text1"/>
          <w:sz w:val="32"/>
          <w:szCs w:val="32"/>
          <w:highlight w:val="none"/>
          <w14:textFill>
            <w14:solidFill>
              <w14:schemeClr w14:val="tx1"/>
            </w14:solidFill>
          </w14:textFill>
        </w:rPr>
      </w:pPr>
    </w:p>
    <w:p w14:paraId="2247C838">
      <w:pPr>
        <w:jc w:val="center"/>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 xml:space="preserve"> </w:t>
      </w:r>
    </w:p>
    <w:p w14:paraId="1BCB44BE">
      <w:pPr>
        <w:jc w:val="center"/>
        <w:rPr>
          <w:rFonts w:hint="eastAsia"/>
          <w:color w:val="000000" w:themeColor="text1"/>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 xml:space="preserve"> </w:t>
      </w:r>
      <w:r>
        <w:rPr>
          <w:color w:val="000000" w:themeColor="text1"/>
          <w:highlight w:val="none"/>
          <w14:textFill>
            <w14:solidFill>
              <w14:schemeClr w14:val="tx1"/>
            </w14:solidFill>
          </w14:textFill>
        </w:rPr>
        <w:drawing>
          <wp:inline distT="0" distB="0" distL="0" distR="0">
            <wp:extent cx="1447800" cy="176022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stretch>
                      <a:fillRect/>
                    </a:stretch>
                  </pic:blipFill>
                  <pic:spPr>
                    <a:xfrm>
                      <a:off x="0" y="0"/>
                      <a:ext cx="1447800" cy="1760360"/>
                    </a:xfrm>
                    <a:prstGeom prst="rect">
                      <a:avLst/>
                    </a:prstGeom>
                    <a:noFill/>
                    <a:ln>
                      <a:noFill/>
                    </a:ln>
                  </pic:spPr>
                </pic:pic>
              </a:graphicData>
            </a:graphic>
          </wp:inline>
        </w:drawing>
      </w:r>
    </w:p>
    <w:p w14:paraId="77B6A631">
      <w:pPr>
        <w:jc w:val="center"/>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 xml:space="preserve"> </w:t>
      </w:r>
    </w:p>
    <w:p w14:paraId="7D1258CC">
      <w:pPr>
        <w:rPr>
          <w:rFonts w:hint="eastAsia" w:ascii="宋体" w:hAnsi="宋体"/>
          <w:color w:val="000000" w:themeColor="text1"/>
          <w:sz w:val="36"/>
          <w:szCs w:val="36"/>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 xml:space="preserve"> </w:t>
      </w:r>
    </w:p>
    <w:p w14:paraId="15C8E123">
      <w:pPr>
        <w:pStyle w:val="16"/>
        <w:rPr>
          <w:rFonts w:hint="eastAsia"/>
          <w:color w:val="000000" w:themeColor="text1"/>
          <w:highlight w:val="none"/>
          <w14:textFill>
            <w14:solidFill>
              <w14:schemeClr w14:val="tx1"/>
            </w14:solidFill>
          </w14:textFill>
        </w:rPr>
      </w:pPr>
    </w:p>
    <w:p w14:paraId="10C14A29">
      <w:pPr>
        <w:spacing w:line="360" w:lineRule="auto"/>
        <w:jc w:val="center"/>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苏州惠德普源企业咨询有限公司</w:t>
      </w:r>
    </w:p>
    <w:p w14:paraId="363A6810">
      <w:pPr>
        <w:spacing w:line="360" w:lineRule="auto"/>
        <w:jc w:val="center"/>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二〇二</w:t>
      </w:r>
      <w:r>
        <w:rPr>
          <w:rFonts w:hint="eastAsia" w:ascii="宋体" w:hAnsi="宋体"/>
          <w:color w:val="000000" w:themeColor="text1"/>
          <w:sz w:val="32"/>
          <w:szCs w:val="32"/>
          <w:highlight w:val="none"/>
          <w:lang w:val="en-US" w:eastAsia="zh-CN"/>
          <w14:textFill>
            <w14:solidFill>
              <w14:schemeClr w14:val="tx1"/>
            </w14:solidFill>
          </w14:textFill>
        </w:rPr>
        <w:t>六</w:t>
      </w:r>
      <w:r>
        <w:rPr>
          <w:rFonts w:hint="eastAsia" w:ascii="宋体" w:hAnsi="宋体"/>
          <w:color w:val="000000" w:themeColor="text1"/>
          <w:sz w:val="32"/>
          <w:szCs w:val="32"/>
          <w:highlight w:val="none"/>
          <w14:textFill>
            <w14:solidFill>
              <w14:schemeClr w14:val="tx1"/>
            </w14:solidFill>
          </w14:textFill>
        </w:rPr>
        <w:t>年</w:t>
      </w:r>
      <w:r>
        <w:rPr>
          <w:rFonts w:hint="eastAsia" w:ascii="宋体" w:hAnsi="宋体"/>
          <w:color w:val="000000" w:themeColor="text1"/>
          <w:sz w:val="32"/>
          <w:szCs w:val="32"/>
          <w:highlight w:val="none"/>
          <w:lang w:val="en-US" w:eastAsia="zh-CN"/>
          <w14:textFill>
            <w14:solidFill>
              <w14:schemeClr w14:val="tx1"/>
            </w14:solidFill>
          </w14:textFill>
        </w:rPr>
        <w:t>三</w:t>
      </w:r>
      <w:r>
        <w:rPr>
          <w:rFonts w:hint="eastAsia" w:ascii="宋体" w:hAnsi="宋体"/>
          <w:color w:val="000000" w:themeColor="text1"/>
          <w:sz w:val="32"/>
          <w:szCs w:val="32"/>
          <w:highlight w:val="none"/>
          <w14:textFill>
            <w14:solidFill>
              <w14:schemeClr w14:val="tx1"/>
            </w14:solidFill>
          </w14:textFill>
        </w:rPr>
        <w:t>月</w:t>
      </w:r>
    </w:p>
    <w:p w14:paraId="20B30C13">
      <w:pPr>
        <w:jc w:val="center"/>
        <w:rPr>
          <w:rFonts w:hint="eastAsia"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br w:type="page" w:clear="all"/>
      </w:r>
    </w:p>
    <w:p w14:paraId="5C0DE085">
      <w:pPr>
        <w:jc w:val="center"/>
        <w:rPr>
          <w:rFonts w:ascii="宋体" w:hAnsi="宋体"/>
          <w:color w:val="000000" w:themeColor="text1"/>
          <w:sz w:val="44"/>
          <w:szCs w:val="44"/>
          <w:highlight w:val="none"/>
          <w14:textFill>
            <w14:solidFill>
              <w14:schemeClr w14:val="tx1"/>
            </w14:solidFill>
          </w14:textFill>
        </w:rPr>
      </w:pPr>
    </w:p>
    <w:p w14:paraId="2DC8850A">
      <w:pPr>
        <w:jc w:val="center"/>
        <w:rPr>
          <w:rFonts w:hint="eastAsia"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总目录</w:t>
      </w:r>
    </w:p>
    <w:p w14:paraId="4D175820">
      <w:pPr>
        <w:pStyle w:val="200"/>
        <w:ind w:firstLine="0"/>
        <w:jc w:val="center"/>
        <w:rPr>
          <w:rFonts w:hint="eastAsia" w:ascii="宋体" w:hAnsi="宋体" w:eastAsia="宋体"/>
          <w:color w:val="000000" w:themeColor="text1"/>
          <w:sz w:val="30"/>
          <w:szCs w:val="30"/>
          <w:highlight w:val="none"/>
          <w14:textFill>
            <w14:solidFill>
              <w14:schemeClr w14:val="tx1"/>
            </w14:solidFill>
          </w14:textFill>
        </w:rPr>
      </w:pPr>
      <w:r>
        <w:rPr>
          <w:rFonts w:hint="eastAsia" w:ascii="宋体" w:hAnsi="宋体" w:eastAsia="宋体"/>
          <w:color w:val="000000" w:themeColor="text1"/>
          <w:sz w:val="30"/>
          <w:szCs w:val="30"/>
          <w:highlight w:val="none"/>
          <w14:textFill>
            <w14:solidFill>
              <w14:schemeClr w14:val="tx1"/>
            </w14:solidFill>
          </w14:textFill>
        </w:rPr>
        <w:t xml:space="preserve"> </w:t>
      </w:r>
    </w:p>
    <w:p w14:paraId="7EB52276">
      <w:pPr>
        <w:spacing w:line="480" w:lineRule="auto"/>
        <w:ind w:firstLine="560"/>
        <w:rPr>
          <w:rFonts w:hint="eastAsia" w:ascii="宋体" w:hAnsi="宋体" w:eastAsia="宋体"/>
          <w:color w:val="000000" w:themeColor="text1"/>
          <w:sz w:val="28"/>
          <w:szCs w:val="28"/>
          <w:highlight w:val="none"/>
          <w:lang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第一章 投标邀请函……………………………………………</w:t>
      </w:r>
      <w:r>
        <w:rPr>
          <w:rFonts w:hint="eastAsia" w:ascii="宋体" w:hAnsi="宋体"/>
          <w:color w:val="000000" w:themeColor="text1"/>
          <w:sz w:val="28"/>
          <w:szCs w:val="28"/>
          <w:highlight w:val="none"/>
          <w:lang w:val="en-US" w:eastAsia="zh-CN"/>
          <w14:textFill>
            <w14:solidFill>
              <w14:schemeClr w14:val="tx1"/>
            </w14:solidFill>
          </w14:textFill>
        </w:rPr>
        <w:t xml:space="preserve"> 5</w:t>
      </w:r>
    </w:p>
    <w:p w14:paraId="7352E347">
      <w:pPr>
        <w:spacing w:line="480" w:lineRule="auto"/>
        <w:ind w:firstLine="560"/>
        <w:rPr>
          <w:rFonts w:hint="default" w:ascii="宋体" w:hAnsi="宋体" w:eastAsia="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第二章 投标人须知……………………………………………</w:t>
      </w:r>
      <w:r>
        <w:rPr>
          <w:rFonts w:hint="eastAsia" w:ascii="宋体" w:hAnsi="宋体"/>
          <w:color w:val="000000" w:themeColor="text1"/>
          <w:sz w:val="28"/>
          <w:szCs w:val="28"/>
          <w:highlight w:val="none"/>
          <w:lang w:val="en-US" w:eastAsia="zh-CN"/>
          <w14:textFill>
            <w14:solidFill>
              <w14:schemeClr w14:val="tx1"/>
            </w14:solidFill>
          </w14:textFill>
        </w:rPr>
        <w:t xml:space="preserve"> 9</w:t>
      </w:r>
    </w:p>
    <w:p w14:paraId="7E7FA167">
      <w:pPr>
        <w:spacing w:line="480" w:lineRule="auto"/>
        <w:ind w:firstLine="560"/>
        <w:rPr>
          <w:rFonts w:hint="eastAsia" w:ascii="宋体" w:hAnsi="宋体" w:eastAsia="宋体"/>
          <w:color w:val="000000" w:themeColor="text1"/>
          <w:sz w:val="28"/>
          <w:szCs w:val="28"/>
          <w:highlight w:val="none"/>
          <w:lang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第三章 投标文件格式…………………………………………2</w:t>
      </w:r>
      <w:r>
        <w:rPr>
          <w:rFonts w:hint="eastAsia" w:ascii="宋体" w:hAnsi="宋体"/>
          <w:color w:val="000000" w:themeColor="text1"/>
          <w:sz w:val="28"/>
          <w:szCs w:val="28"/>
          <w:highlight w:val="none"/>
          <w:lang w:val="en-US" w:eastAsia="zh-CN"/>
          <w14:textFill>
            <w14:solidFill>
              <w14:schemeClr w14:val="tx1"/>
            </w14:solidFill>
          </w14:textFill>
        </w:rPr>
        <w:t>5</w:t>
      </w:r>
    </w:p>
    <w:p w14:paraId="1524A8F4">
      <w:pPr>
        <w:spacing w:line="480" w:lineRule="auto"/>
        <w:ind w:firstLine="560"/>
        <w:rPr>
          <w:rFonts w:hint="default" w:ascii="宋体" w:hAnsi="宋体" w:eastAsia="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第四章 招标书…………………………………………………</w:t>
      </w:r>
      <w:r>
        <w:rPr>
          <w:rFonts w:hint="eastAsia" w:ascii="宋体" w:hAnsi="宋体"/>
          <w:color w:val="000000" w:themeColor="text1"/>
          <w:sz w:val="28"/>
          <w:szCs w:val="28"/>
          <w:highlight w:val="none"/>
          <w:lang w:val="en-US" w:eastAsia="zh-CN"/>
          <w14:textFill>
            <w14:solidFill>
              <w14:schemeClr w14:val="tx1"/>
            </w14:solidFill>
          </w14:textFill>
        </w:rPr>
        <w:t>42</w:t>
      </w:r>
    </w:p>
    <w:p w14:paraId="008F3108">
      <w:pPr>
        <w:spacing w:line="480" w:lineRule="auto"/>
        <w:ind w:firstLine="560"/>
        <w:rPr>
          <w:rFonts w:hint="default" w:ascii="宋体" w:hAnsi="宋体" w:eastAsia="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第五章 合同主要条款…………………………………………</w:t>
      </w:r>
      <w:r>
        <w:rPr>
          <w:rFonts w:hint="eastAsia" w:ascii="宋体" w:hAnsi="宋体"/>
          <w:color w:val="000000" w:themeColor="text1"/>
          <w:sz w:val="28"/>
          <w:szCs w:val="28"/>
          <w:highlight w:val="none"/>
          <w:lang w:val="en-US" w:eastAsia="zh-CN"/>
          <w14:textFill>
            <w14:solidFill>
              <w14:schemeClr w14:val="tx1"/>
            </w14:solidFill>
          </w14:textFill>
        </w:rPr>
        <w:t>51</w:t>
      </w:r>
    </w:p>
    <w:p w14:paraId="44D73E74">
      <w:pPr>
        <w:spacing w:line="480" w:lineRule="auto"/>
        <w:ind w:firstLine="560"/>
        <w:rPr>
          <w:rFonts w:hint="default" w:ascii="宋体" w:hAnsi="宋体" w:eastAsia="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第六章 评标方法、评分标准…………………………………</w:t>
      </w:r>
      <w:r>
        <w:rPr>
          <w:rFonts w:hint="eastAsia" w:ascii="宋体" w:hAnsi="宋体"/>
          <w:color w:val="000000" w:themeColor="text1"/>
          <w:sz w:val="28"/>
          <w:szCs w:val="28"/>
          <w:highlight w:val="none"/>
          <w:lang w:val="en-US" w:eastAsia="zh-CN"/>
          <w14:textFill>
            <w14:solidFill>
              <w14:schemeClr w14:val="tx1"/>
            </w14:solidFill>
          </w14:textFill>
        </w:rPr>
        <w:t>56</w:t>
      </w:r>
    </w:p>
    <w:p w14:paraId="229A1045">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p>
    <w:p w14:paraId="568A3DCA">
      <w:pPr>
        <w:jc w:val="center"/>
        <w:rPr>
          <w:rFonts w:hint="eastAsia" w:ascii="宋体" w:hAnsi="宋体"/>
          <w:color w:val="000000" w:themeColor="text1"/>
          <w:spacing w:val="20"/>
          <w:sz w:val="36"/>
          <w:szCs w:val="36"/>
          <w:highlight w:val="none"/>
          <w14:textFill>
            <w14:solidFill>
              <w14:schemeClr w14:val="tx1"/>
            </w14:solidFill>
          </w14:textFill>
        </w:rPr>
      </w:pPr>
      <w:r>
        <w:rPr>
          <w:rFonts w:hint="eastAsia" w:ascii="宋体" w:hAnsi="宋体"/>
          <w:color w:val="000000" w:themeColor="text1"/>
          <w:spacing w:val="20"/>
          <w:sz w:val="36"/>
          <w:szCs w:val="36"/>
          <w:highlight w:val="none"/>
          <w14:textFill>
            <w14:solidFill>
              <w14:schemeClr w14:val="tx1"/>
            </w14:solidFill>
          </w14:textFill>
        </w:rPr>
        <w:t xml:space="preserve"> </w:t>
      </w:r>
    </w:p>
    <w:p w14:paraId="0D8331B4">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409884E0">
      <w:pPr>
        <w:jc w:val="center"/>
        <w:rPr>
          <w:rFonts w:hint="eastAsia" w:ascii="宋体" w:hAnsi="宋体"/>
          <w:color w:val="000000" w:themeColor="text1"/>
          <w:spacing w:val="20"/>
          <w:sz w:val="36"/>
          <w:szCs w:val="36"/>
          <w:highlight w:val="none"/>
          <w14:textFill>
            <w14:solidFill>
              <w14:schemeClr w14:val="tx1"/>
            </w14:solidFill>
          </w14:textFill>
        </w:rPr>
      </w:pPr>
      <w:r>
        <w:rPr>
          <w:rFonts w:hint="eastAsia" w:ascii="宋体" w:hAnsi="宋体"/>
          <w:color w:val="000000" w:themeColor="text1"/>
          <w:spacing w:val="20"/>
          <w:sz w:val="36"/>
          <w:szCs w:val="36"/>
          <w:highlight w:val="none"/>
          <w14:textFill>
            <w14:solidFill>
              <w14:schemeClr w14:val="tx1"/>
            </w14:solidFill>
          </w14:textFill>
        </w:rPr>
        <w:t xml:space="preserve"> </w:t>
      </w:r>
    </w:p>
    <w:p w14:paraId="23C07E58">
      <w:pPr>
        <w:jc w:val="center"/>
        <w:rPr>
          <w:rFonts w:hint="eastAsia" w:ascii="宋体" w:hAnsi="宋体"/>
          <w:color w:val="000000" w:themeColor="text1"/>
          <w:spacing w:val="20"/>
          <w:sz w:val="36"/>
          <w:szCs w:val="36"/>
          <w:highlight w:val="none"/>
          <w14:textFill>
            <w14:solidFill>
              <w14:schemeClr w14:val="tx1"/>
            </w14:solidFill>
          </w14:textFill>
        </w:rPr>
      </w:pPr>
      <w:r>
        <w:rPr>
          <w:rFonts w:hint="eastAsia" w:ascii="宋体" w:hAnsi="宋体"/>
          <w:color w:val="000000" w:themeColor="text1"/>
          <w:spacing w:val="20"/>
          <w:sz w:val="36"/>
          <w:szCs w:val="36"/>
          <w:highlight w:val="none"/>
          <w14:textFill>
            <w14:solidFill>
              <w14:schemeClr w14:val="tx1"/>
            </w14:solidFill>
          </w14:textFill>
        </w:rPr>
        <w:t xml:space="preserve"> </w:t>
      </w:r>
    </w:p>
    <w:p w14:paraId="53713182">
      <w:pPr>
        <w:jc w:val="center"/>
        <w:rPr>
          <w:rFonts w:hint="eastAsia" w:ascii="宋体" w:hAnsi="宋体"/>
          <w:color w:val="000000" w:themeColor="text1"/>
          <w:spacing w:val="20"/>
          <w:sz w:val="36"/>
          <w:szCs w:val="36"/>
          <w:highlight w:val="none"/>
          <w14:textFill>
            <w14:solidFill>
              <w14:schemeClr w14:val="tx1"/>
            </w14:solidFill>
          </w14:textFill>
        </w:rPr>
      </w:pPr>
      <w:r>
        <w:rPr>
          <w:rFonts w:hint="eastAsia" w:ascii="宋体" w:hAnsi="宋体"/>
          <w:color w:val="000000" w:themeColor="text1"/>
          <w:spacing w:val="20"/>
          <w:sz w:val="36"/>
          <w:szCs w:val="36"/>
          <w:highlight w:val="none"/>
          <w14:textFill>
            <w14:solidFill>
              <w14:schemeClr w14:val="tx1"/>
            </w14:solidFill>
          </w14:textFill>
        </w:rPr>
        <w:t xml:space="preserve"> </w:t>
      </w:r>
    </w:p>
    <w:p w14:paraId="5EBAF081">
      <w:pPr>
        <w:jc w:val="center"/>
        <w:rPr>
          <w:rFonts w:hint="eastAsia" w:ascii="宋体" w:hAnsi="宋体"/>
          <w:color w:val="000000" w:themeColor="text1"/>
          <w:spacing w:val="20"/>
          <w:sz w:val="36"/>
          <w:szCs w:val="36"/>
          <w:highlight w:val="none"/>
          <w14:textFill>
            <w14:solidFill>
              <w14:schemeClr w14:val="tx1"/>
            </w14:solidFill>
          </w14:textFill>
        </w:rPr>
      </w:pPr>
      <w:r>
        <w:rPr>
          <w:rFonts w:hint="eastAsia" w:ascii="宋体" w:hAnsi="宋体"/>
          <w:color w:val="000000" w:themeColor="text1"/>
          <w:spacing w:val="20"/>
          <w:sz w:val="36"/>
          <w:szCs w:val="36"/>
          <w:highlight w:val="none"/>
          <w14:textFill>
            <w14:solidFill>
              <w14:schemeClr w14:val="tx1"/>
            </w14:solidFill>
          </w14:textFill>
        </w:rPr>
        <w:t xml:space="preserve"> </w:t>
      </w:r>
    </w:p>
    <w:p w14:paraId="03FBA656">
      <w:pPr>
        <w:jc w:val="center"/>
        <w:rPr>
          <w:rFonts w:hint="eastAsia" w:ascii="宋体" w:hAnsi="宋体"/>
          <w:color w:val="000000" w:themeColor="text1"/>
          <w:spacing w:val="20"/>
          <w:sz w:val="36"/>
          <w:szCs w:val="36"/>
          <w:highlight w:val="none"/>
          <w14:textFill>
            <w14:solidFill>
              <w14:schemeClr w14:val="tx1"/>
            </w14:solidFill>
          </w14:textFill>
        </w:rPr>
      </w:pPr>
      <w:r>
        <w:rPr>
          <w:rFonts w:hint="eastAsia" w:ascii="宋体" w:hAnsi="宋体"/>
          <w:color w:val="000000" w:themeColor="text1"/>
          <w:spacing w:val="20"/>
          <w:sz w:val="36"/>
          <w:szCs w:val="36"/>
          <w:highlight w:val="none"/>
          <w14:textFill>
            <w14:solidFill>
              <w14:schemeClr w14:val="tx1"/>
            </w14:solidFill>
          </w14:textFill>
        </w:rPr>
        <w:t xml:space="preserve"> </w:t>
      </w:r>
    </w:p>
    <w:p w14:paraId="39AE3E18">
      <w:pPr>
        <w:rPr>
          <w:color w:val="000000" w:themeColor="text1"/>
          <w:highlight w:val="none"/>
          <w14:textFill>
            <w14:solidFill>
              <w14:schemeClr w14:val="tx1"/>
            </w14:solidFill>
          </w14:textFill>
        </w:rPr>
      </w:pPr>
    </w:p>
    <w:p w14:paraId="6AF3D579">
      <w:pPr>
        <w:jc w:val="center"/>
        <w:rPr>
          <w:rFonts w:hint="eastAsia" w:ascii="宋体" w:hAnsi="宋体"/>
          <w:color w:val="000000" w:themeColor="text1"/>
          <w:spacing w:val="20"/>
          <w:sz w:val="36"/>
          <w:szCs w:val="36"/>
          <w:highlight w:val="none"/>
          <w14:textFill>
            <w14:solidFill>
              <w14:schemeClr w14:val="tx1"/>
            </w14:solidFill>
          </w14:textFill>
        </w:rPr>
      </w:pPr>
    </w:p>
    <w:p w14:paraId="604B39C5">
      <w:pPr>
        <w:jc w:val="center"/>
        <w:rPr>
          <w:rFonts w:hint="eastAsia" w:ascii="宋体" w:hAnsi="宋体"/>
          <w:color w:val="000000" w:themeColor="text1"/>
          <w:spacing w:val="20"/>
          <w:sz w:val="36"/>
          <w:szCs w:val="36"/>
          <w:highlight w:val="none"/>
          <w14:textFill>
            <w14:solidFill>
              <w14:schemeClr w14:val="tx1"/>
            </w14:solidFill>
          </w14:textFill>
        </w:rPr>
      </w:pPr>
    </w:p>
    <w:p w14:paraId="6499A039">
      <w:pPr>
        <w:jc w:val="center"/>
        <w:rPr>
          <w:rFonts w:ascii="宋体" w:hAnsi="宋体"/>
          <w:color w:val="000000" w:themeColor="text1"/>
          <w:spacing w:val="20"/>
          <w:sz w:val="36"/>
          <w:szCs w:val="36"/>
          <w:highlight w:val="none"/>
          <w14:textFill>
            <w14:solidFill>
              <w14:schemeClr w14:val="tx1"/>
            </w14:solidFill>
          </w14:textFill>
        </w:rPr>
      </w:pPr>
      <w:r>
        <w:rPr>
          <w:rFonts w:hint="eastAsia" w:ascii="宋体" w:hAnsi="宋体"/>
          <w:color w:val="000000" w:themeColor="text1"/>
          <w:spacing w:val="20"/>
          <w:sz w:val="36"/>
          <w:szCs w:val="36"/>
          <w:highlight w:val="none"/>
          <w14:textFill>
            <w14:solidFill>
              <w14:schemeClr w14:val="tx1"/>
            </w14:solidFill>
          </w14:textFill>
        </w:rPr>
        <w:br w:type="page" w:clear="all"/>
      </w:r>
      <w:r>
        <w:rPr>
          <w:rFonts w:hint="eastAsia" w:ascii="宋体" w:hAnsi="宋体"/>
          <w:color w:val="000000" w:themeColor="text1"/>
          <w:spacing w:val="20"/>
          <w:sz w:val="36"/>
          <w:szCs w:val="36"/>
          <w:highlight w:val="none"/>
          <w14:textFill>
            <w14:solidFill>
              <w14:schemeClr w14:val="tx1"/>
            </w14:solidFill>
          </w14:textFill>
        </w:rPr>
        <w:t>前附表</w:t>
      </w:r>
    </w:p>
    <w:p w14:paraId="255B76B6">
      <w:pPr>
        <w:spacing w:line="300" w:lineRule="auto"/>
        <w:ind w:right="88" w:firstLine="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下述关于要采购的项目具体资料是对招标文件第一部分投标人须知的具体补充和修改，如果有矛盾的话，应以本附表为准。</w:t>
      </w:r>
    </w:p>
    <w:tbl>
      <w:tblPr>
        <w:tblStyle w:val="40"/>
        <w:tblW w:w="9277" w:type="dxa"/>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6"/>
        <w:gridCol w:w="1752"/>
        <w:gridCol w:w="6549"/>
      </w:tblGrid>
      <w:tr w14:paraId="3A929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76" w:type="dxa"/>
            <w:noWrap w:val="0"/>
            <w:vAlign w:val="center"/>
          </w:tcPr>
          <w:p w14:paraId="306FBF06">
            <w:pPr>
              <w:pStyle w:val="215"/>
              <w:spacing w:line="420" w:lineRule="exact"/>
              <w:ind w:left="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条款号</w:t>
            </w:r>
          </w:p>
        </w:tc>
        <w:tc>
          <w:tcPr>
            <w:tcW w:w="1752" w:type="dxa"/>
            <w:noWrap w:val="0"/>
            <w:vAlign w:val="center"/>
          </w:tcPr>
          <w:p w14:paraId="3E935EB1">
            <w:pPr>
              <w:pStyle w:val="215"/>
              <w:spacing w:line="420" w:lineRule="exact"/>
              <w:ind w:left="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   目</w:t>
            </w:r>
          </w:p>
        </w:tc>
        <w:tc>
          <w:tcPr>
            <w:tcW w:w="6549" w:type="dxa"/>
            <w:noWrap w:val="0"/>
            <w:vAlign w:val="center"/>
          </w:tcPr>
          <w:p w14:paraId="4F7F191E">
            <w:pPr>
              <w:pStyle w:val="215"/>
              <w:spacing w:line="420" w:lineRule="exact"/>
              <w:ind w:left="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内               容</w:t>
            </w:r>
          </w:p>
        </w:tc>
      </w:tr>
      <w:tr w14:paraId="05154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trPr>
        <w:tc>
          <w:tcPr>
            <w:tcW w:w="976" w:type="dxa"/>
            <w:noWrap w:val="0"/>
            <w:vAlign w:val="center"/>
          </w:tcPr>
          <w:p w14:paraId="3825B3C4">
            <w:pPr>
              <w:pStyle w:val="215"/>
              <w:spacing w:line="420" w:lineRule="exact"/>
              <w:ind w:left="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1752" w:type="dxa"/>
            <w:noWrap w:val="0"/>
            <w:vAlign w:val="center"/>
          </w:tcPr>
          <w:p w14:paraId="0ECE5D09">
            <w:pPr>
              <w:pStyle w:val="215"/>
              <w:spacing w:line="420" w:lineRule="exact"/>
              <w:ind w:left="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项目编号</w:t>
            </w:r>
          </w:p>
        </w:tc>
        <w:tc>
          <w:tcPr>
            <w:tcW w:w="6549" w:type="dxa"/>
            <w:noWrap w:val="0"/>
            <w:vAlign w:val="center"/>
          </w:tcPr>
          <w:p w14:paraId="14E71EC3">
            <w:pPr>
              <w:pStyle w:val="215"/>
              <w:spacing w:line="420" w:lineRule="exact"/>
              <w:ind w:left="0"/>
              <w:jc w:val="left"/>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JSZC-320500-HDPY-G2026-0002</w:t>
            </w:r>
          </w:p>
        </w:tc>
      </w:tr>
      <w:tr w14:paraId="71206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trPr>
        <w:tc>
          <w:tcPr>
            <w:tcW w:w="976" w:type="dxa"/>
            <w:noWrap w:val="0"/>
            <w:vAlign w:val="center"/>
          </w:tcPr>
          <w:p w14:paraId="39013671">
            <w:pPr>
              <w:pStyle w:val="215"/>
              <w:spacing w:line="420" w:lineRule="exact"/>
              <w:ind w:left="0"/>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w:t>
            </w:r>
          </w:p>
        </w:tc>
        <w:tc>
          <w:tcPr>
            <w:tcW w:w="1752" w:type="dxa"/>
            <w:noWrap w:val="0"/>
            <w:vAlign w:val="center"/>
          </w:tcPr>
          <w:p w14:paraId="58A47DC5">
            <w:pPr>
              <w:pStyle w:val="215"/>
              <w:spacing w:line="420" w:lineRule="exact"/>
              <w:ind w:left="0"/>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项目名称</w:t>
            </w:r>
          </w:p>
        </w:tc>
        <w:tc>
          <w:tcPr>
            <w:tcW w:w="6549" w:type="dxa"/>
            <w:noWrap w:val="0"/>
            <w:vAlign w:val="center"/>
          </w:tcPr>
          <w:p w14:paraId="67569DCD">
            <w:pPr>
              <w:pStyle w:val="215"/>
              <w:spacing w:line="420" w:lineRule="exact"/>
              <w:ind w:left="0"/>
              <w:jc w:val="left"/>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太湖总院医用被服洗涤租赁服务</w:t>
            </w:r>
          </w:p>
        </w:tc>
      </w:tr>
      <w:tr w14:paraId="4A962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76" w:type="dxa"/>
            <w:noWrap w:val="0"/>
            <w:vAlign w:val="center"/>
          </w:tcPr>
          <w:p w14:paraId="3F8A43B8">
            <w:pPr>
              <w:pStyle w:val="215"/>
              <w:spacing w:line="420" w:lineRule="exact"/>
              <w:ind w:left="0"/>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w:t>
            </w:r>
          </w:p>
        </w:tc>
        <w:tc>
          <w:tcPr>
            <w:tcW w:w="1752" w:type="dxa"/>
            <w:noWrap w:val="0"/>
            <w:vAlign w:val="center"/>
          </w:tcPr>
          <w:p w14:paraId="40102710">
            <w:pPr>
              <w:pStyle w:val="215"/>
              <w:spacing w:line="420" w:lineRule="exact"/>
              <w:ind w:left="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招标代理机构名称及地址</w:t>
            </w:r>
          </w:p>
        </w:tc>
        <w:tc>
          <w:tcPr>
            <w:tcW w:w="6549" w:type="dxa"/>
            <w:noWrap w:val="0"/>
            <w:vAlign w:val="center"/>
          </w:tcPr>
          <w:p w14:paraId="428E021E">
            <w:pPr>
              <w:spacing w:line="400" w:lineRule="exact"/>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名称：苏州惠德普源企业咨询有限公司</w:t>
            </w:r>
          </w:p>
          <w:p w14:paraId="1043BC49">
            <w:pPr>
              <w:spacing w:line="400" w:lineRule="exact"/>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地址：苏州市滨河路锦和越界X2创意街区3B 512室</w:t>
            </w:r>
          </w:p>
          <w:p w14:paraId="54986768">
            <w:pPr>
              <w:spacing w:line="400" w:lineRule="exact"/>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邮编：215000</w:t>
            </w:r>
          </w:p>
          <w:p w14:paraId="0815F8D2">
            <w:pPr>
              <w:spacing w:line="400" w:lineRule="exact"/>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电话/传真：0512-65274327</w:t>
            </w:r>
          </w:p>
          <w:p w14:paraId="3620DFFC">
            <w:pPr>
              <w:spacing w:line="400" w:lineRule="exact"/>
              <w:rPr>
                <w:rFonts w:hint="eastAsia" w:ascii="宋体" w:hAnsi="宋体" w:eastAsia="宋体" w:cs="宋体"/>
                <w:color w:val="000000" w:themeColor="text1"/>
                <w:sz w:val="24"/>
                <w:highlight w:val="none"/>
                <w:shd w:val="clear" w:color="auto" w:fill="FFFFFF"/>
                <w:lang w:eastAsia="zh-CN"/>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联系人</w:t>
            </w:r>
            <w:r>
              <w:rPr>
                <w:rFonts w:hint="eastAsia" w:ascii="宋体" w:hAnsi="宋体"/>
                <w:color w:val="000000" w:themeColor="text1"/>
                <w:sz w:val="24"/>
                <w:highlight w:val="none"/>
                <w:shd w:val="clear" w:color="auto" w:fill="FFFFFF"/>
                <w:lang w:eastAsia="zh-CN"/>
                <w14:textFill>
                  <w14:solidFill>
                    <w14:schemeClr w14:val="tx1"/>
                  </w14:solidFill>
                </w14:textFill>
              </w:rPr>
              <w:t>：姚佳雯、崔鸿青</w:t>
            </w:r>
          </w:p>
        </w:tc>
      </w:tr>
      <w:tr w14:paraId="1E567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976" w:type="dxa"/>
            <w:noWrap w:val="0"/>
            <w:vAlign w:val="center"/>
          </w:tcPr>
          <w:p w14:paraId="579FA73C">
            <w:pPr>
              <w:pStyle w:val="215"/>
              <w:spacing w:line="420" w:lineRule="exact"/>
              <w:ind w:left="0"/>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p>
        </w:tc>
        <w:tc>
          <w:tcPr>
            <w:tcW w:w="1752" w:type="dxa"/>
            <w:noWrap w:val="0"/>
            <w:vAlign w:val="center"/>
          </w:tcPr>
          <w:p w14:paraId="142C6824">
            <w:pPr>
              <w:pStyle w:val="215"/>
              <w:spacing w:line="420" w:lineRule="exact"/>
              <w:ind w:left="0"/>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采购</w:t>
            </w:r>
            <w:r>
              <w:rPr>
                <w:rFonts w:hint="eastAsia" w:ascii="宋体" w:hAnsi="宋体"/>
                <w:color w:val="000000" w:themeColor="text1"/>
                <w:sz w:val="24"/>
                <w:szCs w:val="24"/>
                <w:highlight w:val="none"/>
                <w:lang w:eastAsia="zh-CN"/>
                <w14:textFill>
                  <w14:solidFill>
                    <w14:schemeClr w14:val="tx1"/>
                  </w14:solidFill>
                </w14:textFill>
              </w:rPr>
              <w:t>单位</w:t>
            </w:r>
          </w:p>
        </w:tc>
        <w:tc>
          <w:tcPr>
            <w:tcW w:w="6549" w:type="dxa"/>
            <w:noWrap w:val="0"/>
            <w:vAlign w:val="center"/>
          </w:tcPr>
          <w:p w14:paraId="0502A6D2">
            <w:pPr>
              <w:keepNext w:val="0"/>
              <w:keepLines w:val="0"/>
              <w:pageBreakBefore w:val="0"/>
              <w:widowControl w:val="0"/>
              <w:spacing w:beforeAutospacing="0" w:afterAutospacing="0" w:line="380" w:lineRule="exact"/>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pPr>
            <w:r>
              <w:rPr>
                <w:rFonts w:hint="eastAsia" w:ascii="宋体" w:hAnsi="宋体" w:cs="宋体"/>
                <w:color w:val="000000" w:themeColor="text1"/>
                <w:sz w:val="24"/>
                <w:szCs w:val="24"/>
                <w:highlight w:val="none"/>
                <w:shd w:val="clear" w:color="auto" w:fill="FFFFFF"/>
                <w:lang w:eastAsia="zh-CN"/>
                <w14:textFill>
                  <w14:solidFill>
                    <w14:schemeClr w14:val="tx1"/>
                  </w14:solidFill>
                </w14:textFill>
              </w:rPr>
              <w:t>苏州市立医院</w:t>
            </w:r>
          </w:p>
          <w:p w14:paraId="0C63610D">
            <w:pPr>
              <w:spacing w:line="400" w:lineRule="exact"/>
              <w:rPr>
                <w:rFonts w:hint="default" w:ascii="宋体" w:hAnsi="宋体" w:eastAsia="宋体" w:cs="宋体"/>
                <w:color w:val="000000" w:themeColor="text1"/>
                <w:sz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联系人：</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王俊文</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 xml:space="preserve">            </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联系电话：0512-</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62362541</w:t>
            </w:r>
          </w:p>
        </w:tc>
      </w:tr>
      <w:tr w14:paraId="021AB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976" w:type="dxa"/>
            <w:noWrap w:val="0"/>
            <w:vAlign w:val="center"/>
          </w:tcPr>
          <w:p w14:paraId="4B222A7E">
            <w:pPr>
              <w:pStyle w:val="215"/>
              <w:spacing w:line="420" w:lineRule="exact"/>
              <w:ind w:left="0"/>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p>
        </w:tc>
        <w:tc>
          <w:tcPr>
            <w:tcW w:w="1752" w:type="dxa"/>
            <w:noWrap w:val="0"/>
            <w:vAlign w:val="center"/>
          </w:tcPr>
          <w:p w14:paraId="47C349A4">
            <w:pPr>
              <w:pStyle w:val="215"/>
              <w:spacing w:line="420" w:lineRule="exact"/>
              <w:ind w:left="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标书组成</w:t>
            </w:r>
          </w:p>
        </w:tc>
        <w:tc>
          <w:tcPr>
            <w:tcW w:w="6549" w:type="dxa"/>
            <w:noWrap w:val="0"/>
            <w:vAlign w:val="center"/>
          </w:tcPr>
          <w:p w14:paraId="29394787">
            <w:pPr>
              <w:pStyle w:val="215"/>
              <w:spacing w:line="360" w:lineRule="exact"/>
              <w:ind w:left="0"/>
              <w:jc w:val="left"/>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详见招标文件第二章</w:t>
            </w:r>
          </w:p>
        </w:tc>
      </w:tr>
      <w:tr w14:paraId="201C5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976" w:type="dxa"/>
            <w:noWrap w:val="0"/>
            <w:vAlign w:val="center"/>
          </w:tcPr>
          <w:p w14:paraId="012D70C3">
            <w:pPr>
              <w:pStyle w:val="215"/>
              <w:spacing w:line="420" w:lineRule="exact"/>
              <w:ind w:left="0"/>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6</w:t>
            </w:r>
          </w:p>
        </w:tc>
        <w:tc>
          <w:tcPr>
            <w:tcW w:w="1752" w:type="dxa"/>
            <w:noWrap w:val="0"/>
            <w:vAlign w:val="center"/>
          </w:tcPr>
          <w:p w14:paraId="75B0DE92">
            <w:pPr>
              <w:pStyle w:val="215"/>
              <w:spacing w:line="420" w:lineRule="exact"/>
              <w:ind w:left="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投标保证金</w:t>
            </w:r>
          </w:p>
        </w:tc>
        <w:tc>
          <w:tcPr>
            <w:tcW w:w="6549" w:type="dxa"/>
            <w:noWrap w:val="0"/>
            <w:vAlign w:val="center"/>
          </w:tcPr>
          <w:p w14:paraId="63A7C2D0">
            <w:pPr>
              <w:pStyle w:val="215"/>
              <w:spacing w:line="420" w:lineRule="exact"/>
              <w:ind w:left="0"/>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本项目免收投标保证金。</w:t>
            </w:r>
          </w:p>
        </w:tc>
      </w:tr>
      <w:tr w14:paraId="4159D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976" w:type="dxa"/>
            <w:noWrap w:val="0"/>
            <w:vAlign w:val="center"/>
          </w:tcPr>
          <w:p w14:paraId="61A3D2A5">
            <w:pPr>
              <w:pStyle w:val="215"/>
              <w:spacing w:line="420" w:lineRule="exact"/>
              <w:ind w:left="0"/>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7</w:t>
            </w:r>
          </w:p>
        </w:tc>
        <w:tc>
          <w:tcPr>
            <w:tcW w:w="1752" w:type="dxa"/>
            <w:noWrap w:val="0"/>
            <w:vAlign w:val="center"/>
          </w:tcPr>
          <w:p w14:paraId="0558C4B0">
            <w:pPr>
              <w:pStyle w:val="215"/>
              <w:spacing w:line="420" w:lineRule="exact"/>
              <w:ind w:left="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投标有效期</w:t>
            </w:r>
          </w:p>
        </w:tc>
        <w:tc>
          <w:tcPr>
            <w:tcW w:w="6549" w:type="dxa"/>
            <w:noWrap w:val="0"/>
            <w:vAlign w:val="center"/>
          </w:tcPr>
          <w:p w14:paraId="1CF7771C">
            <w:pPr>
              <w:pStyle w:val="215"/>
              <w:spacing w:line="420" w:lineRule="exact"/>
              <w:ind w:left="0"/>
              <w:jc w:val="left"/>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九十天（日历日）</w:t>
            </w:r>
          </w:p>
        </w:tc>
      </w:tr>
      <w:tr w14:paraId="6BBAC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1" w:hRule="atLeast"/>
        </w:trPr>
        <w:tc>
          <w:tcPr>
            <w:tcW w:w="976" w:type="dxa"/>
            <w:noWrap w:val="0"/>
            <w:vAlign w:val="center"/>
          </w:tcPr>
          <w:p w14:paraId="20C52678">
            <w:pPr>
              <w:pStyle w:val="215"/>
              <w:spacing w:line="420" w:lineRule="exact"/>
              <w:ind w:left="0"/>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8</w:t>
            </w:r>
          </w:p>
        </w:tc>
        <w:tc>
          <w:tcPr>
            <w:tcW w:w="1752" w:type="dxa"/>
            <w:noWrap w:val="0"/>
            <w:vAlign w:val="center"/>
          </w:tcPr>
          <w:p w14:paraId="0C07D171">
            <w:pPr>
              <w:pStyle w:val="215"/>
              <w:spacing w:line="420" w:lineRule="exact"/>
              <w:ind w:left="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投标文件</w:t>
            </w:r>
          </w:p>
        </w:tc>
        <w:tc>
          <w:tcPr>
            <w:tcW w:w="6549" w:type="dxa"/>
            <w:noWrap w:val="0"/>
            <w:vAlign w:val="center"/>
          </w:tcPr>
          <w:p w14:paraId="624F4813">
            <w:pPr>
              <w:spacing w:line="44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cs="Arial"/>
                <w:color w:val="000000" w:themeColor="text1"/>
                <w:sz w:val="24"/>
                <w:szCs w:val="24"/>
                <w:highlight w:val="none"/>
                <w14:textFill>
                  <w14:solidFill>
                    <w14:schemeClr w14:val="tx1"/>
                  </w14:solidFill>
                </w14:textFill>
              </w:rPr>
              <w:t>本项目采用电子投标文件，投标人按照招标文件要求制作上传电子投标文件，无需提供纸质投标文件。</w:t>
            </w:r>
          </w:p>
        </w:tc>
      </w:tr>
      <w:tr w14:paraId="46983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976" w:type="dxa"/>
            <w:noWrap w:val="0"/>
            <w:vAlign w:val="center"/>
          </w:tcPr>
          <w:p w14:paraId="2155B5CF">
            <w:pPr>
              <w:pStyle w:val="215"/>
              <w:spacing w:line="420" w:lineRule="exact"/>
              <w:ind w:left="0"/>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p>
        </w:tc>
        <w:tc>
          <w:tcPr>
            <w:tcW w:w="1752" w:type="dxa"/>
            <w:noWrap w:val="0"/>
            <w:vAlign w:val="center"/>
          </w:tcPr>
          <w:p w14:paraId="2559F7CF">
            <w:pPr>
              <w:pStyle w:val="215"/>
              <w:spacing w:line="360" w:lineRule="exact"/>
              <w:ind w:left="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获取招标文件时间</w:t>
            </w:r>
          </w:p>
        </w:tc>
        <w:tc>
          <w:tcPr>
            <w:tcW w:w="6549" w:type="dxa"/>
            <w:noWrap w:val="0"/>
            <w:vAlign w:val="center"/>
          </w:tcPr>
          <w:p w14:paraId="530B42DD">
            <w:pPr>
              <w:pStyle w:val="215"/>
              <w:spacing w:line="360" w:lineRule="exact"/>
              <w:ind w:left="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自公告发布之日起5个工作日</w:t>
            </w:r>
          </w:p>
        </w:tc>
      </w:tr>
      <w:tr w14:paraId="5367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76" w:type="dxa"/>
            <w:noWrap w:val="0"/>
            <w:vAlign w:val="center"/>
          </w:tcPr>
          <w:p w14:paraId="4AE27D48">
            <w:pPr>
              <w:pStyle w:val="215"/>
              <w:spacing w:line="420" w:lineRule="exact"/>
              <w:ind w:left="0"/>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10</w:t>
            </w:r>
          </w:p>
        </w:tc>
        <w:tc>
          <w:tcPr>
            <w:tcW w:w="1752" w:type="dxa"/>
            <w:noWrap w:val="0"/>
            <w:vAlign w:val="center"/>
          </w:tcPr>
          <w:p w14:paraId="760F940E">
            <w:pPr>
              <w:pStyle w:val="215"/>
              <w:spacing w:line="360" w:lineRule="exact"/>
              <w:ind w:left="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投标截止时间</w:t>
            </w:r>
          </w:p>
        </w:tc>
        <w:tc>
          <w:tcPr>
            <w:tcW w:w="6549" w:type="dxa"/>
            <w:noWrap w:val="0"/>
            <w:vAlign w:val="center"/>
          </w:tcPr>
          <w:p w14:paraId="29385677">
            <w:pPr>
              <w:keepNext w:val="0"/>
              <w:keepLines w:val="0"/>
              <w:pageBreakBefore w:val="0"/>
              <w:widowControl w:val="0"/>
              <w:pBdr>
                <w:top w:val="none" w:color="000000" w:sz="0" w:space="0"/>
                <w:left w:val="none" w:color="000000" w:sz="0" w:space="0"/>
                <w:bottom w:val="none" w:color="000000" w:sz="0" w:space="0"/>
                <w:right w:val="none" w:color="000000" w:sz="0" w:space="0"/>
              </w:pBdr>
              <w:spacing w:line="380" w:lineRule="exact"/>
              <w:jc w:val="left"/>
              <w:rPr>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2026年3月27日13:3</w:t>
            </w:r>
            <w:r>
              <w:rPr>
                <w:rFonts w:ascii="宋体" w:hAnsi="宋体" w:eastAsia="宋体" w:cs="宋体"/>
                <w:color w:val="000000" w:themeColor="text1"/>
                <w:sz w:val="24"/>
                <w:highlight w:val="none"/>
                <w14:textFill>
                  <w14:solidFill>
                    <w14:schemeClr w14:val="tx1"/>
                  </w14:solidFill>
                </w14:textFill>
              </w:rPr>
              <w:t>0</w:t>
            </w:r>
            <w:r>
              <w:rPr>
                <w:rFonts w:hint="eastAsia" w:ascii="宋体" w:hAnsi="宋体"/>
                <w:color w:val="000000" w:themeColor="text1"/>
                <w:sz w:val="24"/>
                <w:szCs w:val="24"/>
                <w:highlight w:val="none"/>
                <w14:textFill>
                  <w14:solidFill>
                    <w14:schemeClr w14:val="tx1"/>
                  </w14:solidFill>
                </w14:textFill>
              </w:rPr>
              <w:t>（北京时间）</w:t>
            </w:r>
          </w:p>
          <w:p w14:paraId="1462F66F">
            <w:pPr>
              <w:pStyle w:val="215"/>
              <w:keepNext w:val="0"/>
              <w:keepLines w:val="0"/>
              <w:pageBreakBefore w:val="0"/>
              <w:widowControl w:val="0"/>
              <w:spacing w:before="0" w:beforeAutospacing="0" w:after="0" w:afterAutospacing="0" w:line="380" w:lineRule="exact"/>
              <w:ind w:left="0"/>
              <w:jc w:val="left"/>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投标文件必须在截止时间前完成提交（上传），逾期提交（上传）的投标文件恕不接受。</w:t>
            </w:r>
          </w:p>
        </w:tc>
      </w:tr>
      <w:tr w14:paraId="703DA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76" w:type="dxa"/>
            <w:noWrap w:val="0"/>
            <w:vAlign w:val="center"/>
          </w:tcPr>
          <w:p w14:paraId="1F1BB49A">
            <w:pPr>
              <w:pStyle w:val="215"/>
              <w:spacing w:line="420" w:lineRule="exact"/>
              <w:ind w:left="0"/>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1</w:t>
            </w:r>
          </w:p>
        </w:tc>
        <w:tc>
          <w:tcPr>
            <w:tcW w:w="1752" w:type="dxa"/>
            <w:noWrap w:val="0"/>
            <w:vAlign w:val="center"/>
          </w:tcPr>
          <w:p w14:paraId="37C5265E">
            <w:pPr>
              <w:pStyle w:val="215"/>
              <w:spacing w:line="360" w:lineRule="exact"/>
              <w:ind w:left="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开标时间及</w:t>
            </w:r>
          </w:p>
          <w:p w14:paraId="358C356C">
            <w:pPr>
              <w:pStyle w:val="215"/>
              <w:spacing w:line="360" w:lineRule="exact"/>
              <w:ind w:left="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开标地点</w:t>
            </w:r>
          </w:p>
        </w:tc>
        <w:tc>
          <w:tcPr>
            <w:tcW w:w="6549" w:type="dxa"/>
            <w:noWrap w:val="0"/>
            <w:vAlign w:val="center"/>
          </w:tcPr>
          <w:p w14:paraId="47CFCDF4">
            <w:pPr>
              <w:keepNext w:val="0"/>
              <w:keepLines w:val="0"/>
              <w:pageBreakBefore w:val="0"/>
              <w:widowControl w:val="0"/>
              <w:spacing w:line="38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2026年3月27日13:3</w:t>
            </w:r>
            <w:r>
              <w:rPr>
                <w:rFonts w:ascii="宋体" w:hAnsi="宋体" w:eastAsia="宋体" w:cs="宋体"/>
                <w:color w:val="000000" w:themeColor="text1"/>
                <w:sz w:val="24"/>
                <w:highlight w:val="none"/>
                <w14:textFill>
                  <w14:solidFill>
                    <w14:schemeClr w14:val="tx1"/>
                  </w14:solidFill>
                </w14:textFill>
              </w:rPr>
              <w:t>0</w:t>
            </w:r>
            <w:r>
              <w:rPr>
                <w:rFonts w:hint="eastAsia" w:ascii="宋体" w:hAnsi="宋体"/>
                <w:color w:val="000000" w:themeColor="text1"/>
                <w:sz w:val="24"/>
                <w:szCs w:val="24"/>
                <w:highlight w:val="none"/>
                <w14:textFill>
                  <w14:solidFill>
                    <w14:schemeClr w14:val="tx1"/>
                  </w14:solidFill>
                </w14:textFill>
              </w:rPr>
              <w:t>（北京时间）</w:t>
            </w:r>
          </w:p>
          <w:p w14:paraId="668DDAE6">
            <w:pPr>
              <w:keepNext w:val="0"/>
              <w:keepLines w:val="0"/>
              <w:pageBreakBefore w:val="0"/>
              <w:widowControl w:val="0"/>
              <w:spacing w:line="38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“苏采云”系统（网址：</w:t>
            </w:r>
            <w:r>
              <w:rPr>
                <w:rFonts w:ascii="宋体" w:hAnsi="宋体" w:eastAsia="宋体" w:cs="宋体"/>
                <w:sz w:val="24"/>
                <w:szCs w:val="24"/>
              </w:rPr>
              <w:t>http://jszfcg.jsczt.cn/</w:t>
            </w:r>
            <w:r>
              <w:rPr>
                <w:rFonts w:hint="eastAsia" w:ascii="宋体" w:hAnsi="宋体"/>
                <w:color w:val="000000" w:themeColor="text1"/>
                <w:sz w:val="24"/>
                <w:szCs w:val="24"/>
                <w:highlight w:val="none"/>
                <w14:textFill>
                  <w14:solidFill>
                    <w14:schemeClr w14:val="tx1"/>
                  </w14:solidFill>
                </w14:textFill>
              </w:rPr>
              <w:t>）</w:t>
            </w:r>
          </w:p>
          <w:p w14:paraId="32C37EB3">
            <w:pPr>
              <w:pStyle w:val="215"/>
              <w:keepNext w:val="0"/>
              <w:keepLines w:val="0"/>
              <w:pageBreakBefore w:val="0"/>
              <w:widowControl w:val="0"/>
              <w:spacing w:before="0" w:beforeAutospacing="0" w:after="0" w:afterAutospacing="0" w:line="380" w:lineRule="exact"/>
              <w:ind w:left="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本项目为线上不见面开标项目，开标阶段供应商在【供应商解密】环节必须使用 CA证书解密电子投标文件，如在系统规定的解密时间（投标文件提交截止时间后30分钟）内未能完成解密的视为放弃投标。</w:t>
            </w:r>
          </w:p>
        </w:tc>
      </w:tr>
      <w:tr w14:paraId="76DAA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976" w:type="dxa"/>
            <w:noWrap w:val="0"/>
            <w:vAlign w:val="center"/>
          </w:tcPr>
          <w:p w14:paraId="0AA8FDD6">
            <w:pPr>
              <w:pStyle w:val="215"/>
              <w:spacing w:line="420" w:lineRule="exact"/>
              <w:ind w:left="0"/>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2</w:t>
            </w:r>
          </w:p>
        </w:tc>
        <w:tc>
          <w:tcPr>
            <w:tcW w:w="1752" w:type="dxa"/>
            <w:noWrap w:val="0"/>
            <w:vAlign w:val="center"/>
          </w:tcPr>
          <w:p w14:paraId="3C90F289">
            <w:pPr>
              <w:spacing w:line="312" w:lineRule="auto"/>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评标时间及</w:t>
            </w:r>
          </w:p>
          <w:p w14:paraId="1ED8DB02">
            <w:pPr>
              <w:spacing w:line="312"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评标地点</w:t>
            </w:r>
          </w:p>
        </w:tc>
        <w:tc>
          <w:tcPr>
            <w:tcW w:w="6549" w:type="dxa"/>
            <w:noWrap w:val="0"/>
            <w:vAlign w:val="center"/>
          </w:tcPr>
          <w:p w14:paraId="4FE2A608">
            <w:pPr>
              <w:keepNext w:val="0"/>
              <w:keepLines w:val="0"/>
              <w:pageBreakBefore w:val="0"/>
              <w:widowControl w:val="0"/>
              <w:spacing w:line="380" w:lineRule="exact"/>
              <w:jc w:val="left"/>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2026年3月27日13:3</w:t>
            </w:r>
            <w:r>
              <w:rPr>
                <w:rFonts w:ascii="宋体" w:hAnsi="宋体" w:eastAsia="宋体" w:cs="宋体"/>
                <w:color w:val="000000" w:themeColor="text1"/>
                <w:sz w:val="24"/>
                <w:highlight w:val="none"/>
                <w14:textFill>
                  <w14:solidFill>
                    <w14:schemeClr w14:val="tx1"/>
                  </w14:solidFill>
                </w14:textFill>
              </w:rPr>
              <w:t>0</w:t>
            </w:r>
            <w:r>
              <w:rPr>
                <w:rFonts w:hint="eastAsia" w:ascii="宋体" w:hAnsi="宋体"/>
                <w:color w:val="000000" w:themeColor="text1"/>
                <w:sz w:val="24"/>
                <w:szCs w:val="24"/>
                <w:highlight w:val="none"/>
                <w14:textFill>
                  <w14:solidFill>
                    <w14:schemeClr w14:val="tx1"/>
                  </w14:solidFill>
                </w14:textFill>
              </w:rPr>
              <w:t>（北京时间）</w:t>
            </w:r>
          </w:p>
          <w:p w14:paraId="6157488E">
            <w:pPr>
              <w:spacing w:line="312" w:lineRule="auto"/>
              <w:jc w:val="left"/>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苏州市高新区邓尉路105号狮山科技馆8楼</w:t>
            </w:r>
            <w:r>
              <w:rPr>
                <w:rFonts w:hint="eastAsia" w:ascii="宋体" w:hAnsi="宋体" w:cs="宋体"/>
                <w:color w:val="000000" w:themeColor="text1"/>
                <w:sz w:val="24"/>
                <w:szCs w:val="24"/>
                <w:highlight w:val="none"/>
                <w14:textFill>
                  <w14:solidFill>
                    <w14:schemeClr w14:val="tx1"/>
                  </w14:solidFill>
                </w14:textFill>
              </w:rPr>
              <w:t xml:space="preserve"> </w:t>
            </w:r>
          </w:p>
        </w:tc>
      </w:tr>
      <w:tr w14:paraId="02E57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76" w:type="dxa"/>
            <w:noWrap w:val="0"/>
            <w:vAlign w:val="center"/>
          </w:tcPr>
          <w:p w14:paraId="38CB7505">
            <w:pPr>
              <w:pStyle w:val="215"/>
              <w:spacing w:line="420" w:lineRule="exact"/>
              <w:ind w:left="0"/>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3</w:t>
            </w:r>
          </w:p>
        </w:tc>
        <w:tc>
          <w:tcPr>
            <w:tcW w:w="1752" w:type="dxa"/>
            <w:noWrap w:val="0"/>
            <w:vAlign w:val="center"/>
          </w:tcPr>
          <w:p w14:paraId="43CE41D1">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投标报价</w:t>
            </w:r>
          </w:p>
          <w:p w14:paraId="73927769">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本位币</w:t>
            </w:r>
          </w:p>
        </w:tc>
        <w:tc>
          <w:tcPr>
            <w:tcW w:w="6549" w:type="dxa"/>
            <w:noWrap w:val="0"/>
            <w:vAlign w:val="center"/>
          </w:tcPr>
          <w:p w14:paraId="10DA2460">
            <w:pPr>
              <w:pStyle w:val="215"/>
              <w:spacing w:line="420" w:lineRule="exact"/>
              <w:ind w:left="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人民币</w:t>
            </w:r>
          </w:p>
        </w:tc>
      </w:tr>
      <w:tr w14:paraId="388DC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5" w:hRule="atLeast"/>
        </w:trPr>
        <w:tc>
          <w:tcPr>
            <w:tcW w:w="976" w:type="dxa"/>
            <w:noWrap w:val="0"/>
            <w:vAlign w:val="center"/>
          </w:tcPr>
          <w:p w14:paraId="4DEBACA9">
            <w:pPr>
              <w:pStyle w:val="215"/>
              <w:spacing w:line="420" w:lineRule="exact"/>
              <w:ind w:left="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14</w:t>
            </w:r>
          </w:p>
        </w:tc>
        <w:tc>
          <w:tcPr>
            <w:tcW w:w="1752" w:type="dxa"/>
            <w:noWrap w:val="0"/>
            <w:vAlign w:val="center"/>
          </w:tcPr>
          <w:p w14:paraId="59DF8007">
            <w:pPr>
              <w:pStyle w:val="215"/>
              <w:spacing w:line="420" w:lineRule="exact"/>
              <w:ind w:left="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中标服务费</w:t>
            </w:r>
          </w:p>
        </w:tc>
        <w:tc>
          <w:tcPr>
            <w:tcW w:w="6549" w:type="dxa"/>
            <w:noWrap w:val="0"/>
            <w:vAlign w:val="center"/>
          </w:tcPr>
          <w:p w14:paraId="1D74FF4C">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服务费收费标准：预算金额100万元以下部分，费率为该部分预算金额的1.5%；预算金额100万元（含）－500万元部分，费率为该部分预算金额的1.1%；预算金额500万元（含）-1000万元部分，费率为该部分预算金额的0.8%；预算金额1000万元（含）-5000万元部分，费率为该部分预算金额的0.5%；预算金额5000万元以上部分，费率为该部分预算金额的0.25%。</w:t>
            </w:r>
          </w:p>
          <w:p w14:paraId="6F21A69A">
            <w:pPr>
              <w:spacing w:line="3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说明：代理服务费以采购预算金额为基数依据，按以上规定的标准和差额定率累进法进行计算收取。例：如预算金额为150万元，则代理服务费＝100万元以下部分×1.5%＋（150万元－100万元以下部分）×1.1%。</w:t>
            </w:r>
          </w:p>
          <w:p w14:paraId="6B740AF0">
            <w:pPr>
              <w:keepNext w:val="0"/>
              <w:keepLines w:val="0"/>
              <w:pageBreakBefore w:val="0"/>
              <w:widowControl w:val="0"/>
              <w:spacing w:line="380" w:lineRule="exact"/>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本项目代理服务费（人民币）：￥</w:t>
            </w:r>
            <w:r>
              <w:rPr>
                <w:rFonts w:hint="eastAsia" w:ascii="宋体" w:hAnsi="宋体" w:cs="宋体"/>
                <w:color w:val="000000" w:themeColor="text1"/>
                <w:sz w:val="24"/>
                <w:szCs w:val="24"/>
                <w:highlight w:val="none"/>
                <w:lang w:val="en-US" w:eastAsia="zh-CN"/>
                <w14:textFill>
                  <w14:solidFill>
                    <w14:schemeClr w14:val="tx1"/>
                  </w14:solidFill>
                </w14:textFill>
              </w:rPr>
              <w:t>13500.00</w:t>
            </w:r>
            <w:r>
              <w:rPr>
                <w:rFonts w:hint="eastAsia" w:ascii="宋体" w:hAnsi="宋体" w:cs="宋体"/>
                <w:color w:val="000000" w:themeColor="text1"/>
                <w:sz w:val="24"/>
                <w:szCs w:val="24"/>
                <w:highlight w:val="none"/>
                <w14:textFill>
                  <w14:solidFill>
                    <w14:schemeClr w14:val="tx1"/>
                  </w14:solidFill>
                </w14:textFill>
              </w:rPr>
              <w:t>。由中标人支付，在领取中标通知书时向招标代理机构一次性付清。</w:t>
            </w:r>
          </w:p>
          <w:p w14:paraId="61B7AA51">
            <w:pPr>
              <w:spacing w:line="4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服务费交纳账户：苏州惠德普源企业咨询有限公司</w:t>
            </w:r>
          </w:p>
          <w:p w14:paraId="4DC1E1A0">
            <w:pPr>
              <w:spacing w:line="400" w:lineRule="exact"/>
              <w:ind w:firstLine="9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  号：32250198864100000050</w:t>
            </w:r>
          </w:p>
          <w:p w14:paraId="0A4FC858">
            <w:pPr>
              <w:spacing w:line="360" w:lineRule="exact"/>
              <w:ind w:firstLine="96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开户行：建行苏州何山分理处</w:t>
            </w:r>
          </w:p>
        </w:tc>
      </w:tr>
      <w:tr w14:paraId="30ACC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9" w:hRule="atLeast"/>
        </w:trPr>
        <w:tc>
          <w:tcPr>
            <w:tcW w:w="976" w:type="dxa"/>
            <w:noWrap w:val="0"/>
            <w:vAlign w:val="center"/>
          </w:tcPr>
          <w:p w14:paraId="1B87C87E">
            <w:pPr>
              <w:pStyle w:val="215"/>
              <w:spacing w:line="420" w:lineRule="exact"/>
              <w:ind w:left="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15</w:t>
            </w:r>
          </w:p>
        </w:tc>
        <w:tc>
          <w:tcPr>
            <w:tcW w:w="1752" w:type="dxa"/>
            <w:noWrap w:val="0"/>
            <w:vAlign w:val="center"/>
          </w:tcPr>
          <w:p w14:paraId="2CFB6BFB">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导致废标</w:t>
            </w:r>
          </w:p>
          <w:p w14:paraId="73D695E1">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因素</w:t>
            </w:r>
          </w:p>
        </w:tc>
        <w:tc>
          <w:tcPr>
            <w:tcW w:w="6549" w:type="dxa"/>
            <w:noWrap w:val="0"/>
            <w:vAlign w:val="center"/>
          </w:tcPr>
          <w:p w14:paraId="1E9DE8C9">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出现下列情形之一的，为废标：</w:t>
            </w:r>
          </w:p>
          <w:p w14:paraId="7CB4A406">
            <w:pPr>
              <w:spacing w:line="3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（一）符合专业条件的投标人或者对招标文件作实质响应的投标人不足三家的；</w:t>
            </w:r>
          </w:p>
          <w:p w14:paraId="5588D95F">
            <w:pPr>
              <w:spacing w:line="3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（二）出现影响采购公正的违法、违规行为的；</w:t>
            </w:r>
          </w:p>
          <w:p w14:paraId="443BDC08">
            <w:pPr>
              <w:spacing w:line="3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（三）投标人报价均超过采购预算</w:t>
            </w:r>
            <w:r>
              <w:rPr>
                <w:rFonts w:hint="eastAsia" w:ascii="宋体" w:hAnsi="宋体"/>
                <w:color w:val="000000" w:themeColor="text1"/>
                <w:sz w:val="24"/>
                <w:highlight w:val="none"/>
                <w:lang w:eastAsia="zh-CN"/>
                <w14:textFill>
                  <w14:solidFill>
                    <w14:schemeClr w14:val="tx1"/>
                  </w14:solidFill>
                </w14:textFill>
              </w:rPr>
              <w:t>或最高限价</w:t>
            </w:r>
            <w:r>
              <w:rPr>
                <w:rFonts w:hint="eastAsia" w:ascii="宋体" w:hAnsi="宋体"/>
                <w:color w:val="000000" w:themeColor="text1"/>
                <w:sz w:val="24"/>
                <w:highlight w:val="none"/>
                <w14:textFill>
                  <w14:solidFill>
                    <w14:schemeClr w14:val="tx1"/>
                  </w14:solidFill>
                </w14:textFill>
              </w:rPr>
              <w:t>，采购人不能支付的；</w:t>
            </w:r>
          </w:p>
          <w:p w14:paraId="6CDD0B59">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（四）因重大变故，采购任务取消的。</w:t>
            </w:r>
          </w:p>
        </w:tc>
      </w:tr>
      <w:tr w14:paraId="40349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trPr>
        <w:tc>
          <w:tcPr>
            <w:tcW w:w="976" w:type="dxa"/>
            <w:noWrap w:val="0"/>
            <w:vAlign w:val="center"/>
          </w:tcPr>
          <w:p w14:paraId="40511E6A">
            <w:pPr>
              <w:pStyle w:val="215"/>
              <w:spacing w:line="420" w:lineRule="exact"/>
              <w:ind w:left="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16</w:t>
            </w:r>
          </w:p>
        </w:tc>
        <w:tc>
          <w:tcPr>
            <w:tcW w:w="1752" w:type="dxa"/>
            <w:noWrap w:val="0"/>
            <w:vAlign w:val="center"/>
          </w:tcPr>
          <w:p w14:paraId="4284A59A">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导致无效标</w:t>
            </w:r>
          </w:p>
          <w:p w14:paraId="5EE44559">
            <w:pPr>
              <w:spacing w:line="40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因素</w:t>
            </w:r>
          </w:p>
        </w:tc>
        <w:tc>
          <w:tcPr>
            <w:tcW w:w="6549" w:type="dxa"/>
            <w:noWrap w:val="0"/>
            <w:vAlign w:val="center"/>
          </w:tcPr>
          <w:p w14:paraId="3DE7B420">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投标文件属下列情况之一的，在资格性、符合性检查时按照无效投标处理：</w:t>
            </w:r>
          </w:p>
          <w:p w14:paraId="1332BFE5">
            <w:pPr>
              <w:spacing w:line="3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（一）未按照采购文件规定要求签署、盖章的；</w:t>
            </w:r>
          </w:p>
          <w:p w14:paraId="48B013A1">
            <w:pPr>
              <w:spacing w:line="3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（二）不具备采购文件中规定资格要求的；</w:t>
            </w:r>
          </w:p>
          <w:p w14:paraId="374E4865">
            <w:pPr>
              <w:spacing w:line="3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w:t>
            </w:r>
            <w:r>
              <w:rPr>
                <w:rFonts w:hint="eastAsia" w:ascii="宋体" w:hAnsi="宋体" w:cs="宋体"/>
                <w:color w:val="000000" w:themeColor="text1"/>
                <w:sz w:val="24"/>
                <w:szCs w:val="24"/>
                <w:highlight w:val="none"/>
                <w14:textFill>
                  <w14:solidFill>
                    <w14:schemeClr w14:val="tx1"/>
                  </w14:solidFill>
                </w14:textFill>
              </w:rPr>
              <w:t>投标书技术部分和资格证明文件中出现总报价的</w:t>
            </w:r>
            <w:r>
              <w:rPr>
                <w:rFonts w:hint="eastAsia" w:ascii="宋体" w:hAnsi="宋体"/>
                <w:color w:val="000000" w:themeColor="text1"/>
                <w:sz w:val="24"/>
                <w:highlight w:val="none"/>
                <w14:textFill>
                  <w14:solidFill>
                    <w14:schemeClr w14:val="tx1"/>
                  </w14:solidFill>
                </w14:textFill>
              </w:rPr>
              <w:t>；</w:t>
            </w:r>
          </w:p>
          <w:p w14:paraId="4207BA33">
            <w:pPr>
              <w:spacing w:line="3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（四）投标文件含有采购人不能接受的附加条件的；</w:t>
            </w:r>
          </w:p>
          <w:p w14:paraId="7B94C7CD">
            <w:pPr>
              <w:spacing w:line="3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w:t>
            </w:r>
            <w:r>
              <w:rPr>
                <w:rFonts w:hint="eastAsia" w:ascii="宋体" w:hAnsi="宋体"/>
                <w:color w:val="000000" w:themeColor="text1"/>
                <w:sz w:val="24"/>
                <w:highlight w:val="none"/>
                <w:lang w:eastAsia="zh-CN"/>
                <w14:textFill>
                  <w14:solidFill>
                    <w14:schemeClr w14:val="tx1"/>
                  </w14:solidFill>
                </w14:textFill>
              </w:rPr>
              <w:t>机</w:t>
            </w:r>
            <w:r>
              <w:rPr>
                <w:rFonts w:hint="eastAsia" w:ascii="宋体" w:hAnsi="宋体"/>
                <w:color w:val="000000" w:themeColor="text1"/>
                <w:sz w:val="24"/>
                <w:highlight w:val="none"/>
                <w14:textFill>
                  <w14:solidFill>
                    <w14:schemeClr w14:val="tx1"/>
                  </w14:solidFill>
                </w14:textFill>
              </w:rPr>
              <w:t>器码检查中，出现不同投标人投标文件机器码一致情形的；</w:t>
            </w:r>
          </w:p>
          <w:p w14:paraId="239CF92D">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（六）法律、法规和采购文件规定的其他无效情形</w:t>
            </w:r>
            <w:r>
              <w:rPr>
                <w:rFonts w:hint="eastAsia" w:ascii="宋体" w:hAnsi="宋体" w:cs="宋体"/>
                <w:color w:val="000000" w:themeColor="text1"/>
                <w:sz w:val="24"/>
                <w:szCs w:val="24"/>
                <w:highlight w:val="none"/>
                <w14:textFill>
                  <w14:solidFill>
                    <w14:schemeClr w14:val="tx1"/>
                  </w14:solidFill>
                </w14:textFill>
              </w:rPr>
              <w:t>。</w:t>
            </w:r>
          </w:p>
        </w:tc>
      </w:tr>
    </w:tbl>
    <w:p w14:paraId="7CC6A8FA">
      <w:pPr>
        <w:keepNext w:val="0"/>
        <w:keepLines w:val="0"/>
        <w:pageBreakBefore w:val="0"/>
        <w:widowControl w:val="0"/>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br w:type="page" w:clear="all"/>
      </w:r>
      <w:r>
        <w:rPr>
          <w:rFonts w:hint="eastAsia" w:ascii="宋体" w:hAnsi="宋体"/>
          <w:color w:val="000000" w:themeColor="text1"/>
          <w:sz w:val="44"/>
          <w:szCs w:val="44"/>
          <w:highlight w:val="none"/>
          <w14:textFill>
            <w14:solidFill>
              <w14:schemeClr w14:val="tx1"/>
            </w14:solidFill>
          </w14:textFill>
        </w:rPr>
        <w:t>第一章 投标邀请函</w:t>
      </w:r>
    </w:p>
    <w:p w14:paraId="5F71708E">
      <w:pPr>
        <w:keepNext w:val="0"/>
        <w:keepLines w:val="0"/>
        <w:pageBreakBefore w:val="0"/>
        <w:widowControl w:val="0"/>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苏州惠德普源企业咨询有限公司受</w:t>
      </w:r>
      <w:r>
        <w:rPr>
          <w:rFonts w:hint="eastAsia" w:ascii="宋体" w:hAnsi="宋体" w:cs="宋体"/>
          <w:color w:val="000000" w:themeColor="text1"/>
          <w:sz w:val="24"/>
          <w:szCs w:val="24"/>
          <w:highlight w:val="none"/>
          <w:shd w:val="clear" w:color="auto" w:fill="FFFFFF"/>
          <w:lang w:eastAsia="zh-CN"/>
          <w14:textFill>
            <w14:solidFill>
              <w14:schemeClr w14:val="tx1"/>
            </w14:solidFill>
          </w14:textFill>
        </w:rPr>
        <w:t>苏州市立医院</w:t>
      </w:r>
      <w:r>
        <w:rPr>
          <w:rFonts w:hint="eastAsia" w:ascii="宋体" w:hAnsi="宋体"/>
          <w:color w:val="000000" w:themeColor="text1"/>
          <w:sz w:val="24"/>
          <w:highlight w:val="none"/>
          <w14:textFill>
            <w14:solidFill>
              <w14:schemeClr w14:val="tx1"/>
            </w14:solidFill>
          </w14:textFill>
        </w:rPr>
        <w:t>委托，就其</w:t>
      </w:r>
      <w:r>
        <w:rPr>
          <w:rFonts w:hint="eastAsia" w:ascii="宋体" w:hAnsi="宋体" w:cs="宋体"/>
          <w:color w:val="000000" w:themeColor="text1"/>
          <w:sz w:val="24"/>
          <w:szCs w:val="24"/>
          <w:highlight w:val="none"/>
          <w:lang w:eastAsia="zh-CN"/>
          <w14:textFill>
            <w14:solidFill>
              <w14:schemeClr w14:val="tx1"/>
            </w14:solidFill>
          </w14:textFill>
        </w:rPr>
        <w:t>太湖总院医用被服洗涤租赁服务</w:t>
      </w:r>
      <w:r>
        <w:rPr>
          <w:rFonts w:hint="eastAsia" w:ascii="宋体" w:hAnsi="宋体"/>
          <w:color w:val="000000" w:themeColor="text1"/>
          <w:sz w:val="24"/>
          <w:highlight w:val="none"/>
          <w14:textFill>
            <w14:solidFill>
              <w14:schemeClr w14:val="tx1"/>
            </w14:solidFill>
          </w14:textFill>
        </w:rPr>
        <w:t>的政府采购进行国内公开招标。欢迎有资格的潜在投标人在“苏采云”系统（网址：</w:t>
      </w:r>
      <w:r>
        <w:rPr>
          <w:rFonts w:ascii="宋体" w:hAnsi="宋体" w:eastAsia="宋体" w:cs="宋体"/>
          <w:sz w:val="24"/>
          <w:szCs w:val="24"/>
        </w:rPr>
        <w:t>http://jszfcg.jsczt.cn/</w:t>
      </w:r>
      <w:r>
        <w:rPr>
          <w:rFonts w:hint="eastAsia" w:ascii="宋体" w:hAnsi="宋体"/>
          <w:color w:val="000000" w:themeColor="text1"/>
          <w:sz w:val="24"/>
          <w:highlight w:val="none"/>
          <w14:textFill>
            <w14:solidFill>
              <w14:schemeClr w14:val="tx1"/>
            </w14:solidFill>
          </w14:textFill>
        </w:rPr>
        <w:t>）获取招标文件，并于</w:t>
      </w:r>
      <w:r>
        <w:rPr>
          <w:rFonts w:hint="eastAsia" w:ascii="宋体" w:hAnsi="宋体" w:cs="宋体"/>
          <w:color w:val="000000" w:themeColor="text1"/>
          <w:sz w:val="24"/>
          <w:szCs w:val="24"/>
          <w:highlight w:val="none"/>
          <w:lang w:eastAsia="zh-CN"/>
          <w14:textFill>
            <w14:solidFill>
              <w14:schemeClr w14:val="tx1"/>
            </w14:solidFill>
          </w14:textFill>
        </w:rPr>
        <w:t>2026年3月27日13:3</w:t>
      </w:r>
      <w:r>
        <w:rPr>
          <w:rFonts w:ascii="宋体" w:hAnsi="宋体" w:eastAsia="宋体" w:cs="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（北京时间）前递交投标文件。</w:t>
      </w:r>
    </w:p>
    <w:p w14:paraId="0A640D00">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一、项目基本情况：</w:t>
      </w:r>
    </w:p>
    <w:p w14:paraId="5059896C">
      <w:pPr>
        <w:spacing w:line="360" w:lineRule="auto"/>
        <w:ind w:firstLine="48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1、项目编号：</w:t>
      </w:r>
      <w:r>
        <w:rPr>
          <w:rFonts w:hint="eastAsia" w:ascii="宋体" w:hAnsi="宋体" w:cs="宋体"/>
          <w:color w:val="000000" w:themeColor="text1"/>
          <w:sz w:val="24"/>
          <w:szCs w:val="24"/>
          <w:highlight w:val="none"/>
          <w:lang w:eastAsia="zh-CN"/>
          <w14:textFill>
            <w14:solidFill>
              <w14:schemeClr w14:val="tx1"/>
            </w14:solidFill>
          </w14:textFill>
        </w:rPr>
        <w:t>JSZC-320500-HDPY-G2026-0002</w:t>
      </w:r>
    </w:p>
    <w:p w14:paraId="036B0BC9">
      <w:pPr>
        <w:spacing w:line="360" w:lineRule="auto"/>
        <w:ind w:firstLine="48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2、项目名称：</w:t>
      </w:r>
      <w:r>
        <w:rPr>
          <w:rFonts w:hint="eastAsia" w:ascii="宋体" w:hAnsi="宋体" w:cs="宋体"/>
          <w:color w:val="000000" w:themeColor="text1"/>
          <w:sz w:val="24"/>
          <w:szCs w:val="24"/>
          <w:highlight w:val="none"/>
          <w:lang w:eastAsia="zh-CN"/>
          <w14:textFill>
            <w14:solidFill>
              <w14:schemeClr w14:val="tx1"/>
            </w14:solidFill>
          </w14:textFill>
        </w:rPr>
        <w:t>太湖总院医用被服洗涤租赁服务</w:t>
      </w:r>
    </w:p>
    <w:p w14:paraId="160B3C16">
      <w:pPr>
        <w:spacing w:line="360" w:lineRule="auto"/>
        <w:ind w:firstLine="48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3、预算金额：</w:t>
      </w:r>
      <w:r>
        <w:rPr>
          <w:rFonts w:hint="eastAsia" w:ascii="宋体" w:hAnsi="宋体" w:cs="宋体"/>
          <w:color w:val="000000" w:themeColor="text1"/>
          <w:sz w:val="24"/>
          <w:szCs w:val="24"/>
          <w:highlight w:val="none"/>
          <w:lang w:eastAsia="zh-CN"/>
          <w14:textFill>
            <w14:solidFill>
              <w14:schemeClr w14:val="tx1"/>
            </w14:solidFill>
          </w14:textFill>
        </w:rPr>
        <w:t>玖拾万元整（￥900000.00）</w:t>
      </w:r>
    </w:p>
    <w:p w14:paraId="09CD476C">
      <w:pPr>
        <w:spacing w:line="360" w:lineRule="auto"/>
        <w:ind w:firstLine="840"/>
        <w:jc w:val="left"/>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最高限价：</w:t>
      </w:r>
      <w:r>
        <w:rPr>
          <w:rFonts w:hint="eastAsia" w:ascii="宋体" w:hAnsi="宋体" w:cs="宋体"/>
          <w:color w:val="000000" w:themeColor="text1"/>
          <w:sz w:val="24"/>
          <w:szCs w:val="24"/>
          <w:highlight w:val="none"/>
          <w:lang w:val="en-US" w:eastAsia="zh-CN"/>
          <w14:textFill>
            <w14:solidFill>
              <w14:schemeClr w14:val="tx1"/>
            </w14:solidFill>
          </w14:textFill>
        </w:rPr>
        <w:t>伍</w:t>
      </w:r>
      <w:r>
        <w:rPr>
          <w:rFonts w:hint="eastAsia" w:ascii="宋体" w:hAnsi="宋体" w:cs="宋体"/>
          <w:color w:val="000000" w:themeColor="text1"/>
          <w:sz w:val="24"/>
          <w:szCs w:val="24"/>
          <w:highlight w:val="none"/>
          <w:lang w:eastAsia="zh-CN"/>
          <w14:textFill>
            <w14:solidFill>
              <w14:schemeClr w14:val="tx1"/>
            </w14:solidFill>
          </w14:textFill>
        </w:rPr>
        <w:t>拾</w:t>
      </w:r>
      <w:r>
        <w:rPr>
          <w:rFonts w:hint="eastAsia" w:ascii="宋体" w:hAnsi="宋体" w:cs="宋体"/>
          <w:color w:val="000000" w:themeColor="text1"/>
          <w:sz w:val="24"/>
          <w:szCs w:val="24"/>
          <w:highlight w:val="none"/>
          <w:lang w:val="en-US" w:eastAsia="zh-CN"/>
          <w14:textFill>
            <w14:solidFill>
              <w14:schemeClr w14:val="tx1"/>
            </w14:solidFill>
          </w14:textFill>
        </w:rPr>
        <w:t>捌</w:t>
      </w:r>
      <w:r>
        <w:rPr>
          <w:rFonts w:hint="eastAsia" w:ascii="宋体" w:hAnsi="宋体" w:cs="宋体"/>
          <w:color w:val="000000" w:themeColor="text1"/>
          <w:sz w:val="24"/>
          <w:szCs w:val="24"/>
          <w:highlight w:val="none"/>
          <w:lang w:eastAsia="zh-CN"/>
          <w14:textFill>
            <w14:solidFill>
              <w14:schemeClr w14:val="tx1"/>
            </w14:solidFill>
          </w14:textFill>
        </w:rPr>
        <w:t>万</w:t>
      </w:r>
      <w:r>
        <w:rPr>
          <w:rFonts w:hint="eastAsia" w:ascii="宋体" w:hAnsi="宋体" w:cs="宋体"/>
          <w:color w:val="000000" w:themeColor="text1"/>
          <w:sz w:val="24"/>
          <w:szCs w:val="24"/>
          <w:highlight w:val="none"/>
          <w:lang w:val="en-US" w:eastAsia="zh-CN"/>
          <w14:textFill>
            <w14:solidFill>
              <w14:schemeClr w14:val="tx1"/>
            </w14:solidFill>
          </w14:textFill>
        </w:rPr>
        <w:t>玖仟玖佰</w:t>
      </w:r>
      <w:r>
        <w:rPr>
          <w:rFonts w:hint="eastAsia" w:ascii="宋体" w:hAnsi="宋体" w:cs="宋体"/>
          <w:color w:val="000000" w:themeColor="text1"/>
          <w:sz w:val="24"/>
          <w:szCs w:val="24"/>
          <w:highlight w:val="none"/>
          <w:lang w:eastAsia="zh-CN"/>
          <w14:textFill>
            <w14:solidFill>
              <w14:schemeClr w14:val="tx1"/>
            </w14:solidFill>
          </w14:textFill>
        </w:rPr>
        <w:t>元整（￥</w:t>
      </w:r>
      <w:r>
        <w:rPr>
          <w:rFonts w:hint="eastAsia" w:ascii="宋体" w:hAnsi="宋体" w:cs="宋体"/>
          <w:color w:val="000000" w:themeColor="text1"/>
          <w:sz w:val="24"/>
          <w:szCs w:val="24"/>
          <w:highlight w:val="none"/>
          <w:lang w:val="en-US" w:eastAsia="zh-CN"/>
          <w14:textFill>
            <w14:solidFill>
              <w14:schemeClr w14:val="tx1"/>
            </w14:solidFill>
          </w14:textFill>
        </w:rPr>
        <w:t>589900</w:t>
      </w:r>
      <w:r>
        <w:rPr>
          <w:rFonts w:hint="eastAsia" w:ascii="宋体" w:hAnsi="宋体" w:cs="宋体"/>
          <w:color w:val="000000" w:themeColor="text1"/>
          <w:sz w:val="24"/>
          <w:szCs w:val="24"/>
          <w:highlight w:val="none"/>
          <w:lang w:eastAsia="zh-CN"/>
          <w14:textFill>
            <w14:solidFill>
              <w14:schemeClr w14:val="tx1"/>
            </w14:solidFill>
          </w14:textFill>
        </w:rPr>
        <w:t>.00）</w:t>
      </w:r>
    </w:p>
    <w:p w14:paraId="4AB92BD0">
      <w:pPr>
        <w:spacing w:line="360" w:lineRule="auto"/>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4、采购需求：针对苏州市立医院</w:t>
      </w:r>
      <w:r>
        <w:rPr>
          <w:rFonts w:hint="eastAsia" w:ascii="宋体" w:hAnsi="宋体" w:cs="宋体"/>
          <w:color w:val="000000" w:themeColor="text1"/>
          <w:sz w:val="24"/>
          <w:szCs w:val="24"/>
          <w:highlight w:val="none"/>
          <w:lang w:val="en-US" w:eastAsia="zh-CN"/>
          <w14:textFill>
            <w14:solidFill>
              <w14:schemeClr w14:val="tx1"/>
            </w14:solidFill>
          </w14:textFill>
        </w:rPr>
        <w:t>太湖总院</w:t>
      </w:r>
      <w:r>
        <w:rPr>
          <w:rFonts w:hint="eastAsia" w:ascii="宋体" w:hAnsi="宋体"/>
          <w:bCs/>
          <w:color w:val="000000" w:themeColor="text1"/>
          <w:sz w:val="24"/>
          <w:highlight w:val="none"/>
          <w14:textFill>
            <w14:solidFill>
              <w14:schemeClr w14:val="tx1"/>
            </w14:solidFill>
          </w14:textFill>
        </w:rPr>
        <w:t>所有医用被服物品含感染性织物的洗涤、折叠和熨烫</w:t>
      </w:r>
      <w:r>
        <w:rPr>
          <w:rFonts w:hint="eastAsia" w:ascii="宋体" w:hAnsi="宋体"/>
          <w:bCs/>
          <w:color w:val="000000" w:themeColor="text1"/>
          <w:sz w:val="24"/>
          <w:highlight w:val="none"/>
          <w:lang w:val="en-US" w:eastAsia="zh-CN"/>
          <w14:textFill>
            <w14:solidFill>
              <w14:schemeClr w14:val="tx1"/>
            </w14:solidFill>
          </w14:textFill>
        </w:rPr>
        <w:t>及部分租赁</w:t>
      </w:r>
      <w:r>
        <w:rPr>
          <w:rFonts w:hint="eastAsia" w:ascii="宋体" w:hAnsi="宋体" w:cs="宋体"/>
          <w:color w:val="000000" w:themeColor="text1"/>
          <w:sz w:val="24"/>
          <w:highlight w:val="none"/>
          <w14:textFill>
            <w14:solidFill>
              <w14:schemeClr w14:val="tx1"/>
            </w14:solidFill>
          </w14:textFill>
        </w:rPr>
        <w:t>，每天按时集中收集和配送至医院固定接收点</w:t>
      </w:r>
      <w:r>
        <w:rPr>
          <w:rFonts w:hint="eastAsia" w:ascii="宋体" w:hAnsi="宋体" w:cs="宋体"/>
          <w:color w:val="000000" w:themeColor="text1"/>
          <w:sz w:val="24"/>
          <w:szCs w:val="24"/>
          <w:highlight w:val="none"/>
          <w14:textFill>
            <w14:solidFill>
              <w14:schemeClr w14:val="tx1"/>
            </w14:solidFill>
          </w14:textFill>
        </w:rPr>
        <w:t>（具体内容详见招标文件）。</w:t>
      </w:r>
    </w:p>
    <w:p w14:paraId="3A11888B">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5、合同履行期限：</w:t>
      </w:r>
      <w:r>
        <w:rPr>
          <w:rFonts w:hint="eastAsia" w:ascii="宋体" w:hAnsi="宋体" w:cs="宋体"/>
          <w:color w:val="000000" w:themeColor="text1"/>
          <w:sz w:val="24"/>
          <w:szCs w:val="24"/>
          <w:highlight w:val="none"/>
          <w:lang w:eastAsia="zh-CN"/>
          <w14:textFill>
            <w14:solidFill>
              <w14:schemeClr w14:val="tx1"/>
            </w14:solidFill>
          </w14:textFill>
        </w:rPr>
        <w:t>一年（具体以采购单位通知为准）</w:t>
      </w:r>
      <w:r>
        <w:rPr>
          <w:rFonts w:hint="eastAsia" w:ascii="宋体" w:hAnsi="宋体" w:cs="宋体"/>
          <w:color w:val="000000" w:themeColor="text1"/>
          <w:sz w:val="24"/>
          <w:szCs w:val="24"/>
          <w:highlight w:val="none"/>
          <w14:textFill>
            <w14:solidFill>
              <w14:schemeClr w14:val="tx1"/>
            </w14:solidFill>
          </w14:textFill>
        </w:rPr>
        <w:t>。</w:t>
      </w:r>
    </w:p>
    <w:p w14:paraId="19E74CF3">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二、申请人的资格要求：</w:t>
      </w:r>
    </w:p>
    <w:p w14:paraId="184D3E02">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满足《中华人民共和国政府采购法》第二十二条规定，投标人应当具备下列条件</w:t>
      </w:r>
      <w:r>
        <w:rPr>
          <w:rFonts w:hint="eastAsia" w:ascii="宋体" w:hAnsi="宋体"/>
          <w:color w:val="000000" w:themeColor="text1"/>
          <w:sz w:val="24"/>
          <w:szCs w:val="24"/>
          <w:highlight w:val="none"/>
          <w14:textFill>
            <w14:solidFill>
              <w14:schemeClr w14:val="tx1"/>
            </w14:solidFill>
          </w14:textFill>
        </w:rPr>
        <w:t>：</w:t>
      </w:r>
    </w:p>
    <w:p w14:paraId="4BD5DCB5">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1具有独立承担民事责任的能力；</w:t>
      </w:r>
    </w:p>
    <w:p w14:paraId="57A5EB3A">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1.2</w:t>
      </w:r>
      <w:r>
        <w:rPr>
          <w:rFonts w:hint="eastAsia" w:ascii="宋体" w:hAnsi="宋体"/>
          <w:color w:val="000000" w:themeColor="text1"/>
          <w:sz w:val="24"/>
          <w:szCs w:val="24"/>
          <w:highlight w:val="none"/>
          <w14:textFill>
            <w14:solidFill>
              <w14:schemeClr w14:val="tx1"/>
            </w14:solidFill>
          </w14:textFill>
        </w:rPr>
        <w:t>具有良好的商业信誉和健全的财务会计制度；</w:t>
      </w:r>
    </w:p>
    <w:p w14:paraId="69DD7545">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1.3</w:t>
      </w:r>
      <w:r>
        <w:rPr>
          <w:rFonts w:hint="eastAsia" w:ascii="宋体" w:hAnsi="宋体"/>
          <w:color w:val="000000" w:themeColor="text1"/>
          <w:sz w:val="24"/>
          <w:szCs w:val="24"/>
          <w:highlight w:val="none"/>
          <w14:textFill>
            <w14:solidFill>
              <w14:schemeClr w14:val="tx1"/>
            </w14:solidFill>
          </w14:textFill>
        </w:rPr>
        <w:t>具有履行合同所必</w:t>
      </w:r>
      <w:r>
        <w:rPr>
          <w:rFonts w:hint="eastAsia" w:ascii="宋体" w:hAnsi="宋体"/>
          <w:color w:val="000000" w:themeColor="text1"/>
          <w:sz w:val="24"/>
          <w:szCs w:val="24"/>
          <w:highlight w:val="none"/>
          <w:lang w:eastAsia="zh-CN"/>
          <w14:textFill>
            <w14:solidFill>
              <w14:schemeClr w14:val="tx1"/>
            </w14:solidFill>
          </w14:textFill>
        </w:rPr>
        <w:t>需</w:t>
      </w:r>
      <w:r>
        <w:rPr>
          <w:rFonts w:hint="eastAsia" w:ascii="宋体" w:hAnsi="宋体"/>
          <w:color w:val="000000" w:themeColor="text1"/>
          <w:sz w:val="24"/>
          <w:szCs w:val="24"/>
          <w:highlight w:val="none"/>
          <w14:textFill>
            <w14:solidFill>
              <w14:schemeClr w14:val="tx1"/>
            </w14:solidFill>
          </w14:textFill>
        </w:rPr>
        <w:t>的设备和专业技术能力；</w:t>
      </w:r>
    </w:p>
    <w:p w14:paraId="34C40B6E">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1.4</w:t>
      </w:r>
      <w:r>
        <w:rPr>
          <w:rFonts w:hint="eastAsia" w:ascii="宋体" w:hAnsi="宋体"/>
          <w:color w:val="000000" w:themeColor="text1"/>
          <w:sz w:val="24"/>
          <w:szCs w:val="24"/>
          <w:highlight w:val="none"/>
          <w14:textFill>
            <w14:solidFill>
              <w14:schemeClr w14:val="tx1"/>
            </w14:solidFill>
          </w14:textFill>
        </w:rPr>
        <w:t>有依法缴纳税收和社会保障基金的良好记录；</w:t>
      </w:r>
    </w:p>
    <w:p w14:paraId="1E0DDAD0">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1.5</w:t>
      </w:r>
      <w:r>
        <w:rPr>
          <w:rFonts w:hint="eastAsia" w:ascii="宋体" w:hAnsi="宋体"/>
          <w:color w:val="000000" w:themeColor="text1"/>
          <w:sz w:val="24"/>
          <w:szCs w:val="24"/>
          <w:highlight w:val="none"/>
          <w14:textFill>
            <w14:solidFill>
              <w14:schemeClr w14:val="tx1"/>
            </w14:solidFill>
          </w14:textFill>
        </w:rPr>
        <w:t>参加政府采购活动前三年内，在经营活动中没有重大违法记录；</w:t>
      </w:r>
    </w:p>
    <w:p w14:paraId="4445D460">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1.6</w:t>
      </w:r>
      <w:r>
        <w:rPr>
          <w:rFonts w:hint="eastAsia" w:ascii="宋体" w:hAnsi="宋体"/>
          <w:color w:val="000000" w:themeColor="text1"/>
          <w:sz w:val="24"/>
          <w:szCs w:val="24"/>
          <w:highlight w:val="none"/>
          <w14:textFill>
            <w14:solidFill>
              <w14:schemeClr w14:val="tx1"/>
            </w14:solidFill>
          </w14:textFill>
        </w:rPr>
        <w:t>法律、行政法规规定的其他条件。</w:t>
      </w:r>
    </w:p>
    <w:p w14:paraId="09D024FD">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2、落实政府采购政策需满足的资格要求：本项目专门面向中小企业采购</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投标人必须提供《中小企业声明函》或《残疾人福利性单位声明函》或由省级以上监狱管理局、戒毒管理局（含新疆生产建设兵团）出具的属于监狱企业的证明文件。</w:t>
      </w:r>
    </w:p>
    <w:p w14:paraId="6E5DEB0E">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3、本项目的特定资格要求：</w:t>
      </w:r>
    </w:p>
    <w:p w14:paraId="674189AA">
      <w:pPr>
        <w:spacing w:line="360" w:lineRule="auto"/>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3.1</w:t>
      </w:r>
      <w:r>
        <w:rPr>
          <w:rFonts w:ascii="宋体" w:hAnsi="宋体" w:cs="宋体"/>
          <w:color w:val="000000" w:themeColor="text1"/>
          <w:sz w:val="24"/>
          <w:szCs w:val="24"/>
          <w:highlight w:val="none"/>
          <w14:textFill>
            <w14:solidFill>
              <w14:schemeClr w14:val="tx1"/>
            </w14:solidFill>
          </w14:textFill>
        </w:rPr>
        <w:t>未被“信用中国”网站（www.creditchina.gov.cn）列入失信被执行人、重大税收违法案件当事人名单、政府采购严重失信行为记录名单。</w:t>
      </w:r>
    </w:p>
    <w:p w14:paraId="501639B1">
      <w:pPr>
        <w:spacing w:line="360" w:lineRule="auto"/>
        <w:ind w:firstLine="480"/>
        <w:jc w:val="left"/>
        <w:rPr>
          <w:rFonts w:hint="eastAsia"/>
          <w:color w:val="000000" w:themeColor="text1"/>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3.2</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单位负责人为同一人或者存在直接控股、管理关系的不同供应商（包含法定代表人为同一个人的两个及两个以上法人，母公司、全资子公司及其控股公司），不得参加同一合同项下的政府采购活动。</w:t>
      </w:r>
    </w:p>
    <w:p w14:paraId="22E624C7">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4、联合体及转包、分包：本项目不接受联合体，不得转包、分包本项目</w:t>
      </w:r>
      <w:r>
        <w:rPr>
          <w:rFonts w:hint="eastAsia" w:ascii="宋体" w:hAnsi="宋体"/>
          <w:color w:val="000000" w:themeColor="text1"/>
          <w:sz w:val="24"/>
          <w:szCs w:val="24"/>
          <w:highlight w:val="none"/>
          <w14:textFill>
            <w14:solidFill>
              <w14:schemeClr w14:val="tx1"/>
            </w14:solidFill>
          </w14:textFill>
        </w:rPr>
        <w:t>。</w:t>
      </w:r>
    </w:p>
    <w:p w14:paraId="7FE06330">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三、获取</w:t>
      </w:r>
      <w:r>
        <w:rPr>
          <w:rFonts w:hint="eastAsia" w:ascii="宋体" w:hAnsi="宋体"/>
          <w:color w:val="000000" w:themeColor="text1"/>
          <w:sz w:val="24"/>
          <w:szCs w:val="24"/>
          <w:highlight w:val="none"/>
          <w:lang w:eastAsia="zh-CN"/>
          <w14:textFill>
            <w14:solidFill>
              <w14:schemeClr w14:val="tx1"/>
            </w14:solidFill>
          </w14:textFill>
        </w:rPr>
        <w:t>招标文件</w:t>
      </w:r>
      <w:r>
        <w:rPr>
          <w:rFonts w:hint="eastAsia" w:ascii="宋体" w:hAnsi="宋体"/>
          <w:color w:val="000000" w:themeColor="text1"/>
          <w:sz w:val="24"/>
          <w:szCs w:val="24"/>
          <w:highlight w:val="none"/>
          <w14:textFill>
            <w14:solidFill>
              <w14:schemeClr w14:val="tx1"/>
            </w14:solidFill>
          </w14:textFill>
        </w:rPr>
        <w:t>：</w:t>
      </w:r>
    </w:p>
    <w:p w14:paraId="4E324A3C">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1、时间：自招标文件公告发布之日起5个工作日，每天上午00:00-12:00，下午12:00-23:59（北京时间，法定节假日除外）</w:t>
      </w:r>
    </w:p>
    <w:p w14:paraId="0121472C">
      <w:pPr>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地点：苏</w:t>
      </w:r>
      <w:r>
        <w:rPr>
          <w:rFonts w:hint="eastAsia" w:ascii="宋体" w:hAnsi="宋体"/>
          <w:color w:val="000000" w:themeColor="text1"/>
          <w:sz w:val="24"/>
          <w:highlight w:val="none"/>
          <w:lang w:eastAsia="zh-CN"/>
          <w14:textFill>
            <w14:solidFill>
              <w14:schemeClr w14:val="tx1"/>
            </w14:solidFill>
          </w14:textFill>
        </w:rPr>
        <w:t>采</w:t>
      </w:r>
      <w:r>
        <w:rPr>
          <w:rFonts w:hint="eastAsia" w:ascii="宋体" w:hAnsi="宋体"/>
          <w:color w:val="000000" w:themeColor="text1"/>
          <w:sz w:val="24"/>
          <w:highlight w:val="none"/>
          <w14:textFill>
            <w14:solidFill>
              <w14:schemeClr w14:val="tx1"/>
            </w14:solidFill>
          </w14:textFill>
        </w:rPr>
        <w:t>云系统 </w:t>
      </w:r>
    </w:p>
    <w:p w14:paraId="1CBAA28C">
      <w:pPr>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方式：苏</w:t>
      </w:r>
      <w:r>
        <w:rPr>
          <w:rFonts w:hint="eastAsia" w:ascii="宋体" w:hAnsi="宋体"/>
          <w:color w:val="000000" w:themeColor="text1"/>
          <w:sz w:val="24"/>
          <w:highlight w:val="none"/>
          <w:lang w:eastAsia="zh-CN"/>
          <w14:textFill>
            <w14:solidFill>
              <w14:schemeClr w14:val="tx1"/>
            </w14:solidFill>
          </w14:textFill>
        </w:rPr>
        <w:t>采</w:t>
      </w:r>
      <w:r>
        <w:rPr>
          <w:rFonts w:hint="eastAsia" w:ascii="宋体" w:hAnsi="宋体"/>
          <w:color w:val="000000" w:themeColor="text1"/>
          <w:sz w:val="24"/>
          <w:highlight w:val="none"/>
          <w14:textFill>
            <w14:solidFill>
              <w14:schemeClr w14:val="tx1"/>
            </w14:solidFill>
          </w14:textFill>
        </w:rPr>
        <w:t>云系统报名后自行下载 </w:t>
      </w:r>
    </w:p>
    <w:p w14:paraId="0382EC7A">
      <w:pPr>
        <w:keepNext w:val="0"/>
        <w:keepLines w:val="0"/>
        <w:pageBreakBefore w:val="0"/>
        <w:widowControl w:val="0"/>
        <w:spacing w:line="360" w:lineRule="auto"/>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售价：0.00元</w:t>
      </w:r>
    </w:p>
    <w:p w14:paraId="4A218F27">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四、提交投标文件截止时间、开标时间和地点</w:t>
      </w:r>
    </w:p>
    <w:p w14:paraId="58D617CC">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1、提交投标文件截止时间：</w:t>
      </w:r>
      <w:r>
        <w:rPr>
          <w:rFonts w:hint="eastAsia" w:ascii="宋体" w:hAnsi="宋体" w:cs="宋体"/>
          <w:color w:val="000000" w:themeColor="text1"/>
          <w:sz w:val="24"/>
          <w:szCs w:val="24"/>
          <w:highlight w:val="none"/>
          <w:lang w:eastAsia="zh-CN"/>
          <w14:textFill>
            <w14:solidFill>
              <w14:schemeClr w14:val="tx1"/>
            </w14:solidFill>
          </w14:textFill>
        </w:rPr>
        <w:t>2026年3月27日13:3</w:t>
      </w:r>
      <w:r>
        <w:rPr>
          <w:rFonts w:ascii="宋体" w:hAnsi="宋体" w:eastAsia="宋体" w:cs="宋体"/>
          <w:color w:val="000000" w:themeColor="text1"/>
          <w:sz w:val="24"/>
          <w:highlight w:val="none"/>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（北京时间）</w:t>
      </w:r>
    </w:p>
    <w:p w14:paraId="4B801D95">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2、开标时间：</w:t>
      </w:r>
      <w:r>
        <w:rPr>
          <w:rFonts w:hint="eastAsia" w:ascii="宋体" w:hAnsi="宋体" w:cs="宋体"/>
          <w:color w:val="000000" w:themeColor="text1"/>
          <w:sz w:val="24"/>
          <w:szCs w:val="24"/>
          <w:highlight w:val="none"/>
          <w:lang w:eastAsia="zh-CN"/>
          <w14:textFill>
            <w14:solidFill>
              <w14:schemeClr w14:val="tx1"/>
            </w14:solidFill>
          </w14:textFill>
        </w:rPr>
        <w:t>2026年3月27日13:3</w:t>
      </w:r>
      <w:r>
        <w:rPr>
          <w:rFonts w:ascii="宋体" w:hAnsi="宋体" w:eastAsia="宋体" w:cs="宋体"/>
          <w:color w:val="000000" w:themeColor="text1"/>
          <w:sz w:val="24"/>
          <w:highlight w:val="none"/>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（北京时间）</w:t>
      </w:r>
    </w:p>
    <w:p w14:paraId="3DCB9874">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开标地点：“苏采云”系统（网址：</w:t>
      </w:r>
      <w:r>
        <w:rPr>
          <w:rFonts w:ascii="宋体" w:hAnsi="宋体" w:eastAsia="宋体" w:cs="宋体"/>
          <w:sz w:val="24"/>
          <w:szCs w:val="24"/>
        </w:rPr>
        <w:t>http://jszfcg.jsczt.cn/</w:t>
      </w:r>
      <w:r>
        <w:rPr>
          <w:rFonts w:hint="eastAsia" w:ascii="宋体" w:hAnsi="宋体" w:cs="宋体"/>
          <w:color w:val="000000" w:themeColor="text1"/>
          <w:sz w:val="24"/>
          <w:szCs w:val="24"/>
          <w:highlight w:val="none"/>
          <w14:textFill>
            <w14:solidFill>
              <w14:schemeClr w14:val="tx1"/>
            </w14:solidFill>
          </w14:textFill>
        </w:rPr>
        <w:t>）</w:t>
      </w:r>
    </w:p>
    <w:p w14:paraId="0C625B7C">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五、公告期限</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自本公告发布之日起5个工作日。</w:t>
      </w:r>
    </w:p>
    <w:p w14:paraId="5E36863C">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六、其他补充事宜</w:t>
      </w:r>
    </w:p>
    <w:p w14:paraId="04BEFE11">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1.本次采购的有关信息将在苏州市政府采购网、江苏政府采购网</w:t>
      </w:r>
      <w:r>
        <w:rPr>
          <w:rFonts w:hint="eastAsia" w:ascii="宋体" w:hAnsi="宋体" w:cs="宋体"/>
          <w:color w:val="000000" w:themeColor="text1"/>
          <w:sz w:val="24"/>
          <w:szCs w:val="24"/>
          <w:highlight w:val="none"/>
          <w:lang w:eastAsia="zh-CN"/>
          <w14:textFill>
            <w14:solidFill>
              <w14:schemeClr w14:val="tx1"/>
            </w14:solidFill>
          </w14:textFill>
        </w:rPr>
        <w:t>、中国政府采购网</w:t>
      </w:r>
      <w:r>
        <w:rPr>
          <w:rFonts w:hint="eastAsia" w:ascii="宋体" w:hAnsi="宋体" w:cs="宋体"/>
          <w:color w:val="000000" w:themeColor="text1"/>
          <w:sz w:val="24"/>
          <w:highlight w:val="none"/>
          <w:lang w:eastAsia="zh-CN"/>
          <w14:textFill>
            <w14:solidFill>
              <w14:schemeClr w14:val="tx1"/>
            </w14:solidFill>
          </w14:textFill>
        </w:rPr>
        <w:t>上</w:t>
      </w:r>
      <w:r>
        <w:rPr>
          <w:rFonts w:hint="eastAsia" w:ascii="宋体" w:hAnsi="宋体" w:cs="宋体"/>
          <w:color w:val="000000" w:themeColor="text1"/>
          <w:sz w:val="24"/>
          <w:szCs w:val="24"/>
          <w:highlight w:val="none"/>
          <w14:textFill>
            <w14:solidFill>
              <w14:schemeClr w14:val="tx1"/>
            </w14:solidFill>
          </w14:textFill>
        </w:rPr>
        <w:t>发布；有关该采购项目的澄清、修正及中标等信息亦在以上网站发布，敬请留意。</w:t>
      </w:r>
    </w:p>
    <w:p w14:paraId="33450610">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2.政府采购监督电话：0512-68616651。</w:t>
      </w:r>
    </w:p>
    <w:p w14:paraId="66ECC480">
      <w:pPr>
        <w:tabs>
          <w:tab w:val="left" w:pos="6090"/>
        </w:tabs>
        <w:spacing w:line="360" w:lineRule="auto"/>
        <w:ind w:firstLine="480"/>
        <w:jc w:val="left"/>
        <w:rPr>
          <w:rFonts w:hint="eastAsia" w:ascii="宋体" w:hAnsi="宋体" w:cs="宋体"/>
          <w:color w:val="000000" w:themeColor="text1"/>
          <w:sz w:val="24"/>
          <w:szCs w:val="24"/>
          <w:highlight w:val="none"/>
          <w:lang w:val="zh-TW"/>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val="zh-TW" w:eastAsia="zh-TW"/>
          <w14:textFill>
            <w14:solidFill>
              <w14:schemeClr w14:val="tx1"/>
            </w14:solidFill>
          </w14:textFill>
        </w:rPr>
        <w:t>供应商在</w:t>
      </w:r>
      <w:r>
        <w:rPr>
          <w:rFonts w:hint="eastAsia" w:ascii="宋体" w:hAnsi="宋体" w:cs="宋体"/>
          <w:color w:val="000000" w:themeColor="text1"/>
          <w:sz w:val="24"/>
          <w:szCs w:val="24"/>
          <w:highlight w:val="none"/>
          <w:lang w:val="zh-TW"/>
          <w14:textFill>
            <w14:solidFill>
              <w14:schemeClr w14:val="tx1"/>
            </w14:solidFill>
          </w14:textFill>
        </w:rPr>
        <w:t>报名、下载、制作采购文件</w:t>
      </w:r>
      <w:r>
        <w:rPr>
          <w:rFonts w:hint="eastAsia" w:ascii="宋体" w:hAnsi="宋体" w:cs="宋体"/>
          <w:color w:val="000000" w:themeColor="text1"/>
          <w:sz w:val="24"/>
          <w:szCs w:val="24"/>
          <w:highlight w:val="none"/>
          <w:lang w:val="zh-TW" w:eastAsia="zh-TW"/>
          <w14:textFill>
            <w14:solidFill>
              <w14:schemeClr w14:val="tx1"/>
            </w14:solidFill>
          </w14:textFill>
        </w:rPr>
        <w:t>过程中如有</w:t>
      </w:r>
      <w:r>
        <w:rPr>
          <w:rFonts w:hint="eastAsia" w:ascii="宋体" w:hAnsi="宋体" w:cs="宋体"/>
          <w:color w:val="000000" w:themeColor="text1"/>
          <w:sz w:val="24"/>
          <w:szCs w:val="24"/>
          <w:highlight w:val="none"/>
          <w:lang w:val="zh-TW"/>
          <w14:textFill>
            <w14:solidFill>
              <w14:schemeClr w14:val="tx1"/>
            </w14:solidFill>
          </w14:textFill>
        </w:rPr>
        <w:t>软件操作方面</w:t>
      </w:r>
      <w:r>
        <w:rPr>
          <w:rFonts w:hint="eastAsia" w:ascii="宋体" w:hAnsi="宋体" w:cs="宋体"/>
          <w:color w:val="000000" w:themeColor="text1"/>
          <w:sz w:val="24"/>
          <w:szCs w:val="24"/>
          <w:highlight w:val="none"/>
          <w:lang w:val="zh-TW" w:eastAsia="zh-TW"/>
          <w14:textFill>
            <w14:solidFill>
              <w14:schemeClr w14:val="tx1"/>
            </w14:solidFill>
          </w14:textFill>
        </w:rPr>
        <w:t>疑问</w:t>
      </w:r>
      <w:r>
        <w:rPr>
          <w:rFonts w:hint="eastAsia" w:ascii="宋体" w:hAnsi="宋体" w:cs="宋体"/>
          <w:color w:val="000000" w:themeColor="text1"/>
          <w:sz w:val="24"/>
          <w:szCs w:val="24"/>
          <w:highlight w:val="none"/>
          <w:lang w:val="zh-TW"/>
          <w14:textFill>
            <w14:solidFill>
              <w14:schemeClr w14:val="tx1"/>
            </w14:solidFill>
          </w14:textFill>
        </w:rPr>
        <w:t>，</w:t>
      </w:r>
      <w:r>
        <w:rPr>
          <w:rFonts w:hint="eastAsia" w:ascii="宋体" w:hAnsi="宋体" w:cs="宋体"/>
          <w:color w:val="000000" w:themeColor="text1"/>
          <w:sz w:val="24"/>
          <w:szCs w:val="24"/>
          <w:highlight w:val="none"/>
          <w:lang w:val="zh-TW" w:eastAsia="zh-TW"/>
          <w14:textFill>
            <w14:solidFill>
              <w14:schemeClr w14:val="tx1"/>
            </w14:solidFill>
          </w14:textFill>
        </w:rPr>
        <w:t>请拨打</w:t>
      </w:r>
      <w:r>
        <w:rPr>
          <w:rFonts w:hint="eastAsia" w:ascii="宋体" w:hAnsi="宋体" w:cs="宋体"/>
          <w:color w:val="000000" w:themeColor="text1"/>
          <w:sz w:val="24"/>
          <w:szCs w:val="24"/>
          <w:highlight w:val="none"/>
          <w:lang w:val="zh-TW"/>
          <w14:textFill>
            <w14:solidFill>
              <w14:schemeClr w14:val="tx1"/>
            </w14:solidFill>
          </w14:textFill>
        </w:rPr>
        <w:t>（1）注册</w:t>
      </w:r>
      <w:r>
        <w:rPr>
          <w:rFonts w:hint="eastAsia" w:ascii="宋体" w:hAnsi="宋体" w:cs="宋体"/>
          <w:color w:val="000000" w:themeColor="text1"/>
          <w:sz w:val="24"/>
          <w:szCs w:val="24"/>
          <w:highlight w:val="none"/>
          <w:lang w:val="zh-TW" w:eastAsia="zh-TW"/>
          <w14:textFill>
            <w14:solidFill>
              <w14:schemeClr w14:val="tx1"/>
            </w14:solidFill>
          </w14:textFill>
        </w:rPr>
        <w:t>咨询：18261002</w:t>
      </w:r>
      <w:r>
        <w:rPr>
          <w:rFonts w:hint="eastAsia" w:ascii="宋体" w:hAnsi="宋体" w:cs="宋体"/>
          <w:color w:val="000000" w:themeColor="text1"/>
          <w:sz w:val="24"/>
          <w:szCs w:val="24"/>
          <w:highlight w:val="none"/>
          <w:lang w:val="zh-TW"/>
          <w14:textFill>
            <w14:solidFill>
              <w14:schemeClr w14:val="tx1"/>
            </w14:solidFill>
          </w14:textFill>
        </w:rPr>
        <w:t>950；（2）CA技术咨询电话：400-608-6099；（3）签章使用问题：025-83633811、025-83633812、15380932027、</w:t>
      </w:r>
      <w:r>
        <w:rPr>
          <w:rFonts w:hint="eastAsia" w:ascii="宋体" w:hAnsi="宋体" w:cs="宋体"/>
          <w:color w:val="000000" w:themeColor="text1"/>
          <w:sz w:val="24"/>
          <w:highlight w:val="none"/>
          <w14:textFill>
            <w14:solidFill>
              <w14:schemeClr w14:val="tx1"/>
            </w14:solidFill>
          </w14:textFill>
        </w:rPr>
        <w:t>13675197356</w:t>
      </w:r>
      <w:r>
        <w:rPr>
          <w:rFonts w:hint="eastAsia" w:ascii="宋体" w:hAnsi="宋体" w:cs="宋体"/>
          <w:color w:val="000000" w:themeColor="text1"/>
          <w:sz w:val="24"/>
          <w:szCs w:val="24"/>
          <w:highlight w:val="none"/>
          <w:lang w:val="zh-TW"/>
          <w14:textFill>
            <w14:solidFill>
              <w14:schemeClr w14:val="tx1"/>
            </w14:solidFill>
          </w14:textFill>
        </w:rPr>
        <w:t>；（4）系统使用指导与咨询：联系电话：</w:t>
      </w:r>
      <w:r>
        <w:rPr>
          <w:rFonts w:hint="eastAsia" w:ascii="宋体" w:hAnsi="宋体" w:cs="宋体"/>
          <w:color w:val="000000" w:themeColor="text1"/>
          <w:sz w:val="24"/>
          <w:highlight w:val="none"/>
          <w14:textFill>
            <w14:solidFill>
              <w14:schemeClr w14:val="tx1"/>
            </w14:solidFill>
          </w14:textFill>
        </w:rPr>
        <w:t>13914088964</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zh-TW"/>
          <w14:textFill>
            <w14:solidFill>
              <w14:schemeClr w14:val="tx1"/>
            </w14:solidFill>
          </w14:textFill>
        </w:rPr>
        <w:t>18261002950</w:t>
      </w:r>
      <w:r>
        <w:rPr>
          <w:rFonts w:hint="eastAsia" w:ascii="宋体" w:hAnsi="宋体" w:cs="宋体"/>
          <w:color w:val="000000" w:themeColor="text1"/>
          <w:sz w:val="24"/>
          <w:highlight w:val="none"/>
          <w:lang w:val="zh-TW"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0512-</w:t>
      </w:r>
      <w:r>
        <w:rPr>
          <w:rFonts w:hint="eastAsia" w:ascii="宋体" w:hAnsi="宋体" w:cs="宋体"/>
          <w:color w:val="000000" w:themeColor="text1"/>
          <w:sz w:val="24"/>
          <w:highlight w:val="none"/>
          <w:lang w:val="en-US" w:eastAsia="zh-CN"/>
          <w14:textFill>
            <w14:solidFill>
              <w14:schemeClr w14:val="tx1"/>
            </w14:solidFill>
          </w14:textFill>
        </w:rPr>
        <w:t>86722802</w:t>
      </w:r>
      <w:r>
        <w:rPr>
          <w:rFonts w:hint="eastAsia" w:ascii="宋体" w:hAnsi="宋体" w:cs="宋体"/>
          <w:color w:val="000000" w:themeColor="text1"/>
          <w:sz w:val="24"/>
          <w:szCs w:val="24"/>
          <w:highlight w:val="none"/>
          <w:lang w:val="zh-TW"/>
          <w14:textFill>
            <w14:solidFill>
              <w14:schemeClr w14:val="tx1"/>
            </w14:solidFill>
          </w14:textFill>
        </w:rPr>
        <w:t>；QQ：1315179389、895706745。</w:t>
      </w:r>
      <w:r>
        <w:rPr>
          <w:rFonts w:hint="eastAsia" w:ascii="宋体" w:hAnsi="宋体" w:eastAsia="宋体" w:cs="宋体"/>
          <w:color w:val="000000" w:themeColor="text1"/>
          <w:sz w:val="24"/>
          <w:szCs w:val="24"/>
          <w:highlight w:val="none"/>
          <w:lang w:val="zh-TW"/>
          <w14:textFill>
            <w14:solidFill>
              <w14:schemeClr w14:val="tx1"/>
            </w14:solidFill>
          </w14:textFill>
        </w:rPr>
        <w:t>智能客服：登录苏采云系统后，联系系统右下方智能客服图标进行咨询</w:t>
      </w:r>
      <w:r>
        <w:rPr>
          <w:rFonts w:hint="eastAsia" w:ascii="宋体" w:hAnsi="宋体" w:cs="宋体"/>
          <w:color w:val="000000" w:themeColor="text1"/>
          <w:sz w:val="24"/>
          <w:szCs w:val="24"/>
          <w:highlight w:val="none"/>
          <w:lang w:val="zh-TW"/>
          <w14:textFill>
            <w14:solidFill>
              <w14:schemeClr w14:val="tx1"/>
            </w14:solidFill>
          </w14:textFill>
        </w:rPr>
        <w:t>。</w:t>
      </w:r>
    </w:p>
    <w:p w14:paraId="0C02913D">
      <w:pPr>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报名方式（网上报名）</w:t>
      </w:r>
    </w:p>
    <w:p w14:paraId="114EDDF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1申领CA证书：供应商参与政府采购活动需办理江苏省电子政务证书认证中心CA证书和方正国际软件（北京）有限公司电子签章。CA证书及电子签章的办理方法详见苏州市政府采购网―法规政策--《转发省财政厅关于更换全省政府采购交易系统CA数字证书和电子签章的通知》或者“苏采云”系统登录界面中的“新CA办理指南”。“苏采云”系统目前仅支持“苏采云”系统下的政务CA证书，江苏省内各地区办理的“苏采云”系统下的政务CA证书全省通用。苏州现场办理地址：</w:t>
      </w:r>
      <w:r>
        <w:rPr>
          <w:rFonts w:hint="eastAsia" w:ascii="宋体" w:hAnsi="宋体" w:cs="宋体"/>
          <w:color w:val="000000" w:themeColor="text1"/>
          <w:sz w:val="24"/>
          <w:highlight w:val="none"/>
          <w:lang w:val="en-US" w:eastAsia="zh-CN"/>
          <w14:textFill>
            <w14:solidFill>
              <w14:schemeClr w14:val="tx1"/>
            </w14:solidFill>
          </w14:textFill>
        </w:rPr>
        <w:t>苏州高新区邓尉路105号狮山科技馆1楼服务大厅</w:t>
      </w:r>
      <w:r>
        <w:rPr>
          <w:rFonts w:hint="eastAsia" w:ascii="宋体" w:hAnsi="宋体" w:cs="宋体"/>
          <w:color w:val="000000" w:themeColor="text1"/>
          <w:sz w:val="24"/>
          <w:highlight w:val="none"/>
          <w14:textFill>
            <w14:solidFill>
              <w14:schemeClr w14:val="tx1"/>
            </w14:solidFill>
          </w14:textFill>
        </w:rPr>
        <w:t>，咨询电话：0512-69820834。</w:t>
      </w:r>
    </w:p>
    <w:p w14:paraId="569649EA">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.2登录报名：供应商插入CA证书</w:t>
      </w:r>
      <w:r>
        <w:rPr>
          <w:rFonts w:hint="eastAsia" w:ascii="宋体" w:hAnsi="宋体" w:cs="宋体"/>
          <w:color w:val="000000" w:themeColor="text1"/>
          <w:sz w:val="24"/>
          <w:highlight w:val="none"/>
          <w:lang w:eastAsia="zh-CN"/>
          <w14:textFill>
            <w14:solidFill>
              <w14:schemeClr w14:val="tx1"/>
            </w14:solidFill>
          </w14:textFill>
        </w:rPr>
        <w:t>登录</w:t>
      </w:r>
      <w:r>
        <w:rPr>
          <w:rFonts w:hint="eastAsia" w:ascii="宋体" w:hAnsi="宋体" w:cs="宋体"/>
          <w:color w:val="000000" w:themeColor="text1"/>
          <w:sz w:val="24"/>
          <w:highlight w:val="none"/>
          <w14:textFill>
            <w14:solidFill>
              <w14:schemeClr w14:val="tx1"/>
            </w14:solidFill>
          </w14:textFill>
        </w:rPr>
        <w:t>“苏采云”系统后选择具体项目，点击“我要参与”并签章提交《投标供应商确认函》，提交《投标供应商确认函》日期视同为依法获取招标文件日期。供应商须打印、保留《投标供应商确认函》，质疑时《投标供应商确认函》与质疑函一并提交；未依照招标公告要求提交《投标供应商确认函》的供应商，视为未参与该项政府采购活动，不具备对该政府采购项目提出质疑的法定权利，但因供应商资格条件或获取招标文件时间设定不符合有关法律法规规定等原因使供应商权益受损的除外。</w:t>
      </w:r>
    </w:p>
    <w:p w14:paraId="3B56B522">
      <w:pPr>
        <w:spacing w:line="360" w:lineRule="auto"/>
        <w:ind w:firstLine="48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制作、提交电子投标文件：</w:t>
      </w:r>
    </w:p>
    <w:p w14:paraId="6B94E041">
      <w:pPr>
        <w:spacing w:line="360" w:lineRule="auto"/>
        <w:ind w:firstLine="48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5.1</w:t>
      </w:r>
      <w:r>
        <w:rPr>
          <w:rFonts w:hint="eastAsia" w:ascii="宋体" w:hAnsi="宋体" w:cs="宋体"/>
          <w:color w:val="000000" w:themeColor="text1"/>
          <w:sz w:val="24"/>
          <w:highlight w:val="none"/>
          <w14:textFill>
            <w14:solidFill>
              <w14:schemeClr w14:val="tx1"/>
            </w14:solidFill>
          </w14:textFill>
        </w:rPr>
        <w:t>本项目采用电子招投标方式，供应商在“苏采云”系统中操作成功参与项目后，必须在“已参与项目”界面中下载电子招标文件（后缀名为“.kedt”）并导入政府采购客户端工具后方可进行投标文件制作和提交（具体详见《苏采云系统供应商操作手册》，网址链接</w:t>
      </w:r>
      <w:r>
        <w:rPr>
          <w:rFonts w:ascii="宋体" w:hAnsi="宋体" w:cs="宋体"/>
          <w:color w:val="000000" w:themeColor="text1"/>
          <w:sz w:val="24"/>
          <w:highlight w:val="none"/>
          <w14:textFill>
            <w14:solidFill>
              <w14:schemeClr w14:val="tx1"/>
            </w14:solidFill>
          </w14:textFill>
        </w:rPr>
        <w:fldChar w:fldCharType="begin"/>
      </w:r>
      <w:r>
        <w:rPr>
          <w:rFonts w:ascii="宋体" w:hAnsi="宋体" w:cs="宋体"/>
          <w:color w:val="000000" w:themeColor="text1"/>
          <w:sz w:val="24"/>
          <w:highlight w:val="none"/>
          <w14:textFill>
            <w14:solidFill>
              <w14:schemeClr w14:val="tx1"/>
            </w14:solidFill>
          </w14:textFill>
        </w:rPr>
        <w:instrText xml:space="preserve"> HYPERLINK "</w:instrText>
      </w:r>
      <w:r>
        <w:rPr>
          <w:rFonts w:hint="eastAsia" w:ascii="宋体" w:hAnsi="宋体" w:cs="宋体"/>
          <w:color w:val="000000" w:themeColor="text1"/>
          <w:sz w:val="24"/>
          <w:highlight w:val="none"/>
          <w14:textFill>
            <w14:solidFill>
              <w14:schemeClr w14:val="tx1"/>
            </w14:solidFill>
          </w14:textFill>
        </w:rPr>
        <w:instrText xml:space="preserve">https://czju.suzhou.gov.cn/zfcg/html/content/20231220161910031.shtml</w:instrText>
      </w:r>
      <w:r>
        <w:rPr>
          <w:rFonts w:ascii="宋体" w:hAnsi="宋体" w:cs="宋体"/>
          <w:color w:val="000000" w:themeColor="text1"/>
          <w:sz w:val="24"/>
          <w:highlight w:val="none"/>
          <w14:textFill>
            <w14:solidFill>
              <w14:schemeClr w14:val="tx1"/>
            </w14:solidFill>
          </w14:textFill>
        </w:rPr>
        <w:instrText xml:space="preserve">" </w:instrText>
      </w:r>
      <w:r>
        <w:rPr>
          <w:rFonts w:ascii="宋体" w:hAnsi="宋体" w:cs="宋体"/>
          <w:color w:val="000000" w:themeColor="text1"/>
          <w:sz w:val="24"/>
          <w:highlight w:val="none"/>
          <w14:textFill>
            <w14:solidFill>
              <w14:schemeClr w14:val="tx1"/>
            </w14:solidFill>
          </w14:textFill>
        </w:rPr>
        <w:fldChar w:fldCharType="separate"/>
      </w:r>
      <w:r>
        <w:rPr>
          <w:rStyle w:val="44"/>
          <w:rFonts w:hint="eastAsia" w:ascii="宋体" w:hAnsi="宋体" w:cs="宋体"/>
          <w:color w:val="000000" w:themeColor="text1"/>
          <w:sz w:val="24"/>
          <w:highlight w:val="none"/>
          <w14:textFill>
            <w14:solidFill>
              <w14:schemeClr w14:val="tx1"/>
            </w14:solidFill>
          </w14:textFill>
        </w:rPr>
        <w:t>https://czju.suzhou.gov.cn/zfcg/html/content/20231220161910031.shtml</w:t>
      </w:r>
      <w:r>
        <w:rPr>
          <w:rFonts w:ascii="宋体" w:hAnsi="宋体" w:cs="宋体"/>
          <w:color w:val="000000" w:themeColor="text1"/>
          <w:sz w:val="24"/>
          <w:highlight w:val="non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w:t>
      </w:r>
    </w:p>
    <w:p w14:paraId="518157F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补充通知（如有）：成功获取招标文件的供应商应及时关注政府采购信息发布媒体上发布的更正（补充）公告，同时在“苏采云”系统中下载更正（补充）资料，如有遗漏（包括但不限于文件未下载或下载不完整），可能无法解密投标（响应）文件，由此所造成的响应失败或损失由供应商自行负责。</w:t>
      </w:r>
    </w:p>
    <w:p w14:paraId="66538129">
      <w:pPr>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本项目采用电子投标形式，请供应商按照《苏采云系统供应商操作手册》、招标文件要求进行制作、上传电子投标文件；电子投标文件制作完成后请于投标文件提交截止时间前成功上传至“苏采云”系统，否则视为放弃参加该采购项目；供应商应</w:t>
      </w:r>
      <w:r>
        <w:rPr>
          <w:rFonts w:hint="eastAsia" w:ascii="宋体" w:hAnsi="宋体" w:cs="宋体"/>
          <w:color w:val="000000" w:themeColor="text1"/>
          <w:sz w:val="24"/>
          <w:highlight w:val="none"/>
          <w:lang w:eastAsia="zh-CN"/>
          <w14:textFill>
            <w14:solidFill>
              <w14:schemeClr w14:val="tx1"/>
            </w14:solidFill>
          </w14:textFill>
        </w:rPr>
        <w:t>充分考虑</w:t>
      </w:r>
      <w:r>
        <w:rPr>
          <w:rFonts w:hint="eastAsia" w:ascii="宋体" w:hAnsi="宋体" w:cs="宋体"/>
          <w:color w:val="000000" w:themeColor="text1"/>
          <w:sz w:val="24"/>
          <w:highlight w:val="none"/>
          <w14:textFill>
            <w14:solidFill>
              <w14:schemeClr w14:val="tx1"/>
            </w14:solidFill>
          </w14:textFill>
        </w:rPr>
        <w:t>网络环境、网络带宽等风险因素，如因供应商自身原因造成的电子投标文件上传不成功由供应商自行承担全部责任</w:t>
      </w:r>
      <w:r>
        <w:rPr>
          <w:rFonts w:hint="eastAsia" w:ascii="宋体" w:hAnsi="宋体"/>
          <w:color w:val="000000" w:themeColor="text1"/>
          <w:sz w:val="24"/>
          <w:highlight w:val="none"/>
          <w14:textFill>
            <w14:solidFill>
              <w14:schemeClr w14:val="tx1"/>
            </w14:solidFill>
          </w14:textFill>
        </w:rPr>
        <w:t>。</w:t>
      </w:r>
    </w:p>
    <w:p w14:paraId="568F9DB0">
      <w:pPr>
        <w:keepNext w:val="0"/>
        <w:keepLines w:val="0"/>
        <w:pageBreakBefore w:val="0"/>
        <w:widowControl w:val="0"/>
        <w:numPr>
          <w:ilvl w:val="0"/>
          <w:numId w:val="0"/>
        </w:num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开标方式：线上不见面开标，供应商登录“苏采云”系统在平台首页点击“开标大厅”，进入江苏省政府采购一体化不见面开标（采购）大厅，在今日项目列表，点击项目，进入不见面开标系统。</w:t>
      </w:r>
      <w:r>
        <w:rPr>
          <w:rFonts w:hint="eastAsia" w:ascii="宋体" w:hAnsi="宋体" w:cs="宋体"/>
          <w:b/>
          <w:color w:val="000000" w:themeColor="text1"/>
          <w:sz w:val="24"/>
          <w:highlight w:val="none"/>
          <w14:textFill>
            <w14:solidFill>
              <w14:schemeClr w14:val="tx1"/>
            </w14:solidFill>
          </w14:textFill>
        </w:rPr>
        <w:t>开标阶段供应商在【供应商解密】环节必须使用CA证书解密电子投标文件，如在系统规定的解密时间内</w:t>
      </w:r>
      <w:r>
        <w:rPr>
          <w:rFonts w:hint="eastAsia" w:ascii="宋体" w:hAnsi="宋体"/>
          <w:b/>
          <w:color w:val="000000" w:themeColor="text1"/>
          <w:sz w:val="24"/>
          <w:szCs w:val="24"/>
          <w:highlight w:val="none"/>
          <w14:textFill>
            <w14:solidFill>
              <w14:schemeClr w14:val="tx1"/>
            </w14:solidFill>
          </w14:textFill>
        </w:rPr>
        <w:t>（投标文件提交截止时间后30分钟）</w:t>
      </w:r>
      <w:r>
        <w:rPr>
          <w:rFonts w:hint="eastAsia" w:ascii="宋体" w:hAnsi="宋体" w:cs="宋体"/>
          <w:b/>
          <w:color w:val="000000" w:themeColor="text1"/>
          <w:sz w:val="24"/>
          <w:highlight w:val="none"/>
          <w14:textFill>
            <w14:solidFill>
              <w14:schemeClr w14:val="tx1"/>
            </w14:solidFill>
          </w14:textFill>
        </w:rPr>
        <w:t>未能完成解密的视为放弃投标。</w:t>
      </w:r>
      <w:r>
        <w:rPr>
          <w:rFonts w:hint="eastAsia" w:ascii="宋体" w:hAnsi="宋体" w:cs="宋体"/>
          <w:color w:val="000000" w:themeColor="text1"/>
          <w:sz w:val="24"/>
          <w:highlight w:val="none"/>
          <w14:textFill>
            <w14:solidFill>
              <w14:schemeClr w14:val="tx1"/>
            </w14:solidFill>
          </w14:textFill>
        </w:rPr>
        <w:t>请供应商确保电脑、系统及其他设备（视频输入输出设备等）无误，且开标直至项目结束始终保持系统在线状态。</w:t>
      </w:r>
    </w:p>
    <w:p w14:paraId="123C7D08">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七、对本次招标提出询问，请按以下方式联系：</w:t>
      </w:r>
    </w:p>
    <w:p w14:paraId="12AF8827">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1、采购人信息</w:t>
      </w:r>
    </w:p>
    <w:p w14:paraId="54D11742">
      <w:pPr>
        <w:spacing w:line="360" w:lineRule="auto"/>
        <w:ind w:firstLine="48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名 称：</w:t>
      </w:r>
      <w:r>
        <w:rPr>
          <w:rFonts w:hint="eastAsia" w:ascii="宋体" w:hAnsi="宋体"/>
          <w:color w:val="000000" w:themeColor="text1"/>
          <w:sz w:val="24"/>
          <w:highlight w:val="none"/>
          <w:lang w:eastAsia="zh-CN"/>
          <w14:textFill>
            <w14:solidFill>
              <w14:schemeClr w14:val="tx1"/>
            </w14:solidFill>
          </w14:textFill>
        </w:rPr>
        <w:t>苏州市立医院</w:t>
      </w:r>
    </w:p>
    <w:p w14:paraId="0A180EA3">
      <w:pPr>
        <w:spacing w:line="360" w:lineRule="auto"/>
        <w:ind w:firstLine="48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w:t>
      </w:r>
      <w:r>
        <w:rPr>
          <w:rFonts w:hint="eastAsia" w:ascii="宋体" w:hAnsi="宋体"/>
          <w:color w:val="000000" w:themeColor="text1"/>
          <w:sz w:val="24"/>
          <w:highlight w:val="none"/>
          <w14:textFill>
            <w14:solidFill>
              <w14:schemeClr w14:val="tx1"/>
            </w14:solidFill>
          </w14:textFill>
        </w:rPr>
        <w:t>苏州市道前街26号</w:t>
      </w:r>
    </w:p>
    <w:p w14:paraId="5D33C0D0">
      <w:pPr>
        <w:spacing w:line="360" w:lineRule="auto"/>
        <w:ind w:firstLine="48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联系方式：</w:t>
      </w:r>
      <w:r>
        <w:rPr>
          <w:rFonts w:hint="eastAsia" w:ascii="宋体" w:hAnsi="宋体"/>
          <w:color w:val="000000" w:themeColor="text1"/>
          <w:sz w:val="24"/>
          <w:highlight w:val="none"/>
          <w:lang w:eastAsia="zh-CN"/>
          <w14:textFill>
            <w14:solidFill>
              <w14:schemeClr w14:val="tx1"/>
            </w14:solidFill>
          </w14:textFill>
        </w:rPr>
        <w:t>王俊文</w:t>
      </w:r>
      <w:r>
        <w:rPr>
          <w:rFonts w:hint="eastAsia" w:ascii="宋体" w:hAnsi="宋体" w:cs="宋体"/>
          <w:color w:val="000000" w:themeColor="text1"/>
          <w:sz w:val="24"/>
          <w:szCs w:val="24"/>
          <w:highlight w:val="none"/>
          <w14:textFill>
            <w14:solidFill>
              <w14:schemeClr w14:val="tx1"/>
            </w14:solidFill>
          </w14:textFill>
        </w:rPr>
        <w:t>/0512-</w:t>
      </w:r>
      <w:r>
        <w:rPr>
          <w:rFonts w:hint="eastAsia" w:ascii="宋体" w:hAnsi="宋体"/>
          <w:color w:val="000000" w:themeColor="text1"/>
          <w:sz w:val="24"/>
          <w:highlight w:val="none"/>
          <w:shd w:val="clear" w:color="auto" w:fill="FFFFFF"/>
          <w:lang w:eastAsia="zh-CN"/>
          <w14:textFill>
            <w14:solidFill>
              <w14:schemeClr w14:val="tx1"/>
            </w14:solidFill>
          </w14:textFill>
        </w:rPr>
        <w:t>62362541</w:t>
      </w:r>
    </w:p>
    <w:p w14:paraId="72B63C87">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2、采购代理机构信息</w:t>
      </w:r>
    </w:p>
    <w:p w14:paraId="346DB491">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名 称：苏州惠德普源企业咨询有限公司</w:t>
      </w:r>
    </w:p>
    <w:p w14:paraId="1649F6A4">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 址：苏州市滨河路锦和越界X2创意街区3B 512室</w:t>
      </w:r>
    </w:p>
    <w:p w14:paraId="5AC4B953">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联系方式：</w:t>
      </w:r>
      <w:r>
        <w:rPr>
          <w:rFonts w:hint="eastAsia" w:ascii="宋体" w:hAnsi="宋体"/>
          <w:color w:val="000000" w:themeColor="text1"/>
          <w:sz w:val="24"/>
          <w:szCs w:val="24"/>
          <w:highlight w:val="none"/>
          <w:lang w:eastAsia="zh-CN"/>
          <w14:textFill>
            <w14:solidFill>
              <w14:schemeClr w14:val="tx1"/>
            </w14:solidFill>
          </w14:textFill>
        </w:rPr>
        <w:t>姚佳雯</w:t>
      </w:r>
      <w:r>
        <w:rPr>
          <w:rFonts w:hint="eastAsia" w:ascii="宋体" w:hAnsi="宋体"/>
          <w:color w:val="000000" w:themeColor="text1"/>
          <w:sz w:val="24"/>
          <w:szCs w:val="24"/>
          <w:highlight w:val="none"/>
          <w14:textFill>
            <w14:solidFill>
              <w14:schemeClr w14:val="tx1"/>
            </w14:solidFill>
          </w14:textFill>
        </w:rPr>
        <w:t>/0512-65274327</w:t>
      </w:r>
    </w:p>
    <w:p w14:paraId="6BB5CD9C">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3、项目联系方式</w:t>
      </w:r>
    </w:p>
    <w:p w14:paraId="49466D94">
      <w:pPr>
        <w:spacing w:line="360" w:lineRule="auto"/>
        <w:ind w:firstLine="480"/>
        <w:jc w:val="left"/>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项目联系人：</w:t>
      </w:r>
      <w:r>
        <w:rPr>
          <w:rFonts w:hint="eastAsia" w:ascii="宋体" w:hAnsi="宋体"/>
          <w:color w:val="000000" w:themeColor="text1"/>
          <w:sz w:val="24"/>
          <w:szCs w:val="24"/>
          <w:highlight w:val="none"/>
          <w:lang w:eastAsia="zh-CN"/>
          <w14:textFill>
            <w14:solidFill>
              <w14:schemeClr w14:val="tx1"/>
            </w14:solidFill>
          </w14:textFill>
        </w:rPr>
        <w:t>姚佳雯、崔鸿青</w:t>
      </w:r>
    </w:p>
    <w:p w14:paraId="630BF6D7">
      <w:pPr>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 话：0512-65274327</w:t>
      </w:r>
    </w:p>
    <w:p w14:paraId="30503F0B">
      <w:pPr>
        <w:jc w:val="center"/>
        <w:rPr>
          <w:rFonts w:hint="eastAsia" w:ascii="宋体" w:hAnsi="宋体"/>
          <w:color w:val="000000" w:themeColor="text1"/>
          <w:sz w:val="44"/>
          <w:szCs w:val="44"/>
          <w:highlight w:val="none"/>
          <w14:textFill>
            <w14:solidFill>
              <w14:schemeClr w14:val="tx1"/>
            </w14:solidFill>
          </w14:textFill>
        </w:rPr>
      </w:pPr>
    </w:p>
    <w:p w14:paraId="22835BE8">
      <w:pPr>
        <w:jc w:val="center"/>
        <w:rPr>
          <w:rFonts w:hint="eastAsia" w:ascii="宋体" w:hAnsi="宋体"/>
          <w:color w:val="000000" w:themeColor="text1"/>
          <w:sz w:val="44"/>
          <w:szCs w:val="44"/>
          <w:highlight w:val="none"/>
          <w14:textFill>
            <w14:solidFill>
              <w14:schemeClr w14:val="tx1"/>
            </w14:solidFill>
          </w14:textFill>
        </w:rPr>
      </w:pPr>
    </w:p>
    <w:p w14:paraId="3D3537C5">
      <w:pPr>
        <w:jc w:val="center"/>
        <w:rPr>
          <w:rFonts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br w:type="page" w:clear="all"/>
      </w:r>
      <w:r>
        <w:rPr>
          <w:rFonts w:hint="eastAsia" w:ascii="宋体" w:hAnsi="宋体"/>
          <w:color w:val="000000" w:themeColor="text1"/>
          <w:sz w:val="44"/>
          <w:szCs w:val="44"/>
          <w:highlight w:val="none"/>
          <w14:textFill>
            <w14:solidFill>
              <w14:schemeClr w14:val="tx1"/>
            </w14:solidFill>
          </w14:textFill>
        </w:rPr>
        <w:t>第二章 投标人须知</w:t>
      </w:r>
    </w:p>
    <w:p w14:paraId="6DEC146D">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一、说明和释义</w:t>
      </w:r>
    </w:p>
    <w:p w14:paraId="6D9DF9F9">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1.说明</w:t>
      </w:r>
    </w:p>
    <w:p w14:paraId="265346F1">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1.1本招标文件仅适用于苏州惠德普源企业咨询有限公司组织的采购活动。</w:t>
      </w:r>
    </w:p>
    <w:p w14:paraId="66CD2293">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1.2本次采购活动及因本次采购产生的合同受中国法律制约和保护。</w:t>
      </w:r>
    </w:p>
    <w:p w14:paraId="69D8F5F0">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1.3本招标文件的解释权属于苏州惠德普源企业咨询有限公司。</w:t>
      </w:r>
    </w:p>
    <w:p w14:paraId="77A4693B">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2.词语释义</w:t>
      </w:r>
    </w:p>
    <w:p w14:paraId="1E4EB036">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2.1采购人：指依法进行政府采购的国家机关、事业单位、团体组织。</w:t>
      </w:r>
    </w:p>
    <w:p w14:paraId="5681F853">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2.2采购代理机构：指依法接受采购人委托，从事政府采购代理业务的社会中介机构。</w:t>
      </w:r>
    </w:p>
    <w:p w14:paraId="22FDC1D3">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2.3投标人（供应商）：经认定有资格响应采购，参加投标竞争的法人、其他组织或者自然人。</w:t>
      </w:r>
    </w:p>
    <w:p w14:paraId="67F9C4BE">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2.4</w:t>
      </w:r>
      <w:r>
        <w:rPr>
          <w:rFonts w:hint="eastAsia" w:ascii="宋体" w:hAnsi="宋体"/>
          <w:color w:val="000000" w:themeColor="text1"/>
          <w:sz w:val="24"/>
          <w:highlight w:val="none"/>
          <w:lang w:eastAsia="zh-CN"/>
          <w14:textFill>
            <w14:solidFill>
              <w14:schemeClr w14:val="tx1"/>
            </w14:solidFill>
          </w14:textFill>
        </w:rPr>
        <w:t>投标</w:t>
      </w:r>
      <w:r>
        <w:rPr>
          <w:rFonts w:hint="eastAsia" w:ascii="宋体" w:hAnsi="宋体"/>
          <w:color w:val="000000" w:themeColor="text1"/>
          <w:sz w:val="24"/>
          <w:highlight w:val="none"/>
          <w14:textFill>
            <w14:solidFill>
              <w14:schemeClr w14:val="tx1"/>
            </w14:solidFill>
          </w14:textFill>
        </w:rPr>
        <w:t>：投标人根据采购人或采购代理机构发布的招标文件，编制投标文件并按规定投标行为。</w:t>
      </w:r>
    </w:p>
    <w:p w14:paraId="7B0DBEFD">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2.5合同：采供双方根据招标文件和中标的投标文件及中标通知书规定的内容签署的以书面形式所达成的协议，包括所有的附件、附录和构成协议的所有文件。</w:t>
      </w:r>
    </w:p>
    <w:p w14:paraId="1AC88620">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2.6甲方（采购人）：指招标文件中载明的，依法进行政府采购的国家机关、事业单位、团体组织。</w:t>
      </w:r>
    </w:p>
    <w:p w14:paraId="0E7D132B">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2.7乙方（</w:t>
      </w:r>
      <w:r>
        <w:rPr>
          <w:rFonts w:hint="eastAsia" w:ascii="宋体" w:hAnsi="宋体"/>
          <w:color w:val="000000" w:themeColor="text1"/>
          <w:sz w:val="24"/>
          <w:highlight w:val="none"/>
          <w:lang w:eastAsia="zh-CN"/>
          <w14:textFill>
            <w14:solidFill>
              <w14:schemeClr w14:val="tx1"/>
            </w14:solidFill>
          </w14:textFill>
        </w:rPr>
        <w:t>中标</w:t>
      </w:r>
      <w:r>
        <w:rPr>
          <w:rFonts w:hint="eastAsia" w:ascii="宋体" w:hAnsi="宋体"/>
          <w:color w:val="000000" w:themeColor="text1"/>
          <w:sz w:val="24"/>
          <w:highlight w:val="none"/>
          <w14:textFill>
            <w14:solidFill>
              <w14:schemeClr w14:val="tx1"/>
            </w14:solidFill>
          </w14:textFill>
        </w:rPr>
        <w:t>供应商）：合同中规定的向采购人提供货物和服务的法人或其他组织和自然人。</w:t>
      </w:r>
    </w:p>
    <w:p w14:paraId="0FC147CA">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2.8货物：系指乙方按招标文件规定，应向甲方提供的一切设备、备品、备件、工具、手册</w:t>
      </w:r>
      <w:r>
        <w:rPr>
          <w:rFonts w:hint="eastAsia" w:ascii="宋体" w:hAnsi="宋体"/>
          <w:color w:val="000000" w:themeColor="text1"/>
          <w:sz w:val="24"/>
          <w:highlight w:val="none"/>
          <w:lang w:eastAsia="zh-CN"/>
          <w14:textFill>
            <w14:solidFill>
              <w14:schemeClr w14:val="tx1"/>
            </w14:solidFill>
          </w14:textFill>
        </w:rPr>
        <w:t>及其他有关</w:t>
      </w:r>
      <w:r>
        <w:rPr>
          <w:rFonts w:hint="eastAsia" w:ascii="宋体" w:hAnsi="宋体"/>
          <w:color w:val="000000" w:themeColor="text1"/>
          <w:sz w:val="24"/>
          <w:highlight w:val="none"/>
          <w14:textFill>
            <w14:solidFill>
              <w14:schemeClr w14:val="tx1"/>
            </w14:solidFill>
          </w14:textFill>
        </w:rPr>
        <w:t>技术资料和材料。</w:t>
      </w:r>
    </w:p>
    <w:p w14:paraId="5926CB54">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2.9服务：系指本次招标文件规定乙方应承担的与提供货物和服务有关的辅助服务，比如运输、保险、安装、调试、提供技术援助、培训、配合措施、维修响应及合同中规定乙方应承担的</w:t>
      </w:r>
      <w:r>
        <w:rPr>
          <w:rFonts w:hint="eastAsia" w:ascii="宋体" w:hAnsi="宋体"/>
          <w:color w:val="000000" w:themeColor="text1"/>
          <w:sz w:val="24"/>
          <w:highlight w:val="none"/>
          <w:lang w:eastAsia="zh-CN"/>
          <w14:textFill>
            <w14:solidFill>
              <w14:schemeClr w14:val="tx1"/>
            </w14:solidFill>
          </w14:textFill>
        </w:rPr>
        <w:t>其他义务</w:t>
      </w:r>
      <w:r>
        <w:rPr>
          <w:rFonts w:hint="eastAsia" w:ascii="宋体" w:hAnsi="宋体"/>
          <w:color w:val="000000" w:themeColor="text1"/>
          <w:sz w:val="24"/>
          <w:highlight w:val="none"/>
          <w14:textFill>
            <w14:solidFill>
              <w14:schemeClr w14:val="tx1"/>
            </w14:solidFill>
          </w14:textFill>
        </w:rPr>
        <w:t>。</w:t>
      </w:r>
    </w:p>
    <w:p w14:paraId="45137154">
      <w:pPr>
        <w:spacing w:line="360" w:lineRule="auto"/>
        <w:ind w:left="307" w:hanging="30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2.10知识产权：指专利权、商标权、著作权等无形财产专有权的统称。</w:t>
      </w:r>
    </w:p>
    <w:p w14:paraId="6CAA2BE2">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2.11天：日历日；时间：除特别说明，均指北京时间。</w:t>
      </w:r>
    </w:p>
    <w:p w14:paraId="5A8EF52F">
      <w:pPr>
        <w:spacing w:line="360" w:lineRule="auto"/>
        <w:ind w:left="307" w:hanging="30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2.12地点：合同中明确约定的乙方提交的货物和履行服务最终地点。</w:t>
      </w:r>
    </w:p>
    <w:p w14:paraId="4BC395A5">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2.13合同价款：根据合同规定，乙方在正确地履行合同义务后甲方应支付乙方的价款。</w:t>
      </w:r>
    </w:p>
    <w:p w14:paraId="077D1FE1">
      <w:pPr>
        <w:spacing w:line="360" w:lineRule="auto"/>
        <w:ind w:left="307" w:hanging="30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2.14不可抗力：不能预见、不能避免并且不能克服的客观情况。</w:t>
      </w:r>
    </w:p>
    <w:p w14:paraId="01DBC4D0">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2.15实质性响应：满足有关本次采购标的、数量、质量、价款或者报酬、履行期限、履行地点和方式、违约责任和解决争议方法等要求。</w:t>
      </w:r>
    </w:p>
    <w:p w14:paraId="0676F80D">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2.16书面形式：指书面文字、合同书、信件和传真等可以有形地表现所载内容的形式。</w:t>
      </w:r>
    </w:p>
    <w:p w14:paraId="43491312">
      <w:pPr>
        <w:spacing w:line="360" w:lineRule="auto"/>
        <w:ind w:left="307" w:hanging="30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2.17进口产品：</w:t>
      </w:r>
      <w:r>
        <w:rPr>
          <w:rFonts w:hint="eastAsia" w:ascii="宋体" w:hAnsi="宋体"/>
          <w:color w:val="000000" w:themeColor="text1"/>
          <w:sz w:val="24"/>
          <w:highlight w:val="none"/>
          <w:lang w:eastAsia="zh-CN"/>
          <w14:textFill>
            <w14:solidFill>
              <w14:schemeClr w14:val="tx1"/>
            </w14:solidFill>
          </w14:textFill>
        </w:rPr>
        <w:t>指</w:t>
      </w:r>
      <w:r>
        <w:rPr>
          <w:rFonts w:hint="eastAsia" w:ascii="宋体" w:hAnsi="宋体"/>
          <w:color w:val="000000" w:themeColor="text1"/>
          <w:sz w:val="24"/>
          <w:highlight w:val="none"/>
          <w14:textFill>
            <w14:solidFill>
              <w14:schemeClr w14:val="tx1"/>
            </w14:solidFill>
          </w14:textFill>
        </w:rPr>
        <w:t>通过中国海关报关验放进入中国境内且产自关境外的产品。</w:t>
      </w:r>
    </w:p>
    <w:p w14:paraId="04FBB887">
      <w:pPr>
        <w:spacing w:line="360" w:lineRule="auto"/>
        <w:ind w:left="307" w:hanging="30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二、投标人</w:t>
      </w:r>
    </w:p>
    <w:p w14:paraId="2DC6EF8D">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3.合格投标人的资格条件：</w:t>
      </w:r>
    </w:p>
    <w:p w14:paraId="1F887B41">
      <w:pPr>
        <w:pStyle w:val="37"/>
        <w:spacing w:before="0" w:after="0" w:line="360" w:lineRule="auto"/>
        <w:ind w:left="0" w:firstLine="0"/>
        <w:rPr>
          <w:rFonts w:hint="eastAsia" w:ascii="宋体" w:hAnsi="宋体" w:eastAsia="宋体" w:cs="Times New Roman"/>
          <w:color w:val="000000" w:themeColor="text1"/>
          <w:sz w:val="24"/>
          <w:szCs w:val="22"/>
          <w:highlight w:val="none"/>
          <w:lang w:val="en-US" w:eastAsia="zh-CN" w:bidi="ar-SA"/>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hint="eastAsia" w:ascii="宋体" w:hAnsi="宋体" w:eastAsia="宋体" w:cs="Times New Roman"/>
          <w:color w:val="000000" w:themeColor="text1"/>
          <w:sz w:val="24"/>
          <w:szCs w:val="22"/>
          <w:highlight w:val="none"/>
          <w:lang w:val="en-US" w:eastAsia="zh-CN" w:bidi="ar-SA"/>
          <w14:textFill>
            <w14:solidFill>
              <w14:schemeClr w14:val="tx1"/>
            </w14:solidFill>
          </w14:textFill>
        </w:rPr>
        <w:t>满足《中华人民共和国政府采购法》第二十二条规定，投标人应当具备下列条件：</w:t>
      </w:r>
    </w:p>
    <w:p w14:paraId="41971F48">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3.1.1</w:t>
      </w:r>
      <w:r>
        <w:rPr>
          <w:rFonts w:hint="eastAsia" w:ascii="宋体" w:hAnsi="宋体"/>
          <w:color w:val="000000" w:themeColor="text1"/>
          <w:sz w:val="24"/>
          <w:highlight w:val="none"/>
          <w14:textFill>
            <w14:solidFill>
              <w14:schemeClr w14:val="tx1"/>
            </w14:solidFill>
          </w14:textFill>
        </w:rPr>
        <w:t>具有独立承担民事责任的能力。</w:t>
      </w:r>
    </w:p>
    <w:p w14:paraId="1383C8F0">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2具有良好的商业信誉和健全的财务会计制度。</w:t>
      </w:r>
    </w:p>
    <w:p w14:paraId="2F6663CE">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3具有履行合同所必需的设备和专业技术能力。</w:t>
      </w:r>
    </w:p>
    <w:p w14:paraId="735DB832">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4有依法缴纳税收和社会保障资金的良好记录。</w:t>
      </w:r>
    </w:p>
    <w:p w14:paraId="663736B3">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5参加政府采购活动前三年内，在经营活动中没有重大违法记录。</w:t>
      </w:r>
    </w:p>
    <w:p w14:paraId="2C59C73E">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6法律、行政法规规定的其他条件。</w:t>
      </w:r>
    </w:p>
    <w:p w14:paraId="55C09817">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3.2</w:t>
      </w:r>
      <w:r>
        <w:rPr>
          <w:rFonts w:hint="eastAsia" w:ascii="宋体" w:hAnsi="宋体"/>
          <w:color w:val="000000" w:themeColor="text1"/>
          <w:sz w:val="24"/>
          <w:highlight w:val="none"/>
          <w14:textFill>
            <w14:solidFill>
              <w14:schemeClr w14:val="tx1"/>
            </w14:solidFill>
          </w14:textFill>
        </w:rPr>
        <w:t>落实政府采购政策需满足的资格要求：本项目专门面向中小企业采购，投标人必须提供《中小企业声明函》或《残疾人福利性单位声明函》或由省级以上监狱管理局、戒毒管理局（含新疆生产建设兵团）出具的属于监狱企业的证明文件。</w:t>
      </w:r>
    </w:p>
    <w:p w14:paraId="067F7051">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3.3本项目的特定资格要求：</w:t>
      </w:r>
    </w:p>
    <w:p w14:paraId="40A05DDF">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3.3.1</w:t>
      </w:r>
      <w:r>
        <w:rPr>
          <w:rFonts w:ascii="宋体" w:hAnsi="宋体" w:cs="宋体"/>
          <w:color w:val="000000" w:themeColor="text1"/>
          <w:sz w:val="24"/>
          <w:szCs w:val="24"/>
          <w:highlight w:val="none"/>
          <w14:textFill>
            <w14:solidFill>
              <w14:schemeClr w14:val="tx1"/>
            </w14:solidFill>
          </w14:textFill>
        </w:rPr>
        <w:t>未被“信用中国”网站（www.creditchina.gov.cn）列入失信被执行人、重大税收违法案件当事人名单、政府采购严重失信行为记录名单。</w:t>
      </w:r>
    </w:p>
    <w:p w14:paraId="567060FC">
      <w:pPr>
        <w:spacing w:line="360" w:lineRule="auto"/>
        <w:jc w:val="left"/>
        <w:rPr>
          <w:rFonts w:hint="eastAsia"/>
          <w:color w:val="000000" w:themeColor="text1"/>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3.3.2</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单位负责人为同一人或者存在直接控股、管理关系的不同供应商（包含法定代表人为同一个人的两个及两个以上法人，母公司、全资子公司及其控股公司），不得参加同一合同项下的政府采购活动。</w:t>
      </w:r>
    </w:p>
    <w:p w14:paraId="2C0144C5">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投标人必须通过网上报名系统进行本项目的网上电子报名，否则不能参加本次招标活动。</w:t>
      </w:r>
    </w:p>
    <w:p w14:paraId="0C00D3EF">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5.投标人代表</w:t>
      </w:r>
    </w:p>
    <w:p w14:paraId="51F868EA">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5.1指授权全权代表投标人参加投标活动并签署投标文件的人，如果投标人代表不是法定代表人，须持有《法人授权委托书》（详见统一格式）。</w:t>
      </w:r>
    </w:p>
    <w:p w14:paraId="6ED0D600">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6.投标费用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无论投标过程的做法和结果如何，投标人自行承担所有与参加投标有关的全部费用。</w:t>
      </w:r>
    </w:p>
    <w:p w14:paraId="4154475E">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联合、进口投标及转包、分包</w:t>
      </w:r>
    </w:p>
    <w:p w14:paraId="59A30C18">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.1本项目不接受联合体投标。</w:t>
      </w:r>
    </w:p>
    <w:p w14:paraId="049958CE">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.2本项目不接受转包、分包。</w:t>
      </w:r>
    </w:p>
    <w:p w14:paraId="2EEBC6D0">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.3本项目不接受进口产品。</w:t>
      </w:r>
    </w:p>
    <w:p w14:paraId="4A0A87EF">
      <w:pPr>
        <w:spacing w:line="360" w:lineRule="auto"/>
        <w:outlineLvl w:val="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三、招标文件的说明</w:t>
      </w:r>
    </w:p>
    <w:p w14:paraId="071769DF">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8.招标文件</w:t>
      </w:r>
    </w:p>
    <w:p w14:paraId="66266B48">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招标文件由招标文件目录所列内容组成，投标人获取招标文件后，应仔细检查招标文件的所有内容。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3F33F5AF">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8.2招标文件及其补充通知（包括更正公告）不是直接从指定的政府采购信息发布媒体上下载获得的，采购人或采购代理机构对招标文件及其补遗的真实性、完整性不承担任何责任。</w:t>
      </w:r>
    </w:p>
    <w:p w14:paraId="2A528BF5">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9.采购文件的澄清、修改</w:t>
      </w:r>
    </w:p>
    <w:p w14:paraId="568BD21B">
      <w:pPr>
        <w:pStyle w:val="13"/>
        <w:spacing w:line="360" w:lineRule="auto"/>
        <w:ind w:left="0" w:firstLine="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9.1采购人或采购代理机构无论出于自己的考虑，还是出于对投标人提问的澄清，均可对已发出的采购文件进行必要澄清或者修改，并发布澄清（修改）公告。</w:t>
      </w:r>
    </w:p>
    <w:p w14:paraId="78002E8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9.2为使投标人有足够的时间按采购文件的修改要求考虑修正投标文件，或出于其他原因，采购代理机构有权推迟投标截止日期和开标日期。</w:t>
      </w:r>
    </w:p>
    <w:p w14:paraId="321DB842">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采购代理机构对采购文件的澄清或者修改，将以补充通知的形式在网上发布公告；供应商应及时关注政府采购信息发布媒体上发布的更正（补充）公告，同时在“苏采云”系统中下载更正（补充）资料，如有遗漏（包括但不限于文件未下载或下载不完整），可能无法解密投标文件，由此所造成的投标失败或损失由供应商自行负责</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补充通知（包括更正公告）将作为招标文件的组成部分，对所有投标人有约束力。</w:t>
      </w:r>
    </w:p>
    <w:p w14:paraId="043554A3">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10.勘察现场</w:t>
      </w:r>
      <w:r>
        <w:rPr>
          <w:rFonts w:hint="eastAsia" w:ascii="宋体" w:hAnsi="宋体" w:cs="宋体"/>
          <w:bCs/>
          <w:color w:val="000000" w:themeColor="text1"/>
          <w:sz w:val="24"/>
          <w:highlight w:val="none"/>
          <w14:textFill>
            <w14:solidFill>
              <w14:schemeClr w14:val="tx1"/>
            </w14:solidFill>
          </w14:textFill>
        </w:rPr>
        <w:t>（不涉及此条的忽略）</w:t>
      </w:r>
      <w:r>
        <w:rPr>
          <w:rFonts w:hint="eastAsia" w:ascii="宋体" w:hAnsi="宋体"/>
          <w:color w:val="000000" w:themeColor="text1"/>
          <w:sz w:val="24"/>
          <w:highlight w:val="none"/>
          <w14:textFill>
            <w14:solidFill>
              <w14:schemeClr w14:val="tx1"/>
            </w14:solidFill>
          </w14:textFill>
        </w:rPr>
        <w:t>：</w:t>
      </w:r>
    </w:p>
    <w:p w14:paraId="2F2E6B6E">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10.1根据自身投标需要，投标人可对有关现场和周围环境进行勘察，以获取编制投标文件和签署合同所需的信息。勘察现场所发生的费用由投标人自己承担。</w:t>
      </w:r>
    </w:p>
    <w:p w14:paraId="1D2FC934">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10.2采购人或采购代理机构向投标人提供的有关现场的资料和数据，是采购人或采购代理机构现有的并认为能使投标人可利用的资料。采购人或采购代理机构对投标人由此而做出的推论、理解和结论概不负责。</w:t>
      </w:r>
    </w:p>
    <w:p w14:paraId="5B7ADAC4">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10.3经采购人允许，投标人可为勘察目的进入采购人的项目现场，但投标人不得因此使采购人承担有关的责任和蒙受损失。投标人应承担勘察现场的责任和风险。</w:t>
      </w:r>
    </w:p>
    <w:p w14:paraId="0041BC83">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10.4投标人应在现场勘察时，熟悉现场及周围交通道路等情况，以获得一切可能影响其投标的直接资料。投标人中标后，不得以不完全了解现场情况为理由而向采购人或采购代理机构提出任何索赔的要求，对此采购人或采购代理机构不承担任何责任并将不作任何答复与考虑。</w:t>
      </w:r>
    </w:p>
    <w:p w14:paraId="68B8F369">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11.质疑</w:t>
      </w:r>
    </w:p>
    <w:p w14:paraId="68CD8BAD">
      <w:pPr>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11.1供应商认为招标文件、采购过程、中标结果使自己的权益受到损害的，可以在知道或者应知其权益受到损害之日起7个工作日内，以书面形式向采购人、采购代理机构提出质</w:t>
      </w:r>
      <w:r>
        <w:rPr>
          <w:rFonts w:hint="eastAsia" w:ascii="宋体" w:hAnsi="宋体" w:cs="宋体"/>
          <w:bCs/>
          <w:color w:val="000000" w:themeColor="text1"/>
          <w:sz w:val="24"/>
          <w:szCs w:val="24"/>
          <w:highlight w:val="none"/>
          <w14:textFill>
            <w14:solidFill>
              <w14:schemeClr w14:val="tx1"/>
            </w14:solidFill>
          </w14:textFill>
        </w:rPr>
        <w:t>疑。招标代理机构应当在收到投标人书面质疑后七个工作日内作出答复。</w:t>
      </w:r>
    </w:p>
    <w:p w14:paraId="7A822954">
      <w:pPr>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11.2根据《政府采购质疑和投诉办法》财政部第94号令第十一条规定，提出质疑的供应商应当是参与所质疑项目采购活动的供应商。因此凡是对采购文件提出质疑的供应商，</w:t>
      </w:r>
      <w:r>
        <w:rPr>
          <w:rFonts w:hint="eastAsia" w:ascii="宋体" w:hAnsi="宋体" w:cs="宋体"/>
          <w:bCs/>
          <w:color w:val="000000" w:themeColor="text1"/>
          <w:sz w:val="24"/>
          <w:szCs w:val="24"/>
          <w:highlight w:val="none"/>
          <w:lang w:eastAsia="zh-CN"/>
          <w14:textFill>
            <w14:solidFill>
              <w14:schemeClr w14:val="tx1"/>
            </w14:solidFill>
          </w14:textFill>
        </w:rPr>
        <w:t>必须</w:t>
      </w:r>
      <w:r>
        <w:rPr>
          <w:rFonts w:hint="eastAsia" w:ascii="宋体" w:hAnsi="宋体" w:cs="宋体"/>
          <w:bCs/>
          <w:color w:val="000000" w:themeColor="text1"/>
          <w:sz w:val="24"/>
          <w:szCs w:val="24"/>
          <w:highlight w:val="none"/>
          <w14:textFill>
            <w14:solidFill>
              <w14:schemeClr w14:val="tx1"/>
            </w14:solidFill>
          </w14:textFill>
        </w:rPr>
        <w:t>依法获取采购文件，并请将符合资格条件的证明材料及网上报名的报名页面材料与质疑函一起递交，否则不予受理。</w:t>
      </w:r>
    </w:p>
    <w:p w14:paraId="3D728182">
      <w:pPr>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11.3本次招标文件要求供应商在法定质疑期内一次性提出针对同一采购程序环节的质疑。</w:t>
      </w:r>
    </w:p>
    <w:p w14:paraId="3E6332E4">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11.4</w:t>
      </w:r>
      <w:r>
        <w:rPr>
          <w:rFonts w:hint="eastAsia" w:ascii="宋体" w:hAnsi="宋体" w:cs="宋体"/>
          <w:color w:val="000000" w:themeColor="text1"/>
          <w:sz w:val="24"/>
          <w:szCs w:val="24"/>
          <w:highlight w:val="none"/>
          <w14:textFill>
            <w14:solidFill>
              <w14:schemeClr w14:val="tx1"/>
            </w14:solidFill>
          </w14:textFill>
        </w:rPr>
        <w:t>供应商提出质疑应当提交质疑函和必要的证明材料。质疑函应当包括下列内容：</w:t>
      </w:r>
    </w:p>
    <w:p w14:paraId="4389C5AF">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11.4.1供应商的姓名或者名称（以</w:t>
      </w:r>
      <w:r>
        <w:rPr>
          <w:rFonts w:hint="eastAsia" w:ascii="宋体" w:hAnsi="宋体" w:cs="宋体"/>
          <w:color w:val="000000" w:themeColor="text1"/>
          <w:sz w:val="24"/>
          <w:szCs w:val="24"/>
          <w:highlight w:val="none"/>
          <w:lang w:eastAsia="zh-CN"/>
          <w14:textFill>
            <w14:solidFill>
              <w14:schemeClr w14:val="tx1"/>
            </w14:solidFill>
          </w14:textFill>
        </w:rPr>
        <w:t>提供的</w:t>
      </w:r>
      <w:r>
        <w:rPr>
          <w:rFonts w:hint="eastAsia" w:ascii="宋体" w:hAnsi="宋体" w:cs="宋体"/>
          <w:color w:val="000000" w:themeColor="text1"/>
          <w:sz w:val="24"/>
          <w:szCs w:val="24"/>
          <w:highlight w:val="none"/>
          <w14:textFill>
            <w14:solidFill>
              <w14:schemeClr w14:val="tx1"/>
            </w14:solidFill>
          </w14:textFill>
        </w:rPr>
        <w:t>营业执照副本复印件为准）、地址、邮编、联系人及联系电话；</w:t>
      </w:r>
    </w:p>
    <w:p w14:paraId="3E466821">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11.4.2质疑项目的名称、编号；</w:t>
      </w:r>
    </w:p>
    <w:p w14:paraId="04D078EC">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11.4.3具体、明确的质疑事项和与质疑事项相关的请求；</w:t>
      </w:r>
    </w:p>
    <w:p w14:paraId="7219B1E1">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11.4.4事实依据；</w:t>
      </w:r>
    </w:p>
    <w:p w14:paraId="437178F5">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11.4.5必要的法律依据；</w:t>
      </w:r>
    </w:p>
    <w:p w14:paraId="6D8583D6">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11.4.6提出质疑的日期。</w:t>
      </w:r>
    </w:p>
    <w:p w14:paraId="29423B2B">
      <w:pPr>
        <w:spacing w:line="36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11.5相关说明</w:t>
      </w:r>
    </w:p>
    <w:p w14:paraId="26E78BC0">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11.5.1</w:t>
      </w:r>
      <w:r>
        <w:rPr>
          <w:rFonts w:hint="eastAsia" w:ascii="宋体" w:hAnsi="宋体" w:cs="宋体"/>
          <w:color w:val="000000" w:themeColor="text1"/>
          <w:sz w:val="24"/>
          <w:szCs w:val="24"/>
          <w:highlight w:val="none"/>
          <w14:textFill>
            <w14:solidFill>
              <w14:schemeClr w14:val="tx1"/>
            </w14:solidFill>
          </w14:textFill>
        </w:rPr>
        <w:t>供应商为自然人的，应当由本人签字；供应商为法人或者其他组织的，应当由法定代表人、主要负责人，或者其授权代表签字或者盖章，并加盖公章。供应商委托代理</w:t>
      </w:r>
      <w:r>
        <w:rPr>
          <w:rFonts w:hint="eastAsia" w:ascii="宋体" w:hAnsi="宋体" w:cs="宋体"/>
          <w:color w:val="000000" w:themeColor="text1"/>
          <w:sz w:val="24"/>
          <w:szCs w:val="24"/>
          <w:highlight w:val="none"/>
          <w:lang w:eastAsia="zh-CN"/>
          <w14:textFill>
            <w14:solidFill>
              <w14:schemeClr w14:val="tx1"/>
            </w14:solidFill>
          </w14:textFill>
        </w:rPr>
        <w:t>人</w:t>
      </w:r>
      <w:r>
        <w:rPr>
          <w:rFonts w:hint="eastAsia" w:ascii="宋体" w:hAnsi="宋体" w:cs="宋体"/>
          <w:color w:val="000000" w:themeColor="text1"/>
          <w:sz w:val="24"/>
          <w:szCs w:val="24"/>
          <w:highlight w:val="none"/>
          <w14:textFill>
            <w14:solidFill>
              <w14:schemeClr w14:val="tx1"/>
            </w14:solidFill>
          </w14:textFill>
        </w:rPr>
        <w:t>进行质疑的，其授权委托书上应当载明代理人的姓名或者名称、代理事项、具体权限、期限和相关事项</w:t>
      </w:r>
      <w:r>
        <w:rPr>
          <w:rFonts w:hint="eastAsia" w:ascii="宋体" w:hAnsi="宋体"/>
          <w:color w:val="000000" w:themeColor="text1"/>
          <w:sz w:val="24"/>
          <w:highlight w:val="none"/>
          <w14:textFill>
            <w14:solidFill>
              <w14:schemeClr w14:val="tx1"/>
            </w14:solidFill>
          </w14:textFill>
        </w:rPr>
        <w:t>。</w:t>
      </w:r>
    </w:p>
    <w:p w14:paraId="59366907">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11.5.2</w:t>
      </w:r>
      <w:r>
        <w:rPr>
          <w:rFonts w:hint="eastAsia" w:ascii="宋体" w:hAnsi="宋体" w:cs="宋体"/>
          <w:color w:val="000000" w:themeColor="text1"/>
          <w:sz w:val="24"/>
          <w:szCs w:val="24"/>
          <w:highlight w:val="none"/>
          <w14:textFill>
            <w14:solidFill>
              <w14:schemeClr w14:val="tx1"/>
            </w14:solidFill>
          </w14:textFill>
        </w:rPr>
        <w:t>供应商提交的质疑函必须按照《政府采购供应商质疑函范本》要求的格式和内容进行填写，质疑函范本下载网址详见链接：https://czju.suzhou.gov.cn/zfcg/html/content/20180305093615738.shtml。</w:t>
      </w:r>
    </w:p>
    <w:p w14:paraId="54FD7467">
      <w:pPr>
        <w:spacing w:line="360" w:lineRule="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11.5.3接收质疑函方式：书面形式（现场送达或邮寄）</w:t>
      </w:r>
    </w:p>
    <w:p w14:paraId="751C55DD">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w:t>
      </w:r>
      <w:r>
        <w:rPr>
          <w:rFonts w:hint="eastAsia" w:ascii="宋体" w:hAnsi="宋体"/>
          <w:color w:val="000000" w:themeColor="text1"/>
          <w:sz w:val="24"/>
          <w:highlight w:val="none"/>
          <w:lang w:eastAsia="zh-CN"/>
          <w14:textFill>
            <w14:solidFill>
              <w14:schemeClr w14:val="tx1"/>
            </w14:solidFill>
          </w14:textFill>
        </w:rPr>
        <w:t>址（现场递交、邮寄收取）</w:t>
      </w:r>
      <w:r>
        <w:rPr>
          <w:rFonts w:hint="eastAsia" w:ascii="宋体" w:hAnsi="宋体"/>
          <w:color w:val="000000" w:themeColor="text1"/>
          <w:sz w:val="24"/>
          <w:highlight w:val="none"/>
          <w14:textFill>
            <w14:solidFill>
              <w14:schemeClr w14:val="tx1"/>
            </w14:solidFill>
          </w14:textFill>
        </w:rPr>
        <w:t>：苏州市滨河路锦和越界X2创意街区3B 512室；</w:t>
      </w:r>
    </w:p>
    <w:p w14:paraId="66E8E360">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联系人</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szCs w:val="24"/>
          <w:highlight w:val="none"/>
          <w:lang w:eastAsia="zh-CN"/>
          <w14:textFill>
            <w14:solidFill>
              <w14:schemeClr w14:val="tx1"/>
            </w14:solidFill>
          </w14:textFill>
        </w:rPr>
        <w:t>姚佳雯</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0512-65274327</w:t>
      </w:r>
    </w:p>
    <w:p w14:paraId="29BC97FE">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四、投标文件说明</w:t>
      </w:r>
    </w:p>
    <w:p w14:paraId="223BF823">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12.提示与要求</w:t>
      </w:r>
    </w:p>
    <w:p w14:paraId="35A84BA8">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12.1投标人应仔细阅读招标文件的所有内容，</w:t>
      </w:r>
      <w:r>
        <w:rPr>
          <w:rFonts w:hint="eastAsia" w:ascii="宋体" w:hAnsi="宋体" w:cs="宋体"/>
          <w:color w:val="000000" w:themeColor="text1"/>
          <w:sz w:val="24"/>
          <w:szCs w:val="24"/>
          <w:highlight w:val="none"/>
          <w:lang w:eastAsia="zh-CN"/>
          <w14:textFill>
            <w14:solidFill>
              <w14:schemeClr w14:val="tx1"/>
            </w14:solidFill>
          </w14:textFill>
        </w:rPr>
        <w:t>应当</w:t>
      </w:r>
      <w:r>
        <w:rPr>
          <w:rFonts w:hint="eastAsia" w:ascii="宋体" w:hAnsi="宋体" w:cs="宋体"/>
          <w:color w:val="000000" w:themeColor="text1"/>
          <w:sz w:val="24"/>
          <w:szCs w:val="24"/>
          <w:highlight w:val="none"/>
          <w14:textFill>
            <w14:solidFill>
              <w14:schemeClr w14:val="tx1"/>
            </w14:solidFill>
          </w14:textFill>
        </w:rPr>
        <w:t>按</w:t>
      </w:r>
      <w:r>
        <w:rPr>
          <w:rFonts w:hint="eastAsia" w:ascii="宋体" w:hAnsi="宋体" w:cs="宋体"/>
          <w:color w:val="000000" w:themeColor="text1"/>
          <w:sz w:val="24"/>
          <w:szCs w:val="24"/>
          <w:highlight w:val="none"/>
          <w:lang w:eastAsia="zh-CN"/>
          <w14:textFill>
            <w14:solidFill>
              <w14:schemeClr w14:val="tx1"/>
            </w14:solidFill>
          </w14:textFill>
        </w:rPr>
        <w:t>照</w:t>
      </w:r>
      <w:r>
        <w:rPr>
          <w:rFonts w:hint="eastAsia" w:ascii="宋体" w:hAnsi="宋体" w:cs="宋体"/>
          <w:color w:val="000000" w:themeColor="text1"/>
          <w:sz w:val="24"/>
          <w:szCs w:val="24"/>
          <w:highlight w:val="none"/>
          <w14:textFill>
            <w14:solidFill>
              <w14:schemeClr w14:val="tx1"/>
            </w14:solidFill>
          </w14:textFill>
        </w:rPr>
        <w:t>招标文件的要求</w:t>
      </w:r>
      <w:r>
        <w:rPr>
          <w:rFonts w:hint="eastAsia" w:ascii="宋体" w:hAnsi="宋体" w:cs="宋体"/>
          <w:color w:val="000000" w:themeColor="text1"/>
          <w:sz w:val="24"/>
          <w:szCs w:val="24"/>
          <w:highlight w:val="none"/>
          <w:lang w:eastAsia="zh-CN"/>
          <w14:textFill>
            <w14:solidFill>
              <w14:schemeClr w14:val="tx1"/>
            </w14:solidFill>
          </w14:textFill>
        </w:rPr>
        <w:t>编制</w:t>
      </w:r>
      <w:r>
        <w:rPr>
          <w:rFonts w:hint="eastAsia" w:ascii="宋体" w:hAnsi="宋体" w:cs="宋体"/>
          <w:color w:val="000000" w:themeColor="text1"/>
          <w:sz w:val="24"/>
          <w:szCs w:val="24"/>
          <w:highlight w:val="none"/>
          <w14:textFill>
            <w14:solidFill>
              <w14:schemeClr w14:val="tx1"/>
            </w14:solidFill>
          </w14:textFill>
        </w:rPr>
        <w:t>投标文件，并保证所提供的全部资料的真实性，以使其投标对招标文件作出实质性响应，否则，其投标可能被拒绝。</w:t>
      </w:r>
    </w:p>
    <w:p w14:paraId="6C69DC58">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12.2无论是否提交并递交投标文件，投标人都应将招标文件及以后的所有通知、文件等视为保密文件。</w:t>
      </w:r>
    </w:p>
    <w:p w14:paraId="1101EDF4">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12.3投标文件中所使用的计量单位，除招标文件中有特殊要求外，应采用中华人民共和国法定计量单位。</w:t>
      </w:r>
    </w:p>
    <w:p w14:paraId="5F35CEBF">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12.4投标文件应使用中文编制，投标文件中必须使用其他文字的，必须附有中文译本。对于未附有中文译本和中文译本不准确的投标文件，由此引起的对投标人不利后果的，招标代理机构概不负责。</w:t>
      </w:r>
    </w:p>
    <w:p w14:paraId="009D4F4D">
      <w:pPr>
        <w:numPr>
          <w:ilvl w:val="0"/>
          <w:numId w:val="0"/>
        </w:numPr>
        <w:spacing w:line="360" w:lineRule="auto"/>
        <w:rPr>
          <w:rFonts w:hint="eastAsia" w:ascii="宋体" w:hAnsi="宋体" w:cs="宋体"/>
          <w:b/>
          <w:bCs/>
          <w:color w:val="000000" w:themeColor="text1"/>
          <w:sz w:val="24"/>
          <w:szCs w:val="20"/>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13.</w:t>
      </w:r>
      <w:r>
        <w:rPr>
          <w:rFonts w:hint="eastAsia" w:ascii="宋体" w:hAnsi="宋体"/>
          <w:b/>
          <w:bCs/>
          <w:color w:val="000000" w:themeColor="text1"/>
          <w:sz w:val="24"/>
          <w:highlight w:val="none"/>
          <w14:textFill>
            <w14:solidFill>
              <w14:schemeClr w14:val="tx1"/>
            </w14:solidFill>
          </w14:textFill>
        </w:rPr>
        <w:t>投标文件的组成（部分格式见第三章）</w:t>
      </w:r>
      <w:r>
        <w:rPr>
          <w:rFonts w:hint="eastAsia" w:ascii="宋体" w:hAnsi="宋体" w:cs="宋体"/>
          <w:b/>
          <w:bCs/>
          <w:color w:val="000000"/>
          <w:sz w:val="24"/>
          <w:szCs w:val="20"/>
          <w:highlight w:val="none"/>
        </w:rPr>
        <w:t>【所提交资料包含但不限于下列内容；排序按照苏采云系统顺序】</w:t>
      </w:r>
    </w:p>
    <w:p w14:paraId="489B8D9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13</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封面；</w:t>
      </w:r>
    </w:p>
    <w:p w14:paraId="5136925C">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开标一览表（按投标系统内统一格式）；</w:t>
      </w:r>
    </w:p>
    <w:p w14:paraId="0CAD3462">
      <w:pPr>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公开分项报价</w:t>
      </w:r>
      <w:r>
        <w:rPr>
          <w:rFonts w:hint="eastAsia" w:ascii="宋体" w:hAnsi="宋体"/>
          <w:color w:val="000000" w:themeColor="text1"/>
          <w:sz w:val="24"/>
          <w:highlight w:val="none"/>
          <w14:textFill>
            <w14:solidFill>
              <w14:schemeClr w14:val="tx1"/>
            </w14:solidFill>
          </w14:textFill>
        </w:rPr>
        <w:t>表</w:t>
      </w:r>
      <w:r>
        <w:rPr>
          <w:rFonts w:hint="eastAsia" w:ascii="宋体" w:hAnsi="宋体"/>
          <w:color w:val="000000" w:themeColor="text1"/>
          <w:sz w:val="24"/>
          <w:highlight w:val="none"/>
          <w:lang w:eastAsia="zh-CN"/>
          <w14:textFill>
            <w14:solidFill>
              <w14:schemeClr w14:val="tx1"/>
            </w14:solidFill>
          </w14:textFill>
        </w:rPr>
        <w:t>。</w:t>
      </w:r>
    </w:p>
    <w:p w14:paraId="77BC7720">
      <w:pPr>
        <w:spacing w:line="360" w:lineRule="auto"/>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rPr>
        <w:t>13.</w:t>
      </w:r>
      <w:r>
        <w:rPr>
          <w:rFonts w:hint="eastAsia" w:ascii="宋体" w:hAnsi="宋体" w:cs="宋体"/>
          <w:b/>
          <w:bCs/>
          <w:color w:val="000000"/>
          <w:sz w:val="24"/>
          <w:szCs w:val="24"/>
          <w:highlight w:val="none"/>
          <w:lang w:val="en-US" w:eastAsia="zh-CN"/>
        </w:rPr>
        <w:t>4</w:t>
      </w:r>
      <w:r>
        <w:rPr>
          <w:rFonts w:hint="eastAsia" w:ascii="宋体" w:hAnsi="宋体" w:cs="宋体"/>
          <w:b/>
          <w:bCs/>
          <w:color w:val="000000"/>
          <w:sz w:val="24"/>
          <w:szCs w:val="24"/>
          <w:highlight w:val="none"/>
        </w:rPr>
        <w:t>资格</w:t>
      </w:r>
      <w:r>
        <w:rPr>
          <w:rFonts w:hint="eastAsia" w:ascii="宋体" w:hAnsi="宋体" w:cs="宋体"/>
          <w:b/>
          <w:bCs/>
          <w:color w:val="000000"/>
          <w:sz w:val="24"/>
          <w:szCs w:val="24"/>
          <w:highlight w:val="none"/>
          <w:lang w:eastAsia="zh-CN"/>
        </w:rPr>
        <w:t>审查文件</w:t>
      </w:r>
    </w:p>
    <w:p w14:paraId="75806A3B">
      <w:pPr>
        <w:spacing w:line="360" w:lineRule="auto"/>
        <w:rPr>
          <w:rFonts w:hint="eastAsia" w:ascii="宋体" w:hAnsi="宋体" w:cs="宋体"/>
          <w:color w:val="000000"/>
          <w:sz w:val="24"/>
          <w:szCs w:val="24"/>
          <w:highlight w:val="none"/>
        </w:rPr>
      </w:pPr>
      <w:r>
        <w:rPr>
          <w:rFonts w:hint="eastAsia" w:ascii="宋体" w:hAnsi="宋体"/>
          <w:color w:val="000000"/>
          <w:sz w:val="24"/>
          <w:highlight w:val="none"/>
        </w:rPr>
        <w:t>13.</w:t>
      </w:r>
      <w:r>
        <w:rPr>
          <w:rFonts w:hint="eastAsia" w:ascii="宋体" w:hAnsi="宋体"/>
          <w:color w:val="000000"/>
          <w:sz w:val="24"/>
          <w:highlight w:val="none"/>
          <w:lang w:val="en-US" w:eastAsia="zh-CN"/>
        </w:rPr>
        <w:t>4</w:t>
      </w:r>
      <w:r>
        <w:rPr>
          <w:rFonts w:hint="eastAsia" w:ascii="宋体" w:hAnsi="宋体"/>
          <w:color w:val="000000"/>
          <w:sz w:val="24"/>
          <w:highlight w:val="none"/>
        </w:rPr>
        <w:t>.</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关于资格文件的声明函</w:t>
      </w:r>
      <w:r>
        <w:rPr>
          <w:rFonts w:hint="eastAsia" w:ascii="宋体" w:hAnsi="宋体" w:cs="宋体"/>
          <w:color w:val="auto"/>
          <w:sz w:val="24"/>
          <w:szCs w:val="24"/>
          <w:highlight w:val="none"/>
        </w:rPr>
        <w:t>（格式见第三章）</w:t>
      </w:r>
      <w:r>
        <w:rPr>
          <w:rFonts w:hint="eastAsia" w:ascii="宋体" w:hAnsi="宋体" w:cs="宋体"/>
          <w:color w:val="000000"/>
          <w:sz w:val="24"/>
          <w:szCs w:val="24"/>
          <w:highlight w:val="none"/>
        </w:rPr>
        <w:t>；</w:t>
      </w:r>
    </w:p>
    <w:p w14:paraId="696112EE">
      <w:pPr>
        <w:tabs>
          <w:tab w:val="left" w:pos="9000"/>
        </w:tabs>
        <w:spacing w:line="360" w:lineRule="auto"/>
        <w:rPr>
          <w:rFonts w:hint="eastAsia" w:ascii="宋体" w:hAnsi="宋体" w:cs="宋体"/>
          <w:color w:val="000000"/>
          <w:sz w:val="24"/>
          <w:szCs w:val="24"/>
          <w:highlight w:val="none"/>
        </w:rPr>
      </w:pPr>
      <w:r>
        <w:rPr>
          <w:rFonts w:hint="eastAsia" w:ascii="宋体" w:hAnsi="宋体"/>
          <w:color w:val="000000"/>
          <w:sz w:val="24"/>
          <w:highlight w:val="none"/>
        </w:rPr>
        <w:t>13.</w:t>
      </w:r>
      <w:r>
        <w:rPr>
          <w:rFonts w:hint="eastAsia" w:ascii="宋体" w:hAnsi="宋体"/>
          <w:color w:val="000000"/>
          <w:sz w:val="24"/>
          <w:highlight w:val="none"/>
          <w:lang w:val="en-US" w:eastAsia="zh-CN"/>
        </w:rPr>
        <w:t>4</w:t>
      </w:r>
      <w:r>
        <w:rPr>
          <w:rFonts w:hint="eastAsia" w:ascii="宋体" w:hAnsi="宋体"/>
          <w:color w:val="000000"/>
          <w:sz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投标单位情况表；</w:t>
      </w:r>
    </w:p>
    <w:p w14:paraId="244C938B">
      <w:pPr>
        <w:tabs>
          <w:tab w:val="left" w:pos="9000"/>
        </w:tabs>
        <w:spacing w:line="360" w:lineRule="auto"/>
        <w:rPr>
          <w:rFonts w:hint="eastAsia" w:ascii="宋体" w:hAnsi="宋体" w:cs="宋体"/>
          <w:color w:val="000000"/>
          <w:sz w:val="24"/>
          <w:szCs w:val="24"/>
          <w:highlight w:val="none"/>
        </w:rPr>
      </w:pPr>
      <w:r>
        <w:rPr>
          <w:rFonts w:hint="eastAsia" w:ascii="宋体" w:hAnsi="宋体"/>
          <w:color w:val="000000"/>
          <w:sz w:val="24"/>
          <w:highlight w:val="none"/>
        </w:rPr>
        <w:t>13.</w:t>
      </w:r>
      <w:r>
        <w:rPr>
          <w:rFonts w:hint="eastAsia" w:ascii="宋体" w:hAnsi="宋体"/>
          <w:color w:val="000000"/>
          <w:sz w:val="24"/>
          <w:highlight w:val="none"/>
          <w:lang w:val="en-US" w:eastAsia="zh-CN"/>
        </w:rPr>
        <w:t>4</w:t>
      </w:r>
      <w:r>
        <w:rPr>
          <w:rFonts w:hint="eastAsia" w:ascii="宋体" w:hAnsi="宋体"/>
          <w:color w:val="000000"/>
          <w:sz w:val="24"/>
          <w:highlight w:val="none"/>
        </w:rPr>
        <w:t>.</w:t>
      </w:r>
      <w:r>
        <w:rPr>
          <w:rFonts w:hint="eastAsia" w:ascii="宋体" w:hAnsi="宋体"/>
          <w:color w:val="000000"/>
          <w:sz w:val="24"/>
          <w:highlight w:val="none"/>
          <w:lang w:val="en-US" w:eastAsia="zh-CN"/>
        </w:rPr>
        <w:t>3</w:t>
      </w:r>
      <w:r>
        <w:rPr>
          <w:rFonts w:hint="eastAsia" w:ascii="宋体" w:hAnsi="宋体" w:cs="宋体"/>
          <w:color w:val="000000"/>
          <w:sz w:val="24"/>
          <w:szCs w:val="24"/>
          <w:highlight w:val="none"/>
        </w:rPr>
        <w:t>投标人法定代表人身份证复印件；</w:t>
      </w:r>
    </w:p>
    <w:p w14:paraId="1842666B">
      <w:pPr>
        <w:tabs>
          <w:tab w:val="left" w:pos="851"/>
          <w:tab w:val="left" w:pos="9000"/>
        </w:tabs>
        <w:spacing w:line="360" w:lineRule="auto"/>
        <w:rPr>
          <w:rFonts w:hint="eastAsia" w:ascii="宋体" w:hAnsi="宋体" w:cs="宋体"/>
          <w:color w:val="000000"/>
          <w:sz w:val="24"/>
          <w:szCs w:val="24"/>
          <w:highlight w:val="none"/>
        </w:rPr>
      </w:pPr>
      <w:r>
        <w:rPr>
          <w:rFonts w:hint="eastAsia" w:ascii="宋体" w:hAnsi="宋体"/>
          <w:color w:val="000000"/>
          <w:sz w:val="24"/>
          <w:highlight w:val="none"/>
        </w:rPr>
        <w:t>13.</w:t>
      </w:r>
      <w:r>
        <w:rPr>
          <w:rFonts w:hint="eastAsia" w:ascii="宋体" w:hAnsi="宋体"/>
          <w:color w:val="000000"/>
          <w:sz w:val="24"/>
          <w:highlight w:val="none"/>
          <w:lang w:val="en-US" w:eastAsia="zh-CN"/>
        </w:rPr>
        <w:t>4</w:t>
      </w:r>
      <w:r>
        <w:rPr>
          <w:rFonts w:hint="eastAsia" w:ascii="宋体" w:hAnsi="宋体"/>
          <w:color w:val="000000"/>
          <w:sz w:val="24"/>
          <w:highlight w:val="none"/>
        </w:rPr>
        <w:t>.</w:t>
      </w:r>
      <w:r>
        <w:rPr>
          <w:rFonts w:hint="eastAsia" w:ascii="宋体" w:hAnsi="宋体"/>
          <w:color w:val="000000"/>
          <w:sz w:val="24"/>
          <w:highlight w:val="none"/>
          <w:lang w:val="en-US" w:eastAsia="zh-CN"/>
        </w:rPr>
        <w:t>4</w:t>
      </w:r>
      <w:r>
        <w:rPr>
          <w:rFonts w:hint="eastAsia" w:ascii="宋体" w:hAnsi="宋体" w:cs="宋体"/>
          <w:color w:val="000000"/>
          <w:sz w:val="24"/>
          <w:szCs w:val="24"/>
          <w:highlight w:val="none"/>
        </w:rPr>
        <w:t>投标人法人授权委托书及委托代理人身份证复印件（如有授权）；</w:t>
      </w:r>
    </w:p>
    <w:p w14:paraId="4EEA0320">
      <w:pPr>
        <w:tabs>
          <w:tab w:val="left" w:pos="851"/>
          <w:tab w:val="left" w:pos="9000"/>
        </w:tabs>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13.</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具有独立承担民事责任的能力证明（包括法人或者其他组织的营业执照等证明文件，自然人的身份证明）；</w:t>
      </w:r>
    </w:p>
    <w:p w14:paraId="59C128CA">
      <w:pPr>
        <w:tabs>
          <w:tab w:val="left" w:pos="851"/>
          <w:tab w:val="left" w:pos="9000"/>
        </w:tabs>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13.</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具有良好的商业信誉和健全的财务会计制度证明（提供最近一期财务报表或银行出具的资信证明）；</w:t>
      </w:r>
    </w:p>
    <w:p w14:paraId="7BDCBFDB">
      <w:pPr>
        <w:tabs>
          <w:tab w:val="left" w:pos="851"/>
          <w:tab w:val="left" w:pos="9000"/>
        </w:tabs>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13.</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依法缴纳税收和社会保障资金的良好记录证明（提供投标文件截止时间前一年内至少一个月依法缴纳税收及缴纳社会保障资金的证明材料，如相关主管部门证明或银行代扣证明；投标人如依法享受缓缴、免缴税收、社会保障资金的应提供相关主管部门出具的证明材料）；</w:t>
      </w:r>
    </w:p>
    <w:p w14:paraId="4BA873C5">
      <w:pPr>
        <w:tabs>
          <w:tab w:val="left" w:pos="851"/>
          <w:tab w:val="left" w:pos="9000"/>
        </w:tabs>
        <w:spacing w:line="360" w:lineRule="auto"/>
        <w:rPr>
          <w:rFonts w:hint="eastAsia" w:ascii="宋体" w:hAnsi="宋体" w:cs="宋体"/>
          <w:color w:val="auto"/>
          <w:sz w:val="24"/>
          <w:szCs w:val="24"/>
          <w:highlight w:val="none"/>
        </w:rPr>
      </w:pPr>
      <w:r>
        <w:rPr>
          <w:rFonts w:hint="eastAsia" w:ascii="宋体" w:hAnsi="宋体" w:cs="宋体"/>
          <w:color w:val="000000"/>
          <w:sz w:val="24"/>
          <w:szCs w:val="24"/>
          <w:highlight w:val="none"/>
        </w:rPr>
        <w:t>13.</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具备履行合同所必需的设备和专业技术能力的证</w:t>
      </w:r>
      <w:r>
        <w:rPr>
          <w:rFonts w:hint="eastAsia" w:ascii="宋体" w:hAnsi="宋体" w:cs="宋体"/>
          <w:color w:val="auto"/>
          <w:sz w:val="24"/>
          <w:szCs w:val="24"/>
          <w:highlight w:val="none"/>
        </w:rPr>
        <w:t>明材料</w:t>
      </w:r>
      <w:r>
        <w:rPr>
          <w:rFonts w:hint="eastAsia" w:ascii="宋体" w:hAnsi="宋体" w:cs="宋体"/>
          <w:color w:val="auto"/>
          <w:sz w:val="24"/>
          <w:szCs w:val="24"/>
          <w:highlight w:val="none"/>
          <w:lang w:eastAsia="zh-CN"/>
        </w:rPr>
        <w:t>或承诺</w:t>
      </w:r>
      <w:r>
        <w:rPr>
          <w:rFonts w:hint="eastAsia" w:ascii="宋体" w:hAnsi="宋体" w:cs="宋体"/>
          <w:color w:val="auto"/>
          <w:sz w:val="24"/>
          <w:szCs w:val="24"/>
          <w:highlight w:val="none"/>
        </w:rPr>
        <w:t>；</w:t>
      </w:r>
    </w:p>
    <w:p w14:paraId="3F179071">
      <w:pPr>
        <w:tabs>
          <w:tab w:val="left" w:pos="851"/>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参加政府采购活动前三年内，在经营活动中没有重大违法记录的书面声明；</w:t>
      </w:r>
    </w:p>
    <w:p w14:paraId="2C189C8B">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10法律、行政法规规定的其他条件；</w:t>
      </w:r>
    </w:p>
    <w:p w14:paraId="1229701A">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13.4.11落实政府采购政策需满足的资格要求：提供</w:t>
      </w:r>
      <w:r>
        <w:rPr>
          <w:rFonts w:hint="eastAsia" w:ascii="宋体" w:hAnsi="宋体" w:cs="宋体"/>
          <w:color w:val="auto"/>
          <w:sz w:val="24"/>
          <w:szCs w:val="24"/>
          <w:highlight w:val="none"/>
        </w:rPr>
        <w:t>《中小企业声明函》或《残疾人福利性单位声明函》或省级以上监狱管理局、戒毒管理局（含新疆生产建设兵团）出具的属于监狱企业的证明文件（如有）</w:t>
      </w:r>
      <w:r>
        <w:rPr>
          <w:rFonts w:hint="eastAsia" w:ascii="宋体" w:hAnsi="宋体" w:cs="宋体"/>
          <w:color w:val="auto"/>
          <w:sz w:val="24"/>
          <w:szCs w:val="24"/>
          <w:highlight w:val="none"/>
          <w:lang w:eastAsia="zh-CN"/>
        </w:rPr>
        <w:t>；</w:t>
      </w:r>
    </w:p>
    <w:p w14:paraId="188C32B7">
      <w:pPr>
        <w:spacing w:line="360" w:lineRule="auto"/>
        <w:rPr>
          <w:rFonts w:hint="eastAsia" w:ascii="宋体" w:hAnsi="宋体" w:cs="黑体"/>
          <w:bCs/>
          <w:color w:val="auto"/>
          <w:sz w:val="24"/>
          <w:highlight w:val="none"/>
          <w:shd w:val="clear" w:color="auto" w:fill="FFFFFF"/>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12未被“</w:t>
      </w:r>
      <w:r>
        <w:rPr>
          <w:rFonts w:hint="eastAsia" w:ascii="宋体" w:hAnsi="宋体" w:cs="黑体"/>
          <w:bCs/>
          <w:color w:val="auto"/>
          <w:sz w:val="24"/>
          <w:highlight w:val="none"/>
          <w:shd w:val="clear" w:color="auto" w:fill="FFFFFF"/>
        </w:rPr>
        <w:t>信用中国</w:t>
      </w:r>
      <w:r>
        <w:rPr>
          <w:rFonts w:hint="eastAsia" w:ascii="宋体" w:hAnsi="宋体" w:cs="黑体"/>
          <w:bCs/>
          <w:color w:val="auto"/>
          <w:sz w:val="24"/>
          <w:highlight w:val="none"/>
          <w:shd w:val="clear" w:color="auto" w:fill="FFFFFF"/>
          <w:lang w:eastAsia="zh-CN"/>
        </w:rPr>
        <w:t>”</w:t>
      </w:r>
      <w:r>
        <w:rPr>
          <w:rFonts w:hint="eastAsia" w:ascii="宋体" w:hAnsi="宋体" w:cs="黑体"/>
          <w:bCs/>
          <w:color w:val="auto"/>
          <w:sz w:val="24"/>
          <w:highlight w:val="none"/>
          <w:shd w:val="clear" w:color="auto" w:fill="FFFFFF"/>
        </w:rPr>
        <w:t>网站（www.creditchina.gov.cn/）</w:t>
      </w:r>
      <w:r>
        <w:rPr>
          <w:rFonts w:hint="eastAsia" w:ascii="宋体" w:hAnsi="宋体" w:cs="黑体"/>
          <w:bCs/>
          <w:color w:val="auto"/>
          <w:sz w:val="24"/>
          <w:highlight w:val="none"/>
          <w:shd w:val="clear" w:color="auto" w:fill="FFFFFF"/>
          <w:lang w:eastAsia="zh-CN"/>
        </w:rPr>
        <w:t>列入失信被执行人、重大税收违法；</w:t>
      </w:r>
    </w:p>
    <w:p w14:paraId="72883132">
      <w:pPr>
        <w:spacing w:line="360" w:lineRule="auto"/>
        <w:rPr>
          <w:rFonts w:hint="default" w:ascii="宋体" w:hAnsi="宋体" w:cs="黑体"/>
          <w:bCs/>
          <w:color w:val="auto"/>
          <w:sz w:val="24"/>
          <w:highlight w:val="none"/>
          <w:shd w:val="clear" w:color="auto" w:fill="FFFFFF"/>
          <w:lang w:val="en-US" w:eastAsia="zh-CN"/>
        </w:rPr>
      </w:pPr>
      <w:r>
        <w:rPr>
          <w:rFonts w:hint="eastAsia" w:ascii="宋体" w:hAnsi="宋体" w:cs="黑体"/>
          <w:bCs/>
          <w:color w:val="auto"/>
          <w:sz w:val="24"/>
          <w:highlight w:val="none"/>
          <w:shd w:val="clear" w:color="auto" w:fill="FFFFFF"/>
          <w:lang w:val="en-US" w:eastAsia="zh-CN"/>
        </w:rPr>
        <w:t>13.4.13其他有关资格证明文件。</w:t>
      </w:r>
    </w:p>
    <w:p w14:paraId="348FB856">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1</w:t>
      </w:r>
      <w:r>
        <w:rPr>
          <w:rFonts w:hint="eastAsia" w:ascii="宋体" w:hAnsi="宋体" w:cs="宋体"/>
          <w:b/>
          <w:bCs/>
          <w:color w:val="000000"/>
          <w:sz w:val="24"/>
          <w:szCs w:val="24"/>
          <w:highlight w:val="none"/>
          <w:lang w:val="en-US" w:eastAsia="zh-CN"/>
        </w:rPr>
        <w:t>3</w:t>
      </w:r>
      <w:r>
        <w:rPr>
          <w:rFonts w:hint="eastAsia" w:ascii="宋体" w:hAnsi="宋体" w:cs="宋体"/>
          <w:b/>
          <w:bCs/>
          <w:color w:val="000000"/>
          <w:sz w:val="24"/>
          <w:szCs w:val="24"/>
          <w:highlight w:val="none"/>
        </w:rPr>
        <w:t>.</w:t>
      </w:r>
      <w:r>
        <w:rPr>
          <w:rFonts w:hint="eastAsia" w:ascii="宋体" w:hAnsi="宋体" w:cs="宋体"/>
          <w:b/>
          <w:bCs/>
          <w:color w:val="000000"/>
          <w:sz w:val="24"/>
          <w:szCs w:val="24"/>
          <w:highlight w:val="none"/>
          <w:lang w:val="en-US" w:eastAsia="zh-CN"/>
        </w:rPr>
        <w:t>5</w:t>
      </w:r>
      <w:r>
        <w:rPr>
          <w:rFonts w:hint="eastAsia" w:ascii="宋体" w:hAnsi="宋体" w:cs="宋体"/>
          <w:b/>
          <w:bCs/>
          <w:color w:val="000000"/>
          <w:sz w:val="24"/>
          <w:szCs w:val="24"/>
          <w:highlight w:val="none"/>
        </w:rPr>
        <w:t>符合性审查文件</w:t>
      </w:r>
    </w:p>
    <w:p w14:paraId="7B2A73BF">
      <w:pPr>
        <w:pStyle w:val="244"/>
        <w:spacing w:after="0" w:line="360" w:lineRule="auto"/>
        <w:ind w:left="0"/>
        <w:rPr>
          <w:rFonts w:hint="eastAsia" w:ascii="宋体" w:hAnsi="宋体" w:cs="宋体"/>
          <w:color w:val="000000"/>
          <w:sz w:val="24"/>
          <w:highlight w:val="none"/>
        </w:rPr>
      </w:pPr>
      <w:r>
        <w:rPr>
          <w:rFonts w:hint="eastAsia" w:ascii="宋体" w:hAnsi="宋体" w:cs="宋体"/>
          <w:color w:val="000000"/>
          <w:sz w:val="24"/>
          <w:highlight w:val="none"/>
        </w:rPr>
        <w:t>13.</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.1投标函（格式见第三章）；</w:t>
      </w:r>
    </w:p>
    <w:p w14:paraId="2542F2A3">
      <w:pPr>
        <w:pStyle w:val="244"/>
        <w:spacing w:after="0" w:line="360" w:lineRule="auto"/>
        <w:ind w:left="0"/>
        <w:rPr>
          <w:rFonts w:hint="eastAsia" w:ascii="宋体" w:hAnsi="宋体" w:cs="宋体"/>
          <w:color w:val="000000"/>
          <w:sz w:val="24"/>
          <w:highlight w:val="none"/>
        </w:rPr>
      </w:pPr>
      <w:r>
        <w:rPr>
          <w:rFonts w:hint="eastAsia" w:ascii="宋体" w:hAnsi="宋体" w:cs="宋体"/>
          <w:color w:val="000000"/>
          <w:sz w:val="24"/>
          <w:highlight w:val="none"/>
        </w:rPr>
        <w:t>13.</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.2偏离表（格式见第三章）；</w:t>
      </w:r>
    </w:p>
    <w:p w14:paraId="4806BF77">
      <w:pPr>
        <w:pStyle w:val="244"/>
        <w:spacing w:after="0" w:line="360" w:lineRule="auto"/>
        <w:ind w:left="0"/>
        <w:rPr>
          <w:rFonts w:hint="eastAsia" w:ascii="宋体" w:hAnsi="宋体" w:cs="宋体"/>
          <w:color w:val="000000"/>
          <w:sz w:val="24"/>
          <w:highlight w:val="none"/>
        </w:rPr>
      </w:pPr>
      <w:r>
        <w:rPr>
          <w:rFonts w:hint="eastAsia" w:ascii="宋体" w:hAnsi="宋体" w:cs="宋体"/>
          <w:color w:val="000000"/>
          <w:sz w:val="24"/>
          <w:highlight w:val="none"/>
        </w:rPr>
        <w:t>13.</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.3其他有关符合性证明的文件。</w:t>
      </w:r>
    </w:p>
    <w:p w14:paraId="120D6EB2">
      <w:pPr>
        <w:spacing w:line="360" w:lineRule="auto"/>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rPr>
        <w:t>13.</w:t>
      </w:r>
      <w:r>
        <w:rPr>
          <w:rFonts w:hint="eastAsia" w:ascii="宋体" w:hAnsi="宋体" w:cs="宋体"/>
          <w:b/>
          <w:bCs/>
          <w:color w:val="000000"/>
          <w:sz w:val="24"/>
          <w:szCs w:val="24"/>
          <w:highlight w:val="none"/>
          <w:lang w:val="en-US" w:eastAsia="zh-CN"/>
        </w:rPr>
        <w:t>6</w:t>
      </w:r>
      <w:r>
        <w:rPr>
          <w:rFonts w:hint="eastAsia" w:ascii="宋体" w:hAnsi="宋体" w:cs="宋体"/>
          <w:b/>
          <w:bCs/>
          <w:color w:val="000000"/>
          <w:sz w:val="24"/>
          <w:szCs w:val="24"/>
          <w:highlight w:val="none"/>
          <w:lang w:eastAsia="zh-CN"/>
        </w:rPr>
        <w:t>综合评审文件</w:t>
      </w:r>
    </w:p>
    <w:p w14:paraId="5E94FD15">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服务方案；</w:t>
      </w:r>
    </w:p>
    <w:p w14:paraId="66F7130D">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13.6.2</w:t>
      </w:r>
      <w:r>
        <w:rPr>
          <w:rFonts w:hint="eastAsia" w:ascii="宋体" w:hAnsi="宋体" w:cs="宋体"/>
          <w:color w:val="000000" w:themeColor="text1"/>
          <w:sz w:val="24"/>
          <w:highlight w:val="none"/>
          <w:lang w:eastAsia="zh-CN"/>
          <w14:textFill>
            <w14:solidFill>
              <w14:schemeClr w14:val="tx1"/>
            </w14:solidFill>
          </w14:textFill>
        </w:rPr>
        <w:t>配备人员；</w:t>
      </w:r>
    </w:p>
    <w:p w14:paraId="48DBD20E">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13.6.3投标</w:t>
      </w:r>
      <w:r>
        <w:rPr>
          <w:rFonts w:hint="eastAsia" w:ascii="宋体" w:hAnsi="宋体" w:cs="宋体"/>
          <w:color w:val="000000" w:themeColor="text1"/>
          <w:sz w:val="24"/>
          <w:highlight w:val="none"/>
          <w:lang w:eastAsia="zh-CN"/>
          <w14:textFill>
            <w14:solidFill>
              <w14:schemeClr w14:val="tx1"/>
            </w14:solidFill>
          </w14:textFill>
        </w:rPr>
        <w:t>单位综合履约能力</w:t>
      </w:r>
      <w:r>
        <w:rPr>
          <w:rFonts w:hint="eastAsia" w:ascii="宋体" w:hAnsi="宋体" w:cs="宋体"/>
          <w:color w:val="000000" w:themeColor="text1"/>
          <w:sz w:val="24"/>
          <w:highlight w:val="none"/>
          <w14:textFill>
            <w14:solidFill>
              <w14:schemeClr w14:val="tx1"/>
            </w14:solidFill>
          </w14:textFill>
        </w:rPr>
        <w:t>；</w:t>
      </w:r>
    </w:p>
    <w:p w14:paraId="178781DA">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13.6.4对属于《节能产品政府采购品目清单》政府强制采购产品的，需提供该产品有效期内的认证等相关证明材料（如有）；</w:t>
      </w:r>
    </w:p>
    <w:p w14:paraId="4F1A3C9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13.6.5其他可以证明投标单位资信、资质和服务质量的证书、文件等评审所需资</w:t>
      </w:r>
      <w:r>
        <w:rPr>
          <w:rFonts w:hint="eastAsia" w:ascii="宋体" w:hAnsi="宋体" w:cs="宋体"/>
          <w:color w:val="000000" w:themeColor="text1"/>
          <w:sz w:val="24"/>
          <w:highlight w:val="none"/>
          <w14:textFill>
            <w14:solidFill>
              <w14:schemeClr w14:val="tx1"/>
            </w14:solidFill>
          </w14:textFill>
        </w:rPr>
        <w:t>料（如有）</w:t>
      </w:r>
      <w:r>
        <w:rPr>
          <w:rFonts w:hint="eastAsia" w:ascii="宋体" w:hAnsi="宋体" w:cs="宋体"/>
          <w:color w:val="000000" w:themeColor="text1"/>
          <w:sz w:val="24"/>
          <w:szCs w:val="24"/>
          <w:highlight w:val="none"/>
          <w14:textFill>
            <w14:solidFill>
              <w14:schemeClr w14:val="tx1"/>
            </w14:solidFill>
          </w14:textFill>
        </w:rPr>
        <w:t>。</w:t>
      </w:r>
    </w:p>
    <w:p w14:paraId="13408B72">
      <w:pPr>
        <w:spacing w:line="360" w:lineRule="auto"/>
        <w:rPr>
          <w:rFonts w:hint="eastAsia" w:ascii="宋体" w:hAnsi="宋体"/>
          <w:color w:val="000000"/>
          <w:sz w:val="24"/>
          <w:highlight w:val="none"/>
        </w:rPr>
      </w:pPr>
      <w:r>
        <w:rPr>
          <w:rFonts w:hint="eastAsia" w:ascii="宋体" w:hAnsi="宋体" w:cs="宋体"/>
          <w:color w:val="000000"/>
          <w:sz w:val="24"/>
          <w:szCs w:val="24"/>
          <w:highlight w:val="none"/>
        </w:rPr>
        <w:t>13.</w:t>
      </w:r>
      <w:r>
        <w:rPr>
          <w:rFonts w:hint="eastAsia" w:ascii="宋体" w:hAnsi="宋体" w:cs="宋体"/>
          <w:color w:val="000000"/>
          <w:sz w:val="24"/>
          <w:szCs w:val="24"/>
          <w:highlight w:val="none"/>
          <w:lang w:val="en-US" w:eastAsia="zh-CN"/>
        </w:rPr>
        <w:t>7</w:t>
      </w:r>
      <w:r>
        <w:rPr>
          <w:rFonts w:hint="eastAsia" w:ascii="宋体" w:hAnsi="宋体"/>
          <w:color w:val="000000"/>
          <w:sz w:val="24"/>
          <w:highlight w:val="none"/>
        </w:rPr>
        <w:t>投标文件由13.1-13.</w:t>
      </w:r>
      <w:r>
        <w:rPr>
          <w:rFonts w:hint="eastAsia" w:ascii="宋体" w:hAnsi="宋体"/>
          <w:color w:val="000000"/>
          <w:sz w:val="24"/>
          <w:highlight w:val="none"/>
          <w:lang w:val="en-US" w:eastAsia="zh-CN"/>
        </w:rPr>
        <w:t>6</w:t>
      </w:r>
      <w:r>
        <w:rPr>
          <w:rFonts w:hint="eastAsia" w:ascii="宋体" w:hAnsi="宋体"/>
          <w:color w:val="000000"/>
          <w:sz w:val="24"/>
          <w:highlight w:val="none"/>
        </w:rPr>
        <w:t>款规定的内容共同组成，投标人所提交的资料文件的完整与否，将直接影响投标人的评分。</w:t>
      </w:r>
    </w:p>
    <w:p w14:paraId="7C76533D">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13.</w:t>
      </w:r>
      <w:r>
        <w:rPr>
          <w:rFonts w:hint="eastAsia" w:ascii="宋体" w:hAnsi="宋体" w:cs="宋体"/>
          <w:b/>
          <w:bCs/>
          <w:color w:val="000000" w:themeColor="text1"/>
          <w:sz w:val="24"/>
          <w:szCs w:val="24"/>
          <w:highlight w:val="none"/>
          <w:lang w:val="en-US" w:eastAsia="zh-CN"/>
          <w14:textFill>
            <w14:solidFill>
              <w14:schemeClr w14:val="tx1"/>
            </w14:solidFill>
          </w14:textFill>
        </w:rPr>
        <w:t>8综合说明：</w:t>
      </w:r>
    </w:p>
    <w:p w14:paraId="49E4E494">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13.8.1以上资格审查文件要求提供的材料，是作为对供应商资格审查、质疑身份认定的依据，投标人必须提供并加盖电子公章。否则，投标文件将被认定为不符合资格审查要求。</w:t>
      </w:r>
    </w:p>
    <w:p w14:paraId="194389DA">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13.8.2以上符合性审查须提供的资料，投标人必须提供并加盖电子公章；否则，投标文件将被认定为未实质性响应。</w:t>
      </w:r>
    </w:p>
    <w:p w14:paraId="76E2E7E7">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13.8.3投标文件资格审查文件、符合性审查文件、综合评审文件部分不得出现投标报价；投标人所提交的资料的完整与否，将直接影响投标人的评分。</w:t>
      </w:r>
    </w:p>
    <w:p w14:paraId="66380ED2">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14.投标文件编制说明</w:t>
      </w:r>
    </w:p>
    <w:p w14:paraId="55F9EC90">
      <w:pPr>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14.1供应商在“苏采云”系统中操作成功参与项目后，必须在“已参与项目”界面中下载电子招标文件（后缀名为“.kedt”）并导入政府采购客户端工具后方可进行投标文件制作和提交（具体详见《苏采云系统供应商操作手册》，网址链接https://czju.suzhou.gov.cn/zfcg/html/content/20231220161910031.shtml）。</w:t>
      </w:r>
    </w:p>
    <w:p w14:paraId="1B0777F2">
      <w:pPr>
        <w:spacing w:line="360" w:lineRule="auto"/>
        <w:rPr>
          <w:rFonts w:hint="eastAsia" w:ascii="宋体" w:hAnsi="宋体" w:cs="宋体"/>
          <w:color w:val="auto"/>
          <w:sz w:val="24"/>
          <w:szCs w:val="24"/>
          <w:highlight w:val="none"/>
        </w:rPr>
      </w:pPr>
      <w:r>
        <w:rPr>
          <w:rFonts w:hint="eastAsia" w:ascii="宋体" w:hAnsi="宋体" w:cs="宋体"/>
          <w:b/>
          <w:bCs/>
          <w:color w:val="000000"/>
          <w:sz w:val="24"/>
          <w:szCs w:val="24"/>
          <w:highlight w:val="none"/>
        </w:rPr>
        <w:t>14.2制作电子投标文件时必须与投标文件制作软件目录一一对应，将相关资料上</w:t>
      </w:r>
      <w:r>
        <w:rPr>
          <w:rFonts w:hint="eastAsia" w:ascii="宋体" w:hAnsi="宋体" w:cs="宋体"/>
          <w:b/>
          <w:bCs/>
          <w:color w:val="auto"/>
          <w:sz w:val="24"/>
          <w:szCs w:val="24"/>
          <w:highlight w:val="none"/>
        </w:rPr>
        <w:t>传至相应模块</w:t>
      </w:r>
      <w:r>
        <w:rPr>
          <w:rFonts w:hint="eastAsia" w:ascii="宋体" w:hAnsi="宋体" w:cs="宋体"/>
          <w:b/>
          <w:bCs/>
          <w:color w:val="auto"/>
          <w:sz w:val="24"/>
          <w:szCs w:val="24"/>
          <w:highlight w:val="none"/>
          <w:lang w:eastAsia="zh-CN"/>
        </w:rPr>
        <w:t>；</w:t>
      </w:r>
      <w:r>
        <w:rPr>
          <w:rFonts w:hint="eastAsia" w:ascii="宋体" w:hAnsi="宋体" w:cs="宋体"/>
          <w:color w:val="auto"/>
          <w:sz w:val="24"/>
          <w:highlight w:val="none"/>
          <w:lang w:val="en-US" w:eastAsia="zh-CN"/>
        </w:rPr>
        <w:t>开评标过程中如有问题采购代理机构工作人员会及时通过《投标供应商确认函》留存的手机号与供应商联系；请供应商确保该手机号通讯畅通，否则导致的不利后果由供应商自行承担。</w:t>
      </w:r>
    </w:p>
    <w:p w14:paraId="081D6B1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14.3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开标一览表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为在开标仪式上唱标的内容，要求按格式填写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统一规范，不得自行增减内容。</w:t>
      </w:r>
    </w:p>
    <w:p w14:paraId="14460E31">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.投标报价（编制）要求的说明</w:t>
      </w:r>
    </w:p>
    <w:p w14:paraId="2FDB8E8D">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除非合同中另有规定，投标人对《开标一览表》中的报价</w:t>
      </w:r>
      <w:r>
        <w:rPr>
          <w:rFonts w:hint="eastAsia" w:ascii="宋体" w:hAnsi="宋体" w:cs="宋体"/>
          <w:color w:val="000000" w:themeColor="text1"/>
          <w:sz w:val="24"/>
          <w:highlight w:val="none"/>
          <w:lang w:val="zh-CN"/>
          <w14:textFill>
            <w14:solidFill>
              <w14:schemeClr w14:val="tx1"/>
            </w14:solidFill>
          </w14:textFill>
        </w:rPr>
        <w:t>应综合考量</w:t>
      </w:r>
      <w:r>
        <w:rPr>
          <w:rFonts w:hint="eastAsia" w:ascii="宋体" w:hAnsi="宋体" w:cs="宋体"/>
          <w:color w:val="000000" w:themeColor="text1"/>
          <w:sz w:val="24"/>
          <w:highlight w:val="none"/>
          <w14:textFill>
            <w14:solidFill>
              <w14:schemeClr w14:val="tx1"/>
            </w14:solidFill>
          </w14:textFill>
        </w:rPr>
        <w:t>完成本次服务项目所需的服务成本、经营成本、法定税费和管理企业的利润、保险及合同包含的所有风险、责任等各项应有费用。</w:t>
      </w:r>
      <w:r>
        <w:rPr>
          <w:rFonts w:hint="eastAsia" w:ascii="宋体" w:hAnsi="宋体" w:cs="宋体"/>
          <w:color w:val="000000" w:themeColor="text1"/>
          <w:sz w:val="24"/>
          <w:highlight w:val="none"/>
          <w:lang w:val="zh-CN"/>
          <w14:textFill>
            <w14:solidFill>
              <w14:schemeClr w14:val="tx1"/>
            </w14:solidFill>
          </w14:textFill>
        </w:rPr>
        <w:t>投标报价为最终报价，除非因特殊原因并经买卖双方协商同意，投标人不得再要求追加任何费用。同时，除非合同条款中另有规定，否则，投标人所报价格在合同实施期间不因市场变化因素而变动</w:t>
      </w:r>
      <w:r>
        <w:rPr>
          <w:rFonts w:hint="eastAsia" w:ascii="宋体" w:hAnsi="宋体" w:cs="宋体"/>
          <w:color w:val="000000" w:themeColor="text1"/>
          <w:sz w:val="24"/>
          <w:highlight w:val="none"/>
          <w14:textFill>
            <w14:solidFill>
              <w14:schemeClr w14:val="tx1"/>
            </w14:solidFill>
          </w14:textFill>
        </w:rPr>
        <w:t>。</w:t>
      </w:r>
    </w:p>
    <w:p w14:paraId="1AA713BA">
      <w:pPr>
        <w:tabs>
          <w:tab w:val="left" w:pos="9000"/>
        </w:tabs>
        <w:spacing w:line="360" w:lineRule="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投标人应按《公开分项报价》要求的内容填写，并由其法定代表人或授权代理人签署。</w:t>
      </w:r>
    </w:p>
    <w:p w14:paraId="6457EFA5">
      <w:pPr>
        <w:tabs>
          <w:tab w:val="left" w:pos="9000"/>
        </w:tabs>
        <w:spacing w:line="360" w:lineRule="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highlight w:val="none"/>
          <w:lang w:val="zh-CN"/>
          <w14:textFill>
            <w14:solidFill>
              <w14:schemeClr w14:val="tx1"/>
            </w14:solidFill>
          </w14:textFill>
        </w:rPr>
        <w:t>投标人应对招标文件内所要采购的全部内容进行报价，只投其中部分内容者，其标书将被拒绝（如为多标段项目，则上述提到的全部内容是指所投标段对应采购的全部内容）。</w:t>
      </w:r>
    </w:p>
    <w:p w14:paraId="668F483F">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.4一项投标内容只允许一个报价，采购人、采购代理机构不接受任何有选择性的投标报价。</w:t>
      </w:r>
    </w:p>
    <w:p w14:paraId="685A605E">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.5投标文件报价中的单价和总价全部采用人民币表示，除非合同的特殊条款另有规定。</w:t>
      </w:r>
    </w:p>
    <w:p w14:paraId="78BB9BF1">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.6最低的投标报价或最高的折扣比例是中标的重要条件，但不是中标的唯一条件。</w:t>
      </w:r>
    </w:p>
    <w:p w14:paraId="53E9CF70">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.投标保证金：本项目免收投标保证金。</w:t>
      </w:r>
    </w:p>
    <w:p w14:paraId="0A31CCF2">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.投标文件的有效期</w:t>
      </w:r>
    </w:p>
    <w:p w14:paraId="7DE982C0">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.1自</w:t>
      </w:r>
      <w:r>
        <w:rPr>
          <w:rFonts w:hint="eastAsia" w:ascii="宋体" w:hAnsi="宋体" w:cs="宋体"/>
          <w:color w:val="000000" w:themeColor="text1"/>
          <w:sz w:val="24"/>
          <w:szCs w:val="24"/>
          <w:highlight w:val="none"/>
          <w:lang w:eastAsia="zh-CN"/>
          <w14:textFill>
            <w14:solidFill>
              <w14:schemeClr w14:val="tx1"/>
            </w14:solidFill>
          </w14:textFill>
        </w:rPr>
        <w:t>提交投标文件截止之日</w:t>
      </w:r>
      <w:r>
        <w:rPr>
          <w:rFonts w:hint="eastAsia" w:ascii="宋体" w:hAnsi="宋体" w:cs="宋体"/>
          <w:color w:val="000000" w:themeColor="text1"/>
          <w:sz w:val="24"/>
          <w:szCs w:val="24"/>
          <w:highlight w:val="none"/>
          <w14:textFill>
            <w14:solidFill>
              <w14:schemeClr w14:val="tx1"/>
            </w14:solidFill>
          </w14:textFill>
        </w:rPr>
        <w:t>起</w:t>
      </w:r>
      <w:r>
        <w:rPr>
          <w:rFonts w:hint="eastAsia" w:ascii="宋体" w:hAnsi="宋体" w:cs="宋体"/>
          <w:color w:val="000000" w:themeColor="text1"/>
          <w:sz w:val="24"/>
          <w:szCs w:val="24"/>
          <w:highlight w:val="none"/>
          <w:lang w:eastAsia="zh-CN"/>
          <w14:textFill>
            <w14:solidFill>
              <w14:schemeClr w14:val="tx1"/>
            </w14:solidFill>
          </w14:textFill>
        </w:rPr>
        <w:t>九</w:t>
      </w:r>
      <w:r>
        <w:rPr>
          <w:rFonts w:hint="eastAsia" w:ascii="宋体" w:hAnsi="宋体" w:cs="宋体"/>
          <w:color w:val="000000" w:themeColor="text1"/>
          <w:sz w:val="24"/>
          <w:szCs w:val="24"/>
          <w:highlight w:val="none"/>
          <w14:textFill>
            <w14:solidFill>
              <w14:schemeClr w14:val="tx1"/>
            </w14:solidFill>
          </w14:textFill>
        </w:rPr>
        <w:t>十天</w:t>
      </w:r>
      <w:r>
        <w:rPr>
          <w:rFonts w:hint="eastAsia" w:ascii="宋体" w:hAnsi="宋体" w:cs="宋体"/>
          <w:color w:val="000000" w:themeColor="text1"/>
          <w:sz w:val="24"/>
          <w:szCs w:val="24"/>
          <w:highlight w:val="none"/>
          <w:lang w:eastAsia="zh-CN"/>
          <w14:textFill>
            <w14:solidFill>
              <w14:schemeClr w14:val="tx1"/>
            </w14:solidFill>
          </w14:textFill>
        </w:rPr>
        <w:t>内</w:t>
      </w:r>
      <w:r>
        <w:rPr>
          <w:rFonts w:hint="eastAsia" w:ascii="宋体" w:hAnsi="宋体" w:cs="宋体"/>
          <w:color w:val="000000" w:themeColor="text1"/>
          <w:sz w:val="24"/>
          <w:szCs w:val="24"/>
          <w:highlight w:val="none"/>
          <w14:textFill>
            <w14:solidFill>
              <w14:schemeClr w14:val="tx1"/>
            </w14:solidFill>
          </w14:textFill>
        </w:rPr>
        <w:t>，投标书应保持有效，有效期不明确或短于这个规定期限的投标文件将被拒绝。</w:t>
      </w:r>
    </w:p>
    <w:p w14:paraId="6343FC27">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.2在特殊情况下，采购人或采购代理机构可与投标人协商延长投标书的有效期。这种要求和答复都应以书面形式进行。同意延长有效期的投标人不能修改投标文件，拒绝接受延期要求的投标人的投标将被拒绝。</w:t>
      </w:r>
    </w:p>
    <w:p w14:paraId="42865002">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投标文件的制作、签署、上传</w:t>
      </w:r>
      <w:r>
        <w:rPr>
          <w:rFonts w:hint="eastAsia" w:ascii="宋体" w:hAnsi="宋体" w:cs="宋体"/>
          <w:color w:val="000000"/>
          <w:sz w:val="24"/>
          <w:szCs w:val="24"/>
          <w:highlight w:val="none"/>
        </w:rPr>
        <w:t>电子投标文件</w:t>
      </w:r>
      <w:r>
        <w:rPr>
          <w:rFonts w:hint="eastAsia" w:ascii="宋体" w:hAnsi="宋体" w:cs="宋体"/>
          <w:color w:val="000000" w:themeColor="text1"/>
          <w:sz w:val="24"/>
          <w:szCs w:val="24"/>
          <w:highlight w:val="none"/>
          <w14:textFill>
            <w14:solidFill>
              <w14:schemeClr w14:val="tx1"/>
            </w14:solidFill>
          </w14:textFill>
        </w:rPr>
        <w:t>：</w:t>
      </w:r>
    </w:p>
    <w:p w14:paraId="6F45A3EE">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.1本项目采用电子招投标形式，请供应商按照《苏采云系统供应商操作手册》进行制作、上传电子投标文件。</w:t>
      </w:r>
    </w:p>
    <w:p w14:paraId="6A1D1D5B">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.2制作电子投标文件时，应按照招标文件要求加盖投标人电子公章。</w:t>
      </w:r>
    </w:p>
    <w:p w14:paraId="3E7DB0E8">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b/>
          <w:bCs/>
          <w:color w:val="000000" w:themeColor="text1"/>
          <w:sz w:val="24"/>
          <w:szCs w:val="24"/>
          <w:highlight w:val="none"/>
          <w14:textFill>
            <w14:solidFill>
              <w14:schemeClr w14:val="tx1"/>
            </w14:solidFill>
          </w14:textFill>
        </w:rPr>
        <w:t>电子投标文件制作完成后请于投标文件网上提交截止时间前成功上传至“苏采云”系统，否则视为放弃参加该采购项目。</w:t>
      </w:r>
      <w:r>
        <w:rPr>
          <w:rFonts w:hint="eastAsia" w:ascii="宋体" w:hAnsi="宋体" w:cs="宋体"/>
          <w:color w:val="000000" w:themeColor="text1"/>
          <w:sz w:val="24"/>
          <w:szCs w:val="24"/>
          <w:highlight w:val="none"/>
          <w14:textFill>
            <w14:solidFill>
              <w14:schemeClr w14:val="tx1"/>
            </w14:solidFill>
          </w14:textFill>
        </w:rPr>
        <w:t>投标人提交投标文件的时间以系统收到上传的电子投标文件时间为准，投标人应充分考虑到网络环境、网络带宽等风险因素，如因投标人自身原因造成的电子投标文件上传不成功由投标人自行承担全部责任。</w:t>
      </w:r>
    </w:p>
    <w:p w14:paraId="29C0B0E7">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五、</w:t>
      </w:r>
      <w:r>
        <w:rPr>
          <w:rFonts w:hint="eastAsia" w:ascii="宋体" w:hAnsi="宋体" w:cs="宋体"/>
          <w:b/>
          <w:color w:val="000000" w:themeColor="text1"/>
          <w:sz w:val="24"/>
          <w:szCs w:val="24"/>
          <w:highlight w:val="none"/>
          <w14:textFill>
            <w14:solidFill>
              <w14:schemeClr w14:val="tx1"/>
            </w14:solidFill>
          </w14:textFill>
        </w:rPr>
        <w:t>投标文件的提交、补充、修改和撤回</w:t>
      </w:r>
    </w:p>
    <w:p w14:paraId="626B1E80">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19.投标文件的提交</w:t>
      </w:r>
    </w:p>
    <w:p w14:paraId="441887A5">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19.1投标人应当在投标截止时间前制作并上传电子投标文件。</w:t>
      </w:r>
    </w:p>
    <w:p w14:paraId="2527D5C7">
      <w:pPr>
        <w:tabs>
          <w:tab w:val="left" w:pos="9000"/>
        </w:tabs>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19.2</w:t>
      </w:r>
      <w:r>
        <w:rPr>
          <w:rFonts w:hint="eastAsia" w:ascii="宋体" w:hAnsi="宋体" w:cs="宋体"/>
          <w:b/>
          <w:bCs/>
          <w:color w:val="000000" w:themeColor="text1"/>
          <w:sz w:val="24"/>
          <w:szCs w:val="24"/>
          <w:highlight w:val="none"/>
          <w14:textFill>
            <w14:solidFill>
              <w14:schemeClr w14:val="tx1"/>
            </w14:solidFill>
          </w14:textFill>
        </w:rPr>
        <w:t>投标人通过“苏采云”系统不见面开标大厅在线参与开标活动。（具体操作详见《苏采云系统供应商操作手册》，网址链接https://czju.suzhou.gov.cn/zfcg/html/content/20231220161910031.shtml）</w:t>
      </w:r>
    </w:p>
    <w:p w14:paraId="0D93114C">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20.投标截止时间</w:t>
      </w:r>
    </w:p>
    <w:p w14:paraId="69CCD8B2">
      <w:pPr>
        <w:tabs>
          <w:tab w:val="left" w:pos="9000"/>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20.1投标人电子投标文件制作完成后请于投标文件网上提交截止时间前成功上传至“苏采云”系统，否则视为放弃参加该采购项目。投标人提交投标文件的时间以系统收到上传的电子投标文件时间为准，投标人应充分考虑到网络环境、网络带宽等风险因素，如因投标人自身原因造成的电子投标文件上传不成功由投标人自行承担全部责任。</w:t>
      </w:r>
    </w:p>
    <w:p w14:paraId="34A14C5C">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20.2采购人和采购代理机构推迟投标截止时间时，将按本须知规定的更正公告的方式对外发布。在这种情况下，采购人、采购代理机构和投标人的权利和义务将受到新的截止期的约束。</w:t>
      </w:r>
    </w:p>
    <w:p w14:paraId="650D1FCB">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21.投标文件的补充、修改和撤回</w:t>
      </w:r>
    </w:p>
    <w:p w14:paraId="7DCFDDC4">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21.1投标人在投标文件网上提交截止时间前，可以对其电子投标文件进行补充、修改，具体操作方法见《苏采云系统供应商操作手册》。在投标文件网上提交截止时间之后，投标人不得对其电子投标文件作任何修改。</w:t>
      </w:r>
    </w:p>
    <w:p w14:paraId="46A7FF96">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21.2投标人在投标文件网上提交截止时间前，可以撤回其电子投标文件，具体操作方法见《苏采云系统供应商操作手册》。投标人撤回电子投标文件，则认为其不再参与本项目投标活动。在投标截止时间至招标文件中规定的投标有效期满之间的这段时间内，投标人不得撤回其投标。</w:t>
      </w:r>
    </w:p>
    <w:p w14:paraId="048542A9">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六、开标和评标</w:t>
      </w:r>
    </w:p>
    <w:p w14:paraId="39B12EF5">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22.开标</w:t>
      </w:r>
    </w:p>
    <w:p w14:paraId="1B8DB56C">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22.1开标由采购代理机构主持，邀请投标人在线参加。投标人应当按照《苏采云系统供应商操作手册</w:t>
      </w:r>
      <w:r>
        <w:rPr>
          <w:rFonts w:hint="eastAsia" w:ascii="宋体" w:hAnsi="宋体" w:cs="宋体"/>
          <w:color w:val="000000" w:themeColor="text1"/>
          <w:sz w:val="24"/>
          <w:szCs w:val="24"/>
          <w:highlight w:val="none"/>
          <w:lang w:eastAsia="zh-CN"/>
          <w14:textFill>
            <w14:solidFill>
              <w14:schemeClr w14:val="tx1"/>
            </w14:solidFill>
          </w14:textFill>
        </w:rPr>
        <w:t>》的</w:t>
      </w:r>
      <w:r>
        <w:rPr>
          <w:rFonts w:hint="eastAsia" w:ascii="宋体" w:hAnsi="宋体" w:cs="宋体"/>
          <w:color w:val="000000" w:themeColor="text1"/>
          <w:sz w:val="24"/>
          <w:szCs w:val="24"/>
          <w:highlight w:val="none"/>
          <w14:textFill>
            <w14:solidFill>
              <w14:schemeClr w14:val="tx1"/>
            </w14:solidFill>
          </w14:textFill>
        </w:rPr>
        <w:t>规定，</w:t>
      </w:r>
      <w:r>
        <w:rPr>
          <w:rFonts w:hint="eastAsia" w:ascii="宋体" w:hAnsi="宋体" w:cs="宋体"/>
          <w:b/>
          <w:bCs/>
          <w:color w:val="000000" w:themeColor="text1"/>
          <w:sz w:val="24"/>
          <w:szCs w:val="24"/>
          <w:highlight w:val="none"/>
          <w14:textFill>
            <w14:solidFill>
              <w14:schemeClr w14:val="tx1"/>
            </w14:solidFill>
          </w14:textFill>
        </w:rPr>
        <w:t>参加开标活动和在“苏采云”系统规定的时间内对投标文件进行解密。</w:t>
      </w:r>
      <w:r>
        <w:rPr>
          <w:rFonts w:hint="eastAsia" w:ascii="宋体" w:hAnsi="宋体" w:cs="宋体"/>
          <w:color w:val="000000" w:themeColor="text1"/>
          <w:sz w:val="24"/>
          <w:szCs w:val="24"/>
          <w:highlight w:val="none"/>
          <w14:textFill>
            <w14:solidFill>
              <w14:schemeClr w14:val="tx1"/>
            </w14:solidFill>
          </w14:textFill>
        </w:rPr>
        <w:t>评标委员会成员不得参加开标活动。</w:t>
      </w:r>
    </w:p>
    <w:p w14:paraId="40A187EC">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22.2开标时，由采购代理机构通过“苏采云”系统在线宣布投标人名称、投标价格和招标文件规定的需要宣布的其他内容。投标人在不见面开标系统中确认投标价格，如投标人未在线参加开标或未在规定时间内确认价格的，视同认可开标结果。</w:t>
      </w:r>
    </w:p>
    <w:p w14:paraId="0E75F001">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23.资格审查</w:t>
      </w:r>
    </w:p>
    <w:p w14:paraId="1B863FBF">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23.1公开招标采购项目开标结束后，采购人或者采购代理机构应当依法对投标人的资格进行审查，未通过资格审查的视为无效投标。</w:t>
      </w:r>
    </w:p>
    <w:p w14:paraId="149B5011">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23.2根据政府采购法及相关法规，以及苏州市财政局《关于印发苏州市市级政府采购信用记录查询和使用工作试行办法的通知》（苏财购</w:t>
      </w:r>
      <w:r>
        <w:rPr>
          <w:rFonts w:hint="eastAsia" w:ascii="宋体" w:hAnsi="宋体" w:cs="宋体"/>
          <w:color w:val="000000" w:themeColor="text1"/>
          <w:sz w:val="24"/>
          <w:szCs w:val="24"/>
          <w:highlight w:val="none"/>
          <w:lang w:eastAsia="zh-CN"/>
          <w14:textFill>
            <w14:solidFill>
              <w14:schemeClr w14:val="tx1"/>
            </w14:solidFill>
          </w14:textFill>
        </w:rPr>
        <w:t>〔2017〕11号</w:t>
      </w:r>
      <w:r>
        <w:rPr>
          <w:rFonts w:hint="eastAsia" w:ascii="宋体" w:hAnsi="宋体" w:cs="宋体"/>
          <w:color w:val="000000" w:themeColor="text1"/>
          <w:sz w:val="24"/>
          <w:szCs w:val="24"/>
          <w:highlight w:val="none"/>
          <w14:textFill>
            <w14:solidFill>
              <w14:schemeClr w14:val="tx1"/>
            </w14:solidFill>
          </w14:textFill>
        </w:rPr>
        <w:t>）文件的规定，采购代理机构将对供应商进行信用查询：</w:t>
      </w:r>
    </w:p>
    <w:p w14:paraId="60F0AE72">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23.2.1查询时间：投标文件递交截止时间。</w:t>
      </w:r>
    </w:p>
    <w:p w14:paraId="6B68F72C">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23.2.2查询渠道：采购代理机构会在接收投标文件截止时间后，登录信用中国网站（www.creditchina.gov.cn）和中国政府采购网（www.ccgp.gov.cn/）查询供应商的信用记录，并将查询结果递交评标委员会。</w:t>
      </w:r>
    </w:p>
    <w:p w14:paraId="4D3EE88C">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23.2.3查询证据留存方式：采购人、采购代理机构工作人员等应按照相关管理办法查询相关主体的信用记录，并保存好相关证据材料，信用查询记录及相关证据应当归入采购档案妥善保管。采购代理机构工作人员应</w:t>
      </w:r>
      <w:r>
        <w:rPr>
          <w:rFonts w:hint="eastAsia" w:ascii="宋体" w:hAnsi="宋体" w:cs="宋体"/>
          <w:color w:val="000000" w:themeColor="text1"/>
          <w:sz w:val="24"/>
          <w:szCs w:val="24"/>
          <w:highlight w:val="none"/>
          <w:lang w:eastAsia="zh-CN"/>
          <w14:textFill>
            <w14:solidFill>
              <w14:schemeClr w14:val="tx1"/>
            </w14:solidFill>
          </w14:textFill>
        </w:rPr>
        <w:t>登录到</w:t>
      </w:r>
      <w:r>
        <w:rPr>
          <w:rFonts w:hint="eastAsia" w:ascii="宋体" w:hAnsi="宋体" w:cs="宋体"/>
          <w:color w:val="000000" w:themeColor="text1"/>
          <w:sz w:val="24"/>
          <w:szCs w:val="24"/>
          <w:highlight w:val="none"/>
          <w14:textFill>
            <w14:solidFill>
              <w14:schemeClr w14:val="tx1"/>
            </w14:solidFill>
          </w14:textFill>
        </w:rPr>
        <w:t>来源网站页面进行复核并打印，作为证据留存。</w:t>
      </w:r>
    </w:p>
    <w:p w14:paraId="589FF861">
      <w:pPr>
        <w:tabs>
          <w:tab w:val="left" w:pos="9000"/>
        </w:tabs>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23.3经查询，投标人被“信用中国”网站、“中国政府采购网”列入失信被执行人或重大税收违法案件当事人名单或政府采购严重失信行为记录名单，或查询“信用中国”网站、“中国政府采购网”后发现投标人存在其他不符合《中华人民共和国政府采购法》第二十二条规定条件的信用记录，其投标无效。</w:t>
      </w:r>
    </w:p>
    <w:p w14:paraId="08D1C215">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24.评标委员会</w:t>
      </w:r>
    </w:p>
    <w:p w14:paraId="0A27C49D">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24.1评标委员会负责具体评标事务，并独立履行下列职责；</w:t>
      </w:r>
    </w:p>
    <w:p w14:paraId="07DAA394">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24.1.1审查、评价投标文件是否符合招标文件的商务、技术等实质性要求；</w:t>
      </w:r>
    </w:p>
    <w:p w14:paraId="262A6CF9">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24.1.2要求投标人对投标文件有关事项作出澄清或者说明；</w:t>
      </w:r>
    </w:p>
    <w:p w14:paraId="68EB827D">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24.1.3对投标文件进行比较和评价；</w:t>
      </w:r>
    </w:p>
    <w:p w14:paraId="27A7BDEC">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24.1.4确定中标候选人名单，以及根据采购人委托直接确定中标人；</w:t>
      </w:r>
    </w:p>
    <w:p w14:paraId="46EDB6FC">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24.1.5向采购人、采购代理机构或者有关部门报告评标中发现的违法行为。</w:t>
      </w:r>
    </w:p>
    <w:p w14:paraId="2A136951">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24.2评标委员会成员应当履行下列义务：</w:t>
      </w:r>
    </w:p>
    <w:p w14:paraId="6037EFF0">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24.2.1遵纪守法，客观、公正、廉洁地履行职责；</w:t>
      </w:r>
    </w:p>
    <w:p w14:paraId="25364A71">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24.2.2按照招标文件规定的评标办法和评标标准进行评标，对评标意见承担个人责任；</w:t>
      </w:r>
    </w:p>
    <w:p w14:paraId="47B776F9">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24.2.3对评标过程和结果，以及投标人的商业秘密保密；</w:t>
      </w:r>
    </w:p>
    <w:p w14:paraId="374CB6C2">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24.2.4根据全体评标成员签字的原始评标记录和评标结果编写评标报告；</w:t>
      </w:r>
    </w:p>
    <w:p w14:paraId="2BA5E71C">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24.2.5配合相关部门的投诉处理工作；</w:t>
      </w:r>
    </w:p>
    <w:p w14:paraId="695D8924">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24.2.6配合采购人、采购代理机构答复投标人提出的质疑。</w:t>
      </w:r>
    </w:p>
    <w:p w14:paraId="2071E73E">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25.评标内容的保密</w:t>
      </w:r>
    </w:p>
    <w:p w14:paraId="37B965EA">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26.1评标委员会应当对符合资格的投标人的投标文件进行符合性审查，以确定其是否满足招标文件的实质性要求。投标文件有下列情况之一者评标委员会有权将其拒绝：</w:t>
      </w:r>
    </w:p>
    <w:p w14:paraId="46E8F35F">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26.1.1投标人的投标文件未按照本须知规定制作的；</w:t>
      </w:r>
    </w:p>
    <w:p w14:paraId="096E4EC3">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26.1.2未按本须知规定提交资格文件；</w:t>
      </w:r>
    </w:p>
    <w:p w14:paraId="677F9DCE">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26.1.3与招标文件有重大偏离；</w:t>
      </w:r>
    </w:p>
    <w:p w14:paraId="5FC33200">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26.1.4投标人拒绝修正错误；</w:t>
      </w:r>
    </w:p>
    <w:p w14:paraId="6173478D">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26.1.5投标人的报价是选择性的；</w:t>
      </w:r>
    </w:p>
    <w:p w14:paraId="1227731D">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26.1.6投标人的报价只投了部分内容；</w:t>
      </w:r>
    </w:p>
    <w:p w14:paraId="6836FE10">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26.1.7投标人的投标文件出现了评标委员会认为不应当雷同的情况；</w:t>
      </w:r>
    </w:p>
    <w:p w14:paraId="7D21C5CD">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26.1.8其他被评委会认定无效的情况。</w:t>
      </w:r>
    </w:p>
    <w:p w14:paraId="71325315">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26.2评标委员会将允许修改投标中不构成重大偏离的微小的、非正规、不一致或不规则的地方，但这些修改不能影响任何投标人的名次相应排列。投标人不得对招标文件进行实质性修改，包括但不限于付款方式、付款条件等条款，否则投标文件将被拒绝。</w:t>
      </w:r>
    </w:p>
    <w:p w14:paraId="3EE69720">
      <w:pPr>
        <w:pStyle w:val="225"/>
        <w:spacing w:line="360" w:lineRule="auto"/>
        <w:ind w:firstLine="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14:textFill>
            <w14:solidFill>
              <w14:schemeClr w14:val="tx1"/>
            </w14:solidFill>
          </w14:textFill>
        </w:rPr>
        <w:t>26.3投标文件报价出现前后不一致的，除招标文件另有规定外，按照下列规定修正：</w:t>
      </w:r>
    </w:p>
    <w:p w14:paraId="11E395C4">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26.3.1投标文件中开标一览表（报价表）内容与投标文件中相应内容不一致的，以开标一览表（报价表）为准；</w:t>
      </w:r>
    </w:p>
    <w:p w14:paraId="36312B2A">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26.3.2大写金额和小写金额不一致的，以大写金额为准；</w:t>
      </w:r>
    </w:p>
    <w:p w14:paraId="6A665FAB">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26.3.3单价金额小数点或者百分比有明显错位的，以开标一览表的总价为准，并修改单价；</w:t>
      </w:r>
    </w:p>
    <w:p w14:paraId="31B585CA">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26.3.4总价金额与按单价汇总金额不一致的，以单价金额计算结果为准。</w:t>
      </w:r>
    </w:p>
    <w:p w14:paraId="15686838">
      <w:pPr>
        <w:keepNext w:val="0"/>
        <w:keepLines w:val="0"/>
        <w:pageBreakBefore w:val="0"/>
        <w:widowControl w:val="0"/>
        <w:tabs>
          <w:tab w:val="left" w:pos="9000"/>
        </w:tabs>
        <w:spacing w:line="360" w:lineRule="auto"/>
        <w:ind w:firstLine="48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sz w:val="24"/>
          <w:highlight w:val="none"/>
          <w:lang w:val="zh-CN"/>
        </w:rPr>
        <w:t>同时出现两种以上不一致的，按照前款规定的顺序修正；修正后的报价按照中华人民共和国财政部令87号《政府采购货物和服务招标投标管理办法》第五十一条第二款的规定经投标人确认后产生约束力，投标人不确认的，其投标无效</w:t>
      </w:r>
      <w:r>
        <w:rPr>
          <w:rFonts w:hint="eastAsia" w:ascii="宋体" w:hAnsi="宋体" w:cs="宋体"/>
          <w:b/>
          <w:bCs/>
          <w:color w:val="000000" w:themeColor="text1"/>
          <w:sz w:val="24"/>
          <w:szCs w:val="24"/>
          <w:highlight w:val="none"/>
          <w14:textFill>
            <w14:solidFill>
              <w14:schemeClr w14:val="tx1"/>
            </w14:solidFill>
          </w14:textFill>
        </w:rPr>
        <w:t>。</w:t>
      </w:r>
    </w:p>
    <w:p w14:paraId="54EAAE68">
      <w:pPr>
        <w:tabs>
          <w:tab w:val="left" w:pos="9000"/>
        </w:tabs>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26.4</w:t>
      </w:r>
      <w:bookmarkStart w:id="0" w:name="OLE_LINK20"/>
      <w:bookmarkStart w:id="1" w:name="OLE_LINK11"/>
      <w:bookmarkStart w:id="2" w:name="OLE_LINK25"/>
      <w:r>
        <w:rPr>
          <w:rFonts w:hint="eastAsia" w:ascii="宋体" w:hAnsi="宋体" w:cs="宋体"/>
          <w:color w:val="000000" w:themeColor="text1"/>
          <w:sz w:val="24"/>
          <w:szCs w:val="24"/>
          <w:highlight w:val="none"/>
          <w14:textFill>
            <w14:solidFill>
              <w14:schemeClr w14:val="tx1"/>
            </w14:solidFill>
          </w14:textFill>
        </w:rPr>
        <w:t>异常低价投标审查</w:t>
      </w:r>
    </w:p>
    <w:p w14:paraId="1D440F19">
      <w:pPr>
        <w:tabs>
          <w:tab w:val="left" w:pos="9000"/>
        </w:tabs>
        <w:spacing w:line="360" w:lineRule="auto"/>
        <w:rPr>
          <w:rFonts w:hint="eastAsia"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14:textFill>
            <w14:solidFill>
              <w14:schemeClr w14:val="tx1"/>
            </w14:solidFill>
          </w14:textFill>
        </w:rPr>
        <w:t>26.4.1评标过程中出现下列情形之一的，</w:t>
      </w:r>
      <w:bookmarkStart w:id="3" w:name="OLE_LINK5"/>
      <w:r>
        <w:rPr>
          <w:rFonts w:hint="eastAsia" w:ascii="宋体" w:hAnsi="宋体" w:cs="宋体"/>
          <w:color w:val="000000" w:themeColor="text1"/>
          <w:sz w:val="24"/>
          <w:szCs w:val="24"/>
          <w:highlight w:val="none"/>
          <w:lang w:val="en-US"/>
          <w14:textFill>
            <w14:solidFill>
              <w14:schemeClr w14:val="tx1"/>
            </w14:solidFill>
          </w14:textFill>
        </w:rPr>
        <w:t>评标</w:t>
      </w:r>
      <w:bookmarkEnd w:id="3"/>
      <w:r>
        <w:rPr>
          <w:rFonts w:hint="eastAsia" w:ascii="宋体" w:hAnsi="宋体" w:cs="宋体"/>
          <w:color w:val="000000" w:themeColor="text1"/>
          <w:sz w:val="24"/>
          <w:szCs w:val="24"/>
          <w:highlight w:val="none"/>
          <w:lang w:val="en-US"/>
          <w14:textFill>
            <w14:solidFill>
              <w14:schemeClr w14:val="tx1"/>
            </w14:solidFill>
          </w14:textFill>
        </w:rPr>
        <w:t>委员会应当启动异常低价投标审查程序：</w:t>
      </w:r>
    </w:p>
    <w:p w14:paraId="207D70C8">
      <w:pPr>
        <w:tabs>
          <w:tab w:val="left" w:pos="9000"/>
        </w:tabs>
        <w:spacing w:line="36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（1）投标报价低于全部通过符合性审查供应商投标报价平均值50%的，即投标报价&lt;全部通过符合性审查供应商投标报价平均值×50%；</w:t>
      </w:r>
    </w:p>
    <w:p w14:paraId="3E55F46B">
      <w:pPr>
        <w:tabs>
          <w:tab w:val="left" w:pos="9000"/>
        </w:tabs>
        <w:spacing w:line="36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（2）投标报价低于通过符合性审查的次低报价供应商投标报价50%的，即投标报价&lt;通过符合性审查的次低报价供应商投标报价×50%；</w:t>
      </w:r>
    </w:p>
    <w:p w14:paraId="3CC0589E">
      <w:pPr>
        <w:tabs>
          <w:tab w:val="left" w:pos="9000"/>
        </w:tabs>
        <w:spacing w:line="36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（3）投标报价低于采购项目最高限价45%的，即投标报价&lt;采购项目最高限价×45%；</w:t>
      </w:r>
    </w:p>
    <w:p w14:paraId="5FECF56D">
      <w:pPr>
        <w:tabs>
          <w:tab w:val="left" w:pos="9000"/>
        </w:tabs>
        <w:spacing w:line="360" w:lineRule="auto"/>
        <w:rPr>
          <w:rFonts w:hint="eastAsia"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val="en-US"/>
          <w14:textFill>
            <w14:solidFill>
              <w14:schemeClr w14:val="tx1"/>
            </w14:solidFill>
          </w14:textFill>
        </w:rPr>
        <w:t>评标委员会认定的供应商报价过低、有可能影响产品质量或者不能诚信履约的其他情形。</w:t>
      </w:r>
    </w:p>
    <w:p w14:paraId="5572FF77">
      <w:pPr>
        <w:tabs>
          <w:tab w:val="left" w:pos="9000"/>
        </w:tabs>
        <w:spacing w:line="360" w:lineRule="auto"/>
        <w:rPr>
          <w:rFonts w:hint="eastAsia" w:ascii="宋体" w:hAnsi="宋体" w:cs="宋体"/>
          <w:color w:val="000000" w:themeColor="text1"/>
          <w:sz w:val="24"/>
          <w:szCs w:val="24"/>
          <w:highlight w:val="none"/>
          <w:lang w:val="en-US"/>
          <w14:textFill>
            <w14:solidFill>
              <w14:schemeClr w14:val="tx1"/>
            </w14:solidFill>
          </w14:textFill>
        </w:rPr>
      </w:pPr>
      <w:bookmarkStart w:id="4" w:name="OLE_LINK4"/>
      <w:bookmarkStart w:id="5" w:name="OLE_LINK3"/>
      <w:r>
        <w:rPr>
          <w:rFonts w:hint="eastAsia" w:ascii="宋体" w:hAnsi="宋体" w:cs="宋体"/>
          <w:color w:val="000000" w:themeColor="text1"/>
          <w:sz w:val="24"/>
          <w:szCs w:val="24"/>
          <w:highlight w:val="none"/>
          <w:lang w:val="en-US"/>
          <w14:textFill>
            <w14:solidFill>
              <w14:schemeClr w14:val="tx1"/>
            </w14:solidFill>
          </w14:textFill>
        </w:rPr>
        <w:t>26.4.2</w:t>
      </w:r>
      <w:r>
        <w:rPr>
          <w:rFonts w:hint="eastAsia" w:ascii="宋体" w:hAnsi="宋体" w:cs="宋体"/>
          <w:color w:val="000000" w:themeColor="text1"/>
          <w:sz w:val="24"/>
          <w:szCs w:val="24"/>
          <w:highlight w:val="none"/>
          <w14:textFill>
            <w14:solidFill>
              <w14:schemeClr w14:val="tx1"/>
            </w14:solidFill>
          </w14:textFill>
        </w:rPr>
        <w:t>启动异常低价投标审查后，</w:t>
      </w:r>
      <w:r>
        <w:rPr>
          <w:rFonts w:hint="eastAsia" w:ascii="宋体" w:hAnsi="宋体" w:cs="宋体"/>
          <w:color w:val="000000" w:themeColor="text1"/>
          <w:sz w:val="24"/>
          <w:szCs w:val="24"/>
          <w:highlight w:val="none"/>
          <w:lang w:val="en-US"/>
          <w14:textFill>
            <w14:solidFill>
              <w14:schemeClr w14:val="tx1"/>
            </w14:solidFill>
          </w14:textFill>
        </w:rPr>
        <w:t>评标委员会</w:t>
      </w:r>
      <w:r>
        <w:rPr>
          <w:rFonts w:hint="eastAsia" w:ascii="宋体" w:hAnsi="宋体" w:cs="宋体"/>
          <w:color w:val="000000" w:themeColor="text1"/>
          <w:sz w:val="24"/>
          <w:szCs w:val="24"/>
          <w:highlight w:val="none"/>
          <w14:textFill>
            <w14:solidFill>
              <w14:schemeClr w14:val="tx1"/>
            </w14:solidFill>
          </w14:textFill>
        </w:rPr>
        <w:t>应当要求相关供应商在评标现场合理的时间内，提供项目具体成本测算等与报价合理性相关的书面说明及相关证明材料</w:t>
      </w:r>
      <w:bookmarkStart w:id="6" w:name="OLE_LINK9"/>
      <w:bookmarkStart w:id="7" w:name="OLE_LINK10"/>
      <w:r>
        <w:rPr>
          <w:rFonts w:hint="eastAsia" w:ascii="宋体" w:hAnsi="宋体" w:cs="宋体"/>
          <w:color w:val="000000" w:themeColor="text1"/>
          <w:sz w:val="24"/>
          <w:szCs w:val="24"/>
          <w:highlight w:val="none"/>
          <w14:textFill>
            <w14:solidFill>
              <w14:schemeClr w14:val="tx1"/>
            </w14:solidFill>
          </w14:textFill>
        </w:rPr>
        <w:t>，</w:t>
      </w:r>
      <w:bookmarkEnd w:id="6"/>
      <w:bookmarkEnd w:id="7"/>
      <w:r>
        <w:rPr>
          <w:rFonts w:hint="eastAsia" w:ascii="宋体" w:hAnsi="宋体" w:cs="宋体"/>
          <w:color w:val="000000" w:themeColor="text1"/>
          <w:sz w:val="24"/>
          <w:szCs w:val="24"/>
          <w:highlight w:val="none"/>
          <w14:textFill>
            <w14:solidFill>
              <w14:schemeClr w14:val="tx1"/>
            </w14:solidFill>
          </w14:textFill>
        </w:rPr>
        <w:t>对投标价格作出解释，由</w:t>
      </w:r>
      <w:r>
        <w:rPr>
          <w:rFonts w:hint="eastAsia" w:ascii="宋体" w:hAnsi="宋体" w:cs="宋体"/>
          <w:color w:val="000000" w:themeColor="text1"/>
          <w:sz w:val="24"/>
          <w:szCs w:val="24"/>
          <w:highlight w:val="none"/>
          <w:lang w:val="en-US"/>
          <w14:textFill>
            <w14:solidFill>
              <w14:schemeClr w14:val="tx1"/>
            </w14:solidFill>
          </w14:textFill>
        </w:rPr>
        <w:t>评标委员会</w:t>
      </w:r>
      <w:r>
        <w:rPr>
          <w:rFonts w:hint="eastAsia" w:ascii="宋体" w:hAnsi="宋体"/>
          <w:bCs/>
          <w:color w:val="000000" w:themeColor="text1"/>
          <w:sz w:val="24"/>
          <w:highlight w:val="none"/>
          <w:lang w:val="en-US"/>
          <w14:textFill>
            <w14:solidFill>
              <w14:schemeClr w14:val="tx1"/>
            </w14:solidFill>
          </w14:textFill>
        </w:rPr>
        <w:t>结合同类项目中标价格、类似产品市场价格水平、行业人工费用标准、国家有关部门指导行业协会发布的行业平均成本等情况、同类产品在主要电商平台的价格、该行业当地</w:t>
      </w:r>
      <w:bookmarkStart w:id="8" w:name="OLE_LINK8"/>
      <w:bookmarkStart w:id="9" w:name="OLE_LINK7"/>
      <w:r>
        <w:rPr>
          <w:rFonts w:hint="eastAsia" w:ascii="宋体" w:hAnsi="宋体"/>
          <w:bCs/>
          <w:color w:val="000000" w:themeColor="text1"/>
          <w:sz w:val="24"/>
          <w:highlight w:val="none"/>
          <w:lang w:val="en-US"/>
          <w14:textFill>
            <w14:solidFill>
              <w14:schemeClr w14:val="tx1"/>
            </w14:solidFill>
          </w14:textFill>
        </w:rPr>
        <w:t>薪资</w:t>
      </w:r>
      <w:bookmarkEnd w:id="8"/>
      <w:bookmarkEnd w:id="9"/>
      <w:r>
        <w:rPr>
          <w:rFonts w:hint="eastAsia" w:ascii="宋体" w:hAnsi="宋体"/>
          <w:bCs/>
          <w:color w:val="000000" w:themeColor="text1"/>
          <w:sz w:val="24"/>
          <w:highlight w:val="none"/>
          <w:lang w:val="en-US"/>
          <w14:textFill>
            <w14:solidFill>
              <w14:schemeClr w14:val="tx1"/>
            </w14:solidFill>
          </w14:textFill>
        </w:rPr>
        <w:t>水平等情况，依据专业经验对供应商报价合理性进行判断</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bCs/>
          <w:color w:val="000000" w:themeColor="text1"/>
          <w:sz w:val="24"/>
          <w:highlight w:val="none"/>
          <w:lang w:val="en-US"/>
          <w14:textFill>
            <w14:solidFill>
              <w14:schemeClr w14:val="tx1"/>
            </w14:solidFill>
          </w14:textFill>
        </w:rPr>
        <w:t>属于第</w:t>
      </w: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lang w:val="en-US"/>
          <w14:textFill>
            <w14:solidFill>
              <w14:schemeClr w14:val="tx1"/>
            </w14:solidFill>
          </w14:textFill>
        </w:rPr>
        <w:t>项情形的，供应商已随</w:t>
      </w:r>
      <w:r>
        <w:rPr>
          <w:rFonts w:hint="eastAsia" w:ascii="宋体" w:hAnsi="宋体"/>
          <w:bCs/>
          <w:color w:val="000000" w:themeColor="text1"/>
          <w:sz w:val="24"/>
          <w:highlight w:val="none"/>
          <w:lang w:val="en-US" w:eastAsia="zh-CN"/>
          <w14:textFill>
            <w14:solidFill>
              <w14:schemeClr w14:val="tx1"/>
            </w14:solidFill>
          </w14:textFill>
        </w:rPr>
        <w:t>投标</w:t>
      </w:r>
      <w:r>
        <w:rPr>
          <w:rFonts w:hint="eastAsia" w:ascii="宋体" w:hAnsi="宋体"/>
          <w:bCs/>
          <w:color w:val="000000" w:themeColor="text1"/>
          <w:sz w:val="24"/>
          <w:highlight w:val="none"/>
          <w:lang w:val="en-US"/>
          <w14:textFill>
            <w14:solidFill>
              <w14:schemeClr w14:val="tx1"/>
            </w14:solidFill>
          </w14:textFill>
        </w:rPr>
        <w:t>文件一并提交相关书面说明及必要的证明材料的，在评审现场可不再重复提交。</w:t>
      </w:r>
      <w:r>
        <w:rPr>
          <w:rFonts w:hint="eastAsia" w:ascii="宋体" w:hAnsi="宋体" w:cs="宋体"/>
          <w:color w:val="000000" w:themeColor="text1"/>
          <w:sz w:val="24"/>
          <w:szCs w:val="24"/>
          <w:highlight w:val="none"/>
          <w14:textFill>
            <w14:solidFill>
              <w14:schemeClr w14:val="tx1"/>
            </w14:solidFill>
          </w14:textFill>
        </w:rPr>
        <w:t>投标供应商不提供书面说明、证明材料，或者提供的书面说明、证明材料不能证明其报价合理性的，评标委员会应当将其作为无效投标处理。</w:t>
      </w:r>
      <w:bookmarkEnd w:id="0"/>
      <w:bookmarkEnd w:id="4"/>
      <w:bookmarkEnd w:id="5"/>
      <w:r>
        <w:rPr>
          <w:rFonts w:hint="eastAsia" w:ascii="宋体" w:hAnsi="宋体"/>
          <w:bCs/>
          <w:color w:val="000000" w:themeColor="text1"/>
          <w:sz w:val="24"/>
          <w:highlight w:val="none"/>
          <w:lang w:val="en-US"/>
          <w14:textFill>
            <w14:solidFill>
              <w14:schemeClr w14:val="tx1"/>
            </w14:solidFill>
          </w14:textFill>
        </w:rPr>
        <w:t>异常低价响应审查的启动原因、审查意见和审查结果应当在评审报告中记录，并随供应商提供的相关书面说明及证明材料，以及评审委员会有关互联网浏览、查询历史一并归档。</w:t>
      </w:r>
      <w:bookmarkEnd w:id="1"/>
      <w:bookmarkEnd w:id="2"/>
    </w:p>
    <w:p w14:paraId="4F27CFB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26.5评标委员会成员对需要共同认定的事项存在争议的，应当按照少数服从多数的原则作出结论。持不同意见的评标委员会成员应当在评标报告上签署不同意见及理由，否则视为同意评标报告。</w:t>
      </w:r>
    </w:p>
    <w:p w14:paraId="035C1E32">
      <w:pPr>
        <w:tabs>
          <w:tab w:val="left" w:pos="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26.6除上述情形外，对投标文件的判定，只依据投标文件本身，不依靠开标后的任何外来证明。</w:t>
      </w:r>
    </w:p>
    <w:p w14:paraId="7C063060">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26.7对不同文字文本投标文件的解释发生异议的，以中文文本为准。</w:t>
      </w:r>
    </w:p>
    <w:p w14:paraId="73C445A1">
      <w:pPr>
        <w:tabs>
          <w:tab w:val="left" w:pos="9000"/>
        </w:tabs>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27.投标的澄清</w:t>
      </w:r>
    </w:p>
    <w:p w14:paraId="3974285A">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27.1对于投标文件中含义不明确、同类问题表述不一致或者有明显文字和计算错误内容，评标委员会应当以书面形式要求投标人作出必要的澄清、说明或者补正。</w:t>
      </w:r>
    </w:p>
    <w:p w14:paraId="46CE5FA3">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27.2投标人的澄清、说明或者补正应当采用书面形式，并加盖其单位电子公章。投标人的澄清、说明或者补正不得超出投标文件的范围或者改变投标文件的实质性内容。</w:t>
      </w:r>
    </w:p>
    <w:p w14:paraId="7E5AA5D5">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27.3本项目投标人的澄清、说明或者补正采用线上澄清： 评标委员会将通过“苏采云”系统向投标人发布“澄清要求函”，接到“澄清要求函”的投标人应当按要求在规定时间内通过“苏采云”系统提交“澄清响应函”并加盖CA电子公章，澄清、说明和补充的内容作为投标文件的补充部分。此处规定时间的计算以系统中的倒计时间为准，</w:t>
      </w:r>
      <w:r>
        <w:rPr>
          <w:rFonts w:hint="eastAsia" w:ascii="宋体" w:hAnsi="宋体" w:cs="宋体"/>
          <w:color w:val="000000" w:themeColor="text1"/>
          <w:sz w:val="24"/>
          <w:szCs w:val="24"/>
          <w:highlight w:val="none"/>
          <w14:textFill>
            <w14:solidFill>
              <w14:schemeClr w14:val="tx1"/>
            </w14:solidFill>
          </w14:textFill>
        </w:rPr>
        <w:t>供应商应随时保持系统在线，如因供应商自身原因未在规定时间内提交澄清确认资料的，导致的不利后果由供应商自行承担。</w:t>
      </w:r>
    </w:p>
    <w:p w14:paraId="4BC5E414">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28.投标无效</w:t>
      </w:r>
    </w:p>
    <w:p w14:paraId="6E0BF4EE">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28.1投标人存在下列情况之一的，投标无效：</w:t>
      </w:r>
    </w:p>
    <w:p w14:paraId="1503DB2A">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28.1.1投标文件未按招标文件要求签署、盖章的；</w:t>
      </w:r>
    </w:p>
    <w:p w14:paraId="0D5066B7">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28.1.2不具备招标文件中规定的资格要求的；</w:t>
      </w:r>
    </w:p>
    <w:p w14:paraId="6F6C438B">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28.1.3报价超过招标文件中规定的预算金额或者最高限价的；</w:t>
      </w:r>
    </w:p>
    <w:p w14:paraId="2B6F2D32">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28.1.4投标文件含有采购人不能接受的附加条件的；</w:t>
      </w:r>
    </w:p>
    <w:p w14:paraId="40D52124">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28.1.5机器码检查中，出现不同投标人投标文件机器码一致情形的；</w:t>
      </w:r>
    </w:p>
    <w:p w14:paraId="171ECFC0">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28.1.6法律、法规和招标文件规定的其他无效情形。</w:t>
      </w:r>
    </w:p>
    <w:p w14:paraId="1193DB87">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28.2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246D168D">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28.3有下列情形之一的，视为投标人串通投标，其投标无效：</w:t>
      </w:r>
    </w:p>
    <w:p w14:paraId="0B081F7A">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28.3.1不同投标人的投标文件由同一单位或者个人编制；</w:t>
      </w:r>
    </w:p>
    <w:p w14:paraId="160D7924">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28.3.2不同投标人委托同一单位或者个人办理投标事宜；</w:t>
      </w:r>
    </w:p>
    <w:p w14:paraId="29569763">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28.3.3不同投标人的投标文件载明的项目管理成员或者联系人员为同一人；</w:t>
      </w:r>
    </w:p>
    <w:p w14:paraId="733ED226">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28.3.4不同投标人的投标文件异常一致或者投标报价呈规律性差异；</w:t>
      </w:r>
    </w:p>
    <w:p w14:paraId="280021A2">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28.3.5不同投标人的投标文件相互混装。</w:t>
      </w:r>
    </w:p>
    <w:p w14:paraId="320F4978">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29.废标</w:t>
      </w:r>
    </w:p>
    <w:p w14:paraId="3723B1D9">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29.1在招标过程中，出现下列情况之一的，应予废标：</w:t>
      </w:r>
    </w:p>
    <w:p w14:paraId="27422D7E">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29.1.1符合专业条件的供应商或者对招标文件作实质投标的供应商不足三家的；</w:t>
      </w:r>
    </w:p>
    <w:p w14:paraId="58559D17">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29.1.2出现影响采购公正的违法、违规行为的；</w:t>
      </w:r>
    </w:p>
    <w:p w14:paraId="1FDCC9AB">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29.1.3投标人的报价均超过了采购预算，采购人不能支付的；</w:t>
      </w:r>
    </w:p>
    <w:p w14:paraId="0F2DDF34">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28.1.4因重大变故，采购任务取消的；</w:t>
      </w:r>
    </w:p>
    <w:p w14:paraId="5631F524">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29.2废标后，采购人和采购代理机构将把废标的理由通知所有投标人。</w:t>
      </w:r>
    </w:p>
    <w:p w14:paraId="50AED948">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30.投标文件的评价和比较</w:t>
      </w:r>
    </w:p>
    <w:p w14:paraId="5FD91FBE">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.1评标委员会将仅对按照本须知有关规定确定为实质性响应招标文件要求的投标文件进行评价和比较。</w:t>
      </w:r>
    </w:p>
    <w:p w14:paraId="26D5C087">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.2评价和比较采用综合评分法，评标结果按评审后得分由高到低顺序排列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得分相同的，按投标报价由低到高顺序排列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得分且投标报价相同的并列，则由评标委员会组织抽签确定中标人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投标文件满足招标文件全部实质性要求，且按照评审因素的量化指标评审得分最高的投标人为排名第一的中标候选人。</w:t>
      </w:r>
    </w:p>
    <w:p w14:paraId="2BFF0975">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.3最低的投标报价或最高的折扣比例是中标的重要条件，但不是唯一条件。</w:t>
      </w:r>
    </w:p>
    <w:p w14:paraId="0FCD5859">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七、授予合同</w:t>
      </w:r>
    </w:p>
    <w:p w14:paraId="7C14C858">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31.中标单位的确认</w:t>
      </w:r>
    </w:p>
    <w:p w14:paraId="5194DF7A">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31.1评标委员会根据投标人资格审查情况，对投标文件进行评价和比较，按照评标办法和标准进行评标，并确定中标人。</w:t>
      </w:r>
    </w:p>
    <w:p w14:paraId="52014CB1">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31.2经评标委员会评审并确定中标人后，采购代理机构将在规定的时间内将中标结果在政府采购管理部门指定媒体上予以公告，公告期为一个工作日。各投标人如对中标公告有异议，应在中标公告期届满起七个工作日内，以书面形式向采购代理机构提出质疑，该质疑须按《政府采购质疑和投诉办法》《江苏省政府采购供应商监督管理暂行办法》的规定提交。采购代理机构将在收到质疑后七个工作日内，对质疑内容作出答复。在此期限后向采购代理机构提出质疑或质疑未经投标人法定代表人或参加投标的代理人签署和盖公章（原件），采购代理机构有权对该质疑不予答复。</w:t>
      </w:r>
    </w:p>
    <w:p w14:paraId="53333367">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32.合同授予：采购人、采购代理机构将把合同授予其投标文件在实质性响应招标文件要求和按本须知规定评选出的投标人。确定为中标的投标人必须具有实施本合同的能力和资源。</w:t>
      </w:r>
    </w:p>
    <w:p w14:paraId="71AA94ED">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33.中标通知书/未中标通知书</w:t>
      </w:r>
    </w:p>
    <w:p w14:paraId="4DDB88A7">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33.1</w:t>
      </w:r>
      <w:r>
        <w:rPr>
          <w:rFonts w:hint="eastAsia" w:ascii="宋体" w:hAnsi="宋体" w:cs="宋体"/>
          <w:color w:val="auto"/>
          <w:sz w:val="24"/>
          <w:szCs w:val="24"/>
          <w:highlight w:val="none"/>
          <w:lang w:eastAsia="zh-CN"/>
        </w:rPr>
        <w:t>确定</w:t>
      </w:r>
      <w:r>
        <w:rPr>
          <w:rFonts w:hint="eastAsia" w:ascii="宋体" w:hAnsi="宋体" w:cs="宋体"/>
          <w:color w:val="auto"/>
          <w:sz w:val="24"/>
          <w:szCs w:val="24"/>
          <w:highlight w:val="none"/>
        </w:rPr>
        <w:t>中标人后，在法定时间内向中标人发出中标通知书。</w:t>
      </w:r>
      <w:r>
        <w:rPr>
          <w:rFonts w:hint="eastAsia" w:ascii="宋体" w:hAnsi="宋体" w:cs="宋体"/>
          <w:b/>
          <w:bCs/>
          <w:color w:val="auto"/>
          <w:sz w:val="24"/>
          <w:szCs w:val="24"/>
          <w:highlight w:val="none"/>
        </w:rPr>
        <w:t>请中标人在中标结果公告届满之日起30日内，使用CA证书登录“苏采云”系统及时下载中标通知书。</w:t>
      </w:r>
      <w:r>
        <w:rPr>
          <w:rFonts w:hint="eastAsia" w:ascii="宋体" w:hAnsi="宋体" w:cs="宋体"/>
          <w:color w:val="auto"/>
          <w:sz w:val="24"/>
          <w:szCs w:val="24"/>
          <w:highlight w:val="none"/>
        </w:rPr>
        <w:t>因系统存储空间有限，自中标结果公告届满之日起30日后，“苏采云”系统不再保证提供下载中标通知书服务，因未及时下载而造成的不利后果由中标人自行承担。</w:t>
      </w:r>
    </w:p>
    <w:p w14:paraId="3A8877BD">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33.2中标通知书将成为合同的组成部分，对采购人和中标人具有同等法律效力。</w:t>
      </w:r>
    </w:p>
    <w:p w14:paraId="3A13D84A">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33.3中标通知书发出后，采购人不得违法改变中标结果，中标人无正当理由不得放弃中标。</w:t>
      </w:r>
    </w:p>
    <w:p w14:paraId="1DD7F3BB">
      <w:pPr>
        <w:pStyle w:val="244"/>
        <w:ind w:left="0"/>
        <w:rPr>
          <w:color w:val="auto"/>
          <w:highlight w:val="none"/>
        </w:rPr>
      </w:pPr>
      <w:r>
        <w:rPr>
          <w:rFonts w:hint="eastAsia" w:ascii="宋体" w:hAnsi="宋体" w:cs="宋体"/>
          <w:color w:val="auto"/>
          <w:sz w:val="24"/>
          <w:szCs w:val="24"/>
          <w:highlight w:val="none"/>
        </w:rPr>
        <w:t>33.4未中标通知书将以邮件方式发送。</w:t>
      </w:r>
    </w:p>
    <w:p w14:paraId="15D9D5DA">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33.5采购代理机构对未中标人不承担解释未中标原因的义务。</w:t>
      </w:r>
    </w:p>
    <w:p w14:paraId="786617F1">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34.合同的签订</w:t>
      </w:r>
    </w:p>
    <w:p w14:paraId="219081B6">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34.1按照《关于印发〈苏州市政府采购促进中小企业发展实施意见〉的通知》（苏财购〔2022〕16号）文件精神，采购人与中标人原则上应当在中标通知书发出之日起十五日内，按照招标文件及投标文件确定的事项签订政府采购合同。</w:t>
      </w:r>
    </w:p>
    <w:p w14:paraId="401C19DF">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34.2采购人和中标人所签订的合同不得对招标文件确定的事项和中标人投标文件作实质性修改。</w:t>
      </w:r>
    </w:p>
    <w:p w14:paraId="61349D57">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34.3招标文件、中标人的投标文件及招标过程中有关澄清、承诺文件均应作为合同附件，采购人不得向中标人提出任何不合理的要求作为签订合同的条件。</w:t>
      </w:r>
    </w:p>
    <w:p w14:paraId="7261F9BE">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34.4招标文件、中标人的投标文件及招标过程中有关澄清、承诺文件均应作为合同附件。</w:t>
      </w:r>
    </w:p>
    <w:p w14:paraId="3E00DE2F">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34.5政府采购合同履行中，采购人需追加与合同标的相同货物、工程或者服务的，在不改变合同其他条款的前提下，可以与中标人协商签订补充合同，但所有补充合同的采购金额不得超过原合同采购金额的10%。</w:t>
      </w:r>
    </w:p>
    <w:p w14:paraId="5C93E6D8">
      <w:pPr>
        <w:tabs>
          <w:tab w:val="left" w:pos="900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34.6采购人和中标人应当根据合同的约定依法履行合同义务。</w:t>
      </w:r>
    </w:p>
    <w:p w14:paraId="55D9106A">
      <w:pPr>
        <w:tabs>
          <w:tab w:val="left" w:pos="900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八、其他事项</w:t>
      </w:r>
    </w:p>
    <w:p w14:paraId="0F510174">
      <w:pPr>
        <w:spacing w:line="360" w:lineRule="auto"/>
        <w:jc w:val="left"/>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5</w:t>
      </w:r>
      <w:r>
        <w:rPr>
          <w:rFonts w:hint="eastAsia" w:ascii="宋体" w:hAnsi="宋体"/>
          <w:color w:val="auto"/>
          <w:sz w:val="24"/>
          <w:highlight w:val="none"/>
        </w:rPr>
        <w:t>.中标人须按前附表的规定计算并支付中标服务费，该费用应在领取中标通知书时一次性付清，如果未按规定缴纳中标服务费，采购代理机构保留诉讼的权利。</w:t>
      </w:r>
    </w:p>
    <w:p w14:paraId="405C215E">
      <w:pPr>
        <w:spacing w:line="360" w:lineRule="auto"/>
        <w:jc w:val="left"/>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6</w:t>
      </w:r>
      <w:r>
        <w:rPr>
          <w:rFonts w:hint="eastAsia" w:ascii="宋体" w:hAnsi="宋体"/>
          <w:color w:val="auto"/>
          <w:sz w:val="24"/>
          <w:highlight w:val="none"/>
        </w:rPr>
        <w:t>.有关监督部门将对招投标全过程进行监督。</w:t>
      </w:r>
    </w:p>
    <w:p w14:paraId="0576D357">
      <w:pPr>
        <w:spacing w:line="360" w:lineRule="auto"/>
        <w:rPr>
          <w:rFonts w:hint="eastAsia" w:ascii="宋体" w:hAnsi="宋体" w:cs="宋体"/>
          <w:color w:val="auto"/>
          <w:sz w:val="24"/>
          <w:szCs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7</w:t>
      </w:r>
      <w:r>
        <w:rPr>
          <w:rFonts w:hint="eastAsia" w:ascii="宋体" w:hAnsi="宋体"/>
          <w:color w:val="auto"/>
          <w:sz w:val="24"/>
          <w:highlight w:val="none"/>
        </w:rPr>
        <w:t>.未尽事宜按《中华人民共和国政府采购法》及其他有关法律法规规定执行</w:t>
      </w:r>
      <w:r>
        <w:rPr>
          <w:rFonts w:hint="eastAsia" w:ascii="宋体" w:hAnsi="宋体" w:cs="宋体"/>
          <w:color w:val="auto"/>
          <w:sz w:val="24"/>
          <w:szCs w:val="24"/>
          <w:highlight w:val="none"/>
        </w:rPr>
        <w:t>。</w:t>
      </w:r>
    </w:p>
    <w:p w14:paraId="1BE395C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38.</w:t>
      </w:r>
      <w:r>
        <w:rPr>
          <w:rFonts w:hint="eastAsia" w:ascii="宋体" w:hAnsi="宋体" w:cs="宋体"/>
          <w:color w:val="000000" w:themeColor="text1"/>
          <w:sz w:val="24"/>
          <w:highlight w:val="none"/>
          <w14:textFill>
            <w14:solidFill>
              <w14:schemeClr w14:val="tx1"/>
            </w14:solidFill>
          </w14:textFill>
        </w:rPr>
        <w:t>缴纳代理服务费时，供应商则须提供开票信息。【注：发票开出后一律不予退换。供应商须对所提供材料信息的真实性、准确性和完整性负责，因材料信息内容的差错缺漏等而导致的后果，由供应商自行承担。】开票信息</w:t>
      </w:r>
    </w:p>
    <w:tbl>
      <w:tblPr>
        <w:tblStyle w:val="40"/>
        <w:tblW w:w="6278" w:type="dxa"/>
        <w:jc w:val="center"/>
        <w:tblLayout w:type="fixed"/>
        <w:tblCellMar>
          <w:top w:w="0" w:type="dxa"/>
          <w:left w:w="108" w:type="dxa"/>
          <w:bottom w:w="0" w:type="dxa"/>
          <w:right w:w="108" w:type="dxa"/>
        </w:tblCellMar>
      </w:tblPr>
      <w:tblGrid>
        <w:gridCol w:w="2288"/>
        <w:gridCol w:w="3990"/>
      </w:tblGrid>
      <w:tr w14:paraId="15FC2600">
        <w:tblPrEx>
          <w:tblCellMar>
            <w:top w:w="0" w:type="dxa"/>
            <w:left w:w="108" w:type="dxa"/>
            <w:bottom w:w="0" w:type="dxa"/>
            <w:right w:w="108" w:type="dxa"/>
          </w:tblCellMar>
        </w:tblPrEx>
        <w:trPr>
          <w:jc w:val="center"/>
        </w:trPr>
        <w:tc>
          <w:tcPr>
            <w:tcW w:w="2288" w:type="dxa"/>
            <w:tcBorders>
              <w:top w:val="single" w:color="000000" w:sz="4" w:space="0"/>
              <w:left w:val="single" w:color="000000" w:sz="4" w:space="0"/>
              <w:bottom w:val="single" w:color="000000" w:sz="4" w:space="0"/>
              <w:right w:val="single" w:color="000000" w:sz="4" w:space="0"/>
            </w:tcBorders>
            <w:noWrap w:val="0"/>
          </w:tcPr>
          <w:p w14:paraId="72C299F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报名单位公司名称</w:t>
            </w:r>
          </w:p>
        </w:tc>
        <w:tc>
          <w:tcPr>
            <w:tcW w:w="3990" w:type="dxa"/>
            <w:tcBorders>
              <w:top w:val="single" w:color="000000" w:sz="4" w:space="0"/>
              <w:left w:val="single" w:color="000000" w:sz="4" w:space="0"/>
              <w:bottom w:val="single" w:color="000000" w:sz="4" w:space="0"/>
              <w:right w:val="single" w:color="000000" w:sz="4" w:space="0"/>
            </w:tcBorders>
            <w:noWrap w:val="0"/>
          </w:tcPr>
          <w:p w14:paraId="76C47164">
            <w:pPr>
              <w:spacing w:line="360" w:lineRule="auto"/>
              <w:rPr>
                <w:rFonts w:ascii="宋体" w:hAnsi="宋体" w:cs="宋体"/>
                <w:color w:val="000000" w:themeColor="text1"/>
                <w:sz w:val="24"/>
                <w:highlight w:val="none"/>
                <w14:textFill>
                  <w14:solidFill>
                    <w14:schemeClr w14:val="tx1"/>
                  </w14:solidFill>
                </w14:textFill>
              </w:rPr>
            </w:pPr>
          </w:p>
        </w:tc>
      </w:tr>
      <w:tr w14:paraId="3F5591DA">
        <w:tblPrEx>
          <w:tblCellMar>
            <w:top w:w="0" w:type="dxa"/>
            <w:left w:w="108" w:type="dxa"/>
            <w:bottom w:w="0" w:type="dxa"/>
            <w:right w:w="108" w:type="dxa"/>
          </w:tblCellMar>
        </w:tblPrEx>
        <w:trPr>
          <w:jc w:val="center"/>
        </w:trPr>
        <w:tc>
          <w:tcPr>
            <w:tcW w:w="2288" w:type="dxa"/>
            <w:tcBorders>
              <w:top w:val="single" w:color="000000" w:sz="4" w:space="0"/>
              <w:left w:val="single" w:color="000000" w:sz="4" w:space="0"/>
              <w:bottom w:val="single" w:color="000000" w:sz="4" w:space="0"/>
              <w:right w:val="single" w:color="000000" w:sz="4" w:space="0"/>
            </w:tcBorders>
            <w:noWrap w:val="0"/>
          </w:tcPr>
          <w:p w14:paraId="6DCBA7F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p>
        </w:tc>
        <w:tc>
          <w:tcPr>
            <w:tcW w:w="3990" w:type="dxa"/>
            <w:tcBorders>
              <w:top w:val="single" w:color="000000" w:sz="4" w:space="0"/>
              <w:left w:val="single" w:color="000000" w:sz="4" w:space="0"/>
              <w:bottom w:val="single" w:color="000000" w:sz="4" w:space="0"/>
              <w:right w:val="single" w:color="000000" w:sz="4" w:space="0"/>
            </w:tcBorders>
            <w:noWrap w:val="0"/>
          </w:tcPr>
          <w:p w14:paraId="2AB55C26">
            <w:pPr>
              <w:spacing w:line="360" w:lineRule="auto"/>
              <w:rPr>
                <w:rFonts w:ascii="宋体" w:hAnsi="宋体" w:cs="宋体"/>
                <w:color w:val="000000" w:themeColor="text1"/>
                <w:sz w:val="24"/>
                <w:highlight w:val="none"/>
                <w14:textFill>
                  <w14:solidFill>
                    <w14:schemeClr w14:val="tx1"/>
                  </w14:solidFill>
                </w14:textFill>
              </w:rPr>
            </w:pPr>
          </w:p>
        </w:tc>
      </w:tr>
      <w:tr w14:paraId="691C59F9">
        <w:tblPrEx>
          <w:tblCellMar>
            <w:top w:w="0" w:type="dxa"/>
            <w:left w:w="108" w:type="dxa"/>
            <w:bottom w:w="0" w:type="dxa"/>
            <w:right w:w="108" w:type="dxa"/>
          </w:tblCellMar>
        </w:tblPrEx>
        <w:trPr>
          <w:jc w:val="center"/>
        </w:trPr>
        <w:tc>
          <w:tcPr>
            <w:tcW w:w="2288" w:type="dxa"/>
            <w:tcBorders>
              <w:top w:val="single" w:color="000000" w:sz="4" w:space="0"/>
              <w:left w:val="single" w:color="000000" w:sz="4" w:space="0"/>
              <w:bottom w:val="single" w:color="000000" w:sz="4" w:space="0"/>
              <w:right w:val="single" w:color="000000" w:sz="4" w:space="0"/>
            </w:tcBorders>
            <w:noWrap w:val="0"/>
          </w:tcPr>
          <w:p w14:paraId="5586139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p>
        </w:tc>
        <w:tc>
          <w:tcPr>
            <w:tcW w:w="3990" w:type="dxa"/>
            <w:tcBorders>
              <w:top w:val="single" w:color="000000" w:sz="4" w:space="0"/>
              <w:left w:val="single" w:color="000000" w:sz="4" w:space="0"/>
              <w:bottom w:val="single" w:color="000000" w:sz="4" w:space="0"/>
              <w:right w:val="single" w:color="000000" w:sz="4" w:space="0"/>
            </w:tcBorders>
            <w:noWrap w:val="0"/>
          </w:tcPr>
          <w:p w14:paraId="06FAB415">
            <w:pPr>
              <w:spacing w:line="360" w:lineRule="auto"/>
              <w:rPr>
                <w:rFonts w:ascii="宋体" w:hAnsi="宋体" w:cs="宋体"/>
                <w:color w:val="000000" w:themeColor="text1"/>
                <w:sz w:val="24"/>
                <w:highlight w:val="none"/>
                <w14:textFill>
                  <w14:solidFill>
                    <w14:schemeClr w14:val="tx1"/>
                  </w14:solidFill>
                </w14:textFill>
              </w:rPr>
            </w:pPr>
          </w:p>
        </w:tc>
      </w:tr>
      <w:tr w14:paraId="20F51D1B">
        <w:tblPrEx>
          <w:tblCellMar>
            <w:top w:w="0" w:type="dxa"/>
            <w:left w:w="108" w:type="dxa"/>
            <w:bottom w:w="0" w:type="dxa"/>
            <w:right w:w="108" w:type="dxa"/>
          </w:tblCellMar>
        </w:tblPrEx>
        <w:trPr>
          <w:jc w:val="center"/>
        </w:trPr>
        <w:tc>
          <w:tcPr>
            <w:tcW w:w="2288" w:type="dxa"/>
            <w:tcBorders>
              <w:top w:val="single" w:color="000000" w:sz="4" w:space="0"/>
              <w:left w:val="single" w:color="000000" w:sz="4" w:space="0"/>
              <w:bottom w:val="single" w:color="000000" w:sz="4" w:space="0"/>
              <w:right w:val="single" w:color="000000" w:sz="4" w:space="0"/>
            </w:tcBorders>
            <w:noWrap w:val="0"/>
          </w:tcPr>
          <w:p w14:paraId="42ABAFA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税号</w:t>
            </w:r>
          </w:p>
        </w:tc>
        <w:tc>
          <w:tcPr>
            <w:tcW w:w="3990" w:type="dxa"/>
            <w:tcBorders>
              <w:top w:val="single" w:color="000000" w:sz="4" w:space="0"/>
              <w:left w:val="single" w:color="000000" w:sz="4" w:space="0"/>
              <w:bottom w:val="single" w:color="000000" w:sz="4" w:space="0"/>
              <w:right w:val="single" w:color="000000" w:sz="4" w:space="0"/>
            </w:tcBorders>
            <w:noWrap w:val="0"/>
          </w:tcPr>
          <w:p w14:paraId="5D26C107">
            <w:pPr>
              <w:spacing w:line="360" w:lineRule="auto"/>
              <w:rPr>
                <w:rFonts w:ascii="宋体" w:hAnsi="宋体" w:cs="宋体"/>
                <w:color w:val="000000" w:themeColor="text1"/>
                <w:sz w:val="24"/>
                <w:highlight w:val="none"/>
                <w14:textFill>
                  <w14:solidFill>
                    <w14:schemeClr w14:val="tx1"/>
                  </w14:solidFill>
                </w14:textFill>
              </w:rPr>
            </w:pPr>
          </w:p>
        </w:tc>
      </w:tr>
      <w:tr w14:paraId="511B1AFA">
        <w:tblPrEx>
          <w:tblCellMar>
            <w:top w:w="0" w:type="dxa"/>
            <w:left w:w="108" w:type="dxa"/>
            <w:bottom w:w="0" w:type="dxa"/>
            <w:right w:w="108" w:type="dxa"/>
          </w:tblCellMar>
        </w:tblPrEx>
        <w:trPr>
          <w:jc w:val="center"/>
        </w:trPr>
        <w:tc>
          <w:tcPr>
            <w:tcW w:w="2288" w:type="dxa"/>
            <w:tcBorders>
              <w:top w:val="single" w:color="000000" w:sz="4" w:space="0"/>
              <w:left w:val="single" w:color="000000" w:sz="4" w:space="0"/>
              <w:bottom w:val="single" w:color="000000" w:sz="4" w:space="0"/>
              <w:right w:val="single" w:color="000000" w:sz="4" w:space="0"/>
            </w:tcBorders>
            <w:noWrap w:val="0"/>
          </w:tcPr>
          <w:p w14:paraId="4B5ABC6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开户行</w:t>
            </w:r>
          </w:p>
        </w:tc>
        <w:tc>
          <w:tcPr>
            <w:tcW w:w="3990" w:type="dxa"/>
            <w:tcBorders>
              <w:top w:val="single" w:color="000000" w:sz="4" w:space="0"/>
              <w:left w:val="single" w:color="000000" w:sz="4" w:space="0"/>
              <w:bottom w:val="single" w:color="000000" w:sz="4" w:space="0"/>
              <w:right w:val="single" w:color="000000" w:sz="4" w:space="0"/>
            </w:tcBorders>
            <w:noWrap w:val="0"/>
          </w:tcPr>
          <w:p w14:paraId="5CC416DE">
            <w:pPr>
              <w:spacing w:line="360" w:lineRule="auto"/>
              <w:rPr>
                <w:rFonts w:ascii="宋体" w:hAnsi="宋体" w:cs="宋体"/>
                <w:color w:val="000000" w:themeColor="text1"/>
                <w:sz w:val="24"/>
                <w:highlight w:val="none"/>
                <w14:textFill>
                  <w14:solidFill>
                    <w14:schemeClr w14:val="tx1"/>
                  </w14:solidFill>
                </w14:textFill>
              </w:rPr>
            </w:pPr>
          </w:p>
        </w:tc>
      </w:tr>
      <w:tr w14:paraId="60D0F36D">
        <w:tblPrEx>
          <w:tblCellMar>
            <w:top w:w="0" w:type="dxa"/>
            <w:left w:w="108" w:type="dxa"/>
            <w:bottom w:w="0" w:type="dxa"/>
            <w:right w:w="108" w:type="dxa"/>
          </w:tblCellMar>
        </w:tblPrEx>
        <w:trPr>
          <w:jc w:val="center"/>
        </w:trPr>
        <w:tc>
          <w:tcPr>
            <w:tcW w:w="2288" w:type="dxa"/>
            <w:tcBorders>
              <w:top w:val="single" w:color="000000" w:sz="4" w:space="0"/>
              <w:left w:val="single" w:color="000000" w:sz="4" w:space="0"/>
              <w:bottom w:val="single" w:color="000000" w:sz="4" w:space="0"/>
              <w:right w:val="single" w:color="000000" w:sz="4" w:space="0"/>
            </w:tcBorders>
            <w:noWrap w:val="0"/>
          </w:tcPr>
          <w:p w14:paraId="1BDFAC9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tc>
        <w:tc>
          <w:tcPr>
            <w:tcW w:w="3990" w:type="dxa"/>
            <w:tcBorders>
              <w:top w:val="single" w:color="000000" w:sz="4" w:space="0"/>
              <w:left w:val="single" w:color="000000" w:sz="4" w:space="0"/>
              <w:bottom w:val="single" w:color="000000" w:sz="4" w:space="0"/>
              <w:right w:val="single" w:color="000000" w:sz="4" w:space="0"/>
            </w:tcBorders>
            <w:noWrap w:val="0"/>
          </w:tcPr>
          <w:p w14:paraId="0436EE2D">
            <w:pPr>
              <w:spacing w:line="360" w:lineRule="auto"/>
              <w:rPr>
                <w:rFonts w:ascii="宋体" w:hAnsi="宋体" w:cs="宋体"/>
                <w:color w:val="000000" w:themeColor="text1"/>
                <w:sz w:val="24"/>
                <w:highlight w:val="none"/>
                <w14:textFill>
                  <w14:solidFill>
                    <w14:schemeClr w14:val="tx1"/>
                  </w14:solidFill>
                </w14:textFill>
              </w:rPr>
            </w:pPr>
          </w:p>
        </w:tc>
      </w:tr>
    </w:tbl>
    <w:p w14:paraId="6D4346D4">
      <w:pPr>
        <w:widowControl/>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w:t>
      </w:r>
      <w:r>
        <w:rPr>
          <w:rFonts w:hint="eastAsia" w:ascii="宋体" w:hAnsi="宋体" w:cs="宋体"/>
          <w:color w:val="000000" w:themeColor="text1"/>
          <w:sz w:val="24"/>
          <w:highlight w:val="none"/>
          <w:lang w:val="en-US" w:eastAsia="zh-CN"/>
          <w14:textFill>
            <w14:solidFill>
              <w14:schemeClr w14:val="tx1"/>
            </w14:solidFill>
          </w14:textFill>
        </w:rPr>
        <w:t>中标</w:t>
      </w:r>
      <w:r>
        <w:rPr>
          <w:rFonts w:hint="eastAsia" w:ascii="宋体" w:hAnsi="宋体" w:cs="宋体"/>
          <w:color w:val="000000" w:themeColor="text1"/>
          <w:sz w:val="24"/>
          <w:highlight w:val="none"/>
          <w14:textFill>
            <w14:solidFill>
              <w14:schemeClr w14:val="tx1"/>
            </w14:solidFill>
          </w14:textFill>
        </w:rPr>
        <w:t>单位将公司开票信息以word文档格式发送至邮箱：szhdpy@126.com。</w:t>
      </w:r>
      <w:r>
        <w:rPr>
          <w:rFonts w:hint="eastAsia" w:ascii="宋体" w:hAnsi="宋体" w:cs="宋体"/>
          <w:color w:val="000000" w:themeColor="text1"/>
          <w:sz w:val="24"/>
          <w:highlight w:val="none"/>
          <w:lang w:val="en-US" w:eastAsia="zh-CN"/>
          <w14:textFill>
            <w14:solidFill>
              <w14:schemeClr w14:val="tx1"/>
            </w14:solidFill>
          </w14:textFill>
        </w:rPr>
        <w:t>中标</w:t>
      </w:r>
      <w:r>
        <w:rPr>
          <w:rFonts w:hint="eastAsia" w:ascii="宋体" w:hAnsi="宋体" w:cs="宋体"/>
          <w:color w:val="000000" w:themeColor="text1"/>
          <w:sz w:val="24"/>
          <w:highlight w:val="none"/>
          <w14:textFill>
            <w14:solidFill>
              <w14:schemeClr w14:val="tx1"/>
            </w14:solidFill>
          </w14:textFill>
        </w:rPr>
        <w:t>单位凭已缴纳代理服务费的银行回单至代理机构领取成交通知书、合同。</w:t>
      </w:r>
      <w:bookmarkStart w:id="10" w:name="_Hlt26954842"/>
      <w:bookmarkEnd w:id="10"/>
      <w:bookmarkStart w:id="11" w:name="_Hlt26954848"/>
      <w:bookmarkEnd w:id="11"/>
      <w:bookmarkStart w:id="12" w:name="_Hlt26954844"/>
      <w:bookmarkEnd w:id="12"/>
      <w:bookmarkStart w:id="13" w:name="_Hlt26668983"/>
      <w:bookmarkEnd w:id="13"/>
      <w:bookmarkStart w:id="14" w:name="_Hlt16619475"/>
      <w:bookmarkEnd w:id="14"/>
      <w:bookmarkStart w:id="15" w:name="_Hlt26670486"/>
      <w:bookmarkEnd w:id="15"/>
      <w:bookmarkStart w:id="16" w:name="_Hlt26954846"/>
      <w:bookmarkEnd w:id="16"/>
      <w:bookmarkStart w:id="17" w:name="_Hlt26670425"/>
      <w:bookmarkEnd w:id="17"/>
      <w:bookmarkStart w:id="18" w:name="_Hlt26954739"/>
      <w:bookmarkEnd w:id="18"/>
      <w:bookmarkStart w:id="19" w:name="_Hlt26954852"/>
      <w:bookmarkEnd w:id="19"/>
      <w:bookmarkStart w:id="20" w:name="_Hlt26670482"/>
      <w:bookmarkEnd w:id="20"/>
      <w:bookmarkStart w:id="21" w:name="_Hlt26670403"/>
      <w:bookmarkEnd w:id="21"/>
      <w:bookmarkStart w:id="22" w:name="_Hlt26954731"/>
      <w:bookmarkEnd w:id="22"/>
    </w:p>
    <w:p w14:paraId="595037D0">
      <w:pPr>
        <w:pStyle w:val="18"/>
        <w:rPr>
          <w:color w:val="000000" w:themeColor="text1"/>
          <w:highlight w:val="none"/>
          <w14:textFill>
            <w14:solidFill>
              <w14:schemeClr w14:val="tx1"/>
            </w14:solidFill>
          </w14:textFill>
        </w:rPr>
        <w:sectPr>
          <w:headerReference r:id="rId3" w:type="default"/>
          <w:footerReference r:id="rId4" w:type="default"/>
          <w:pgSz w:w="11906" w:h="16838"/>
          <w:pgMar w:top="1440" w:right="1486" w:bottom="1440" w:left="1800" w:header="851" w:footer="992" w:gutter="0"/>
          <w:cols w:space="1701" w:num="1"/>
          <w:docGrid w:linePitch="360" w:charSpace="0"/>
        </w:sectPr>
      </w:pPr>
    </w:p>
    <w:p w14:paraId="097E851F">
      <w:pPr>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第三章 投标文件格式</w:t>
      </w:r>
    </w:p>
    <w:p w14:paraId="253CE35F">
      <w:pPr>
        <w:spacing w:line="4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0C7A2C0A">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说明：</w:t>
      </w:r>
    </w:p>
    <w:p w14:paraId="0CA17A92">
      <w:pPr>
        <w:spacing w:line="440" w:lineRule="exact"/>
        <w:ind w:firstLine="435"/>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对本章所有的投标书格式，投标方可根据自身情况进行补充和修改，但补充和修改不得造成与本格式内容有实质性的违背。</w:t>
      </w:r>
    </w:p>
    <w:p w14:paraId="2995B0B0">
      <w:pPr>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1070D99">
      <w:pPr>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3A75644D">
      <w:pPr>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31C8BA8">
      <w:pPr>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22E7CB15">
      <w:pPr>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（投标方）法定代表人授权委托书</w:t>
      </w:r>
    </w:p>
    <w:p w14:paraId="7EF5DF0E">
      <w:pPr>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02E2C7CE">
      <w:pPr>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00A01A3">
      <w:pPr>
        <w:spacing w:line="400" w:lineRule="exact"/>
        <w:jc w:val="cente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授权委托书</w:t>
      </w:r>
    </w:p>
    <w:p w14:paraId="6A5E19C2">
      <w:pPr>
        <w:spacing w:line="360" w:lineRule="auto"/>
        <w:ind w:firstLine="42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0D43E6BA">
      <w:pPr>
        <w:spacing w:line="360" w:lineRule="auto"/>
        <w:ind w:firstLine="42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本授权委托书声明：我</w:t>
      </w:r>
      <w:r>
        <w:rPr>
          <w:rFonts w:hint="eastAsia" w:ascii="宋体" w:hAnsi="宋体"/>
          <w:color w:val="000000" w:themeColor="text1"/>
          <w:sz w:val="24"/>
          <w:highlight w:val="none"/>
          <w:u w:val="single"/>
          <w14:textFill>
            <w14:solidFill>
              <w14:schemeClr w14:val="tx1"/>
            </w14:solidFill>
          </w14:textFill>
        </w:rPr>
        <w:t xml:space="preserve">  （姓名）</w:t>
      </w: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（投标单位名称）  </w:t>
      </w:r>
      <w:r>
        <w:rPr>
          <w:rFonts w:hint="eastAsia" w:ascii="宋体" w:hAnsi="宋体"/>
          <w:color w:val="000000" w:themeColor="text1"/>
          <w:sz w:val="24"/>
          <w:highlight w:val="none"/>
          <w14:textFill>
            <w14:solidFill>
              <w14:schemeClr w14:val="tx1"/>
            </w14:solidFill>
          </w14:textFill>
        </w:rPr>
        <w:t>的法定代表人，现授权委托</w:t>
      </w:r>
      <w:r>
        <w:rPr>
          <w:rFonts w:hint="eastAsia" w:ascii="宋体" w:hAnsi="宋体"/>
          <w:color w:val="000000" w:themeColor="text1"/>
          <w:sz w:val="24"/>
          <w:highlight w:val="none"/>
          <w:u w:val="single"/>
          <w14:textFill>
            <w14:solidFill>
              <w14:schemeClr w14:val="tx1"/>
            </w14:solidFill>
          </w14:textFill>
        </w:rPr>
        <w:t xml:space="preserve">  （单位名称）  </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u w:val="single"/>
          <w14:textFill>
            <w14:solidFill>
              <w14:schemeClr w14:val="tx1"/>
            </w14:solidFill>
          </w14:textFill>
        </w:rPr>
        <w:t xml:space="preserve">  （姓名）  </w:t>
      </w:r>
      <w:r>
        <w:rPr>
          <w:rFonts w:hint="eastAsia" w:ascii="宋体" w:hAnsi="宋体"/>
          <w:color w:val="000000" w:themeColor="text1"/>
          <w:sz w:val="24"/>
          <w:highlight w:val="none"/>
          <w14:textFill>
            <w14:solidFill>
              <w14:schemeClr w14:val="tx1"/>
            </w14:solidFill>
          </w14:textFill>
        </w:rPr>
        <w:t>为我公司被授权人，以本公司的名义参加苏州惠德普源企业咨询有限公司组织实施的编号为</w:t>
      </w:r>
      <w:r>
        <w:rPr>
          <w:rFonts w:hint="eastAsia" w:ascii="宋体" w:hAnsi="宋体"/>
          <w:color w:val="000000" w:themeColor="text1"/>
          <w:sz w:val="24"/>
          <w:highlight w:val="none"/>
          <w:u w:val="single"/>
          <w14:textFill>
            <w14:solidFill>
              <w14:schemeClr w14:val="tx1"/>
            </w14:solidFill>
          </w14:textFill>
        </w:rPr>
        <w:t xml:space="preserve">  （招标编号）  </w:t>
      </w:r>
      <w:r>
        <w:rPr>
          <w:rFonts w:hint="eastAsia" w:ascii="宋体" w:hAnsi="宋体"/>
          <w:color w:val="000000" w:themeColor="text1"/>
          <w:sz w:val="24"/>
          <w:highlight w:val="none"/>
          <w14:textFill>
            <w14:solidFill>
              <w14:schemeClr w14:val="tx1"/>
            </w14:solidFill>
          </w14:textFill>
        </w:rPr>
        <w:t>号的招标活动。被授权人在开标、评标、合同谈判过程中所签署的一切文件和处理与此有关的一切事务，我均予以承认。</w:t>
      </w:r>
    </w:p>
    <w:p w14:paraId="17C38126">
      <w:pPr>
        <w:spacing w:line="360" w:lineRule="auto"/>
        <w:ind w:firstLine="42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被授权人在授权委托书有效期内签署的所有文件不因授权委托的撤销而失效，除非有撤销授权委托的书面通知，本授权委托书自投标开始至合同履行完毕止。</w:t>
      </w:r>
    </w:p>
    <w:p w14:paraId="0A2448B6">
      <w:pPr>
        <w:spacing w:line="360" w:lineRule="auto"/>
        <w:ind w:firstLine="42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被授权人无转委托权。特此委托。</w:t>
      </w:r>
    </w:p>
    <w:p w14:paraId="4E273F0A">
      <w:pPr>
        <w:spacing w:line="360" w:lineRule="auto"/>
        <w:ind w:firstLine="42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3D9AED35">
      <w:pPr>
        <w:spacing w:line="360" w:lineRule="auto"/>
        <w:ind w:firstLine="420"/>
        <w:jc w:val="left"/>
        <w:rPr>
          <w:rFonts w:hint="eastAsia" w:ascii="宋体" w:hAnsi="宋体"/>
          <w:color w:val="000000" w:themeColor="text1"/>
          <w:sz w:val="24"/>
          <w:highlight w:val="none"/>
          <w14:textFill>
            <w14:solidFill>
              <w14:schemeClr w14:val="tx1"/>
            </w14:solidFill>
          </w14:textFill>
        </w:rPr>
      </w:pPr>
    </w:p>
    <w:p w14:paraId="51412119">
      <w:pPr>
        <w:spacing w:line="360" w:lineRule="auto"/>
        <w:ind w:firstLine="42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投标单位：（盖章）</w:t>
      </w:r>
    </w:p>
    <w:p w14:paraId="7CB33FA8">
      <w:pPr>
        <w:spacing w:line="360" w:lineRule="auto"/>
        <w:ind w:firstLine="42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法定代表人：（签字或盖章）</w:t>
      </w:r>
    </w:p>
    <w:p w14:paraId="25DED036">
      <w:pPr>
        <w:spacing w:line="360" w:lineRule="auto"/>
        <w:ind w:firstLine="42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被授权人：（签字）</w:t>
      </w:r>
    </w:p>
    <w:p w14:paraId="66BB73E1">
      <w:pPr>
        <w:ind w:firstLine="42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8657F53">
      <w:pPr>
        <w:ind w:firstLine="42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EB4F2A5">
      <w:pPr>
        <w:ind w:firstLine="42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43F0C47F">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clear="all"/>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投标函</w:t>
      </w:r>
    </w:p>
    <w:p w14:paraId="7C1F8EB7">
      <w:pPr>
        <w:spacing w:line="400" w:lineRule="exact"/>
        <w:jc w:val="cente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投标函</w:t>
      </w:r>
    </w:p>
    <w:p w14:paraId="646CB470">
      <w:pPr>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苏州惠德普源企业咨询有限公司 </w:t>
      </w:r>
      <w:r>
        <w:rPr>
          <w:rFonts w:hint="eastAsia" w:ascii="宋体" w:hAnsi="宋体"/>
          <w:color w:val="000000" w:themeColor="text1"/>
          <w:sz w:val="24"/>
          <w:highlight w:val="none"/>
          <w14:textFill>
            <w14:solidFill>
              <w14:schemeClr w14:val="tx1"/>
            </w14:solidFill>
          </w14:textFill>
        </w:rPr>
        <w:t>：</w:t>
      </w:r>
    </w:p>
    <w:p w14:paraId="3C86770C">
      <w:pPr>
        <w:spacing w:line="4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我们收到贵公司</w:t>
      </w:r>
      <w:r>
        <w:rPr>
          <w:rFonts w:hint="eastAsia" w:ascii="宋体" w:hAnsi="宋体" w:cs="宋体"/>
          <w:color w:val="000000" w:themeColor="text1"/>
          <w:sz w:val="24"/>
          <w:highlight w:val="none"/>
          <w:u w:val="single"/>
          <w14:textFill>
            <w14:solidFill>
              <w14:schemeClr w14:val="tx1"/>
            </w14:solidFill>
          </w14:textFill>
        </w:rPr>
        <w:t>（招标编号）</w:t>
      </w:r>
      <w:r>
        <w:rPr>
          <w:rFonts w:hint="eastAsia" w:ascii="宋体" w:hAnsi="宋体" w:cs="宋体"/>
          <w:color w:val="000000" w:themeColor="text1"/>
          <w:sz w:val="24"/>
          <w:highlight w:val="none"/>
          <w14:textFill>
            <w14:solidFill>
              <w14:schemeClr w14:val="tx1"/>
            </w14:solidFill>
          </w14:textFill>
        </w:rPr>
        <w:t>号招标文件，经仔细阅读和研究，我们同意招标文件中各款要求并决定参加投标。</w:t>
      </w:r>
    </w:p>
    <w:p w14:paraId="56A9A58B">
      <w:pPr>
        <w:spacing w:line="40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1、我们愿意按照招标文件的一切要求，提供包括招标书中要求的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全部项目的所有费用。</w:t>
      </w:r>
    </w:p>
    <w:p w14:paraId="625A3C84">
      <w:pPr>
        <w:spacing w:line="4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2、如果我们的投标书被接受，我们将严格履行招标文件中规定的每一项要求，按期、按质、按量履行合同的义务。</w:t>
      </w:r>
    </w:p>
    <w:p w14:paraId="3E0D5CD2">
      <w:pPr>
        <w:spacing w:line="40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3、我们已详细审查并同意招标文件及更正文件（如有）中的规定。我们完全理解并同意放弃对这方面有不明及误解的权力。</w:t>
      </w:r>
    </w:p>
    <w:p w14:paraId="654D8CB1">
      <w:pPr>
        <w:spacing w:line="40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4、我们同意按招标文件中的规定，本投标书的有效期限为投标截止日起</w:t>
      </w:r>
      <w:r>
        <w:rPr>
          <w:rFonts w:hint="eastAsia" w:ascii="宋体" w:hAnsi="宋体" w:cs="宋体"/>
          <w:color w:val="000000" w:themeColor="text1"/>
          <w:sz w:val="24"/>
          <w:highlight w:val="none"/>
          <w:u w:val="single"/>
          <w:lang w:eastAsia="zh-CN"/>
          <w14:textFill>
            <w14:solidFill>
              <w14:schemeClr w14:val="tx1"/>
            </w14:solidFill>
          </w14:textFill>
        </w:rPr>
        <w:t>九</w:t>
      </w:r>
      <w:r>
        <w:rPr>
          <w:rFonts w:hint="eastAsia" w:ascii="宋体" w:hAnsi="宋体" w:cs="宋体"/>
          <w:color w:val="000000" w:themeColor="text1"/>
          <w:sz w:val="24"/>
          <w:highlight w:val="none"/>
          <w:u w:val="single"/>
          <w14:textFill>
            <w14:solidFill>
              <w14:schemeClr w14:val="tx1"/>
            </w14:solidFill>
          </w14:textFill>
        </w:rPr>
        <w:t>十天</w:t>
      </w:r>
      <w:r>
        <w:rPr>
          <w:rFonts w:hint="eastAsia" w:ascii="宋体" w:hAnsi="宋体" w:cs="宋体"/>
          <w:color w:val="000000" w:themeColor="text1"/>
          <w:sz w:val="24"/>
          <w:highlight w:val="none"/>
          <w14:textFill>
            <w14:solidFill>
              <w14:schemeClr w14:val="tx1"/>
            </w14:solidFill>
          </w14:textFill>
        </w:rPr>
        <w:t>。</w:t>
      </w:r>
    </w:p>
    <w:p w14:paraId="25804CBE">
      <w:pPr>
        <w:spacing w:line="40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5、我们愿意提供采购人或采购代理机构在招标文件中要求的所有资料。</w:t>
      </w:r>
    </w:p>
    <w:p w14:paraId="0865DDAB">
      <w:pPr>
        <w:spacing w:line="40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6、我们声明：我们在参加本次政府采购活动前3年内在经营活动中没有重大违法记录。</w:t>
      </w:r>
    </w:p>
    <w:p w14:paraId="01044E17">
      <w:pPr>
        <w:spacing w:line="40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7、我们愿意遵守招标公告及招标文件中所列的收费标准</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如果我们中标，我们愿意按招标文件规定支付代理服务费。</w:t>
      </w:r>
    </w:p>
    <w:p w14:paraId="1AC0A392">
      <w:pPr>
        <w:spacing w:line="40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8、我们承诺该项投标在开标后的全过程中保持有效，不作任何更改和变动。</w:t>
      </w:r>
    </w:p>
    <w:p w14:paraId="1106B75E">
      <w:pPr>
        <w:spacing w:line="40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r>
        <w:rPr>
          <w:rFonts w:hint="eastAsia" w:ascii="宋体" w:hAnsi="宋体" w:cs="宋体"/>
          <w:color w:val="000000" w:themeColor="text1"/>
          <w:sz w:val="24"/>
          <w:highlight w:val="none"/>
          <w:lang w:val="zh-CN"/>
          <w14:textFill>
            <w14:solidFill>
              <w14:schemeClr w14:val="tx1"/>
            </w14:solidFill>
          </w14:textFill>
        </w:rPr>
        <w:t>我们承诺若在机器码检查中被查出存在与其他投标供应商机器码一致情形的，愿意承担由此产生的一切后果，包括但不限于不得参与后续本项目因故废标后重新开展的相关采购活动。</w:t>
      </w:r>
    </w:p>
    <w:p w14:paraId="680C529B">
      <w:pPr>
        <w:spacing w:line="40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10、我们承诺我公司符合招标文件投标人须知中“合格投标人的资格条件”的要求，若与真实情况不符，本公司愿意承担由此而产生的一切后果。</w:t>
      </w:r>
    </w:p>
    <w:p w14:paraId="60A1E168">
      <w:pPr>
        <w:spacing w:line="40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11、所有有关标书的函电，请按下列地址联系：</w:t>
      </w:r>
    </w:p>
    <w:p w14:paraId="29993B9C">
      <w:pPr>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    位：                                  联 系 人：</w:t>
      </w:r>
    </w:p>
    <w:p w14:paraId="1BD500B9">
      <w:pPr>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                                  邮政编码：</w:t>
      </w:r>
    </w:p>
    <w:p w14:paraId="5EA4785A">
      <w:pPr>
        <w:spacing w:line="400" w:lineRule="exact"/>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                                  传真（或邮箱）：</w:t>
      </w:r>
    </w:p>
    <w:p w14:paraId="71979638">
      <w:pPr>
        <w:spacing w:line="400" w:lineRule="exact"/>
        <w:ind w:firstLine="480"/>
        <w:jc w:val="left"/>
        <w:rPr>
          <w:rFonts w:hint="eastAsia" w:ascii="宋体" w:hAnsi="宋体"/>
          <w:color w:val="000000" w:themeColor="text1"/>
          <w:sz w:val="24"/>
          <w:highlight w:val="none"/>
          <w14:textFill>
            <w14:solidFill>
              <w14:schemeClr w14:val="tx1"/>
            </w14:solidFill>
          </w14:textFill>
        </w:rPr>
      </w:pPr>
    </w:p>
    <w:p w14:paraId="41536EB8">
      <w:pPr>
        <w:spacing w:line="400" w:lineRule="exact"/>
        <w:ind w:right="480" w:firstLine="40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628D5350">
      <w:pPr>
        <w:spacing w:line="400" w:lineRule="exact"/>
        <w:ind w:right="480" w:firstLine="40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投标单位：（单位盖章）</w:t>
      </w:r>
    </w:p>
    <w:p w14:paraId="07C2D06A">
      <w:pPr>
        <w:spacing w:line="400" w:lineRule="exact"/>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法定代表人或被授权人：（签字或盖章）</w:t>
      </w:r>
    </w:p>
    <w:p w14:paraId="6D096480">
      <w:pPr>
        <w:spacing w:line="400" w:lineRule="exact"/>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7C69FD8A">
      <w:pPr>
        <w:rPr>
          <w:rFonts w:hint="eastAsia" w:ascii="宋体" w:hAnsi="宋体"/>
          <w:color w:val="000000" w:themeColor="text1"/>
          <w:sz w:val="28"/>
          <w:szCs w:val="28"/>
          <w:highlight w:val="none"/>
          <w14:textFill>
            <w14:solidFill>
              <w14:schemeClr w14:val="tx1"/>
            </w14:solidFill>
          </w14:textFill>
        </w:rPr>
      </w:pPr>
    </w:p>
    <w:p w14:paraId="343E1D9F">
      <w:pPr>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3、报价</w:t>
      </w:r>
    </w:p>
    <w:p w14:paraId="06129533">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3.1开标一览表（</w:t>
      </w:r>
      <w:r>
        <w:rPr>
          <w:rFonts w:hint="eastAsia" w:ascii="宋体" w:hAnsi="宋体" w:cs="宋体"/>
          <w:b/>
          <w:color w:val="000000" w:themeColor="text1"/>
          <w:sz w:val="24"/>
          <w:highlight w:val="none"/>
          <w14:textFill>
            <w14:solidFill>
              <w14:schemeClr w14:val="tx1"/>
            </w14:solidFill>
          </w14:textFill>
        </w:rPr>
        <w:t>按投标系统内统一格式）</w:t>
      </w:r>
    </w:p>
    <w:p w14:paraId="2961AAB1">
      <w:pPr>
        <w:pStyle w:val="17"/>
        <w:rPr>
          <w:rFonts w:hint="eastAsia"/>
          <w:color w:val="000000" w:themeColor="text1"/>
          <w:highlight w:val="none"/>
          <w14:textFill>
            <w14:solidFill>
              <w14:schemeClr w14:val="tx1"/>
            </w14:solidFill>
          </w14:textFill>
        </w:rPr>
      </w:pPr>
    </w:p>
    <w:p w14:paraId="545376C1">
      <w:pPr>
        <w:spacing w:line="360" w:lineRule="auto"/>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开标一览表</w:t>
      </w:r>
    </w:p>
    <w:p w14:paraId="319384CF">
      <w:pPr>
        <w:spacing w:line="360" w:lineRule="auto"/>
        <w:rPr>
          <w:rFonts w:hint="eastAsia" w:ascii="宋体" w:hAnsi="宋体"/>
          <w:color w:val="000000" w:themeColor="text1"/>
          <w:sz w:val="24"/>
          <w:szCs w:val="24"/>
          <w:highlight w:val="none"/>
          <w:lang w:val="zh-CN"/>
          <w14:textFill>
            <w14:solidFill>
              <w14:schemeClr w14:val="tx1"/>
            </w14:solidFill>
          </w14:textFill>
        </w:rPr>
      </w:pPr>
      <w:r>
        <w:rPr>
          <w:rFonts w:hint="eastAsia" w:ascii="宋体" w:hAnsi="宋体"/>
          <w:color w:val="000000" w:themeColor="text1"/>
          <w:sz w:val="24"/>
          <w:szCs w:val="24"/>
          <w:highlight w:val="none"/>
          <w:lang w:val="zh-CN"/>
          <w14:textFill>
            <w14:solidFill>
              <w14:schemeClr w14:val="tx1"/>
            </w14:solidFill>
          </w14:textFill>
        </w:rPr>
        <w:t>投标人全称（加盖公章）：</w:t>
      </w:r>
      <w:bookmarkStart w:id="23" w:name="TBR"/>
      <w:bookmarkEnd w:id="23"/>
    </w:p>
    <w:p w14:paraId="46B062D5">
      <w:pPr>
        <w:spacing w:line="360" w:lineRule="auto"/>
        <w:rPr>
          <w:rFonts w:hint="eastAsia" w:ascii="宋体" w:hAnsi="宋体"/>
          <w:color w:val="000000" w:themeColor="text1"/>
          <w:sz w:val="24"/>
          <w:szCs w:val="24"/>
          <w:highlight w:val="none"/>
          <w:lang w:val="zh-CN"/>
          <w14:textFill>
            <w14:solidFill>
              <w14:schemeClr w14:val="tx1"/>
            </w14:solidFill>
          </w14:textFill>
        </w:rPr>
      </w:pPr>
      <w:r>
        <w:rPr>
          <w:rFonts w:hint="eastAsia" w:ascii="宋体" w:hAnsi="宋体"/>
          <w:color w:val="000000" w:themeColor="text1"/>
          <w:sz w:val="24"/>
          <w:szCs w:val="24"/>
          <w:highlight w:val="none"/>
          <w:lang w:val="zh-CN"/>
          <w14:textFill>
            <w14:solidFill>
              <w14:schemeClr w14:val="tx1"/>
            </w14:solidFill>
          </w14:textFill>
        </w:rPr>
        <w:t>项目编号：</w:t>
      </w:r>
    </w:p>
    <w:p w14:paraId="2D9EEB41">
      <w:pPr>
        <w:spacing w:line="360" w:lineRule="auto"/>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分包号：</w:t>
      </w:r>
      <w:bookmarkStart w:id="24" w:name="FBH"/>
      <w:bookmarkEnd w:id="24"/>
    </w:p>
    <w:tbl>
      <w:tblPr>
        <w:tblStyle w:val="40"/>
        <w:tblW w:w="8235"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45"/>
        <w:gridCol w:w="5790"/>
      </w:tblGrid>
      <w:tr w14:paraId="4B7BC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7" w:hRule="atLeast"/>
        </w:trPr>
        <w:tc>
          <w:tcPr>
            <w:tcW w:w="2445" w:type="dxa"/>
            <w:noWrap w:val="0"/>
            <w:vAlign w:val="center"/>
          </w:tcPr>
          <w:p w14:paraId="1CBDA776">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zh-CN"/>
                <w14:textFill>
                  <w14:solidFill>
                    <w14:schemeClr w14:val="tx1"/>
                  </w14:solidFill>
                </w14:textFill>
              </w:rPr>
              <w:t xml:space="preserve">  </w:t>
            </w:r>
            <w:bookmarkStart w:id="25" w:name="XMBH"/>
            <w:bookmarkEnd w:id="25"/>
            <w:r>
              <w:rPr>
                <w:rFonts w:hint="eastAsia" w:ascii="宋体" w:hAnsi="宋体"/>
                <w:color w:val="000000" w:themeColor="text1"/>
                <w:sz w:val="24"/>
                <w:szCs w:val="24"/>
                <w:highlight w:val="none"/>
                <w14:textFill>
                  <w14:solidFill>
                    <w14:schemeClr w14:val="tx1"/>
                  </w14:solidFill>
                </w14:textFill>
              </w:rPr>
              <w:t>项目名称</w:t>
            </w:r>
          </w:p>
        </w:tc>
        <w:tc>
          <w:tcPr>
            <w:tcW w:w="5790" w:type="dxa"/>
            <w:noWrap w:val="0"/>
            <w:vAlign w:val="center"/>
          </w:tcPr>
          <w:p w14:paraId="386C019B">
            <w:pPr>
              <w:spacing w:line="60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投标总报价</w:t>
            </w:r>
          </w:p>
        </w:tc>
      </w:tr>
      <w:tr w14:paraId="5AB5E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7" w:hRule="atLeast"/>
        </w:trPr>
        <w:tc>
          <w:tcPr>
            <w:tcW w:w="2445" w:type="dxa"/>
            <w:noWrap w:val="0"/>
            <w:vAlign w:val="center"/>
          </w:tcPr>
          <w:p w14:paraId="7CCFEAB5">
            <w:pPr>
              <w:spacing w:line="600" w:lineRule="exact"/>
              <w:jc w:val="center"/>
              <w:rPr>
                <w:rFonts w:ascii="宋体" w:hAnsi="宋体"/>
                <w:color w:val="000000" w:themeColor="text1"/>
                <w:sz w:val="24"/>
                <w:szCs w:val="24"/>
                <w:highlight w:val="none"/>
                <w14:textFill>
                  <w14:solidFill>
                    <w14:schemeClr w14:val="tx1"/>
                  </w14:solidFill>
                </w14:textFill>
              </w:rPr>
            </w:pPr>
            <w:bookmarkStart w:id="26" w:name="XMMC"/>
            <w:bookmarkEnd w:id="26"/>
          </w:p>
        </w:tc>
        <w:tc>
          <w:tcPr>
            <w:tcW w:w="5790" w:type="dxa"/>
            <w:noWrap w:val="0"/>
            <w:vAlign w:val="center"/>
          </w:tcPr>
          <w:p w14:paraId="6C1B9ED8">
            <w:pPr>
              <w:spacing w:line="60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小写：</w:t>
            </w:r>
            <w:bookmarkStart w:id="27" w:name="JEXX"/>
            <w:bookmarkEnd w:id="27"/>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（元人民币）</w:t>
            </w:r>
          </w:p>
        </w:tc>
      </w:tr>
      <w:tr w14:paraId="0D901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7" w:hRule="atLeast"/>
        </w:trPr>
        <w:tc>
          <w:tcPr>
            <w:tcW w:w="2445" w:type="dxa"/>
            <w:noWrap w:val="0"/>
            <w:vAlign w:val="center"/>
          </w:tcPr>
          <w:p w14:paraId="4A7D6BAD">
            <w:pPr>
              <w:spacing w:line="60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投标报价大写金额</w:t>
            </w:r>
          </w:p>
        </w:tc>
        <w:tc>
          <w:tcPr>
            <w:tcW w:w="5790" w:type="dxa"/>
            <w:noWrap w:val="0"/>
            <w:vAlign w:val="center"/>
          </w:tcPr>
          <w:p w14:paraId="3A373AD9">
            <w:pPr>
              <w:spacing w:line="600" w:lineRule="exact"/>
              <w:rPr>
                <w:rFonts w:ascii="宋体" w:hAnsi="宋体"/>
                <w:color w:val="000000" w:themeColor="text1"/>
                <w:sz w:val="24"/>
                <w:szCs w:val="24"/>
                <w:highlight w:val="none"/>
                <w14:textFill>
                  <w14:solidFill>
                    <w14:schemeClr w14:val="tx1"/>
                  </w14:solidFill>
                </w14:textFill>
              </w:rPr>
            </w:pPr>
            <w:bookmarkStart w:id="28" w:name="JEDX"/>
            <w:bookmarkEnd w:id="28"/>
            <w:r>
              <w:rPr>
                <w:rFonts w:hint="eastAsia" w:ascii="宋体" w:hAnsi="宋体"/>
                <w:color w:val="000000" w:themeColor="text1"/>
                <w:sz w:val="24"/>
                <w:szCs w:val="24"/>
                <w:highlight w:val="none"/>
                <w14:textFill>
                  <w14:solidFill>
                    <w14:schemeClr w14:val="tx1"/>
                  </w14:solidFill>
                </w14:textFill>
              </w:rPr>
              <w:t xml:space="preserve">   </w:t>
            </w:r>
          </w:p>
        </w:tc>
      </w:tr>
    </w:tbl>
    <w:p w14:paraId="69CBE94F">
      <w:pPr>
        <w:spacing w:line="600" w:lineRule="exact"/>
        <w:rPr>
          <w:rFonts w:ascii="宋体" w:hAnsi="宋体"/>
          <w:color w:val="000000" w:themeColor="text1"/>
          <w:szCs w:val="21"/>
          <w:highlight w:val="none"/>
          <w14:textFill>
            <w14:solidFill>
              <w14:schemeClr w14:val="tx1"/>
            </w14:solidFill>
          </w14:textFill>
        </w:rPr>
      </w:pPr>
    </w:p>
    <w:p w14:paraId="569C1EB8">
      <w:pPr>
        <w:spacing w:line="360" w:lineRule="auto"/>
        <w:jc w:val="left"/>
        <w:rPr>
          <w:rFonts w:hint="eastAsia" w:ascii="宋体" w:hAnsi="宋体"/>
          <w:color w:val="000000" w:themeColor="text1"/>
          <w:sz w:val="24"/>
          <w:szCs w:val="24"/>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 w:val="24"/>
          <w:szCs w:val="24"/>
          <w:highlight w:val="none"/>
          <w:lang w:val="zh-CN"/>
          <w14:textFill>
            <w14:solidFill>
              <w14:schemeClr w14:val="tx1"/>
            </w14:solidFill>
          </w14:textFill>
        </w:rPr>
        <w:t xml:space="preserve"> 日期：   </w:t>
      </w:r>
      <w:bookmarkStart w:id="29" w:name="NF"/>
      <w:bookmarkEnd w:id="29"/>
      <w:r>
        <w:rPr>
          <w:rFonts w:hint="eastAsia" w:ascii="宋体" w:hAnsi="宋体"/>
          <w:color w:val="000000" w:themeColor="text1"/>
          <w:sz w:val="24"/>
          <w:szCs w:val="24"/>
          <w:highlight w:val="none"/>
          <w:lang w:val="zh-CN"/>
          <w14:textFill>
            <w14:solidFill>
              <w14:schemeClr w14:val="tx1"/>
            </w14:solidFill>
          </w14:textFill>
        </w:rPr>
        <w:t xml:space="preserve"> 年 </w:t>
      </w:r>
      <w:bookmarkStart w:id="30" w:name="YF"/>
      <w:bookmarkEnd w:id="30"/>
      <w:r>
        <w:rPr>
          <w:rFonts w:hint="eastAsia" w:ascii="宋体" w:hAnsi="宋体"/>
          <w:color w:val="000000" w:themeColor="text1"/>
          <w:sz w:val="24"/>
          <w:szCs w:val="24"/>
          <w:highlight w:val="none"/>
          <w:lang w:val="zh-CN"/>
          <w14:textFill>
            <w14:solidFill>
              <w14:schemeClr w14:val="tx1"/>
            </w14:solidFill>
          </w14:textFill>
        </w:rPr>
        <w:t xml:space="preserve">  月 </w:t>
      </w:r>
      <w:bookmarkStart w:id="31" w:name="RI"/>
      <w:bookmarkEnd w:id="31"/>
      <w:r>
        <w:rPr>
          <w:rFonts w:hint="eastAsia" w:ascii="宋体" w:hAnsi="宋体"/>
          <w:color w:val="000000" w:themeColor="text1"/>
          <w:sz w:val="24"/>
          <w:szCs w:val="24"/>
          <w:highlight w:val="none"/>
          <w:lang w:val="zh-CN"/>
          <w14:textFill>
            <w14:solidFill>
              <w14:schemeClr w14:val="tx1"/>
            </w14:solidFill>
          </w14:textFill>
        </w:rPr>
        <w:t xml:space="preserve">  日</w:t>
      </w:r>
    </w:p>
    <w:p w14:paraId="5F6BDB58">
      <w:pPr>
        <w:pStyle w:val="246"/>
        <w:spacing w:line="360" w:lineRule="auto"/>
        <w:ind w:firstLine="0"/>
        <w:rPr>
          <w:rFonts w:hint="default" w:ascii="宋体" w:hAnsi="宋体" w:eastAsia="楷体_GB2312"/>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clear="all"/>
      </w:r>
      <w:r>
        <w:rPr>
          <w:rFonts w:hint="eastAsia" w:ascii="宋体" w:hAnsi="宋体"/>
          <w:color w:val="000000" w:themeColor="text1"/>
          <w:sz w:val="28"/>
          <w:szCs w:val="28"/>
          <w:highlight w:val="none"/>
          <w14:textFill>
            <w14:solidFill>
              <w14:schemeClr w14:val="tx1"/>
            </w14:solidFill>
          </w14:textFill>
        </w:rPr>
        <w:t>3.2</w:t>
      </w:r>
      <w:r>
        <w:rPr>
          <w:rFonts w:hint="eastAsia" w:ascii="宋体" w:hAnsi="宋体" w:eastAsia="宋体"/>
          <w:color w:val="000000" w:themeColor="text1"/>
          <w:sz w:val="28"/>
          <w:szCs w:val="28"/>
          <w:highlight w:val="none"/>
          <w:lang w:val="en-US" w:eastAsia="zh-CN"/>
          <w14:textFill>
            <w14:solidFill>
              <w14:schemeClr w14:val="tx1"/>
            </w14:solidFill>
          </w14:textFill>
        </w:rPr>
        <w:t>公开分项报价表</w:t>
      </w:r>
    </w:p>
    <w:p w14:paraId="377A2B65">
      <w:pPr>
        <w:spacing w:line="360" w:lineRule="auto"/>
        <w:jc w:val="both"/>
        <w:rPr>
          <w:rFonts w:hint="eastAsia" w:ascii="宋体" w:hAnsi="宋体"/>
          <w:bCs/>
          <w:color w:val="000000" w:themeColor="text1"/>
          <w:sz w:val="28"/>
          <w:szCs w:val="28"/>
          <w:highlight w:val="none"/>
          <w14:textFill>
            <w14:solidFill>
              <w14:schemeClr w14:val="tx1"/>
            </w14:solidFill>
          </w14:textFill>
        </w:rPr>
      </w:pPr>
    </w:p>
    <w:p w14:paraId="3D12E317">
      <w:pPr>
        <w:spacing w:line="360" w:lineRule="auto"/>
        <w:jc w:val="center"/>
        <w:rPr>
          <w:rFonts w:ascii="宋体" w:hAnsi="宋体" w:cs="宋体"/>
          <w:b/>
          <w:color w:val="000000" w:themeColor="text1"/>
          <w:sz w:val="24"/>
          <w:highlight w:val="none"/>
          <w14:textFill>
            <w14:solidFill>
              <w14:schemeClr w14:val="tx1"/>
            </w14:solidFill>
          </w14:textFill>
        </w:rPr>
      </w:pPr>
      <w:bookmarkStart w:id="32" w:name="_Hlk141468438"/>
      <w:r>
        <w:rPr>
          <w:rFonts w:hint="eastAsia" w:ascii="宋体" w:hAnsi="宋体" w:cs="宋体"/>
          <w:b/>
          <w:color w:val="000000" w:themeColor="text1"/>
          <w:sz w:val="24"/>
          <w:highlight w:val="none"/>
          <w:lang w:val="en-US" w:eastAsia="zh-CN"/>
          <w14:textFill>
            <w14:solidFill>
              <w14:schemeClr w14:val="tx1"/>
            </w14:solidFill>
          </w14:textFill>
        </w:rPr>
        <w:t>公开分项报价</w:t>
      </w:r>
      <w:r>
        <w:rPr>
          <w:rFonts w:hint="eastAsia" w:ascii="宋体" w:hAnsi="宋体" w:cs="宋体"/>
          <w:b/>
          <w:color w:val="000000" w:themeColor="text1"/>
          <w:sz w:val="24"/>
          <w:highlight w:val="none"/>
          <w14:textFill>
            <w14:solidFill>
              <w14:schemeClr w14:val="tx1"/>
            </w14:solidFill>
          </w14:textFill>
        </w:rPr>
        <w:t>表</w:t>
      </w:r>
      <w:bookmarkEnd w:id="32"/>
    </w:p>
    <w:p w14:paraId="7A90F880">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1、病区被服</w:t>
      </w:r>
    </w:p>
    <w:tbl>
      <w:tblPr>
        <w:tblStyle w:val="40"/>
        <w:tblW w:w="8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2655"/>
        <w:gridCol w:w="1485"/>
        <w:gridCol w:w="1665"/>
        <w:gridCol w:w="1718"/>
      </w:tblGrid>
      <w:tr w14:paraId="378E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EBBB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序号</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8C2A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名称</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E9B0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年预估</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数量</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F481F">
            <w:pPr>
              <w:keepNext w:val="0"/>
              <w:keepLines w:val="0"/>
              <w:widowControl/>
              <w:suppressLineNumbers w:val="0"/>
              <w:jc w:val="center"/>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洗涤</w:t>
            </w:r>
            <w:r>
              <w:rPr>
                <w:rFonts w:hint="eastAsia" w:ascii="宋体" w:hAnsi="宋体" w:eastAsia="宋体" w:cs="宋体"/>
                <w:color w:val="000000" w:themeColor="text1"/>
                <w:sz w:val="24"/>
                <w:szCs w:val="24"/>
                <w:highlight w:val="none"/>
                <w:lang w:bidi="ar"/>
                <w14:textFill>
                  <w14:solidFill>
                    <w14:schemeClr w14:val="tx1"/>
                  </w14:solidFill>
                </w14:textFill>
              </w:rPr>
              <w:t>单价</w:t>
            </w:r>
          </w:p>
          <w:p w14:paraId="29C9327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（元/件）</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3AC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小</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计（元）</w:t>
            </w:r>
          </w:p>
        </w:tc>
      </w:tr>
      <w:tr w14:paraId="201F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91C4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718C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床罩</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1B01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22890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DA4F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18A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F74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D8FF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8273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枕套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9E91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21450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4B4D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938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40E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791D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80E4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被套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5B02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23530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814A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B73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C5B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2EE1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2D34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病员服</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2459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33100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A597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296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E5E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B82A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5790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病员裤</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7958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29100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3D70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807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D85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FD7B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6</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EE19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儿童病员服</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F70E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ABE9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A3A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164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4A74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7</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5371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儿童病员裤</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3EC6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C3FB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3BC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3E39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A5FB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8</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11E1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值班床单</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E1BC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5860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0AE9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E76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20F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B239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9</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C65A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值班枕套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3F3F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4980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3345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DA2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A4B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5E43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9008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值班被套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99DF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5230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B64B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F6E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CAF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4DFB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11</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C442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手术被套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310B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DB6C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CA1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A60E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50FD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12</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BE4D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手术床单</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E956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110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2281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C22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A1A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2B42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13</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0DB5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污衣袋</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DA02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5200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05EE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6BE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E5A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4633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14</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0D53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剖腹单</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5C57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6594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508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2BF9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0FFD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15</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C7AB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双层大包布</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FACD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1380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885B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40D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3FC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40A7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16</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E477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双层中包布</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F122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BFC1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10C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AE7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DDDD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17</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DE63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双层台布</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7FFC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120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E8F4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757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88F0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B271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18</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249C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内穿衣（套）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EC72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2B49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F9A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B7DD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0C64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19</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D3FB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巡回服</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08E8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5259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951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3CB6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904F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20</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7721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捆手布</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4F5E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9DAB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AF1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5528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0C2D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21</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C331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新生儿双层毛衫</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7805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FEA7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123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12E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6194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22</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A593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新生儿被套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FEF1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B3EF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F60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DCF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46C3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23</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B670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洗手衣</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1179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18800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B5FA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BD9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5CF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3BE1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24</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F974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洗手裤</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0602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18500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C1AD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8F1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0173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8CBA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25</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B570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手术衣</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A6F7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4750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DC1F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8F9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06CB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0D74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26</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FB3E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夏款短工作服</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8C9D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C31A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132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BCF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0ACC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27</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1854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夏款长工作服</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1D1E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3430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4B02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097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8C9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CB70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28</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43E8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冬款长工作服</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F573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19500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4526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0EC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A2C5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D3D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29</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095F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冬款短工作服</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E0DD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150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0D26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794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252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77B1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30</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35FB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工作裤</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E7FE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11140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D760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C7D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39A4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5264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31</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0A3D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新生儿被芯</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CC24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B280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FEF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F82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D167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32</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BFAD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新生儿大鸟巢</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2495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5F37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47D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8C0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7280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33</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ACAC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新生儿大鸟巢被芯</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CA61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A11F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15D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8D3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78A6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34</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6951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四季被芯</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6307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340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877D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77B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928A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6C7D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35</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B002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枕芯</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D404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570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A935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1A2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93DB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E632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36</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ACBC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手术被芯</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CD7E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5A01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F5A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5CF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0C8C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37</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CA11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小棉被芯（手术室）</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756C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110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6BBF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A99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BBA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3243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38</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81AB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小棉被套（手术室）</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248E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460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D16F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358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505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DEA6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40</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AEF1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护士帽</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9831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2731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CFC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BF1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7892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41</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C726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护士毛衣</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999F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EBCB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50A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14F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30B9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42</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CF25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体位垫</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1C8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0A8E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390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41B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D58E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43</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E41B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翻身枕</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B72D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28F3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332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8CD1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2DEF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44</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627A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搁脚枕</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027A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3C1B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219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CBB3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A0A3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45</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DC0E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搁手枕</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7B62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56AF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3D8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447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D4F5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46</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DEAB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羽绒服长袖短款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A5E2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7386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E84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EF5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87B5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47</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7B79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羽绒服长袖长款</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9706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0EBD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E53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0FF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FE75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48</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6977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窗帘</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F671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2E65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3E2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6467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99DA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49</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16ED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隔帘</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64CA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570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4D1C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2F5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3EB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7F49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B425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沙发套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4C8F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A3FC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DED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2C15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313"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EFBB9">
            <w:pPr>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①小计金额：</w:t>
            </w:r>
          </w:p>
        </w:tc>
      </w:tr>
    </w:tbl>
    <w:p w14:paraId="3EA6FA5B">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2、手术室包裹</w:t>
      </w:r>
    </w:p>
    <w:tbl>
      <w:tblPr>
        <w:tblStyle w:val="40"/>
        <w:tblW w:w="10454" w:type="dxa"/>
        <w:tblInd w:w="-6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034"/>
        <w:gridCol w:w="961"/>
        <w:gridCol w:w="1095"/>
        <w:gridCol w:w="1200"/>
        <w:gridCol w:w="630"/>
        <w:gridCol w:w="630"/>
        <w:gridCol w:w="780"/>
        <w:gridCol w:w="825"/>
        <w:gridCol w:w="840"/>
        <w:gridCol w:w="750"/>
        <w:gridCol w:w="989"/>
      </w:tblGrid>
      <w:tr w14:paraId="4A6D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B408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序号</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98D8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物品</w:t>
            </w:r>
          </w:p>
          <w:p w14:paraId="3E44572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名称</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4DDE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年预估</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4E2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品名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81D1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尺寸（cm）</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10BC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4B7D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9FBD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洗涤单价</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9ED5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洗涤合价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CF0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租赁单价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CB6E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租赁合价</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EE97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合计（元）</w:t>
            </w:r>
          </w:p>
        </w:tc>
      </w:tr>
      <w:tr w14:paraId="116F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E7D0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6B03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大包</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FB758">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2200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EBCD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外包布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249E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130*130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DC01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F590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2E26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8BBE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CDB9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B2B6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218C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BBA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C651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D700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571E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8982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治疗巾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0AC9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90*90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4746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41A7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E9FA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F170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F468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EE99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3E41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0CE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7C36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394A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9E2A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222F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台布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59F3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210*140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1897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B00A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C914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576A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E7A3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277F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BEAC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A07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61C4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C59C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剖腹单包</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3202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15</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A739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剖腹单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A427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310*210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4607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CB5C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204D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15BF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660E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52ED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9A06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CB0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AD99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3C2A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C1DE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A3A1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台布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4CBD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210*140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D43A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F5A5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6E5D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7FF5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917B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46FE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AC57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9A2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EBF7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EE38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352E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49F9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外包布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F10E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130*130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8B54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44B7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7DE3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B71A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120E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9E14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7147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F72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4761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2095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手术衣包</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ABB4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52</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0</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AA52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手术衣</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C91D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9847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8407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5A6E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1AB4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65BA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842C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CA8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7FDE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2192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974C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38C2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台布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DEC7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210*140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3628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3EE4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038D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85BC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A5AB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76CD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97B4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C3F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EEA2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09D5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6C91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1239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外包布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CB47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130*130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C8F5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536E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7C3D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2577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B5B5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B10D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837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7534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C23E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F469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台布包</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D6EB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65</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6318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台布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8CF5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210*140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7E66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8F62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DF8F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51BB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6977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E2F5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873D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F75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32F8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B104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6206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E6D5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外包布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069E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130*130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6907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D68A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6D04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3DDA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DB20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98AD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E77B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B85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C27C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8EAE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洗手衣</w:t>
            </w:r>
          </w:p>
          <w:p w14:paraId="2B80EDD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裤包</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1A8DF">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3750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FA0B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外包布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6EB8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110*110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C872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05EF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EC26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CA9C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E601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3265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EC49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119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A361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A42F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F452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39C0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洗手衣裤</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3738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套</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4371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8</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8C51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6133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94E6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C7B0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6C2F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E86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A919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6</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D48F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巡回衣包</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8FFB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C14C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外包布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1716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110*110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3783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44D7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43E0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5113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02EF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0135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1383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069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7870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DE82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4ECC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BBB9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巡回衣裤</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FFF9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套</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CFD2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8</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2FA0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F574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1E00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EC54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9DAE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3FC2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ADE8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7</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C757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治疗巾包</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2AF7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85</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662E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治疗巾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0CFE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90*90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A3F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5024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3241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7C6C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5FF0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1CF7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17C8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5F8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23C2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43A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2C7C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705E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外包布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FA95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130*130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E5E1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A60D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62CB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E5BC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5CA5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D76A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5DA0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FE0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54" w:type="dxa"/>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63A86">
            <w:pPr>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②小计金额：</w:t>
            </w:r>
          </w:p>
        </w:tc>
      </w:tr>
      <w:tr w14:paraId="7054E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54" w:type="dxa"/>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11B7B">
            <w:pPr>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③合计金额=①+②</w:t>
            </w:r>
          </w:p>
        </w:tc>
      </w:tr>
    </w:tbl>
    <w:p w14:paraId="180E0990">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注：1）此表“</w:t>
      </w:r>
      <w:r>
        <w:rPr>
          <w:rFonts w:hint="eastAsia" w:ascii="宋体" w:hAnsi="宋体" w:cs="宋体"/>
          <w:color w:val="000000" w:themeColor="text1"/>
          <w:sz w:val="24"/>
          <w:szCs w:val="24"/>
          <w:highlight w:val="none"/>
          <w:lang w:bidi="ar"/>
          <w14:textFill>
            <w14:solidFill>
              <w14:schemeClr w14:val="tx1"/>
            </w14:solidFill>
          </w14:textFill>
        </w:rPr>
        <w:t>③</w:t>
      </w:r>
      <w:r>
        <w:rPr>
          <w:rFonts w:hint="eastAsia" w:ascii="宋体" w:hAnsi="宋体"/>
          <w:color w:val="000000" w:themeColor="text1"/>
          <w:sz w:val="24"/>
          <w:highlight w:val="none"/>
          <w14:textFill>
            <w14:solidFill>
              <w14:schemeClr w14:val="tx1"/>
            </w14:solidFill>
          </w14:textFill>
        </w:rPr>
        <w:t>合计金额”与</w:t>
      </w:r>
      <w:r>
        <w:rPr>
          <w:rFonts w:hint="eastAsia" w:ascii="宋体" w:hAnsi="宋体"/>
          <w:color w:val="000000" w:themeColor="text1"/>
          <w:sz w:val="24"/>
          <w:highlight w:val="none"/>
          <w:lang w:val="en-US" w:eastAsia="zh-CN"/>
          <w14:textFill>
            <w14:solidFill>
              <w14:schemeClr w14:val="tx1"/>
            </w14:solidFill>
          </w14:textFill>
        </w:rPr>
        <w:t>开标一览标</w:t>
      </w:r>
      <w:r>
        <w:rPr>
          <w:rFonts w:hint="eastAsia" w:ascii="宋体" w:hAnsi="宋体"/>
          <w:color w:val="000000" w:themeColor="text1"/>
          <w:sz w:val="24"/>
          <w:highlight w:val="none"/>
          <w14:textFill>
            <w14:solidFill>
              <w14:schemeClr w14:val="tx1"/>
            </w14:solidFill>
          </w14:textFill>
        </w:rPr>
        <w:t>“项目总价”须保持一致，否则以</w:t>
      </w:r>
      <w:r>
        <w:rPr>
          <w:rFonts w:hint="eastAsia" w:ascii="宋体" w:hAnsi="宋体"/>
          <w:color w:val="000000" w:themeColor="text1"/>
          <w:sz w:val="24"/>
          <w:highlight w:val="none"/>
          <w:lang w:val="en-US" w:eastAsia="zh-CN"/>
          <w14:textFill>
            <w14:solidFill>
              <w14:schemeClr w14:val="tx1"/>
            </w14:solidFill>
          </w14:textFill>
        </w:rPr>
        <w:t>开标一览标</w:t>
      </w:r>
      <w:r>
        <w:rPr>
          <w:rFonts w:hint="eastAsia" w:ascii="宋体" w:hAnsi="宋体"/>
          <w:color w:val="000000" w:themeColor="text1"/>
          <w:sz w:val="24"/>
          <w:highlight w:val="none"/>
          <w14:textFill>
            <w14:solidFill>
              <w14:schemeClr w14:val="tx1"/>
            </w14:solidFill>
          </w14:textFill>
        </w:rPr>
        <w:t>价格为准。可根据需要自行调整。</w:t>
      </w:r>
    </w:p>
    <w:p w14:paraId="139335A7">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2）报价表中的</w:t>
      </w:r>
      <w:r>
        <w:rPr>
          <w:rFonts w:hint="eastAsia" w:ascii="宋体" w:hAnsi="宋体"/>
          <w:color w:val="000000" w:themeColor="text1"/>
          <w:sz w:val="24"/>
          <w:highlight w:val="none"/>
          <w:lang w:val="en-US" w:eastAsia="zh-CN"/>
          <w14:textFill>
            <w14:solidFill>
              <w14:schemeClr w14:val="tx1"/>
            </w14:solidFill>
          </w14:textFill>
        </w:rPr>
        <w:t>响应</w:t>
      </w:r>
      <w:r>
        <w:rPr>
          <w:rFonts w:hint="eastAsia" w:ascii="宋体" w:hAnsi="宋体"/>
          <w:color w:val="000000" w:themeColor="text1"/>
          <w:sz w:val="24"/>
          <w:highlight w:val="none"/>
          <w14:textFill>
            <w14:solidFill>
              <w14:schemeClr w14:val="tx1"/>
            </w14:solidFill>
          </w14:textFill>
        </w:rPr>
        <w:t>单价报价不得超过最高限价单价，否则视为无效响应。</w:t>
      </w:r>
    </w:p>
    <w:p w14:paraId="1D530EF2">
      <w:pPr>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3）采购单位有权在服务期内对手术包裹内各种数量及尺寸进行调整和变动，</w:t>
      </w:r>
      <w:r>
        <w:rPr>
          <w:rFonts w:hint="eastAsia" w:ascii="宋体" w:hAnsi="宋体"/>
          <w:color w:val="000000" w:themeColor="text1"/>
          <w:sz w:val="24"/>
          <w:highlight w:val="none"/>
          <w:lang w:val="en-US" w:eastAsia="zh-CN"/>
          <w14:textFill>
            <w14:solidFill>
              <w14:schemeClr w14:val="tx1"/>
            </w14:solidFill>
          </w14:textFill>
        </w:rPr>
        <w:t>中标</w:t>
      </w:r>
      <w:r>
        <w:rPr>
          <w:rFonts w:hint="eastAsia" w:ascii="宋体" w:hAnsi="宋体"/>
          <w:color w:val="000000" w:themeColor="text1"/>
          <w:sz w:val="24"/>
          <w:highlight w:val="none"/>
          <w14:textFill>
            <w14:solidFill>
              <w14:schemeClr w14:val="tx1"/>
            </w14:solidFill>
          </w14:textFill>
        </w:rPr>
        <w:t>单位应配合，调整后价格双方友好协商。</w:t>
      </w:r>
    </w:p>
    <w:p w14:paraId="1E5A8B65">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4）医用被服物品清单中的数量合计为一年的预估量，总价统一按本清单中的数量合计报价，最终以实际数量乘以</w:t>
      </w:r>
      <w:r>
        <w:rPr>
          <w:rFonts w:hint="eastAsia" w:ascii="宋体" w:hAnsi="宋体"/>
          <w:color w:val="000000" w:themeColor="text1"/>
          <w:sz w:val="24"/>
          <w:highlight w:val="none"/>
          <w:lang w:val="en-US" w:eastAsia="zh-CN"/>
          <w14:textFill>
            <w14:solidFill>
              <w14:schemeClr w14:val="tx1"/>
            </w14:solidFill>
          </w14:textFill>
        </w:rPr>
        <w:t>中标</w:t>
      </w:r>
      <w:r>
        <w:rPr>
          <w:rFonts w:hint="eastAsia" w:ascii="宋体" w:hAnsi="宋体"/>
          <w:color w:val="000000" w:themeColor="text1"/>
          <w:sz w:val="24"/>
          <w:highlight w:val="none"/>
          <w14:textFill>
            <w14:solidFill>
              <w14:schemeClr w14:val="tx1"/>
            </w14:solidFill>
          </w14:textFill>
        </w:rPr>
        <w:t>单价据实结算。</w:t>
      </w:r>
    </w:p>
    <w:p w14:paraId="241BA41D">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本表中的报价为综合报价，应包括在承包期内完成服务内容所需要人员工资、奖金、节假日加班费用、社保、意外险及各类保险、运输、洗涤、租费、税金、利润、管理费、维护及平时保养耗材费用、工具损耗、</w:t>
      </w:r>
      <w:r>
        <w:rPr>
          <w:rFonts w:hint="eastAsia" w:ascii="宋体" w:hAnsi="宋体"/>
          <w:color w:val="000000" w:themeColor="text1"/>
          <w:sz w:val="24"/>
          <w:highlight w:val="none"/>
          <w:lang w:val="en-US" w:eastAsia="zh-CN"/>
          <w14:textFill>
            <w14:solidFill>
              <w14:schemeClr w14:val="tx1"/>
            </w14:solidFill>
          </w14:textFill>
        </w:rPr>
        <w:t>招标</w:t>
      </w:r>
      <w:r>
        <w:rPr>
          <w:rFonts w:hint="eastAsia" w:ascii="宋体" w:hAnsi="宋体"/>
          <w:color w:val="000000" w:themeColor="text1"/>
          <w:sz w:val="24"/>
          <w:highlight w:val="none"/>
          <w14:textFill>
            <w14:solidFill>
              <w14:schemeClr w14:val="tx1"/>
            </w14:solidFill>
          </w14:textFill>
        </w:rPr>
        <w:t>代理服务费及合同包含的所有风险、责任等各项应有费用。</w:t>
      </w:r>
    </w:p>
    <w:p w14:paraId="1D6D9725">
      <w:pPr>
        <w:pStyle w:val="245"/>
        <w:spacing w:line="360" w:lineRule="auto"/>
        <w:rPr>
          <w:color w:val="000000" w:themeColor="text1"/>
          <w:highlight w:val="none"/>
          <w14:textFill>
            <w14:solidFill>
              <w14:schemeClr w14:val="tx1"/>
            </w14:solidFill>
          </w14:textFill>
        </w:rPr>
      </w:pPr>
    </w:p>
    <w:p w14:paraId="0B7752A5">
      <w:pPr>
        <w:spacing w:line="360" w:lineRule="auto"/>
        <w:rPr>
          <w:rFonts w:ascii="宋体" w:hAnsi="宋体"/>
          <w:color w:val="000000" w:themeColor="text1"/>
          <w:sz w:val="24"/>
          <w:highlight w:val="none"/>
          <w14:textFill>
            <w14:solidFill>
              <w14:schemeClr w14:val="tx1"/>
            </w14:solidFill>
          </w14:textFill>
        </w:rPr>
      </w:pPr>
    </w:p>
    <w:p w14:paraId="2730EF94">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投标单位：（单位盖章）</w:t>
      </w:r>
    </w:p>
    <w:p w14:paraId="19CA7A70">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法定代表人或代理人：（签字或盖章）</w:t>
      </w:r>
    </w:p>
    <w:p w14:paraId="0EA9D85D">
      <w:pPr>
        <w:spacing w:line="48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405487D2">
      <w:pPr>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clear="all"/>
      </w:r>
      <w:r>
        <w:rPr>
          <w:rFonts w:hint="eastAsia" w:ascii="宋体" w:hAnsi="宋体"/>
          <w:color w:val="000000" w:themeColor="text1"/>
          <w:sz w:val="28"/>
          <w:szCs w:val="28"/>
          <w:highlight w:val="none"/>
          <w:lang w:val="en-US" w:eastAsia="zh-CN"/>
          <w14:textFill>
            <w14:solidFill>
              <w14:schemeClr w14:val="tx1"/>
            </w14:solidFill>
          </w14:textFill>
        </w:rPr>
        <w:t>3.3</w:t>
      </w:r>
      <w:r>
        <w:rPr>
          <w:rFonts w:hint="eastAsia" w:ascii="宋体" w:hAnsi="宋体"/>
          <w:color w:val="000000" w:themeColor="text1"/>
          <w:sz w:val="28"/>
          <w:szCs w:val="28"/>
          <w:highlight w:val="none"/>
          <w14:textFill>
            <w14:solidFill>
              <w14:schemeClr w14:val="tx1"/>
            </w14:solidFill>
          </w14:textFill>
        </w:rPr>
        <w:t>关于投标报价合理性的澄清说明</w:t>
      </w:r>
      <w:r>
        <w:rPr>
          <w:rFonts w:hint="eastAsia" w:ascii="宋体" w:hAnsi="宋体"/>
          <w:b/>
          <w:bCs/>
          <w:color w:val="000000" w:themeColor="text1"/>
          <w:sz w:val="28"/>
          <w:szCs w:val="28"/>
          <w:highlight w:val="none"/>
          <w14:textFill>
            <w14:solidFill>
              <w14:schemeClr w14:val="tx1"/>
            </w14:solidFill>
          </w14:textFill>
        </w:rPr>
        <w:t>（若涉及）</w:t>
      </w:r>
    </w:p>
    <w:p w14:paraId="7D8BBCD7">
      <w:pPr>
        <w:ind w:left="0" w:firstLine="420"/>
        <w:jc w:val="center"/>
        <w:rPr>
          <w:rFonts w:ascii="宋体" w:hAnsi="宋体"/>
          <w:b/>
          <w:color w:val="000000" w:themeColor="text1"/>
          <w:sz w:val="21"/>
          <w:szCs w:val="21"/>
          <w:highlight w:val="none"/>
          <w14:textFill>
            <w14:solidFill>
              <w14:schemeClr w14:val="tx1"/>
            </w14:solidFill>
          </w14:textFill>
        </w:rPr>
      </w:pPr>
    </w:p>
    <w:p w14:paraId="509230D4">
      <w:pPr>
        <w:spacing w:line="360" w:lineRule="auto"/>
        <w:jc w:val="center"/>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关于投标报价合理性的澄清说明</w:t>
      </w:r>
    </w:p>
    <w:p w14:paraId="36C62724">
      <w:pPr>
        <w:spacing w:line="360" w:lineRule="auto"/>
        <w:ind w:left="0"/>
        <w:jc w:val="left"/>
        <w:rPr>
          <w:rFonts w:ascii="宋体" w:hAnsi="宋体"/>
          <w:color w:val="000000" w:themeColor="text1"/>
          <w:sz w:val="24"/>
          <w:szCs w:val="24"/>
          <w:highlight w:val="none"/>
          <w:u w:val="single"/>
          <w14:textFill>
            <w14:solidFill>
              <w14:schemeClr w14:val="tx1"/>
            </w14:solidFill>
          </w14:textFill>
        </w:rPr>
      </w:pPr>
    </w:p>
    <w:p w14:paraId="0AAE8B8A">
      <w:pPr>
        <w:spacing w:line="360" w:lineRule="auto"/>
        <w:ind w:left="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lang w:eastAsia="zh-CN"/>
          <w14:textFill>
            <w14:solidFill>
              <w14:schemeClr w14:val="tx1"/>
            </w14:solidFill>
          </w14:textFill>
        </w:rPr>
        <w:t>苏州惠德普源企业咨询有限公司</w:t>
      </w:r>
      <w:r>
        <w:rPr>
          <w:rFonts w:ascii="宋体" w:hAnsi="宋体"/>
          <w:color w:val="000000" w:themeColor="text1"/>
          <w:sz w:val="24"/>
          <w:szCs w:val="24"/>
          <w:highlight w:val="none"/>
          <w14:textFill>
            <w14:solidFill>
              <w14:schemeClr w14:val="tx1"/>
            </w14:solidFill>
          </w14:textFill>
        </w:rPr>
        <w:t>：</w:t>
      </w:r>
    </w:p>
    <w:p w14:paraId="19B447E1">
      <w:pPr>
        <w:pStyle w:val="18"/>
        <w:spacing w:line="360" w:lineRule="auto"/>
        <w:ind w:left="0" w:firstLine="420"/>
        <w:rPr>
          <w:rFonts w:ascii="宋体" w:hAnsi="宋体" w:cs="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本公司愿就贵</w:t>
      </w:r>
      <w:r>
        <w:rPr>
          <w:rFonts w:hint="eastAsia"/>
          <w:color w:val="000000" w:themeColor="text1"/>
          <w:sz w:val="24"/>
          <w:szCs w:val="24"/>
          <w:highlight w:val="none"/>
          <w:lang w:val="en-US" w:eastAsia="zh-CN"/>
          <w14:textFill>
            <w14:solidFill>
              <w14:schemeClr w14:val="tx1"/>
            </w14:solidFill>
          </w14:textFill>
        </w:rPr>
        <w:t>公司</w:t>
      </w:r>
      <w:r>
        <w:rPr>
          <w:rFonts w:ascii="宋体" w:hAnsi="宋体"/>
          <w:color w:val="000000" w:themeColor="text1"/>
          <w:sz w:val="24"/>
          <w:szCs w:val="24"/>
          <w:highlight w:val="none"/>
          <w14:textFill>
            <w14:solidFill>
              <w14:schemeClr w14:val="tx1"/>
            </w14:solidFill>
          </w14:textFill>
        </w:rPr>
        <w:t>组织实施的编号为</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号（</w:t>
      </w:r>
      <w:r>
        <w:rPr>
          <w:rFonts w:hint="eastAsia" w:ascii="宋体" w:hAnsi="宋体"/>
          <w:color w:val="000000" w:themeColor="text1"/>
          <w:sz w:val="24"/>
          <w:szCs w:val="24"/>
          <w:highlight w:val="none"/>
          <w14:textFill>
            <w14:solidFill>
              <w14:schemeClr w14:val="tx1"/>
            </w14:solidFill>
          </w14:textFill>
        </w:rPr>
        <w:t>项目</w:t>
      </w:r>
      <w:r>
        <w:rPr>
          <w:rFonts w:ascii="宋体" w:hAnsi="宋体"/>
          <w:color w:val="000000" w:themeColor="text1"/>
          <w:sz w:val="24"/>
          <w:szCs w:val="24"/>
          <w:highlight w:val="none"/>
          <w14:textFill>
            <w14:solidFill>
              <w14:schemeClr w14:val="tx1"/>
            </w14:solidFill>
          </w14:textFill>
        </w:rPr>
        <w:t>编号）的招标活动进行投标</w:t>
      </w:r>
      <w:r>
        <w:rPr>
          <w:rFonts w:hint="eastAsia" w:ascii="宋体" w:hAnsi="宋体"/>
          <w:color w:val="000000" w:themeColor="text1"/>
          <w:sz w:val="24"/>
          <w:szCs w:val="24"/>
          <w:highlight w:val="none"/>
          <w14:textFill>
            <w14:solidFill>
              <w14:schemeClr w14:val="tx1"/>
            </w14:solidFill>
          </w14:textFill>
        </w:rPr>
        <w:t>，对于本公司的投标报价合理性作出说明如下：</w:t>
      </w:r>
    </w:p>
    <w:tbl>
      <w:tblPr>
        <w:tblStyle w:val="40"/>
        <w:tblW w:w="8287"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4D8A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8287" w:type="dxa"/>
            <w:noWrap w:val="0"/>
            <w:vAlign w:val="center"/>
          </w:tcPr>
          <w:p w14:paraId="1A1BEF01">
            <w:pPr>
              <w:widowControl w:val="0"/>
              <w:spacing w:line="600" w:lineRule="auto"/>
              <w:ind w:left="0"/>
              <w:rPr>
                <w:rFonts w:ascii="宋体" w:hAnsi="宋体"/>
                <w:b/>
                <w:color w:val="FF0000"/>
                <w:sz w:val="24"/>
                <w:szCs w:val="24"/>
                <w:highlight w:val="none"/>
                <w:shd w:val="pct10" w:color="auto" w:fill="FFFFFF"/>
              </w:rPr>
            </w:pPr>
            <w:r>
              <w:rPr>
                <w:rFonts w:hint="eastAsia" w:ascii="宋体" w:hAnsi="宋体"/>
                <w:b/>
                <w:color w:val="FF0000"/>
                <w:sz w:val="24"/>
                <w:szCs w:val="24"/>
                <w:highlight w:val="none"/>
              </w:rPr>
              <w:t>投标人应当根据实际情况自拟答复并根据评标委员会关于澄清的要求提供相关证明材料作为附件。</w:t>
            </w:r>
          </w:p>
        </w:tc>
      </w:tr>
    </w:tbl>
    <w:p w14:paraId="7D3B277D">
      <w:pPr>
        <w:spacing w:line="360" w:lineRule="auto"/>
        <w:rPr>
          <w:rFonts w:ascii="宋体" w:hAnsi="宋体" w:cs="宋体"/>
          <w:bCs/>
          <w:color w:val="000000" w:themeColor="text1"/>
          <w:sz w:val="24"/>
          <w:szCs w:val="24"/>
          <w:highlight w:val="none"/>
          <w14:textFill>
            <w14:solidFill>
              <w14:schemeClr w14:val="tx1"/>
            </w14:solidFill>
          </w14:textFill>
        </w:rPr>
      </w:pPr>
      <w:bookmarkStart w:id="33" w:name="OLE_LINK21"/>
      <w:bookmarkStart w:id="34" w:name="OLE_LINK24"/>
      <w:bookmarkStart w:id="35" w:name="OLE_LINK23"/>
      <w:bookmarkStart w:id="36" w:name="OLE_LINK26"/>
      <w:r>
        <w:rPr>
          <w:rFonts w:hint="eastAsia" w:ascii="宋体" w:hAnsi="宋体"/>
          <w:b w:val="0"/>
          <w:bCs/>
          <w:color w:val="000000" w:themeColor="text1"/>
          <w:sz w:val="24"/>
          <w:szCs w:val="24"/>
          <w:highlight w:val="none"/>
          <w:lang w:val="zh-CN"/>
          <w14:textFill>
            <w14:solidFill>
              <w14:schemeClr w14:val="tx1"/>
            </w14:solidFill>
          </w14:textFill>
        </w:rPr>
        <w:t>备注：根据招标文件第二章“投标人须知”第26.4</w:t>
      </w:r>
      <w:bookmarkStart w:id="37" w:name="OLE_LINK12"/>
      <w:r>
        <w:rPr>
          <w:rFonts w:hint="eastAsia" w:ascii="宋体" w:hAnsi="宋体"/>
          <w:b w:val="0"/>
          <w:bCs/>
          <w:color w:val="000000" w:themeColor="text1"/>
          <w:sz w:val="24"/>
          <w:szCs w:val="24"/>
          <w:highlight w:val="none"/>
          <w:lang w:val="zh-CN"/>
          <w14:textFill>
            <w14:solidFill>
              <w14:schemeClr w14:val="tx1"/>
            </w14:solidFill>
          </w14:textFill>
        </w:rPr>
        <w:t>条要求，</w:t>
      </w:r>
      <w:bookmarkEnd w:id="37"/>
      <w:r>
        <w:rPr>
          <w:rFonts w:hint="eastAsia" w:ascii="宋体" w:hAnsi="宋体"/>
          <w:bCs/>
          <w:color w:val="000000" w:themeColor="text1"/>
          <w:sz w:val="24"/>
          <w:szCs w:val="24"/>
          <w:highlight w:val="none"/>
          <w:lang w:val="zh-CN"/>
          <w14:textFill>
            <w14:solidFill>
              <w14:schemeClr w14:val="tx1"/>
            </w14:solidFill>
          </w14:textFill>
        </w:rPr>
        <w:t>在评标过程中</w:t>
      </w:r>
      <w:r>
        <w:rPr>
          <w:rFonts w:hint="eastAsia" w:ascii="宋体" w:hAnsi="宋体" w:cs="宋体"/>
          <w:bCs/>
          <w:color w:val="000000" w:themeColor="text1"/>
          <w:sz w:val="24"/>
          <w:szCs w:val="24"/>
          <w:highlight w:val="none"/>
          <w:lang w:val="zh-CN"/>
          <w14:textFill>
            <w14:solidFill>
              <w14:schemeClr w14:val="tx1"/>
            </w14:solidFill>
          </w14:textFill>
        </w:rPr>
        <w:t>当</w:t>
      </w:r>
      <w:r>
        <w:rPr>
          <w:rFonts w:hint="eastAsia" w:ascii="宋体" w:hAnsi="宋体" w:cs="宋体"/>
          <w:bCs/>
          <w:color w:val="000000" w:themeColor="text1"/>
          <w:sz w:val="24"/>
          <w:szCs w:val="24"/>
          <w:highlight w:val="none"/>
          <w:lang w:val="en-US" w:eastAsia="zh-CN"/>
          <w14:textFill>
            <w14:solidFill>
              <w14:schemeClr w14:val="tx1"/>
            </w14:solidFill>
          </w14:textFill>
        </w:rPr>
        <w:t>投标</w:t>
      </w:r>
      <w:r>
        <w:rPr>
          <w:rFonts w:hint="eastAsia" w:ascii="宋体" w:hAnsi="宋体" w:cs="宋体"/>
          <w:bCs/>
          <w:color w:val="000000" w:themeColor="text1"/>
          <w:sz w:val="24"/>
          <w:szCs w:val="24"/>
          <w:highlight w:val="none"/>
          <w:lang w:val="zh-CN"/>
          <w14:textFill>
            <w14:solidFill>
              <w14:schemeClr w14:val="tx1"/>
            </w14:solidFill>
          </w14:textFill>
        </w:rPr>
        <w:t>报价低于全部通过符合性审查供应商</w:t>
      </w:r>
      <w:r>
        <w:rPr>
          <w:rFonts w:hint="eastAsia" w:ascii="宋体" w:hAnsi="宋体" w:cs="宋体"/>
          <w:bCs/>
          <w:color w:val="000000" w:themeColor="text1"/>
          <w:sz w:val="24"/>
          <w:szCs w:val="24"/>
          <w:highlight w:val="none"/>
          <w:lang w:val="en-US" w:eastAsia="zh-CN"/>
          <w14:textFill>
            <w14:solidFill>
              <w14:schemeClr w14:val="tx1"/>
            </w14:solidFill>
          </w14:textFill>
        </w:rPr>
        <w:t>投标</w:t>
      </w:r>
      <w:r>
        <w:rPr>
          <w:rFonts w:hint="eastAsia" w:ascii="宋体" w:hAnsi="宋体" w:cs="宋体"/>
          <w:bCs/>
          <w:color w:val="000000" w:themeColor="text1"/>
          <w:sz w:val="24"/>
          <w:szCs w:val="24"/>
          <w:highlight w:val="none"/>
          <w:lang w:val="zh-CN"/>
          <w14:textFill>
            <w14:solidFill>
              <w14:schemeClr w14:val="tx1"/>
            </w14:solidFill>
          </w14:textFill>
        </w:rPr>
        <w:t>报价平均值50%、低于通过符合性审查的次低报价供应商</w:t>
      </w:r>
      <w:r>
        <w:rPr>
          <w:rFonts w:hint="eastAsia" w:ascii="宋体" w:hAnsi="宋体" w:cs="宋体"/>
          <w:bCs/>
          <w:color w:val="000000" w:themeColor="text1"/>
          <w:sz w:val="24"/>
          <w:szCs w:val="24"/>
          <w:highlight w:val="none"/>
          <w:lang w:val="en-US" w:eastAsia="zh-CN"/>
          <w14:textFill>
            <w14:solidFill>
              <w14:schemeClr w14:val="tx1"/>
            </w14:solidFill>
          </w14:textFill>
        </w:rPr>
        <w:t>投标</w:t>
      </w:r>
      <w:r>
        <w:rPr>
          <w:rFonts w:hint="eastAsia" w:ascii="宋体" w:hAnsi="宋体" w:cs="宋体"/>
          <w:bCs/>
          <w:color w:val="000000" w:themeColor="text1"/>
          <w:sz w:val="24"/>
          <w:szCs w:val="24"/>
          <w:highlight w:val="none"/>
          <w:lang w:val="zh-CN"/>
          <w14:textFill>
            <w14:solidFill>
              <w14:schemeClr w14:val="tx1"/>
            </w14:solidFill>
          </w14:textFill>
        </w:rPr>
        <w:t>报价50%、低于采购项目最高限价45%</w:t>
      </w:r>
      <w:bookmarkStart w:id="38" w:name="OLE_LINK17"/>
      <w:r>
        <w:rPr>
          <w:rFonts w:hint="eastAsia" w:ascii="宋体" w:hAnsi="宋体" w:cs="宋体"/>
          <w:bCs/>
          <w:color w:val="000000" w:themeColor="text1"/>
          <w:sz w:val="24"/>
          <w:szCs w:val="24"/>
          <w:highlight w:val="none"/>
          <w:lang w:val="zh-CN"/>
          <w14:textFill>
            <w14:solidFill>
              <w14:schemeClr w14:val="tx1"/>
            </w14:solidFill>
          </w14:textFill>
        </w:rPr>
        <w:t>的</w:t>
      </w:r>
      <w:bookmarkEnd w:id="38"/>
      <w:r>
        <w:rPr>
          <w:rFonts w:hint="eastAsia" w:ascii="宋体" w:hAnsi="宋体" w:cs="宋体"/>
          <w:bCs/>
          <w:color w:val="000000" w:themeColor="text1"/>
          <w:sz w:val="24"/>
          <w:szCs w:val="24"/>
          <w:highlight w:val="none"/>
          <w:lang w:val="zh-CN"/>
          <w14:textFill>
            <w14:solidFill>
              <w14:schemeClr w14:val="tx1"/>
            </w14:solidFill>
          </w14:textFill>
        </w:rPr>
        <w:t>或者评标委员会认定的供应商报价过低、有可能影响产品质量或者不能诚信履约的其他情形，评标委员会应当要求</w:t>
      </w:r>
      <w:r>
        <w:rPr>
          <w:rFonts w:hint="eastAsia" w:ascii="宋体" w:hAnsi="宋体" w:cs="宋体"/>
          <w:bCs/>
          <w:color w:val="000000" w:themeColor="text1"/>
          <w:sz w:val="24"/>
          <w:szCs w:val="24"/>
          <w:highlight w:val="none"/>
          <w:lang w:val="en-US" w:eastAsia="zh-CN"/>
          <w14:textFill>
            <w14:solidFill>
              <w14:schemeClr w14:val="tx1"/>
            </w14:solidFill>
          </w14:textFill>
        </w:rPr>
        <w:t>投标</w:t>
      </w:r>
      <w:r>
        <w:rPr>
          <w:rFonts w:hint="eastAsia" w:ascii="宋体" w:hAnsi="宋体" w:cs="宋体"/>
          <w:bCs/>
          <w:color w:val="000000" w:themeColor="text1"/>
          <w:sz w:val="24"/>
          <w:szCs w:val="24"/>
          <w:highlight w:val="none"/>
          <w14:textFill>
            <w14:solidFill>
              <w14:schemeClr w14:val="tx1"/>
            </w14:solidFill>
          </w14:textFill>
        </w:rPr>
        <w:t>单位在评审现场合理的时间内对投标价格作出解释，提供项目具体成本测算等与报价合理性相关的书面说明及必要的证明材料，包括但不限于原材料成本、人工成本、制造费用等。属于低于采购项目最高限价45%情形的，供应商已随响应文件一并提交相关书面说明及必要的证明材料的，在评审现场可不再重复提交。</w:t>
      </w:r>
    </w:p>
    <w:p w14:paraId="6F240DB2">
      <w:pPr>
        <w:spacing w:line="360" w:lineRule="auto"/>
        <w:ind w:left="0" w:firstLine="422"/>
        <w:rPr>
          <w:rFonts w:ascii="宋体" w:hAnsi="宋体"/>
          <w:b w:val="0"/>
          <w:bCs/>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投标</w:t>
      </w:r>
      <w:r>
        <w:rPr>
          <w:rFonts w:hint="eastAsia" w:ascii="宋体" w:hAnsi="宋体" w:cs="宋体"/>
          <w:bCs/>
          <w:color w:val="000000" w:themeColor="text1"/>
          <w:sz w:val="24"/>
          <w:szCs w:val="24"/>
          <w:highlight w:val="none"/>
          <w14:textFill>
            <w14:solidFill>
              <w14:schemeClr w14:val="tx1"/>
            </w14:solidFill>
          </w14:textFill>
        </w:rPr>
        <w:t>单位</w:t>
      </w:r>
      <w:r>
        <w:rPr>
          <w:rFonts w:hint="eastAsia" w:ascii="宋体" w:hAnsi="宋体" w:cs="宋体"/>
          <w:bCs/>
          <w:color w:val="000000" w:themeColor="text1"/>
          <w:sz w:val="24"/>
          <w:szCs w:val="24"/>
          <w:highlight w:val="none"/>
          <w:lang w:val="zh-CN"/>
          <w14:textFill>
            <w14:solidFill>
              <w14:schemeClr w14:val="tx1"/>
            </w14:solidFill>
          </w14:textFill>
        </w:rPr>
        <w:t>不能证明其报价合理性的，评标委员会应当将其作为无效</w:t>
      </w:r>
      <w:r>
        <w:rPr>
          <w:rFonts w:hint="eastAsia" w:ascii="宋体" w:hAnsi="宋体" w:cs="宋体"/>
          <w:bCs/>
          <w:color w:val="000000" w:themeColor="text1"/>
          <w:sz w:val="24"/>
          <w:szCs w:val="24"/>
          <w:highlight w:val="none"/>
          <w:lang w:val="en-US" w:eastAsia="zh-CN"/>
          <w14:textFill>
            <w14:solidFill>
              <w14:schemeClr w14:val="tx1"/>
            </w14:solidFill>
          </w14:textFill>
        </w:rPr>
        <w:t>投标</w:t>
      </w:r>
      <w:r>
        <w:rPr>
          <w:rFonts w:hint="eastAsia" w:ascii="宋体" w:hAnsi="宋体" w:cs="宋体"/>
          <w:bCs/>
          <w:color w:val="000000" w:themeColor="text1"/>
          <w:sz w:val="24"/>
          <w:szCs w:val="24"/>
          <w:highlight w:val="none"/>
          <w14:textFill>
            <w14:solidFill>
              <w14:schemeClr w14:val="tx1"/>
            </w14:solidFill>
          </w14:textFill>
        </w:rPr>
        <w:t>报价</w:t>
      </w:r>
      <w:r>
        <w:rPr>
          <w:rFonts w:hint="eastAsia" w:ascii="宋体" w:hAnsi="宋体" w:cs="宋体"/>
          <w:bCs/>
          <w:color w:val="000000" w:themeColor="text1"/>
          <w:sz w:val="24"/>
          <w:szCs w:val="24"/>
          <w:highlight w:val="none"/>
          <w:lang w:val="zh-CN"/>
          <w14:textFill>
            <w14:solidFill>
              <w14:schemeClr w14:val="tx1"/>
            </w14:solidFill>
          </w14:textFill>
        </w:rPr>
        <w:t>处理</w:t>
      </w:r>
      <w:r>
        <w:rPr>
          <w:rFonts w:hint="eastAsia" w:ascii="宋体" w:hAnsi="宋体"/>
          <w:b w:val="0"/>
          <w:bCs/>
          <w:color w:val="000000" w:themeColor="text1"/>
          <w:sz w:val="24"/>
          <w:szCs w:val="24"/>
          <w:highlight w:val="none"/>
          <w:lang w:val="zh-CN"/>
          <w14:textFill>
            <w14:solidFill>
              <w14:schemeClr w14:val="tx1"/>
            </w14:solidFill>
          </w14:textFill>
        </w:rPr>
        <w:t>。</w:t>
      </w:r>
      <w:bookmarkEnd w:id="33"/>
      <w:bookmarkEnd w:id="34"/>
      <w:bookmarkEnd w:id="35"/>
      <w:bookmarkEnd w:id="36"/>
    </w:p>
    <w:p w14:paraId="741806FC">
      <w:pPr>
        <w:spacing w:line="360" w:lineRule="auto"/>
        <w:ind w:firstLine="4830"/>
        <w:jc w:val="left"/>
        <w:rPr>
          <w:rFonts w:ascii="宋体" w:hAnsi="宋体"/>
          <w:color w:val="000000" w:themeColor="text1"/>
          <w:sz w:val="24"/>
          <w:szCs w:val="24"/>
          <w:highlight w:val="none"/>
          <w14:textFill>
            <w14:solidFill>
              <w14:schemeClr w14:val="tx1"/>
            </w14:solidFill>
          </w14:textFill>
        </w:rPr>
      </w:pPr>
    </w:p>
    <w:p w14:paraId="3E0AE48F">
      <w:pPr>
        <w:spacing w:line="360" w:lineRule="auto"/>
        <w:jc w:val="righ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投标人（盖章）： </w:t>
      </w:r>
    </w:p>
    <w:p w14:paraId="0E054F5B">
      <w:pPr>
        <w:spacing w:line="360" w:lineRule="auto"/>
        <w:jc w:val="righ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法定代表人或代理人（签字或盖章）：</w:t>
      </w:r>
    </w:p>
    <w:p w14:paraId="1AD927B1">
      <w:pPr>
        <w:spacing w:line="360" w:lineRule="auto"/>
        <w:jc w:val="right"/>
        <w:rPr>
          <w:rFonts w:ascii="宋体" w:hAnsi="宋体"/>
          <w:b/>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日期</w:t>
      </w: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年 </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月 </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69DB418E">
      <w:pP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clear="all"/>
      </w:r>
    </w:p>
    <w:p w14:paraId="1E05AD63">
      <w:pPr>
        <w:spacing w:line="360" w:lineRule="auto"/>
        <w:jc w:val="lef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4、偏离表</w:t>
      </w:r>
    </w:p>
    <w:p w14:paraId="318F67AF">
      <w:pPr>
        <w:spacing w:line="380" w:lineRule="exact"/>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偏离表</w:t>
      </w:r>
      <w:r>
        <w:rPr>
          <w:rFonts w:hint="eastAsia" w:ascii="宋体" w:hAnsi="宋体"/>
          <w:b/>
          <w:color w:val="000000" w:themeColor="text1"/>
          <w:sz w:val="24"/>
          <w:highlight w:val="none"/>
          <w14:textFill>
            <w14:solidFill>
              <w14:schemeClr w14:val="tx1"/>
            </w14:solidFill>
          </w14:textFill>
        </w:rPr>
        <w:t>（技术、商务）</w:t>
      </w:r>
    </w:p>
    <w:p w14:paraId="2E30A953">
      <w:pPr>
        <w:spacing w:after="120"/>
        <w:ind w:left="420" w:firstLine="420"/>
        <w:rPr>
          <w:color w:val="000000" w:themeColor="text1"/>
          <w:highlight w:val="none"/>
          <w14:textFill>
            <w14:solidFill>
              <w14:schemeClr w14:val="tx1"/>
            </w14:solidFill>
          </w14:textFill>
        </w:rPr>
      </w:pPr>
    </w:p>
    <w:tbl>
      <w:tblPr>
        <w:tblStyle w:val="40"/>
        <w:tblW w:w="8280" w:type="dxa"/>
        <w:tblInd w:w="145" w:type="dxa"/>
        <w:tblLayout w:type="fixed"/>
        <w:tblCellMar>
          <w:top w:w="0" w:type="dxa"/>
          <w:left w:w="108" w:type="dxa"/>
          <w:bottom w:w="0" w:type="dxa"/>
          <w:right w:w="108" w:type="dxa"/>
        </w:tblCellMar>
      </w:tblPr>
      <w:tblGrid>
        <w:gridCol w:w="885"/>
        <w:gridCol w:w="1815"/>
        <w:gridCol w:w="2219"/>
        <w:gridCol w:w="3361"/>
      </w:tblGrid>
      <w:tr w14:paraId="50B1CD19">
        <w:tblPrEx>
          <w:tblCellMar>
            <w:top w:w="0" w:type="dxa"/>
            <w:left w:w="108" w:type="dxa"/>
            <w:bottom w:w="0" w:type="dxa"/>
            <w:right w:w="108" w:type="dxa"/>
          </w:tblCellMar>
        </w:tblPrEx>
        <w:trPr>
          <w:trHeight w:val="567" w:hRule="atLeast"/>
        </w:trPr>
        <w:tc>
          <w:tcPr>
            <w:tcW w:w="88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4CC8EBE">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序号</w:t>
            </w:r>
          </w:p>
        </w:tc>
        <w:tc>
          <w:tcPr>
            <w:tcW w:w="181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B289D94">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采购服务要求</w:t>
            </w:r>
          </w:p>
        </w:tc>
        <w:tc>
          <w:tcPr>
            <w:tcW w:w="221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195EE6E">
            <w:pPr>
              <w:widowControl/>
              <w:spacing w:line="360" w:lineRule="auto"/>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响应</w:t>
            </w:r>
            <w:r>
              <w:rPr>
                <w:rFonts w:hint="eastAsia" w:ascii="宋体" w:hAnsi="宋体" w:cs="宋体"/>
                <w:bCs/>
                <w:color w:val="000000" w:themeColor="text1"/>
                <w:sz w:val="24"/>
                <w:szCs w:val="24"/>
                <w:highlight w:val="none"/>
                <w:lang w:val="en-US" w:eastAsia="zh-CN"/>
                <w14:textFill>
                  <w14:solidFill>
                    <w14:schemeClr w14:val="tx1"/>
                  </w14:solidFill>
                </w14:textFill>
              </w:rPr>
              <w:t>内容</w:t>
            </w:r>
          </w:p>
        </w:tc>
        <w:tc>
          <w:tcPr>
            <w:tcW w:w="336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B9310BC">
            <w:pPr>
              <w:widowControl/>
              <w:spacing w:line="360" w:lineRule="auto"/>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偏离说明</w:t>
            </w:r>
          </w:p>
          <w:p w14:paraId="66831EA8">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（正偏离、负偏离、无偏离）</w:t>
            </w:r>
          </w:p>
        </w:tc>
      </w:tr>
      <w:tr w14:paraId="779FBC92">
        <w:tblPrEx>
          <w:tblCellMar>
            <w:top w:w="0" w:type="dxa"/>
            <w:left w:w="108" w:type="dxa"/>
            <w:bottom w:w="0" w:type="dxa"/>
            <w:right w:w="108" w:type="dxa"/>
          </w:tblCellMar>
        </w:tblPrEx>
        <w:trPr>
          <w:trHeight w:val="567" w:hRule="atLeast"/>
        </w:trPr>
        <w:tc>
          <w:tcPr>
            <w:tcW w:w="88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0982631">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p>
        </w:tc>
        <w:tc>
          <w:tcPr>
            <w:tcW w:w="181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6C1ED530">
            <w:pPr>
              <w:widowControl/>
              <w:spacing w:line="360" w:lineRule="auto"/>
              <w:ind w:firstLine="799"/>
              <w:jc w:val="center"/>
              <w:rPr>
                <w:rFonts w:ascii="宋体" w:hAnsi="宋体" w:cs="宋体"/>
                <w:bCs/>
                <w:color w:val="000000" w:themeColor="text1"/>
                <w:sz w:val="24"/>
                <w:szCs w:val="24"/>
                <w:highlight w:val="none"/>
                <w14:textFill>
                  <w14:solidFill>
                    <w14:schemeClr w14:val="tx1"/>
                  </w14:solidFill>
                </w14:textFill>
              </w:rPr>
            </w:pPr>
          </w:p>
        </w:tc>
        <w:tc>
          <w:tcPr>
            <w:tcW w:w="221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05695EBE">
            <w:pPr>
              <w:widowControl/>
              <w:spacing w:line="360" w:lineRule="auto"/>
              <w:ind w:firstLine="799"/>
              <w:jc w:val="center"/>
              <w:rPr>
                <w:rFonts w:ascii="宋体" w:hAnsi="宋体" w:cs="宋体"/>
                <w:bCs/>
                <w:color w:val="000000" w:themeColor="text1"/>
                <w:sz w:val="24"/>
                <w:szCs w:val="24"/>
                <w:highlight w:val="none"/>
                <w14:textFill>
                  <w14:solidFill>
                    <w14:schemeClr w14:val="tx1"/>
                  </w14:solidFill>
                </w14:textFill>
              </w:rPr>
            </w:pPr>
          </w:p>
        </w:tc>
        <w:tc>
          <w:tcPr>
            <w:tcW w:w="336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4BBF93A6">
            <w:pPr>
              <w:widowControl/>
              <w:spacing w:line="360" w:lineRule="auto"/>
              <w:ind w:firstLine="799"/>
              <w:jc w:val="center"/>
              <w:rPr>
                <w:rFonts w:ascii="宋体" w:hAnsi="宋体" w:cs="宋体"/>
                <w:bCs/>
                <w:color w:val="000000" w:themeColor="text1"/>
                <w:sz w:val="24"/>
                <w:szCs w:val="24"/>
                <w:highlight w:val="none"/>
                <w14:textFill>
                  <w14:solidFill>
                    <w14:schemeClr w14:val="tx1"/>
                  </w14:solidFill>
                </w14:textFill>
              </w:rPr>
            </w:pPr>
          </w:p>
        </w:tc>
      </w:tr>
      <w:tr w14:paraId="19E8DB9B">
        <w:tblPrEx>
          <w:tblCellMar>
            <w:top w:w="0" w:type="dxa"/>
            <w:left w:w="108" w:type="dxa"/>
            <w:bottom w:w="0" w:type="dxa"/>
            <w:right w:w="108" w:type="dxa"/>
          </w:tblCellMar>
        </w:tblPrEx>
        <w:trPr>
          <w:trHeight w:val="567" w:hRule="atLeast"/>
        </w:trPr>
        <w:tc>
          <w:tcPr>
            <w:tcW w:w="88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A996BAB">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p>
        </w:tc>
        <w:tc>
          <w:tcPr>
            <w:tcW w:w="181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2F036666">
            <w:pPr>
              <w:widowControl/>
              <w:spacing w:line="360" w:lineRule="auto"/>
              <w:ind w:firstLine="799"/>
              <w:jc w:val="center"/>
              <w:rPr>
                <w:rFonts w:ascii="宋体" w:hAnsi="宋体" w:cs="宋体"/>
                <w:bCs/>
                <w:color w:val="000000" w:themeColor="text1"/>
                <w:sz w:val="24"/>
                <w:szCs w:val="24"/>
                <w:highlight w:val="none"/>
                <w14:textFill>
                  <w14:solidFill>
                    <w14:schemeClr w14:val="tx1"/>
                  </w14:solidFill>
                </w14:textFill>
              </w:rPr>
            </w:pPr>
          </w:p>
        </w:tc>
        <w:tc>
          <w:tcPr>
            <w:tcW w:w="221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4D4C2581">
            <w:pPr>
              <w:widowControl/>
              <w:spacing w:line="360" w:lineRule="auto"/>
              <w:ind w:firstLine="799"/>
              <w:jc w:val="center"/>
              <w:rPr>
                <w:rFonts w:ascii="宋体" w:hAnsi="宋体" w:cs="宋体"/>
                <w:bCs/>
                <w:color w:val="000000" w:themeColor="text1"/>
                <w:sz w:val="24"/>
                <w:szCs w:val="24"/>
                <w:highlight w:val="none"/>
                <w14:textFill>
                  <w14:solidFill>
                    <w14:schemeClr w14:val="tx1"/>
                  </w14:solidFill>
                </w14:textFill>
              </w:rPr>
            </w:pPr>
          </w:p>
        </w:tc>
        <w:tc>
          <w:tcPr>
            <w:tcW w:w="336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2E8C68C0">
            <w:pPr>
              <w:widowControl/>
              <w:spacing w:line="360" w:lineRule="auto"/>
              <w:ind w:firstLine="799"/>
              <w:jc w:val="center"/>
              <w:rPr>
                <w:rFonts w:ascii="宋体" w:hAnsi="宋体" w:cs="宋体"/>
                <w:bCs/>
                <w:color w:val="000000" w:themeColor="text1"/>
                <w:sz w:val="24"/>
                <w:szCs w:val="24"/>
                <w:highlight w:val="none"/>
                <w14:textFill>
                  <w14:solidFill>
                    <w14:schemeClr w14:val="tx1"/>
                  </w14:solidFill>
                </w14:textFill>
              </w:rPr>
            </w:pPr>
          </w:p>
        </w:tc>
      </w:tr>
      <w:tr w14:paraId="6EA610EC">
        <w:tblPrEx>
          <w:tblCellMar>
            <w:top w:w="0" w:type="dxa"/>
            <w:left w:w="108" w:type="dxa"/>
            <w:bottom w:w="0" w:type="dxa"/>
            <w:right w:w="108" w:type="dxa"/>
          </w:tblCellMar>
        </w:tblPrEx>
        <w:trPr>
          <w:trHeight w:val="567" w:hRule="atLeast"/>
        </w:trPr>
        <w:tc>
          <w:tcPr>
            <w:tcW w:w="88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9F7CDCF">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c>
          <w:tcPr>
            <w:tcW w:w="181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2D573F62">
            <w:pPr>
              <w:widowControl/>
              <w:spacing w:line="360" w:lineRule="auto"/>
              <w:ind w:firstLine="799"/>
              <w:jc w:val="center"/>
              <w:rPr>
                <w:rFonts w:ascii="宋体" w:hAnsi="宋体" w:cs="宋体"/>
                <w:bCs/>
                <w:color w:val="000000" w:themeColor="text1"/>
                <w:sz w:val="24"/>
                <w:szCs w:val="24"/>
                <w:highlight w:val="none"/>
                <w14:textFill>
                  <w14:solidFill>
                    <w14:schemeClr w14:val="tx1"/>
                  </w14:solidFill>
                </w14:textFill>
              </w:rPr>
            </w:pPr>
          </w:p>
        </w:tc>
        <w:tc>
          <w:tcPr>
            <w:tcW w:w="221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04AA6C05">
            <w:pPr>
              <w:widowControl/>
              <w:spacing w:line="360" w:lineRule="auto"/>
              <w:ind w:firstLine="799"/>
              <w:jc w:val="center"/>
              <w:rPr>
                <w:rFonts w:ascii="宋体" w:hAnsi="宋体" w:cs="宋体"/>
                <w:bCs/>
                <w:color w:val="000000" w:themeColor="text1"/>
                <w:sz w:val="24"/>
                <w:szCs w:val="24"/>
                <w:highlight w:val="none"/>
                <w14:textFill>
                  <w14:solidFill>
                    <w14:schemeClr w14:val="tx1"/>
                  </w14:solidFill>
                </w14:textFill>
              </w:rPr>
            </w:pPr>
          </w:p>
        </w:tc>
        <w:tc>
          <w:tcPr>
            <w:tcW w:w="336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5114A191">
            <w:pPr>
              <w:widowControl/>
              <w:spacing w:line="360" w:lineRule="auto"/>
              <w:ind w:firstLine="799"/>
              <w:jc w:val="center"/>
              <w:rPr>
                <w:rFonts w:ascii="宋体" w:hAnsi="宋体" w:cs="宋体"/>
                <w:bCs/>
                <w:color w:val="000000" w:themeColor="text1"/>
                <w:sz w:val="24"/>
                <w:szCs w:val="24"/>
                <w:highlight w:val="none"/>
                <w14:textFill>
                  <w14:solidFill>
                    <w14:schemeClr w14:val="tx1"/>
                  </w14:solidFill>
                </w14:textFill>
              </w:rPr>
            </w:pPr>
          </w:p>
        </w:tc>
      </w:tr>
      <w:tr w14:paraId="2DFE6034">
        <w:tblPrEx>
          <w:tblCellMar>
            <w:top w:w="0" w:type="dxa"/>
            <w:left w:w="108" w:type="dxa"/>
            <w:bottom w:w="0" w:type="dxa"/>
            <w:right w:w="108" w:type="dxa"/>
          </w:tblCellMar>
        </w:tblPrEx>
        <w:trPr>
          <w:trHeight w:val="567" w:hRule="atLeast"/>
        </w:trPr>
        <w:tc>
          <w:tcPr>
            <w:tcW w:w="88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F684C08">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w:t>
            </w:r>
          </w:p>
        </w:tc>
        <w:tc>
          <w:tcPr>
            <w:tcW w:w="181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3D4A61C9">
            <w:pPr>
              <w:widowControl/>
              <w:spacing w:line="360" w:lineRule="auto"/>
              <w:ind w:firstLine="799"/>
              <w:jc w:val="center"/>
              <w:rPr>
                <w:rFonts w:ascii="宋体" w:hAnsi="宋体" w:cs="宋体"/>
                <w:bCs/>
                <w:color w:val="000000" w:themeColor="text1"/>
                <w:sz w:val="24"/>
                <w:szCs w:val="24"/>
                <w:highlight w:val="none"/>
                <w14:textFill>
                  <w14:solidFill>
                    <w14:schemeClr w14:val="tx1"/>
                  </w14:solidFill>
                </w14:textFill>
              </w:rPr>
            </w:pPr>
          </w:p>
        </w:tc>
        <w:tc>
          <w:tcPr>
            <w:tcW w:w="221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224A148E">
            <w:pPr>
              <w:widowControl/>
              <w:spacing w:line="360" w:lineRule="auto"/>
              <w:ind w:firstLine="799"/>
              <w:jc w:val="center"/>
              <w:rPr>
                <w:rFonts w:ascii="宋体" w:hAnsi="宋体" w:cs="宋体"/>
                <w:bCs/>
                <w:color w:val="000000" w:themeColor="text1"/>
                <w:sz w:val="24"/>
                <w:szCs w:val="24"/>
                <w:highlight w:val="none"/>
                <w14:textFill>
                  <w14:solidFill>
                    <w14:schemeClr w14:val="tx1"/>
                  </w14:solidFill>
                </w14:textFill>
              </w:rPr>
            </w:pPr>
          </w:p>
        </w:tc>
        <w:tc>
          <w:tcPr>
            <w:tcW w:w="336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4F70309F">
            <w:pPr>
              <w:widowControl/>
              <w:spacing w:line="360" w:lineRule="auto"/>
              <w:ind w:firstLine="799"/>
              <w:jc w:val="center"/>
              <w:rPr>
                <w:rFonts w:ascii="宋体" w:hAnsi="宋体" w:cs="宋体"/>
                <w:bCs/>
                <w:color w:val="000000" w:themeColor="text1"/>
                <w:sz w:val="24"/>
                <w:szCs w:val="24"/>
                <w:highlight w:val="none"/>
                <w14:textFill>
                  <w14:solidFill>
                    <w14:schemeClr w14:val="tx1"/>
                  </w14:solidFill>
                </w14:textFill>
              </w:rPr>
            </w:pPr>
          </w:p>
        </w:tc>
      </w:tr>
      <w:tr w14:paraId="7F3E80CD">
        <w:tblPrEx>
          <w:tblCellMar>
            <w:top w:w="0" w:type="dxa"/>
            <w:left w:w="108" w:type="dxa"/>
            <w:bottom w:w="0" w:type="dxa"/>
            <w:right w:w="108" w:type="dxa"/>
          </w:tblCellMar>
        </w:tblPrEx>
        <w:trPr>
          <w:trHeight w:val="567" w:hRule="atLeast"/>
        </w:trPr>
        <w:tc>
          <w:tcPr>
            <w:tcW w:w="88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01B0D2E">
            <w:pPr>
              <w:widowControl/>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w:t>
            </w:r>
          </w:p>
        </w:tc>
        <w:tc>
          <w:tcPr>
            <w:tcW w:w="181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0279DD25">
            <w:pPr>
              <w:widowControl/>
              <w:spacing w:line="360" w:lineRule="auto"/>
              <w:ind w:firstLine="799"/>
              <w:jc w:val="center"/>
              <w:rPr>
                <w:rFonts w:ascii="宋体" w:hAnsi="宋体" w:cs="宋体"/>
                <w:bCs/>
                <w:color w:val="000000" w:themeColor="text1"/>
                <w:sz w:val="24"/>
                <w:szCs w:val="24"/>
                <w:highlight w:val="none"/>
                <w14:textFill>
                  <w14:solidFill>
                    <w14:schemeClr w14:val="tx1"/>
                  </w14:solidFill>
                </w14:textFill>
              </w:rPr>
            </w:pPr>
          </w:p>
        </w:tc>
        <w:tc>
          <w:tcPr>
            <w:tcW w:w="221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5214507D">
            <w:pPr>
              <w:widowControl/>
              <w:spacing w:line="360" w:lineRule="auto"/>
              <w:ind w:firstLine="799"/>
              <w:jc w:val="center"/>
              <w:rPr>
                <w:rFonts w:ascii="宋体" w:hAnsi="宋体" w:cs="宋体"/>
                <w:bCs/>
                <w:color w:val="000000" w:themeColor="text1"/>
                <w:sz w:val="24"/>
                <w:szCs w:val="24"/>
                <w:highlight w:val="none"/>
                <w14:textFill>
                  <w14:solidFill>
                    <w14:schemeClr w14:val="tx1"/>
                  </w14:solidFill>
                </w14:textFill>
              </w:rPr>
            </w:pPr>
          </w:p>
        </w:tc>
        <w:tc>
          <w:tcPr>
            <w:tcW w:w="336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3F466E97">
            <w:pPr>
              <w:widowControl/>
              <w:spacing w:line="360" w:lineRule="auto"/>
              <w:ind w:firstLine="799"/>
              <w:jc w:val="center"/>
              <w:rPr>
                <w:rFonts w:ascii="宋体" w:hAnsi="宋体" w:cs="宋体"/>
                <w:bCs/>
                <w:color w:val="000000" w:themeColor="text1"/>
                <w:sz w:val="24"/>
                <w:szCs w:val="24"/>
                <w:highlight w:val="none"/>
                <w14:textFill>
                  <w14:solidFill>
                    <w14:schemeClr w14:val="tx1"/>
                  </w14:solidFill>
                </w14:textFill>
              </w:rPr>
            </w:pPr>
          </w:p>
        </w:tc>
      </w:tr>
      <w:tr w14:paraId="52D58F74">
        <w:tblPrEx>
          <w:tblCellMar>
            <w:top w:w="0" w:type="dxa"/>
            <w:left w:w="108" w:type="dxa"/>
            <w:bottom w:w="0" w:type="dxa"/>
            <w:right w:w="108" w:type="dxa"/>
          </w:tblCellMar>
        </w:tblPrEx>
        <w:trPr>
          <w:trHeight w:val="567" w:hRule="atLeast"/>
        </w:trPr>
        <w:tc>
          <w:tcPr>
            <w:tcW w:w="88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1364B047">
            <w:pPr>
              <w:widowControl/>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181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46C09FBD">
            <w:pPr>
              <w:widowControl/>
              <w:spacing w:line="360" w:lineRule="auto"/>
              <w:ind w:firstLine="799"/>
              <w:jc w:val="center"/>
              <w:rPr>
                <w:rFonts w:ascii="宋体" w:hAnsi="宋体" w:cs="宋体"/>
                <w:bCs/>
                <w:color w:val="000000" w:themeColor="text1"/>
                <w:sz w:val="24"/>
                <w:szCs w:val="24"/>
                <w:highlight w:val="none"/>
                <w14:textFill>
                  <w14:solidFill>
                    <w14:schemeClr w14:val="tx1"/>
                  </w14:solidFill>
                </w14:textFill>
              </w:rPr>
            </w:pPr>
          </w:p>
        </w:tc>
        <w:tc>
          <w:tcPr>
            <w:tcW w:w="221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4963CA1D">
            <w:pPr>
              <w:widowControl/>
              <w:spacing w:line="360" w:lineRule="auto"/>
              <w:ind w:firstLine="799"/>
              <w:jc w:val="center"/>
              <w:rPr>
                <w:rFonts w:ascii="宋体" w:hAnsi="宋体" w:cs="宋体"/>
                <w:bCs/>
                <w:color w:val="000000" w:themeColor="text1"/>
                <w:sz w:val="24"/>
                <w:szCs w:val="24"/>
                <w:highlight w:val="none"/>
                <w14:textFill>
                  <w14:solidFill>
                    <w14:schemeClr w14:val="tx1"/>
                  </w14:solidFill>
                </w14:textFill>
              </w:rPr>
            </w:pPr>
          </w:p>
        </w:tc>
        <w:tc>
          <w:tcPr>
            <w:tcW w:w="336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338FB73F">
            <w:pPr>
              <w:widowControl/>
              <w:spacing w:line="360" w:lineRule="auto"/>
              <w:ind w:firstLine="799"/>
              <w:jc w:val="center"/>
              <w:rPr>
                <w:rFonts w:ascii="宋体" w:hAnsi="宋体" w:cs="宋体"/>
                <w:bCs/>
                <w:color w:val="000000" w:themeColor="text1"/>
                <w:sz w:val="24"/>
                <w:szCs w:val="24"/>
                <w:highlight w:val="none"/>
                <w14:textFill>
                  <w14:solidFill>
                    <w14:schemeClr w14:val="tx1"/>
                  </w14:solidFill>
                </w14:textFill>
              </w:rPr>
            </w:pPr>
          </w:p>
        </w:tc>
      </w:tr>
    </w:tbl>
    <w:p w14:paraId="061013EC">
      <w:pPr>
        <w:spacing w:line="360" w:lineRule="auto"/>
        <w:ind w:firstLine="210"/>
        <w:rPr>
          <w:rFonts w:ascii="宋体" w:hAnsi="宋体"/>
          <w:color w:val="000000" w:themeColor="text1"/>
          <w:sz w:val="24"/>
          <w:highlight w:val="none"/>
          <w:lang w:val="zh-CN"/>
          <w14:textFill>
            <w14:solidFill>
              <w14:schemeClr w14:val="tx1"/>
            </w14:solidFill>
          </w14:textFill>
        </w:rPr>
      </w:pPr>
    </w:p>
    <w:p w14:paraId="670F3FDB">
      <w:pPr>
        <w:pStyle w:val="245"/>
        <w:rPr>
          <w:color w:val="000000" w:themeColor="text1"/>
          <w:highlight w:val="none"/>
          <w:lang w:val="zh-CN"/>
          <w14:textFill>
            <w14:solidFill>
              <w14:schemeClr w14:val="tx1"/>
            </w14:solidFill>
          </w14:textFill>
        </w:rPr>
      </w:pPr>
    </w:p>
    <w:p w14:paraId="09D9EA7C">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w:t>
      </w:r>
      <w:r>
        <w:rPr>
          <w:rFonts w:ascii="宋体" w:hAnsi="宋体"/>
          <w:color w:val="000000" w:themeColor="text1"/>
          <w:sz w:val="24"/>
          <w:highlight w:val="none"/>
          <w14:textFill>
            <w14:solidFill>
              <w14:schemeClr w14:val="tx1"/>
            </w14:solidFill>
          </w14:textFill>
        </w:rPr>
        <w:t>单位：（单位盖章）</w:t>
      </w:r>
    </w:p>
    <w:p w14:paraId="333E837F">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法定代表人或代理人：（签字或盖章）</w:t>
      </w:r>
    </w:p>
    <w:p w14:paraId="4CA02C05">
      <w:pPr>
        <w:spacing w:line="38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29624B3">
      <w:pPr>
        <w:spacing w:line="360" w:lineRule="auto"/>
        <w:rPr>
          <w:rFonts w:hint="eastAsia" w:ascii="宋体" w:hAnsi="宋体"/>
          <w:color w:val="000000" w:themeColor="text1"/>
          <w:sz w:val="28"/>
          <w:szCs w:val="28"/>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br w:type="page" w:clear="all"/>
      </w:r>
      <w:r>
        <w:rPr>
          <w:rFonts w:hint="eastAsia" w:ascii="宋体" w:hAnsi="宋体"/>
          <w:color w:val="000000" w:themeColor="text1"/>
          <w:sz w:val="28"/>
          <w:szCs w:val="28"/>
          <w:highlight w:val="none"/>
          <w14:textFill>
            <w14:solidFill>
              <w14:schemeClr w14:val="tx1"/>
            </w14:solidFill>
          </w14:textFill>
        </w:rPr>
        <w:t>5、服务人员配备表（如有）</w:t>
      </w:r>
    </w:p>
    <w:p w14:paraId="0F9169CF">
      <w:pPr>
        <w:widowControl/>
        <w:spacing w:line="360" w:lineRule="auto"/>
        <w:jc w:val="center"/>
        <w:rPr>
          <w:rFonts w:ascii="宋体" w:hAnsi="宋体"/>
          <w:color w:val="000000" w:themeColor="text1"/>
          <w:sz w:val="28"/>
          <w:szCs w:val="28"/>
          <w:highlight w:val="none"/>
          <w14:textFill>
            <w14:solidFill>
              <w14:schemeClr w14:val="tx1"/>
            </w14:solidFill>
          </w14:textFill>
        </w:rPr>
      </w:pPr>
    </w:p>
    <w:p w14:paraId="4503844A">
      <w:pPr>
        <w:widowControl/>
        <w:spacing w:line="360" w:lineRule="auto"/>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项目配备人员表</w:t>
      </w:r>
    </w:p>
    <w:tbl>
      <w:tblPr>
        <w:tblStyle w:val="40"/>
        <w:tblW w:w="83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7"/>
        <w:gridCol w:w="1162"/>
        <w:gridCol w:w="1188"/>
        <w:gridCol w:w="1238"/>
        <w:gridCol w:w="1075"/>
        <w:gridCol w:w="1050"/>
        <w:gridCol w:w="996"/>
        <w:gridCol w:w="943"/>
      </w:tblGrid>
      <w:tr w14:paraId="51946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717" w:type="dxa"/>
            <w:noWrap w:val="0"/>
            <w:vAlign w:val="center"/>
          </w:tcPr>
          <w:p w14:paraId="63AD9440">
            <w:pPr>
              <w:spacing w:line="38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162" w:type="dxa"/>
            <w:noWrap w:val="0"/>
            <w:vAlign w:val="center"/>
          </w:tcPr>
          <w:p w14:paraId="38D989F2">
            <w:pPr>
              <w:spacing w:line="38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岗位</w:t>
            </w:r>
          </w:p>
        </w:tc>
        <w:tc>
          <w:tcPr>
            <w:tcW w:w="1188" w:type="dxa"/>
            <w:noWrap w:val="0"/>
            <w:vAlign w:val="center"/>
          </w:tcPr>
          <w:p w14:paraId="6B5C3543">
            <w:pPr>
              <w:spacing w:line="38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1238" w:type="dxa"/>
            <w:noWrap w:val="0"/>
            <w:vAlign w:val="center"/>
          </w:tcPr>
          <w:p w14:paraId="2968959B">
            <w:pPr>
              <w:spacing w:line="38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性别</w:t>
            </w:r>
          </w:p>
        </w:tc>
        <w:tc>
          <w:tcPr>
            <w:tcW w:w="1075" w:type="dxa"/>
            <w:noWrap w:val="0"/>
            <w:vAlign w:val="center"/>
          </w:tcPr>
          <w:p w14:paraId="0FEE21BD">
            <w:pPr>
              <w:spacing w:line="38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年龄</w:t>
            </w:r>
          </w:p>
        </w:tc>
        <w:tc>
          <w:tcPr>
            <w:tcW w:w="1050" w:type="dxa"/>
            <w:noWrap w:val="0"/>
            <w:vAlign w:val="center"/>
          </w:tcPr>
          <w:p w14:paraId="28E76824">
            <w:pPr>
              <w:spacing w:line="38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学历及专业</w:t>
            </w:r>
          </w:p>
        </w:tc>
        <w:tc>
          <w:tcPr>
            <w:tcW w:w="996" w:type="dxa"/>
            <w:noWrap w:val="0"/>
            <w:vAlign w:val="center"/>
          </w:tcPr>
          <w:p w14:paraId="194EB959">
            <w:pPr>
              <w:spacing w:line="38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w:t>
            </w:r>
          </w:p>
        </w:tc>
        <w:tc>
          <w:tcPr>
            <w:tcW w:w="943" w:type="dxa"/>
            <w:noWrap w:val="0"/>
            <w:vAlign w:val="center"/>
          </w:tcPr>
          <w:p w14:paraId="3EC6D2F5">
            <w:pPr>
              <w:spacing w:line="38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38088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17" w:type="dxa"/>
            <w:noWrap w:val="0"/>
            <w:vAlign w:val="center"/>
          </w:tcPr>
          <w:p w14:paraId="4793FA7A">
            <w:pPr>
              <w:spacing w:line="38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162" w:type="dxa"/>
            <w:noWrap w:val="0"/>
            <w:vAlign w:val="center"/>
          </w:tcPr>
          <w:p w14:paraId="0122951A">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188" w:type="dxa"/>
            <w:noWrap w:val="0"/>
            <w:vAlign w:val="center"/>
          </w:tcPr>
          <w:p w14:paraId="04901B69">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238" w:type="dxa"/>
            <w:noWrap w:val="0"/>
            <w:vAlign w:val="center"/>
          </w:tcPr>
          <w:p w14:paraId="1CEBC7E9">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75" w:type="dxa"/>
            <w:noWrap w:val="0"/>
            <w:vAlign w:val="center"/>
          </w:tcPr>
          <w:p w14:paraId="450E69C3">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50" w:type="dxa"/>
            <w:noWrap w:val="0"/>
            <w:vAlign w:val="center"/>
          </w:tcPr>
          <w:p w14:paraId="229996B0">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96" w:type="dxa"/>
            <w:noWrap w:val="0"/>
            <w:vAlign w:val="center"/>
          </w:tcPr>
          <w:p w14:paraId="7C34CE3F">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43" w:type="dxa"/>
            <w:noWrap w:val="0"/>
            <w:vAlign w:val="top"/>
          </w:tcPr>
          <w:p w14:paraId="0E2640D8">
            <w:pPr>
              <w:spacing w:line="380" w:lineRule="exact"/>
              <w:jc w:val="center"/>
              <w:rPr>
                <w:rFonts w:hint="eastAsia" w:ascii="宋体" w:hAnsi="宋体" w:cs="宋体"/>
                <w:color w:val="000000" w:themeColor="text1"/>
                <w:sz w:val="24"/>
                <w:highlight w:val="none"/>
                <w14:textFill>
                  <w14:solidFill>
                    <w14:schemeClr w14:val="tx1"/>
                  </w14:solidFill>
                </w14:textFill>
              </w:rPr>
            </w:pPr>
          </w:p>
        </w:tc>
      </w:tr>
      <w:tr w14:paraId="71882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17" w:type="dxa"/>
            <w:noWrap w:val="0"/>
            <w:vAlign w:val="center"/>
          </w:tcPr>
          <w:p w14:paraId="72BFCB5F">
            <w:pPr>
              <w:spacing w:line="38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162" w:type="dxa"/>
            <w:noWrap w:val="0"/>
            <w:vAlign w:val="center"/>
          </w:tcPr>
          <w:p w14:paraId="04DF1044">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188" w:type="dxa"/>
            <w:noWrap w:val="0"/>
            <w:vAlign w:val="center"/>
          </w:tcPr>
          <w:p w14:paraId="2E06E022">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238" w:type="dxa"/>
            <w:noWrap w:val="0"/>
            <w:vAlign w:val="center"/>
          </w:tcPr>
          <w:p w14:paraId="68D77ABF">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75" w:type="dxa"/>
            <w:noWrap w:val="0"/>
            <w:vAlign w:val="center"/>
          </w:tcPr>
          <w:p w14:paraId="773745F7">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50" w:type="dxa"/>
            <w:noWrap w:val="0"/>
            <w:vAlign w:val="center"/>
          </w:tcPr>
          <w:p w14:paraId="269D31C8">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96" w:type="dxa"/>
            <w:noWrap w:val="0"/>
            <w:vAlign w:val="center"/>
          </w:tcPr>
          <w:p w14:paraId="4F5D8880">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43" w:type="dxa"/>
            <w:noWrap w:val="0"/>
            <w:vAlign w:val="top"/>
          </w:tcPr>
          <w:p w14:paraId="4E1A08C8">
            <w:pPr>
              <w:spacing w:line="380" w:lineRule="exact"/>
              <w:jc w:val="center"/>
              <w:rPr>
                <w:rFonts w:hint="eastAsia" w:ascii="宋体" w:hAnsi="宋体" w:cs="宋体"/>
                <w:color w:val="000000" w:themeColor="text1"/>
                <w:sz w:val="24"/>
                <w:highlight w:val="none"/>
                <w14:textFill>
                  <w14:solidFill>
                    <w14:schemeClr w14:val="tx1"/>
                  </w14:solidFill>
                </w14:textFill>
              </w:rPr>
            </w:pPr>
          </w:p>
        </w:tc>
      </w:tr>
      <w:tr w14:paraId="18EBA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17" w:type="dxa"/>
            <w:noWrap w:val="0"/>
            <w:vAlign w:val="center"/>
          </w:tcPr>
          <w:p w14:paraId="68D3163C">
            <w:pPr>
              <w:spacing w:line="38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162" w:type="dxa"/>
            <w:noWrap w:val="0"/>
            <w:vAlign w:val="center"/>
          </w:tcPr>
          <w:p w14:paraId="58C44848">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188" w:type="dxa"/>
            <w:noWrap w:val="0"/>
            <w:vAlign w:val="center"/>
          </w:tcPr>
          <w:p w14:paraId="6C9E2C03">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238" w:type="dxa"/>
            <w:noWrap w:val="0"/>
            <w:vAlign w:val="center"/>
          </w:tcPr>
          <w:p w14:paraId="76697EE0">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75" w:type="dxa"/>
            <w:noWrap w:val="0"/>
            <w:vAlign w:val="center"/>
          </w:tcPr>
          <w:p w14:paraId="5F3DE256">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50" w:type="dxa"/>
            <w:noWrap w:val="0"/>
            <w:vAlign w:val="center"/>
          </w:tcPr>
          <w:p w14:paraId="6195202B">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96" w:type="dxa"/>
            <w:noWrap w:val="0"/>
            <w:vAlign w:val="center"/>
          </w:tcPr>
          <w:p w14:paraId="43E74901">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43" w:type="dxa"/>
            <w:noWrap w:val="0"/>
            <w:vAlign w:val="top"/>
          </w:tcPr>
          <w:p w14:paraId="4C3AFC86">
            <w:pPr>
              <w:spacing w:line="380" w:lineRule="exact"/>
              <w:jc w:val="center"/>
              <w:rPr>
                <w:rFonts w:hint="eastAsia" w:ascii="宋体" w:hAnsi="宋体" w:cs="宋体"/>
                <w:color w:val="000000" w:themeColor="text1"/>
                <w:sz w:val="24"/>
                <w:highlight w:val="none"/>
                <w14:textFill>
                  <w14:solidFill>
                    <w14:schemeClr w14:val="tx1"/>
                  </w14:solidFill>
                </w14:textFill>
              </w:rPr>
            </w:pPr>
          </w:p>
        </w:tc>
      </w:tr>
      <w:tr w14:paraId="42569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17" w:type="dxa"/>
            <w:noWrap w:val="0"/>
            <w:vAlign w:val="center"/>
          </w:tcPr>
          <w:p w14:paraId="3CCCF29F">
            <w:pPr>
              <w:spacing w:line="38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162" w:type="dxa"/>
            <w:noWrap w:val="0"/>
            <w:vAlign w:val="center"/>
          </w:tcPr>
          <w:p w14:paraId="15E083E4">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188" w:type="dxa"/>
            <w:noWrap w:val="0"/>
            <w:vAlign w:val="center"/>
          </w:tcPr>
          <w:p w14:paraId="1E1AB73D">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238" w:type="dxa"/>
            <w:noWrap w:val="0"/>
            <w:vAlign w:val="center"/>
          </w:tcPr>
          <w:p w14:paraId="37EE57B1">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75" w:type="dxa"/>
            <w:noWrap w:val="0"/>
            <w:vAlign w:val="center"/>
          </w:tcPr>
          <w:p w14:paraId="7ECC8B16">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50" w:type="dxa"/>
            <w:noWrap w:val="0"/>
            <w:vAlign w:val="center"/>
          </w:tcPr>
          <w:p w14:paraId="124E4B9E">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96" w:type="dxa"/>
            <w:noWrap w:val="0"/>
            <w:vAlign w:val="center"/>
          </w:tcPr>
          <w:p w14:paraId="2419F33C">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43" w:type="dxa"/>
            <w:noWrap w:val="0"/>
            <w:vAlign w:val="top"/>
          </w:tcPr>
          <w:p w14:paraId="6431A8E8">
            <w:pPr>
              <w:spacing w:line="380" w:lineRule="exact"/>
              <w:jc w:val="center"/>
              <w:rPr>
                <w:rFonts w:hint="eastAsia" w:ascii="宋体" w:hAnsi="宋体" w:cs="宋体"/>
                <w:color w:val="000000" w:themeColor="text1"/>
                <w:sz w:val="24"/>
                <w:highlight w:val="none"/>
                <w14:textFill>
                  <w14:solidFill>
                    <w14:schemeClr w14:val="tx1"/>
                  </w14:solidFill>
                </w14:textFill>
              </w:rPr>
            </w:pPr>
          </w:p>
        </w:tc>
      </w:tr>
      <w:tr w14:paraId="095AE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17" w:type="dxa"/>
            <w:noWrap w:val="0"/>
            <w:vAlign w:val="center"/>
          </w:tcPr>
          <w:p w14:paraId="78C597D4">
            <w:pPr>
              <w:spacing w:line="38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1162" w:type="dxa"/>
            <w:noWrap w:val="0"/>
            <w:vAlign w:val="center"/>
          </w:tcPr>
          <w:p w14:paraId="04D8D65C">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188" w:type="dxa"/>
            <w:noWrap w:val="0"/>
            <w:vAlign w:val="center"/>
          </w:tcPr>
          <w:p w14:paraId="2106F11B">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238" w:type="dxa"/>
            <w:noWrap w:val="0"/>
            <w:vAlign w:val="center"/>
          </w:tcPr>
          <w:p w14:paraId="6C792295">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75" w:type="dxa"/>
            <w:noWrap w:val="0"/>
            <w:vAlign w:val="center"/>
          </w:tcPr>
          <w:p w14:paraId="60A70E61">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50" w:type="dxa"/>
            <w:noWrap w:val="0"/>
            <w:vAlign w:val="center"/>
          </w:tcPr>
          <w:p w14:paraId="03C6B8E5">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96" w:type="dxa"/>
            <w:noWrap w:val="0"/>
            <w:vAlign w:val="center"/>
          </w:tcPr>
          <w:p w14:paraId="7590CABC">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43" w:type="dxa"/>
            <w:noWrap w:val="0"/>
            <w:vAlign w:val="top"/>
          </w:tcPr>
          <w:p w14:paraId="402E0CF2">
            <w:pPr>
              <w:spacing w:line="380" w:lineRule="exact"/>
              <w:jc w:val="center"/>
              <w:rPr>
                <w:rFonts w:hint="eastAsia" w:ascii="宋体" w:hAnsi="宋体" w:cs="宋体"/>
                <w:color w:val="000000" w:themeColor="text1"/>
                <w:sz w:val="24"/>
                <w:highlight w:val="none"/>
                <w14:textFill>
                  <w14:solidFill>
                    <w14:schemeClr w14:val="tx1"/>
                  </w14:solidFill>
                </w14:textFill>
              </w:rPr>
            </w:pPr>
          </w:p>
        </w:tc>
      </w:tr>
      <w:tr w14:paraId="02494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17" w:type="dxa"/>
            <w:noWrap w:val="0"/>
            <w:vAlign w:val="center"/>
          </w:tcPr>
          <w:p w14:paraId="480DFD6C">
            <w:pPr>
              <w:spacing w:line="38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1162" w:type="dxa"/>
            <w:noWrap w:val="0"/>
            <w:vAlign w:val="center"/>
          </w:tcPr>
          <w:p w14:paraId="12780564">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188" w:type="dxa"/>
            <w:noWrap w:val="0"/>
            <w:vAlign w:val="center"/>
          </w:tcPr>
          <w:p w14:paraId="3E01C1CD">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238" w:type="dxa"/>
            <w:noWrap w:val="0"/>
            <w:vAlign w:val="center"/>
          </w:tcPr>
          <w:p w14:paraId="1605835E">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75" w:type="dxa"/>
            <w:noWrap w:val="0"/>
            <w:vAlign w:val="center"/>
          </w:tcPr>
          <w:p w14:paraId="791AC25C">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50" w:type="dxa"/>
            <w:noWrap w:val="0"/>
            <w:vAlign w:val="center"/>
          </w:tcPr>
          <w:p w14:paraId="5089DFF8">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96" w:type="dxa"/>
            <w:noWrap w:val="0"/>
            <w:vAlign w:val="center"/>
          </w:tcPr>
          <w:p w14:paraId="159EB655">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43" w:type="dxa"/>
            <w:noWrap w:val="0"/>
            <w:vAlign w:val="top"/>
          </w:tcPr>
          <w:p w14:paraId="17BCF033">
            <w:pPr>
              <w:spacing w:line="380" w:lineRule="exact"/>
              <w:jc w:val="center"/>
              <w:rPr>
                <w:rFonts w:hint="eastAsia" w:ascii="宋体" w:hAnsi="宋体" w:cs="宋体"/>
                <w:color w:val="000000" w:themeColor="text1"/>
                <w:sz w:val="24"/>
                <w:highlight w:val="none"/>
                <w14:textFill>
                  <w14:solidFill>
                    <w14:schemeClr w14:val="tx1"/>
                  </w14:solidFill>
                </w14:textFill>
              </w:rPr>
            </w:pPr>
          </w:p>
        </w:tc>
      </w:tr>
      <w:tr w14:paraId="5CAB0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17" w:type="dxa"/>
            <w:noWrap w:val="0"/>
            <w:vAlign w:val="center"/>
          </w:tcPr>
          <w:p w14:paraId="1335E0CE">
            <w:pPr>
              <w:spacing w:line="38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1162" w:type="dxa"/>
            <w:noWrap w:val="0"/>
            <w:vAlign w:val="center"/>
          </w:tcPr>
          <w:p w14:paraId="6661C5CF">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188" w:type="dxa"/>
            <w:noWrap w:val="0"/>
            <w:vAlign w:val="center"/>
          </w:tcPr>
          <w:p w14:paraId="33679D82">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238" w:type="dxa"/>
            <w:noWrap w:val="0"/>
            <w:vAlign w:val="center"/>
          </w:tcPr>
          <w:p w14:paraId="0F9554FC">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75" w:type="dxa"/>
            <w:noWrap w:val="0"/>
            <w:vAlign w:val="center"/>
          </w:tcPr>
          <w:p w14:paraId="6D47021F">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50" w:type="dxa"/>
            <w:noWrap w:val="0"/>
            <w:vAlign w:val="center"/>
          </w:tcPr>
          <w:p w14:paraId="4FBE8E4A">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96" w:type="dxa"/>
            <w:noWrap w:val="0"/>
            <w:vAlign w:val="center"/>
          </w:tcPr>
          <w:p w14:paraId="0E81B2A1">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43" w:type="dxa"/>
            <w:noWrap w:val="0"/>
            <w:vAlign w:val="top"/>
          </w:tcPr>
          <w:p w14:paraId="4274F5E0">
            <w:pPr>
              <w:spacing w:line="380" w:lineRule="exact"/>
              <w:jc w:val="center"/>
              <w:rPr>
                <w:rFonts w:hint="eastAsia" w:ascii="宋体" w:hAnsi="宋体" w:cs="宋体"/>
                <w:color w:val="000000" w:themeColor="text1"/>
                <w:sz w:val="24"/>
                <w:highlight w:val="none"/>
                <w14:textFill>
                  <w14:solidFill>
                    <w14:schemeClr w14:val="tx1"/>
                  </w14:solidFill>
                </w14:textFill>
              </w:rPr>
            </w:pPr>
          </w:p>
        </w:tc>
      </w:tr>
      <w:tr w14:paraId="1F604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17" w:type="dxa"/>
            <w:noWrap w:val="0"/>
            <w:vAlign w:val="center"/>
          </w:tcPr>
          <w:p w14:paraId="351CF373">
            <w:pPr>
              <w:spacing w:line="38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1162" w:type="dxa"/>
            <w:noWrap w:val="0"/>
            <w:vAlign w:val="center"/>
          </w:tcPr>
          <w:p w14:paraId="197C2635">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188" w:type="dxa"/>
            <w:noWrap w:val="0"/>
            <w:vAlign w:val="center"/>
          </w:tcPr>
          <w:p w14:paraId="1207FD98">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238" w:type="dxa"/>
            <w:noWrap w:val="0"/>
            <w:vAlign w:val="center"/>
          </w:tcPr>
          <w:p w14:paraId="0BB53686">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75" w:type="dxa"/>
            <w:noWrap w:val="0"/>
            <w:vAlign w:val="center"/>
          </w:tcPr>
          <w:p w14:paraId="1B219DE3">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50" w:type="dxa"/>
            <w:noWrap w:val="0"/>
            <w:vAlign w:val="center"/>
          </w:tcPr>
          <w:p w14:paraId="64BB3C3A">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96" w:type="dxa"/>
            <w:noWrap w:val="0"/>
            <w:vAlign w:val="center"/>
          </w:tcPr>
          <w:p w14:paraId="18D0B290">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43" w:type="dxa"/>
            <w:noWrap w:val="0"/>
            <w:vAlign w:val="top"/>
          </w:tcPr>
          <w:p w14:paraId="7C6691D3">
            <w:pPr>
              <w:spacing w:line="380" w:lineRule="exact"/>
              <w:jc w:val="center"/>
              <w:rPr>
                <w:rFonts w:hint="eastAsia" w:ascii="宋体" w:hAnsi="宋体" w:cs="宋体"/>
                <w:color w:val="000000" w:themeColor="text1"/>
                <w:sz w:val="24"/>
                <w:highlight w:val="none"/>
                <w14:textFill>
                  <w14:solidFill>
                    <w14:schemeClr w14:val="tx1"/>
                  </w14:solidFill>
                </w14:textFill>
              </w:rPr>
            </w:pPr>
          </w:p>
        </w:tc>
      </w:tr>
      <w:tr w14:paraId="33D71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17" w:type="dxa"/>
            <w:noWrap w:val="0"/>
            <w:vAlign w:val="center"/>
          </w:tcPr>
          <w:p w14:paraId="2CDF342B">
            <w:pPr>
              <w:spacing w:line="38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162" w:type="dxa"/>
            <w:noWrap w:val="0"/>
            <w:vAlign w:val="center"/>
          </w:tcPr>
          <w:p w14:paraId="7E52DA82">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188" w:type="dxa"/>
            <w:noWrap w:val="0"/>
            <w:vAlign w:val="center"/>
          </w:tcPr>
          <w:p w14:paraId="5F4908FC">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238" w:type="dxa"/>
            <w:noWrap w:val="0"/>
            <w:vAlign w:val="center"/>
          </w:tcPr>
          <w:p w14:paraId="7917655A">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75" w:type="dxa"/>
            <w:noWrap w:val="0"/>
            <w:vAlign w:val="center"/>
          </w:tcPr>
          <w:p w14:paraId="0866196F">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50" w:type="dxa"/>
            <w:noWrap w:val="0"/>
            <w:vAlign w:val="center"/>
          </w:tcPr>
          <w:p w14:paraId="07A73799">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96" w:type="dxa"/>
            <w:noWrap w:val="0"/>
            <w:vAlign w:val="center"/>
          </w:tcPr>
          <w:p w14:paraId="05542FE5">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43" w:type="dxa"/>
            <w:noWrap w:val="0"/>
            <w:vAlign w:val="top"/>
          </w:tcPr>
          <w:p w14:paraId="63A04279">
            <w:pPr>
              <w:spacing w:line="380" w:lineRule="exact"/>
              <w:jc w:val="center"/>
              <w:rPr>
                <w:rFonts w:hint="eastAsia" w:ascii="宋体" w:hAnsi="宋体" w:cs="宋体"/>
                <w:color w:val="000000" w:themeColor="text1"/>
                <w:sz w:val="24"/>
                <w:highlight w:val="none"/>
                <w14:textFill>
                  <w14:solidFill>
                    <w14:schemeClr w14:val="tx1"/>
                  </w14:solidFill>
                </w14:textFill>
              </w:rPr>
            </w:pPr>
          </w:p>
        </w:tc>
      </w:tr>
      <w:tr w14:paraId="49798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17" w:type="dxa"/>
            <w:noWrap w:val="0"/>
            <w:vAlign w:val="center"/>
          </w:tcPr>
          <w:p w14:paraId="193757ED">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162" w:type="dxa"/>
            <w:noWrap w:val="0"/>
            <w:vAlign w:val="center"/>
          </w:tcPr>
          <w:p w14:paraId="0718A234">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188" w:type="dxa"/>
            <w:noWrap w:val="0"/>
            <w:vAlign w:val="center"/>
          </w:tcPr>
          <w:p w14:paraId="2877FB0C">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238" w:type="dxa"/>
            <w:noWrap w:val="0"/>
            <w:vAlign w:val="center"/>
          </w:tcPr>
          <w:p w14:paraId="647922B7">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75" w:type="dxa"/>
            <w:noWrap w:val="0"/>
            <w:vAlign w:val="center"/>
          </w:tcPr>
          <w:p w14:paraId="3973E3BE">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50" w:type="dxa"/>
            <w:noWrap w:val="0"/>
            <w:vAlign w:val="center"/>
          </w:tcPr>
          <w:p w14:paraId="3E2250A6">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96" w:type="dxa"/>
            <w:noWrap w:val="0"/>
            <w:vAlign w:val="center"/>
          </w:tcPr>
          <w:p w14:paraId="368A827F">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43" w:type="dxa"/>
            <w:noWrap w:val="0"/>
            <w:vAlign w:val="top"/>
          </w:tcPr>
          <w:p w14:paraId="404FFFE5">
            <w:pPr>
              <w:spacing w:line="380" w:lineRule="exact"/>
              <w:jc w:val="center"/>
              <w:rPr>
                <w:rFonts w:hint="eastAsia" w:ascii="宋体" w:hAnsi="宋体" w:cs="宋体"/>
                <w:color w:val="000000" w:themeColor="text1"/>
                <w:sz w:val="24"/>
                <w:highlight w:val="none"/>
                <w14:textFill>
                  <w14:solidFill>
                    <w14:schemeClr w14:val="tx1"/>
                  </w14:solidFill>
                </w14:textFill>
              </w:rPr>
            </w:pPr>
          </w:p>
        </w:tc>
      </w:tr>
      <w:tr w14:paraId="092C5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17" w:type="dxa"/>
            <w:noWrap w:val="0"/>
            <w:vAlign w:val="center"/>
          </w:tcPr>
          <w:p w14:paraId="52D41F6B">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162" w:type="dxa"/>
            <w:noWrap w:val="0"/>
            <w:vAlign w:val="center"/>
          </w:tcPr>
          <w:p w14:paraId="7E8733B0">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188" w:type="dxa"/>
            <w:noWrap w:val="0"/>
            <w:vAlign w:val="center"/>
          </w:tcPr>
          <w:p w14:paraId="6628E42C">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238" w:type="dxa"/>
            <w:noWrap w:val="0"/>
            <w:vAlign w:val="center"/>
          </w:tcPr>
          <w:p w14:paraId="4C74E92F">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75" w:type="dxa"/>
            <w:noWrap w:val="0"/>
            <w:vAlign w:val="center"/>
          </w:tcPr>
          <w:p w14:paraId="3ADF69D4">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50" w:type="dxa"/>
            <w:noWrap w:val="0"/>
            <w:vAlign w:val="center"/>
          </w:tcPr>
          <w:p w14:paraId="716131CD">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96" w:type="dxa"/>
            <w:noWrap w:val="0"/>
            <w:vAlign w:val="center"/>
          </w:tcPr>
          <w:p w14:paraId="580E43CA">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43" w:type="dxa"/>
            <w:noWrap w:val="0"/>
            <w:vAlign w:val="top"/>
          </w:tcPr>
          <w:p w14:paraId="2EB15EB9">
            <w:pPr>
              <w:spacing w:line="380" w:lineRule="exact"/>
              <w:jc w:val="center"/>
              <w:rPr>
                <w:rFonts w:hint="eastAsia" w:ascii="宋体" w:hAnsi="宋体" w:cs="宋体"/>
                <w:color w:val="000000" w:themeColor="text1"/>
                <w:sz w:val="24"/>
                <w:highlight w:val="none"/>
                <w14:textFill>
                  <w14:solidFill>
                    <w14:schemeClr w14:val="tx1"/>
                  </w14:solidFill>
                </w14:textFill>
              </w:rPr>
            </w:pPr>
          </w:p>
        </w:tc>
      </w:tr>
      <w:tr w14:paraId="4CCC2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17" w:type="dxa"/>
            <w:noWrap w:val="0"/>
            <w:vAlign w:val="center"/>
          </w:tcPr>
          <w:p w14:paraId="1B78C22D">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162" w:type="dxa"/>
            <w:noWrap w:val="0"/>
            <w:vAlign w:val="center"/>
          </w:tcPr>
          <w:p w14:paraId="064AE7DE">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188" w:type="dxa"/>
            <w:noWrap w:val="0"/>
            <w:vAlign w:val="center"/>
          </w:tcPr>
          <w:p w14:paraId="052469B5">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238" w:type="dxa"/>
            <w:noWrap w:val="0"/>
            <w:vAlign w:val="center"/>
          </w:tcPr>
          <w:p w14:paraId="59417116">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75" w:type="dxa"/>
            <w:noWrap w:val="0"/>
            <w:vAlign w:val="center"/>
          </w:tcPr>
          <w:p w14:paraId="5CE08569">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50" w:type="dxa"/>
            <w:noWrap w:val="0"/>
            <w:vAlign w:val="center"/>
          </w:tcPr>
          <w:p w14:paraId="5A95F8F3">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96" w:type="dxa"/>
            <w:noWrap w:val="0"/>
            <w:vAlign w:val="center"/>
          </w:tcPr>
          <w:p w14:paraId="5B9FAB62">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43" w:type="dxa"/>
            <w:noWrap w:val="0"/>
            <w:vAlign w:val="top"/>
          </w:tcPr>
          <w:p w14:paraId="72D85E63">
            <w:pPr>
              <w:spacing w:line="380" w:lineRule="exact"/>
              <w:jc w:val="center"/>
              <w:rPr>
                <w:rFonts w:hint="eastAsia" w:ascii="宋体" w:hAnsi="宋体" w:cs="宋体"/>
                <w:color w:val="000000" w:themeColor="text1"/>
                <w:sz w:val="24"/>
                <w:highlight w:val="none"/>
                <w14:textFill>
                  <w14:solidFill>
                    <w14:schemeClr w14:val="tx1"/>
                  </w14:solidFill>
                </w14:textFill>
              </w:rPr>
            </w:pPr>
          </w:p>
        </w:tc>
      </w:tr>
      <w:tr w14:paraId="597FC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5" w:hRule="atLeast"/>
          <w:jc w:val="center"/>
        </w:trPr>
        <w:tc>
          <w:tcPr>
            <w:tcW w:w="717" w:type="dxa"/>
            <w:noWrap w:val="0"/>
            <w:vAlign w:val="center"/>
          </w:tcPr>
          <w:p w14:paraId="4241006D">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162" w:type="dxa"/>
            <w:noWrap w:val="0"/>
            <w:vAlign w:val="center"/>
          </w:tcPr>
          <w:p w14:paraId="703CEF9B">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188" w:type="dxa"/>
            <w:noWrap w:val="0"/>
            <w:vAlign w:val="center"/>
          </w:tcPr>
          <w:p w14:paraId="1CFCA772">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238" w:type="dxa"/>
            <w:noWrap w:val="0"/>
            <w:vAlign w:val="center"/>
          </w:tcPr>
          <w:p w14:paraId="0AD089DD">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75" w:type="dxa"/>
            <w:noWrap w:val="0"/>
            <w:vAlign w:val="center"/>
          </w:tcPr>
          <w:p w14:paraId="0096623A">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1050" w:type="dxa"/>
            <w:noWrap w:val="0"/>
            <w:vAlign w:val="center"/>
          </w:tcPr>
          <w:p w14:paraId="3459EFB1">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96" w:type="dxa"/>
            <w:noWrap w:val="0"/>
            <w:vAlign w:val="center"/>
          </w:tcPr>
          <w:p w14:paraId="1D7F6974">
            <w:pPr>
              <w:spacing w:line="380" w:lineRule="exact"/>
              <w:jc w:val="center"/>
              <w:rPr>
                <w:rFonts w:hint="eastAsia" w:ascii="宋体" w:hAnsi="宋体" w:cs="宋体"/>
                <w:color w:val="000000" w:themeColor="text1"/>
                <w:sz w:val="24"/>
                <w:highlight w:val="none"/>
                <w14:textFill>
                  <w14:solidFill>
                    <w14:schemeClr w14:val="tx1"/>
                  </w14:solidFill>
                </w14:textFill>
              </w:rPr>
            </w:pPr>
          </w:p>
        </w:tc>
        <w:tc>
          <w:tcPr>
            <w:tcW w:w="943" w:type="dxa"/>
            <w:noWrap w:val="0"/>
            <w:vAlign w:val="top"/>
          </w:tcPr>
          <w:p w14:paraId="0D3CB6CC">
            <w:pPr>
              <w:spacing w:line="380" w:lineRule="exact"/>
              <w:jc w:val="center"/>
              <w:rPr>
                <w:rFonts w:hint="eastAsia" w:ascii="宋体" w:hAnsi="宋体" w:cs="宋体"/>
                <w:color w:val="000000" w:themeColor="text1"/>
                <w:sz w:val="24"/>
                <w:highlight w:val="none"/>
                <w14:textFill>
                  <w14:solidFill>
                    <w14:schemeClr w14:val="tx1"/>
                  </w14:solidFill>
                </w14:textFill>
              </w:rPr>
            </w:pPr>
          </w:p>
        </w:tc>
      </w:tr>
    </w:tbl>
    <w:p w14:paraId="5113D479">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注：1）“项目组人员”指投标单位针对完成本项目所配备的人员。</w:t>
      </w:r>
    </w:p>
    <w:p w14:paraId="1D430125">
      <w:pPr>
        <w:spacing w:line="360" w:lineRule="auto"/>
        <w:ind w:firstLine="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2）附相关证明材料复印件；</w:t>
      </w:r>
    </w:p>
    <w:p w14:paraId="0DC2D597">
      <w:pPr>
        <w:spacing w:line="360" w:lineRule="auto"/>
        <w:ind w:firstLine="42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3）表格不够填写可添加（或自拟）。</w:t>
      </w:r>
    </w:p>
    <w:p w14:paraId="50F10F5E">
      <w:pPr>
        <w:pStyle w:val="247"/>
        <w:rPr>
          <w:rFonts w:hint="eastAsia" w:ascii="宋体" w:hAnsi="宋体" w:cs="宋体"/>
          <w:color w:val="000000" w:themeColor="text1"/>
          <w:highlight w:val="none"/>
          <w14:textFill>
            <w14:solidFill>
              <w14:schemeClr w14:val="tx1"/>
            </w14:solidFill>
          </w14:textFill>
        </w:rPr>
      </w:pPr>
    </w:p>
    <w:p w14:paraId="7C72A75D">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投标单位：（单位盖章）</w:t>
      </w:r>
    </w:p>
    <w:p w14:paraId="0634259A">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法定代表人或代理人：（签字或盖章）</w:t>
      </w:r>
    </w:p>
    <w:p w14:paraId="3949BCE9">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年     月    日</w:t>
      </w:r>
    </w:p>
    <w:p w14:paraId="12F7E475">
      <w:pPr>
        <w:spacing w:line="360" w:lineRule="auto"/>
        <w:rPr>
          <w:rFonts w:ascii="宋体" w:hAnsi="宋体"/>
          <w:color w:val="000000" w:themeColor="text1"/>
          <w:sz w:val="28"/>
          <w:szCs w:val="28"/>
          <w:highlight w:val="none"/>
          <w14:textFill>
            <w14:solidFill>
              <w14:schemeClr w14:val="tx1"/>
            </w14:solidFill>
          </w14:textFill>
        </w:rPr>
      </w:pPr>
    </w:p>
    <w:p w14:paraId="7AE4CCD1">
      <w:pPr>
        <w:spacing w:line="360" w:lineRule="auto"/>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clear="all"/>
      </w:r>
      <w:r>
        <w:rPr>
          <w:rFonts w:hint="eastAsia" w:ascii="宋体" w:hAnsi="宋体"/>
          <w:color w:val="000000" w:themeColor="text1"/>
          <w:sz w:val="28"/>
          <w:szCs w:val="28"/>
          <w:highlight w:val="none"/>
          <w14:textFill>
            <w14:solidFill>
              <w14:schemeClr w14:val="tx1"/>
            </w14:solidFill>
          </w14:textFill>
        </w:rPr>
        <w:t>6、投标单位类似项目业绩一览表（如有）</w:t>
      </w:r>
    </w:p>
    <w:p w14:paraId="33C0D60A">
      <w:pPr>
        <w:spacing w:line="360" w:lineRule="auto"/>
        <w:jc w:val="center"/>
        <w:rPr>
          <w:rFonts w:ascii="宋体" w:hAnsi="宋体"/>
          <w:color w:val="000000" w:themeColor="text1"/>
          <w:sz w:val="28"/>
          <w:szCs w:val="28"/>
          <w:highlight w:val="none"/>
          <w14:textFill>
            <w14:solidFill>
              <w14:schemeClr w14:val="tx1"/>
            </w14:solidFill>
          </w14:textFill>
        </w:rPr>
      </w:pPr>
    </w:p>
    <w:p w14:paraId="2EFCACB9">
      <w:pPr>
        <w:spacing w:line="360" w:lineRule="auto"/>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类似项目业绩一览表</w:t>
      </w:r>
    </w:p>
    <w:p w14:paraId="194412A0">
      <w:pPr>
        <w:spacing w:line="360" w:lineRule="auto"/>
        <w:jc w:val="center"/>
        <w:rPr>
          <w:rFonts w:ascii="宋体" w:hAnsi="宋体"/>
          <w:color w:val="000000" w:themeColor="text1"/>
          <w:sz w:val="28"/>
          <w:szCs w:val="28"/>
          <w:highlight w:val="none"/>
          <w14:textFill>
            <w14:solidFill>
              <w14:schemeClr w14:val="tx1"/>
            </w14:solidFill>
          </w14:textFill>
        </w:rPr>
      </w:pPr>
    </w:p>
    <w:tbl>
      <w:tblPr>
        <w:tblStyle w:val="40"/>
        <w:tblW w:w="0" w:type="auto"/>
        <w:tblInd w:w="-5" w:type="dxa"/>
        <w:tblLayout w:type="fixed"/>
        <w:tblCellMar>
          <w:top w:w="0" w:type="dxa"/>
          <w:left w:w="0" w:type="dxa"/>
          <w:bottom w:w="0" w:type="dxa"/>
          <w:right w:w="0" w:type="dxa"/>
        </w:tblCellMar>
      </w:tblPr>
      <w:tblGrid>
        <w:gridCol w:w="753"/>
        <w:gridCol w:w="1804"/>
        <w:gridCol w:w="1472"/>
        <w:gridCol w:w="1600"/>
        <w:gridCol w:w="1628"/>
        <w:gridCol w:w="1048"/>
      </w:tblGrid>
      <w:tr w14:paraId="4CB34D45">
        <w:tblPrEx>
          <w:tblCellMar>
            <w:top w:w="0" w:type="dxa"/>
            <w:left w:w="0" w:type="dxa"/>
            <w:bottom w:w="0" w:type="dxa"/>
            <w:right w:w="0"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7550B4E">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804" w:type="dxa"/>
            <w:tcBorders>
              <w:top w:val="single" w:color="000000" w:sz="4" w:space="0"/>
              <w:left w:val="nil"/>
              <w:bottom w:val="single" w:color="000000" w:sz="4" w:space="0"/>
              <w:right w:val="single" w:color="000000" w:sz="4" w:space="0"/>
            </w:tcBorders>
            <w:noWrap w:val="0"/>
            <w:vAlign w:val="center"/>
          </w:tcPr>
          <w:p w14:paraId="0880AABD">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tc>
        <w:tc>
          <w:tcPr>
            <w:tcW w:w="1472" w:type="dxa"/>
            <w:tcBorders>
              <w:top w:val="single" w:color="000000" w:sz="4" w:space="0"/>
              <w:left w:val="nil"/>
              <w:bottom w:val="single" w:color="000000" w:sz="4" w:space="0"/>
              <w:right w:val="single" w:color="000000" w:sz="4" w:space="0"/>
            </w:tcBorders>
            <w:noWrap w:val="0"/>
            <w:vAlign w:val="center"/>
          </w:tcPr>
          <w:p w14:paraId="3E57B90D">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项目时间</w:t>
            </w:r>
          </w:p>
        </w:tc>
        <w:tc>
          <w:tcPr>
            <w:tcW w:w="1600" w:type="dxa"/>
            <w:tcBorders>
              <w:top w:val="single" w:color="000000" w:sz="4" w:space="0"/>
              <w:left w:val="nil"/>
              <w:bottom w:val="single" w:color="000000" w:sz="4" w:space="0"/>
              <w:right w:val="single" w:color="000000" w:sz="4" w:space="0"/>
            </w:tcBorders>
            <w:noWrap w:val="0"/>
            <w:vAlign w:val="center"/>
          </w:tcPr>
          <w:p w14:paraId="2FD31B41">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合同金额</w:t>
            </w:r>
          </w:p>
          <w:p w14:paraId="76928B85">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（人民币）</w:t>
            </w:r>
          </w:p>
        </w:tc>
        <w:tc>
          <w:tcPr>
            <w:tcW w:w="1628" w:type="dxa"/>
            <w:tcBorders>
              <w:top w:val="single" w:color="000000" w:sz="4" w:space="0"/>
              <w:left w:val="nil"/>
              <w:bottom w:val="single" w:color="000000" w:sz="4" w:space="0"/>
              <w:right w:val="single" w:color="000000" w:sz="4" w:space="0"/>
            </w:tcBorders>
            <w:noWrap w:val="0"/>
            <w:vAlign w:val="center"/>
          </w:tcPr>
          <w:p w14:paraId="0BA7BF91">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业主单位</w:t>
            </w:r>
          </w:p>
        </w:tc>
        <w:tc>
          <w:tcPr>
            <w:tcW w:w="1048" w:type="dxa"/>
            <w:tcBorders>
              <w:top w:val="single" w:color="000000" w:sz="4" w:space="0"/>
              <w:left w:val="nil"/>
              <w:bottom w:val="single" w:color="000000" w:sz="4" w:space="0"/>
              <w:right w:val="single" w:color="000000" w:sz="4" w:space="0"/>
            </w:tcBorders>
            <w:noWrap w:val="0"/>
            <w:vAlign w:val="center"/>
          </w:tcPr>
          <w:p w14:paraId="42CD85CA">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r>
      <w:tr w14:paraId="06CC5A5C">
        <w:tblPrEx>
          <w:tblCellMar>
            <w:top w:w="0" w:type="dxa"/>
            <w:left w:w="0" w:type="dxa"/>
            <w:bottom w:w="0" w:type="dxa"/>
            <w:right w:w="0"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9FA4962">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1804" w:type="dxa"/>
            <w:tcBorders>
              <w:top w:val="single" w:color="000000" w:sz="4" w:space="0"/>
              <w:left w:val="nil"/>
              <w:bottom w:val="single" w:color="000000" w:sz="4" w:space="0"/>
              <w:right w:val="single" w:color="000000" w:sz="4" w:space="0"/>
            </w:tcBorders>
            <w:noWrap w:val="0"/>
            <w:vAlign w:val="center"/>
          </w:tcPr>
          <w:p w14:paraId="06C2839A">
            <w:pPr>
              <w:jc w:val="center"/>
              <w:rPr>
                <w:rFonts w:hint="eastAsia" w:ascii="宋体" w:hAnsi="宋体" w:cs="宋体"/>
                <w:color w:val="000000" w:themeColor="text1"/>
                <w:sz w:val="24"/>
                <w:szCs w:val="24"/>
                <w:highlight w:val="none"/>
                <w14:textFill>
                  <w14:solidFill>
                    <w14:schemeClr w14:val="tx1"/>
                  </w14:solidFill>
                </w14:textFill>
              </w:rPr>
            </w:pPr>
          </w:p>
        </w:tc>
        <w:tc>
          <w:tcPr>
            <w:tcW w:w="1472" w:type="dxa"/>
            <w:tcBorders>
              <w:top w:val="single" w:color="000000" w:sz="4" w:space="0"/>
              <w:left w:val="nil"/>
              <w:bottom w:val="single" w:color="000000" w:sz="4" w:space="0"/>
              <w:right w:val="single" w:color="000000" w:sz="4" w:space="0"/>
            </w:tcBorders>
            <w:noWrap w:val="0"/>
            <w:vAlign w:val="center"/>
          </w:tcPr>
          <w:p w14:paraId="1D7DF9AD">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600" w:type="dxa"/>
            <w:tcBorders>
              <w:top w:val="single" w:color="000000" w:sz="4" w:space="0"/>
              <w:left w:val="nil"/>
              <w:bottom w:val="single" w:color="000000" w:sz="4" w:space="0"/>
              <w:right w:val="single" w:color="000000" w:sz="4" w:space="0"/>
            </w:tcBorders>
            <w:noWrap w:val="0"/>
            <w:vAlign w:val="center"/>
          </w:tcPr>
          <w:p w14:paraId="24B1947E">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628" w:type="dxa"/>
            <w:tcBorders>
              <w:top w:val="single" w:color="000000" w:sz="4" w:space="0"/>
              <w:left w:val="nil"/>
              <w:bottom w:val="single" w:color="000000" w:sz="4" w:space="0"/>
              <w:right w:val="single" w:color="000000" w:sz="4" w:space="0"/>
            </w:tcBorders>
            <w:noWrap w:val="0"/>
            <w:vAlign w:val="center"/>
          </w:tcPr>
          <w:p w14:paraId="6C3A4501">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048" w:type="dxa"/>
            <w:tcBorders>
              <w:top w:val="single" w:color="000000" w:sz="4" w:space="0"/>
              <w:left w:val="nil"/>
              <w:bottom w:val="single" w:color="000000" w:sz="4" w:space="0"/>
              <w:right w:val="single" w:color="000000" w:sz="4" w:space="0"/>
            </w:tcBorders>
            <w:noWrap w:val="0"/>
            <w:vAlign w:val="center"/>
          </w:tcPr>
          <w:p w14:paraId="7A7E490F">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14:paraId="7C85CE4D">
        <w:tblPrEx>
          <w:tblCellMar>
            <w:top w:w="0" w:type="dxa"/>
            <w:left w:w="0" w:type="dxa"/>
            <w:bottom w:w="0" w:type="dxa"/>
            <w:right w:w="0"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FCBA476">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1804" w:type="dxa"/>
            <w:tcBorders>
              <w:top w:val="single" w:color="000000" w:sz="4" w:space="0"/>
              <w:left w:val="nil"/>
              <w:bottom w:val="single" w:color="000000" w:sz="4" w:space="0"/>
              <w:right w:val="single" w:color="000000" w:sz="4" w:space="0"/>
            </w:tcBorders>
            <w:noWrap w:val="0"/>
            <w:vAlign w:val="center"/>
          </w:tcPr>
          <w:p w14:paraId="6876FA59">
            <w:pPr>
              <w:jc w:val="center"/>
              <w:rPr>
                <w:rFonts w:hint="eastAsia" w:ascii="宋体" w:hAnsi="宋体" w:cs="宋体"/>
                <w:color w:val="000000" w:themeColor="text1"/>
                <w:sz w:val="24"/>
                <w:szCs w:val="24"/>
                <w:highlight w:val="none"/>
                <w14:textFill>
                  <w14:solidFill>
                    <w14:schemeClr w14:val="tx1"/>
                  </w14:solidFill>
                </w14:textFill>
              </w:rPr>
            </w:pPr>
          </w:p>
        </w:tc>
        <w:tc>
          <w:tcPr>
            <w:tcW w:w="1472" w:type="dxa"/>
            <w:tcBorders>
              <w:top w:val="single" w:color="000000" w:sz="4" w:space="0"/>
              <w:left w:val="nil"/>
              <w:bottom w:val="single" w:color="000000" w:sz="4" w:space="0"/>
              <w:right w:val="single" w:color="000000" w:sz="4" w:space="0"/>
            </w:tcBorders>
            <w:noWrap w:val="0"/>
            <w:vAlign w:val="center"/>
          </w:tcPr>
          <w:p w14:paraId="7A69F4F8">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600" w:type="dxa"/>
            <w:tcBorders>
              <w:top w:val="single" w:color="000000" w:sz="4" w:space="0"/>
              <w:left w:val="nil"/>
              <w:bottom w:val="single" w:color="000000" w:sz="4" w:space="0"/>
              <w:right w:val="single" w:color="000000" w:sz="4" w:space="0"/>
            </w:tcBorders>
            <w:noWrap w:val="0"/>
            <w:vAlign w:val="center"/>
          </w:tcPr>
          <w:p w14:paraId="41C0519E">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628" w:type="dxa"/>
            <w:tcBorders>
              <w:top w:val="single" w:color="000000" w:sz="4" w:space="0"/>
              <w:left w:val="nil"/>
              <w:bottom w:val="single" w:color="000000" w:sz="4" w:space="0"/>
              <w:right w:val="single" w:color="000000" w:sz="4" w:space="0"/>
            </w:tcBorders>
            <w:noWrap w:val="0"/>
            <w:vAlign w:val="center"/>
          </w:tcPr>
          <w:p w14:paraId="6041EDCF">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048" w:type="dxa"/>
            <w:tcBorders>
              <w:top w:val="single" w:color="000000" w:sz="4" w:space="0"/>
              <w:left w:val="nil"/>
              <w:bottom w:val="single" w:color="000000" w:sz="4" w:space="0"/>
              <w:right w:val="single" w:color="000000" w:sz="4" w:space="0"/>
            </w:tcBorders>
            <w:noWrap w:val="0"/>
            <w:vAlign w:val="center"/>
          </w:tcPr>
          <w:p w14:paraId="5A7746BE">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14:paraId="37213C26">
        <w:tblPrEx>
          <w:tblCellMar>
            <w:top w:w="0" w:type="dxa"/>
            <w:left w:w="0" w:type="dxa"/>
            <w:bottom w:w="0" w:type="dxa"/>
            <w:right w:w="0"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B123AD3">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1804" w:type="dxa"/>
            <w:tcBorders>
              <w:top w:val="single" w:color="000000" w:sz="4" w:space="0"/>
              <w:left w:val="nil"/>
              <w:bottom w:val="single" w:color="000000" w:sz="4" w:space="0"/>
              <w:right w:val="single" w:color="000000" w:sz="4" w:space="0"/>
            </w:tcBorders>
            <w:noWrap w:val="0"/>
            <w:vAlign w:val="center"/>
          </w:tcPr>
          <w:p w14:paraId="18A25AE1">
            <w:pPr>
              <w:jc w:val="center"/>
              <w:rPr>
                <w:rFonts w:hint="eastAsia" w:ascii="宋体" w:hAnsi="宋体" w:cs="宋体"/>
                <w:color w:val="000000" w:themeColor="text1"/>
                <w:sz w:val="24"/>
                <w:szCs w:val="24"/>
                <w:highlight w:val="none"/>
                <w14:textFill>
                  <w14:solidFill>
                    <w14:schemeClr w14:val="tx1"/>
                  </w14:solidFill>
                </w14:textFill>
              </w:rPr>
            </w:pPr>
          </w:p>
        </w:tc>
        <w:tc>
          <w:tcPr>
            <w:tcW w:w="1472" w:type="dxa"/>
            <w:tcBorders>
              <w:top w:val="single" w:color="000000" w:sz="4" w:space="0"/>
              <w:left w:val="nil"/>
              <w:bottom w:val="single" w:color="000000" w:sz="4" w:space="0"/>
              <w:right w:val="single" w:color="000000" w:sz="4" w:space="0"/>
            </w:tcBorders>
            <w:noWrap w:val="0"/>
            <w:vAlign w:val="center"/>
          </w:tcPr>
          <w:p w14:paraId="79C03368">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600" w:type="dxa"/>
            <w:tcBorders>
              <w:top w:val="single" w:color="000000" w:sz="4" w:space="0"/>
              <w:left w:val="nil"/>
              <w:bottom w:val="single" w:color="000000" w:sz="4" w:space="0"/>
              <w:right w:val="single" w:color="000000" w:sz="4" w:space="0"/>
            </w:tcBorders>
            <w:noWrap w:val="0"/>
            <w:vAlign w:val="center"/>
          </w:tcPr>
          <w:p w14:paraId="2C0C9B1F">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628" w:type="dxa"/>
            <w:tcBorders>
              <w:top w:val="single" w:color="000000" w:sz="4" w:space="0"/>
              <w:left w:val="nil"/>
              <w:bottom w:val="single" w:color="000000" w:sz="4" w:space="0"/>
              <w:right w:val="single" w:color="000000" w:sz="4" w:space="0"/>
            </w:tcBorders>
            <w:noWrap w:val="0"/>
            <w:vAlign w:val="center"/>
          </w:tcPr>
          <w:p w14:paraId="6DAC0277">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048" w:type="dxa"/>
            <w:tcBorders>
              <w:top w:val="single" w:color="000000" w:sz="4" w:space="0"/>
              <w:left w:val="nil"/>
              <w:bottom w:val="single" w:color="000000" w:sz="4" w:space="0"/>
              <w:right w:val="single" w:color="000000" w:sz="4" w:space="0"/>
            </w:tcBorders>
            <w:noWrap w:val="0"/>
            <w:vAlign w:val="center"/>
          </w:tcPr>
          <w:p w14:paraId="33C326EC">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14:paraId="739C0E28">
        <w:tblPrEx>
          <w:tblCellMar>
            <w:top w:w="0" w:type="dxa"/>
            <w:left w:w="0" w:type="dxa"/>
            <w:bottom w:w="0" w:type="dxa"/>
            <w:right w:w="0"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129E988">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1804" w:type="dxa"/>
            <w:tcBorders>
              <w:top w:val="single" w:color="000000" w:sz="4" w:space="0"/>
              <w:left w:val="nil"/>
              <w:bottom w:val="single" w:color="000000" w:sz="4" w:space="0"/>
              <w:right w:val="single" w:color="000000" w:sz="4" w:space="0"/>
            </w:tcBorders>
            <w:noWrap w:val="0"/>
            <w:vAlign w:val="center"/>
          </w:tcPr>
          <w:p w14:paraId="5D181827">
            <w:pPr>
              <w:jc w:val="center"/>
              <w:rPr>
                <w:rFonts w:hint="eastAsia" w:ascii="宋体" w:hAnsi="宋体" w:cs="宋体"/>
                <w:color w:val="000000" w:themeColor="text1"/>
                <w:sz w:val="24"/>
                <w:szCs w:val="24"/>
                <w:highlight w:val="none"/>
                <w14:textFill>
                  <w14:solidFill>
                    <w14:schemeClr w14:val="tx1"/>
                  </w14:solidFill>
                </w14:textFill>
              </w:rPr>
            </w:pPr>
          </w:p>
        </w:tc>
        <w:tc>
          <w:tcPr>
            <w:tcW w:w="1472" w:type="dxa"/>
            <w:tcBorders>
              <w:top w:val="single" w:color="000000" w:sz="4" w:space="0"/>
              <w:left w:val="nil"/>
              <w:bottom w:val="single" w:color="000000" w:sz="4" w:space="0"/>
              <w:right w:val="single" w:color="000000" w:sz="4" w:space="0"/>
            </w:tcBorders>
            <w:noWrap w:val="0"/>
            <w:vAlign w:val="center"/>
          </w:tcPr>
          <w:p w14:paraId="04D68820">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600" w:type="dxa"/>
            <w:tcBorders>
              <w:top w:val="single" w:color="000000" w:sz="4" w:space="0"/>
              <w:left w:val="nil"/>
              <w:bottom w:val="single" w:color="000000" w:sz="4" w:space="0"/>
              <w:right w:val="single" w:color="000000" w:sz="4" w:space="0"/>
            </w:tcBorders>
            <w:noWrap w:val="0"/>
            <w:vAlign w:val="center"/>
          </w:tcPr>
          <w:p w14:paraId="4622E193">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628" w:type="dxa"/>
            <w:tcBorders>
              <w:top w:val="single" w:color="000000" w:sz="4" w:space="0"/>
              <w:left w:val="nil"/>
              <w:bottom w:val="single" w:color="000000" w:sz="4" w:space="0"/>
              <w:right w:val="single" w:color="000000" w:sz="4" w:space="0"/>
            </w:tcBorders>
            <w:noWrap w:val="0"/>
            <w:vAlign w:val="center"/>
          </w:tcPr>
          <w:p w14:paraId="40CC4E7D">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048" w:type="dxa"/>
            <w:tcBorders>
              <w:top w:val="single" w:color="000000" w:sz="4" w:space="0"/>
              <w:left w:val="nil"/>
              <w:bottom w:val="single" w:color="000000" w:sz="4" w:space="0"/>
              <w:right w:val="single" w:color="000000" w:sz="4" w:space="0"/>
            </w:tcBorders>
            <w:noWrap w:val="0"/>
            <w:vAlign w:val="center"/>
          </w:tcPr>
          <w:p w14:paraId="1E9ACA49">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14:paraId="6C56C9B0">
        <w:tblPrEx>
          <w:tblCellMar>
            <w:top w:w="0" w:type="dxa"/>
            <w:left w:w="0" w:type="dxa"/>
            <w:bottom w:w="0" w:type="dxa"/>
            <w:right w:w="0"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630C684">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1804" w:type="dxa"/>
            <w:tcBorders>
              <w:top w:val="single" w:color="000000" w:sz="4" w:space="0"/>
              <w:left w:val="nil"/>
              <w:bottom w:val="single" w:color="000000" w:sz="4" w:space="0"/>
              <w:right w:val="single" w:color="000000" w:sz="4" w:space="0"/>
            </w:tcBorders>
            <w:noWrap w:val="0"/>
            <w:vAlign w:val="center"/>
          </w:tcPr>
          <w:p w14:paraId="5DF44EAE">
            <w:pPr>
              <w:jc w:val="center"/>
              <w:rPr>
                <w:rFonts w:hint="eastAsia" w:ascii="宋体" w:hAnsi="宋体" w:cs="宋体"/>
                <w:color w:val="000000" w:themeColor="text1"/>
                <w:sz w:val="24"/>
                <w:szCs w:val="24"/>
                <w:highlight w:val="none"/>
                <w14:textFill>
                  <w14:solidFill>
                    <w14:schemeClr w14:val="tx1"/>
                  </w14:solidFill>
                </w14:textFill>
              </w:rPr>
            </w:pPr>
          </w:p>
        </w:tc>
        <w:tc>
          <w:tcPr>
            <w:tcW w:w="1472" w:type="dxa"/>
            <w:tcBorders>
              <w:top w:val="single" w:color="000000" w:sz="4" w:space="0"/>
              <w:left w:val="nil"/>
              <w:bottom w:val="single" w:color="000000" w:sz="4" w:space="0"/>
              <w:right w:val="single" w:color="000000" w:sz="4" w:space="0"/>
            </w:tcBorders>
            <w:noWrap w:val="0"/>
            <w:vAlign w:val="center"/>
          </w:tcPr>
          <w:p w14:paraId="1172C15F">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600" w:type="dxa"/>
            <w:tcBorders>
              <w:top w:val="single" w:color="000000" w:sz="4" w:space="0"/>
              <w:left w:val="nil"/>
              <w:bottom w:val="single" w:color="000000" w:sz="4" w:space="0"/>
              <w:right w:val="single" w:color="000000" w:sz="4" w:space="0"/>
            </w:tcBorders>
            <w:noWrap w:val="0"/>
            <w:vAlign w:val="center"/>
          </w:tcPr>
          <w:p w14:paraId="129D280B">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628" w:type="dxa"/>
            <w:tcBorders>
              <w:top w:val="single" w:color="000000" w:sz="4" w:space="0"/>
              <w:left w:val="nil"/>
              <w:bottom w:val="single" w:color="000000" w:sz="4" w:space="0"/>
              <w:right w:val="single" w:color="000000" w:sz="4" w:space="0"/>
            </w:tcBorders>
            <w:noWrap w:val="0"/>
            <w:vAlign w:val="center"/>
          </w:tcPr>
          <w:p w14:paraId="7F8ADFE4">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048" w:type="dxa"/>
            <w:tcBorders>
              <w:top w:val="single" w:color="000000" w:sz="4" w:space="0"/>
              <w:left w:val="nil"/>
              <w:bottom w:val="single" w:color="000000" w:sz="4" w:space="0"/>
              <w:right w:val="single" w:color="000000" w:sz="4" w:space="0"/>
            </w:tcBorders>
            <w:noWrap w:val="0"/>
            <w:vAlign w:val="center"/>
          </w:tcPr>
          <w:p w14:paraId="200C9BFF">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14:paraId="6E9CC2AD">
        <w:tblPrEx>
          <w:tblCellMar>
            <w:top w:w="0" w:type="dxa"/>
            <w:left w:w="0" w:type="dxa"/>
            <w:bottom w:w="0" w:type="dxa"/>
            <w:right w:w="0"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632905E1">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1804" w:type="dxa"/>
            <w:tcBorders>
              <w:top w:val="single" w:color="000000" w:sz="4" w:space="0"/>
              <w:left w:val="nil"/>
              <w:bottom w:val="single" w:color="000000" w:sz="4" w:space="0"/>
              <w:right w:val="single" w:color="000000" w:sz="4" w:space="0"/>
            </w:tcBorders>
            <w:noWrap w:val="0"/>
            <w:vAlign w:val="center"/>
          </w:tcPr>
          <w:p w14:paraId="248D0986">
            <w:pPr>
              <w:jc w:val="center"/>
              <w:rPr>
                <w:rFonts w:hint="eastAsia" w:ascii="宋体" w:hAnsi="宋体" w:cs="宋体"/>
                <w:color w:val="000000" w:themeColor="text1"/>
                <w:sz w:val="24"/>
                <w:szCs w:val="24"/>
                <w:highlight w:val="none"/>
                <w14:textFill>
                  <w14:solidFill>
                    <w14:schemeClr w14:val="tx1"/>
                  </w14:solidFill>
                </w14:textFill>
              </w:rPr>
            </w:pPr>
          </w:p>
        </w:tc>
        <w:tc>
          <w:tcPr>
            <w:tcW w:w="1472" w:type="dxa"/>
            <w:tcBorders>
              <w:top w:val="single" w:color="000000" w:sz="4" w:space="0"/>
              <w:left w:val="nil"/>
              <w:bottom w:val="single" w:color="000000" w:sz="4" w:space="0"/>
              <w:right w:val="single" w:color="000000" w:sz="4" w:space="0"/>
            </w:tcBorders>
            <w:noWrap w:val="0"/>
            <w:vAlign w:val="center"/>
          </w:tcPr>
          <w:p w14:paraId="42E8CE24">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600" w:type="dxa"/>
            <w:tcBorders>
              <w:top w:val="single" w:color="000000" w:sz="4" w:space="0"/>
              <w:left w:val="nil"/>
              <w:bottom w:val="single" w:color="000000" w:sz="4" w:space="0"/>
              <w:right w:val="single" w:color="000000" w:sz="4" w:space="0"/>
            </w:tcBorders>
            <w:noWrap w:val="0"/>
            <w:vAlign w:val="center"/>
          </w:tcPr>
          <w:p w14:paraId="1C4ABBB7">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628" w:type="dxa"/>
            <w:tcBorders>
              <w:top w:val="single" w:color="000000" w:sz="4" w:space="0"/>
              <w:left w:val="nil"/>
              <w:bottom w:val="single" w:color="000000" w:sz="4" w:space="0"/>
              <w:right w:val="single" w:color="000000" w:sz="4" w:space="0"/>
            </w:tcBorders>
            <w:noWrap w:val="0"/>
            <w:vAlign w:val="center"/>
          </w:tcPr>
          <w:p w14:paraId="58F575B6">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048" w:type="dxa"/>
            <w:tcBorders>
              <w:top w:val="single" w:color="000000" w:sz="4" w:space="0"/>
              <w:left w:val="nil"/>
              <w:bottom w:val="single" w:color="000000" w:sz="4" w:space="0"/>
              <w:right w:val="single" w:color="000000" w:sz="4" w:space="0"/>
            </w:tcBorders>
            <w:noWrap w:val="0"/>
            <w:vAlign w:val="center"/>
          </w:tcPr>
          <w:p w14:paraId="1F12D722">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r w14:paraId="61356CC4">
        <w:tblPrEx>
          <w:tblCellMar>
            <w:top w:w="0" w:type="dxa"/>
            <w:left w:w="0" w:type="dxa"/>
            <w:bottom w:w="0" w:type="dxa"/>
            <w:right w:w="0"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F0A3F0C">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1804" w:type="dxa"/>
            <w:tcBorders>
              <w:top w:val="single" w:color="000000" w:sz="4" w:space="0"/>
              <w:left w:val="nil"/>
              <w:bottom w:val="single" w:color="000000" w:sz="4" w:space="0"/>
              <w:right w:val="single" w:color="000000" w:sz="4" w:space="0"/>
            </w:tcBorders>
            <w:noWrap w:val="0"/>
            <w:vAlign w:val="center"/>
          </w:tcPr>
          <w:p w14:paraId="34E733FC">
            <w:pPr>
              <w:jc w:val="center"/>
              <w:rPr>
                <w:rFonts w:hint="eastAsia" w:ascii="宋体" w:hAnsi="宋体" w:cs="宋体"/>
                <w:color w:val="000000" w:themeColor="text1"/>
                <w:sz w:val="24"/>
                <w:szCs w:val="24"/>
                <w:highlight w:val="none"/>
                <w14:textFill>
                  <w14:solidFill>
                    <w14:schemeClr w14:val="tx1"/>
                  </w14:solidFill>
                </w14:textFill>
              </w:rPr>
            </w:pPr>
          </w:p>
        </w:tc>
        <w:tc>
          <w:tcPr>
            <w:tcW w:w="1472" w:type="dxa"/>
            <w:tcBorders>
              <w:top w:val="single" w:color="000000" w:sz="4" w:space="0"/>
              <w:left w:val="nil"/>
              <w:bottom w:val="single" w:color="000000" w:sz="4" w:space="0"/>
              <w:right w:val="single" w:color="000000" w:sz="4" w:space="0"/>
            </w:tcBorders>
            <w:noWrap w:val="0"/>
            <w:vAlign w:val="center"/>
          </w:tcPr>
          <w:p w14:paraId="12899066">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600" w:type="dxa"/>
            <w:tcBorders>
              <w:top w:val="single" w:color="000000" w:sz="4" w:space="0"/>
              <w:left w:val="nil"/>
              <w:bottom w:val="single" w:color="000000" w:sz="4" w:space="0"/>
              <w:right w:val="single" w:color="000000" w:sz="4" w:space="0"/>
            </w:tcBorders>
            <w:noWrap w:val="0"/>
            <w:vAlign w:val="center"/>
          </w:tcPr>
          <w:p w14:paraId="7D38A611">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628" w:type="dxa"/>
            <w:tcBorders>
              <w:top w:val="single" w:color="000000" w:sz="4" w:space="0"/>
              <w:left w:val="nil"/>
              <w:bottom w:val="single" w:color="000000" w:sz="4" w:space="0"/>
              <w:right w:val="single" w:color="000000" w:sz="4" w:space="0"/>
            </w:tcBorders>
            <w:noWrap w:val="0"/>
            <w:vAlign w:val="center"/>
          </w:tcPr>
          <w:p w14:paraId="350344B7">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c>
          <w:tcPr>
            <w:tcW w:w="1048" w:type="dxa"/>
            <w:tcBorders>
              <w:top w:val="single" w:color="000000" w:sz="4" w:space="0"/>
              <w:left w:val="nil"/>
              <w:bottom w:val="single" w:color="000000" w:sz="4" w:space="0"/>
              <w:right w:val="single" w:color="000000" w:sz="4" w:space="0"/>
            </w:tcBorders>
            <w:noWrap w:val="0"/>
            <w:vAlign w:val="center"/>
          </w:tcPr>
          <w:p w14:paraId="2EC26250">
            <w:pPr>
              <w:spacing w:line="360" w:lineRule="auto"/>
              <w:jc w:val="center"/>
              <w:rPr>
                <w:rFonts w:hint="eastAsia" w:ascii="宋体" w:hAnsi="宋体" w:cs="宋体"/>
                <w:color w:val="000000" w:themeColor="text1"/>
                <w:sz w:val="24"/>
                <w:szCs w:val="24"/>
                <w:highlight w:val="none"/>
                <w14:textFill>
                  <w14:solidFill>
                    <w14:schemeClr w14:val="tx1"/>
                  </w14:solidFill>
                </w14:textFill>
              </w:rPr>
            </w:pPr>
          </w:p>
        </w:tc>
      </w:tr>
    </w:tbl>
    <w:p w14:paraId="28544339">
      <w:pPr>
        <w:spacing w:line="360" w:lineRule="auto"/>
        <w:rPr>
          <w:rFonts w:hint="eastAsia" w:ascii="宋体" w:hAnsi="宋体" w:cs="宋体"/>
          <w:color w:val="000000" w:themeColor="text1"/>
          <w:sz w:val="24"/>
          <w:szCs w:val="24"/>
          <w:highlight w:val="none"/>
          <w14:textFill>
            <w14:solidFill>
              <w14:schemeClr w14:val="tx1"/>
            </w14:solidFill>
          </w14:textFill>
        </w:rPr>
      </w:pPr>
    </w:p>
    <w:p w14:paraId="007A7EE5">
      <w:pPr>
        <w:spacing w:line="360" w:lineRule="auto"/>
        <w:rPr>
          <w:rFonts w:hint="eastAsia" w:ascii="宋体" w:hAnsi="宋体" w:cs="宋体"/>
          <w:color w:val="000000" w:themeColor="text1"/>
          <w:sz w:val="24"/>
          <w:szCs w:val="24"/>
          <w:highlight w:val="none"/>
          <w14:textFill>
            <w14:solidFill>
              <w14:schemeClr w14:val="tx1"/>
            </w14:solidFill>
          </w14:textFill>
        </w:rPr>
      </w:pPr>
    </w:p>
    <w:p w14:paraId="54043AC5">
      <w:pPr>
        <w:pStyle w:val="225"/>
        <w:ind w:firstLine="420"/>
        <w:rPr>
          <w:rFonts w:hint="eastAsia"/>
          <w:color w:val="000000" w:themeColor="text1"/>
          <w:highlight w:val="none"/>
          <w14:textFill>
            <w14:solidFill>
              <w14:schemeClr w14:val="tx1"/>
            </w14:solidFill>
          </w14:textFill>
        </w:rPr>
      </w:pPr>
    </w:p>
    <w:p w14:paraId="35519180">
      <w:pPr>
        <w:spacing w:before="25" w:after="25" w:line="360" w:lineRule="auto"/>
        <w:ind w:firstLine="480"/>
        <w:rPr>
          <w:rFonts w:hint="eastAsia" w:ascii="宋体" w:hAnsi="宋体" w:cs="宋体"/>
          <w:color w:val="000000" w:themeColor="text1"/>
          <w:sz w:val="24"/>
          <w:szCs w:val="24"/>
          <w:highlight w:val="none"/>
          <w14:textFill>
            <w14:solidFill>
              <w14:schemeClr w14:val="tx1"/>
            </w14:solidFill>
          </w14:textFill>
        </w:rPr>
      </w:pPr>
    </w:p>
    <w:p w14:paraId="51DA26F3">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投标单位：（单位盖章）</w:t>
      </w:r>
    </w:p>
    <w:p w14:paraId="7AB7AB25">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法定代表人或代理人：（签字或盖章）</w:t>
      </w:r>
    </w:p>
    <w:p w14:paraId="39704755">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    年     月    日</w:t>
      </w:r>
    </w:p>
    <w:p w14:paraId="4A3B39AD">
      <w:pPr>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clear="all"/>
      </w:r>
      <w:r>
        <w:rPr>
          <w:rFonts w:hint="eastAsia" w:ascii="宋体" w:hAnsi="宋体"/>
          <w:color w:val="000000" w:themeColor="text1"/>
          <w:sz w:val="28"/>
          <w:szCs w:val="28"/>
          <w:highlight w:val="none"/>
          <w:lang w:val="en-US" w:eastAsia="zh-CN"/>
          <w14:textFill>
            <w14:solidFill>
              <w14:schemeClr w14:val="tx1"/>
            </w14:solidFill>
          </w14:textFill>
        </w:rPr>
        <w:t>7</w:t>
      </w:r>
      <w:r>
        <w:rPr>
          <w:rFonts w:hint="eastAsia" w:ascii="宋体" w:hAnsi="宋体"/>
          <w:color w:val="000000" w:themeColor="text1"/>
          <w:sz w:val="28"/>
          <w:szCs w:val="28"/>
          <w:highlight w:val="none"/>
          <w14:textFill>
            <w14:solidFill>
              <w14:schemeClr w14:val="tx1"/>
            </w14:solidFill>
          </w14:textFill>
        </w:rPr>
        <w:t>、项目实施方案</w:t>
      </w:r>
    </w:p>
    <w:p w14:paraId="2D38659F">
      <w:pPr>
        <w:keepNext w:val="0"/>
        <w:keepLines w:val="0"/>
        <w:pageBreakBefore w:val="0"/>
        <w:widowControl w:val="0"/>
        <w:spacing w:line="360" w:lineRule="auto"/>
        <w:jc w:val="center"/>
        <w:rPr>
          <w:rFonts w:hint="eastAsia" w:ascii="宋体" w:hAnsi="宋体" w:eastAsia="宋体" w:cs="Times New Roman"/>
          <w:color w:val="000000" w:themeColor="text1"/>
          <w:sz w:val="28"/>
          <w:szCs w:val="28"/>
          <w:highlight w:val="none"/>
          <w14:textFill>
            <w14:solidFill>
              <w14:schemeClr w14:val="tx1"/>
            </w14:solidFill>
          </w14:textFill>
        </w:rPr>
      </w:pPr>
      <w:r>
        <w:rPr>
          <w:rFonts w:hint="eastAsia" w:ascii="宋体" w:hAnsi="宋体" w:eastAsia="宋体" w:cs="Times New Roman"/>
          <w:color w:val="000000" w:themeColor="text1"/>
          <w:sz w:val="28"/>
          <w:szCs w:val="28"/>
          <w:highlight w:val="none"/>
          <w14:textFill>
            <w14:solidFill>
              <w14:schemeClr w14:val="tx1"/>
            </w14:solidFill>
          </w14:textFill>
        </w:rPr>
        <w:t>实施方案</w:t>
      </w:r>
    </w:p>
    <w:tbl>
      <w:tblPr>
        <w:tblStyle w:val="40"/>
        <w:tblW w:w="0" w:type="auto"/>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0"/>
      </w:tblGrid>
      <w:tr w14:paraId="31F12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6" w:hRule="atLeast"/>
        </w:trPr>
        <w:tc>
          <w:tcPr>
            <w:tcW w:w="8250" w:type="dxa"/>
            <w:noWrap w:val="0"/>
            <w:vAlign w:val="top"/>
          </w:tcPr>
          <w:p w14:paraId="70A42A3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提示：</w:t>
            </w:r>
          </w:p>
          <w:p w14:paraId="1A85855A">
            <w:pPr>
              <w:spacing w:line="360" w:lineRule="auto"/>
              <w:rPr>
                <w:rFonts w:hint="eastAsia"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投标单位应针对本次招标项目特点及具体情况编写公司中标后拟采取的方案，包括</w:t>
            </w:r>
            <w:r>
              <w:rPr>
                <w:rFonts w:hint="eastAsia" w:ascii="宋体" w:hAnsi="宋体"/>
                <w:color w:val="000000" w:themeColor="text1"/>
                <w:sz w:val="24"/>
                <w:szCs w:val="24"/>
                <w:highlight w:val="none"/>
                <w:lang w:eastAsia="zh-CN"/>
                <w14:textFill>
                  <w14:solidFill>
                    <w14:schemeClr w14:val="tx1"/>
                  </w14:solidFill>
                </w14:textFill>
              </w:rPr>
              <w:t>但不限于</w:t>
            </w:r>
            <w:r>
              <w:rPr>
                <w:rFonts w:hint="eastAsia" w:ascii="宋体" w:hAnsi="宋体"/>
                <w:color w:val="000000" w:themeColor="text1"/>
                <w:sz w:val="24"/>
                <w:szCs w:val="24"/>
                <w:highlight w:val="none"/>
                <w14:textFill>
                  <w14:solidFill>
                    <w14:schemeClr w14:val="tx1"/>
                  </w14:solidFill>
                </w14:textFill>
              </w:rPr>
              <w:t>服务方案、人员配备方案以及遇重大、紧急事项的应急措施等</w:t>
            </w:r>
            <w:r>
              <w:rPr>
                <w:rFonts w:hint="eastAsia" w:ascii="宋体" w:hAnsi="宋体"/>
                <w:color w:val="000000" w:themeColor="text1"/>
                <w:sz w:val="24"/>
                <w:highlight w:val="none"/>
                <w14:textFill>
                  <w14:solidFill>
                    <w14:schemeClr w14:val="tx1"/>
                  </w14:solidFill>
                </w14:textFill>
              </w:rPr>
              <w:t>。</w:t>
            </w:r>
          </w:p>
          <w:p w14:paraId="6C3C3C9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2、投标单位可根据自身情况编写，本页不够可另加页附后。</w:t>
            </w:r>
          </w:p>
        </w:tc>
      </w:tr>
      <w:tr w14:paraId="5D7FD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0" w:hRule="atLeast"/>
        </w:trPr>
        <w:tc>
          <w:tcPr>
            <w:tcW w:w="8250" w:type="dxa"/>
            <w:noWrap w:val="0"/>
            <w:vAlign w:val="top"/>
          </w:tcPr>
          <w:p w14:paraId="08F89F6E">
            <w:pPr>
              <w:spacing w:line="360" w:lineRule="auto"/>
              <w:rPr>
                <w:rFonts w:ascii="宋体" w:hAnsi="宋体" w:cs="宋体"/>
                <w:color w:val="000000" w:themeColor="text1"/>
                <w:sz w:val="24"/>
                <w:highlight w:val="none"/>
                <w14:textFill>
                  <w14:solidFill>
                    <w14:schemeClr w14:val="tx1"/>
                  </w14:solidFill>
                </w14:textFill>
              </w:rPr>
            </w:pPr>
          </w:p>
          <w:p w14:paraId="778CECA3">
            <w:pPr>
              <w:spacing w:line="360" w:lineRule="auto"/>
              <w:rPr>
                <w:rFonts w:hint="eastAsia" w:ascii="宋体" w:hAnsi="宋体"/>
                <w:color w:val="000000" w:themeColor="text1"/>
                <w:sz w:val="24"/>
                <w:highlight w:val="none"/>
                <w14:textFill>
                  <w14:solidFill>
                    <w14:schemeClr w14:val="tx1"/>
                  </w14:solidFill>
                </w14:textFill>
              </w:rPr>
            </w:pPr>
          </w:p>
          <w:p w14:paraId="057CE701">
            <w:pPr>
              <w:spacing w:line="360" w:lineRule="auto"/>
              <w:rPr>
                <w:rFonts w:hint="eastAsia" w:ascii="宋体" w:hAnsi="宋体"/>
                <w:color w:val="000000" w:themeColor="text1"/>
                <w:sz w:val="24"/>
                <w:highlight w:val="none"/>
                <w14:textFill>
                  <w14:solidFill>
                    <w14:schemeClr w14:val="tx1"/>
                  </w14:solidFill>
                </w14:textFill>
              </w:rPr>
            </w:pPr>
          </w:p>
          <w:p w14:paraId="2D1D690F">
            <w:pPr>
              <w:spacing w:line="360" w:lineRule="auto"/>
              <w:rPr>
                <w:rFonts w:hint="eastAsia" w:ascii="宋体" w:hAnsi="宋体"/>
                <w:color w:val="000000" w:themeColor="text1"/>
                <w:sz w:val="24"/>
                <w:highlight w:val="none"/>
                <w14:textFill>
                  <w14:solidFill>
                    <w14:schemeClr w14:val="tx1"/>
                  </w14:solidFill>
                </w14:textFill>
              </w:rPr>
            </w:pPr>
          </w:p>
          <w:p w14:paraId="4813B36C">
            <w:pPr>
              <w:spacing w:line="360" w:lineRule="auto"/>
              <w:rPr>
                <w:rFonts w:hint="eastAsia" w:ascii="宋体" w:hAnsi="宋体"/>
                <w:color w:val="000000" w:themeColor="text1"/>
                <w:sz w:val="24"/>
                <w:highlight w:val="none"/>
                <w14:textFill>
                  <w14:solidFill>
                    <w14:schemeClr w14:val="tx1"/>
                  </w14:solidFill>
                </w14:textFill>
              </w:rPr>
            </w:pPr>
          </w:p>
          <w:p w14:paraId="7006E7D3">
            <w:pPr>
              <w:spacing w:line="360" w:lineRule="auto"/>
              <w:rPr>
                <w:rFonts w:hint="eastAsia" w:ascii="宋体" w:hAnsi="宋体"/>
                <w:color w:val="000000" w:themeColor="text1"/>
                <w:sz w:val="24"/>
                <w:highlight w:val="none"/>
                <w14:textFill>
                  <w14:solidFill>
                    <w14:schemeClr w14:val="tx1"/>
                  </w14:solidFill>
                </w14:textFill>
              </w:rPr>
            </w:pPr>
          </w:p>
          <w:p w14:paraId="727CE219">
            <w:pPr>
              <w:spacing w:line="360" w:lineRule="auto"/>
              <w:rPr>
                <w:rFonts w:hint="eastAsia" w:ascii="宋体" w:hAnsi="宋体"/>
                <w:color w:val="000000" w:themeColor="text1"/>
                <w:sz w:val="24"/>
                <w:highlight w:val="none"/>
                <w14:textFill>
                  <w14:solidFill>
                    <w14:schemeClr w14:val="tx1"/>
                  </w14:solidFill>
                </w14:textFill>
              </w:rPr>
            </w:pPr>
          </w:p>
          <w:p w14:paraId="51B8FA34">
            <w:pPr>
              <w:spacing w:line="360" w:lineRule="auto"/>
              <w:rPr>
                <w:rFonts w:hint="eastAsia" w:ascii="宋体" w:hAnsi="宋体"/>
                <w:color w:val="000000" w:themeColor="text1"/>
                <w:sz w:val="24"/>
                <w:highlight w:val="none"/>
                <w14:textFill>
                  <w14:solidFill>
                    <w14:schemeClr w14:val="tx1"/>
                  </w14:solidFill>
                </w14:textFill>
              </w:rPr>
            </w:pPr>
          </w:p>
          <w:p w14:paraId="300EA727">
            <w:pPr>
              <w:spacing w:line="360" w:lineRule="auto"/>
              <w:rPr>
                <w:rFonts w:hint="eastAsia" w:ascii="宋体" w:hAnsi="宋体"/>
                <w:color w:val="000000" w:themeColor="text1"/>
                <w:sz w:val="24"/>
                <w:highlight w:val="none"/>
                <w14:textFill>
                  <w14:solidFill>
                    <w14:schemeClr w14:val="tx1"/>
                  </w14:solidFill>
                </w14:textFill>
              </w:rPr>
            </w:pPr>
          </w:p>
          <w:p w14:paraId="37EA336E">
            <w:pPr>
              <w:spacing w:line="360" w:lineRule="auto"/>
              <w:rPr>
                <w:rFonts w:hint="eastAsia" w:ascii="宋体" w:hAnsi="宋体"/>
                <w:color w:val="000000" w:themeColor="text1"/>
                <w:sz w:val="24"/>
                <w:highlight w:val="none"/>
                <w14:textFill>
                  <w14:solidFill>
                    <w14:schemeClr w14:val="tx1"/>
                  </w14:solidFill>
                </w14:textFill>
              </w:rPr>
            </w:pPr>
          </w:p>
          <w:p w14:paraId="56D27DB9">
            <w:pPr>
              <w:spacing w:line="360" w:lineRule="auto"/>
              <w:rPr>
                <w:rFonts w:hint="eastAsia" w:ascii="宋体" w:hAnsi="宋体"/>
                <w:color w:val="000000" w:themeColor="text1"/>
                <w:sz w:val="24"/>
                <w:highlight w:val="none"/>
                <w14:textFill>
                  <w14:solidFill>
                    <w14:schemeClr w14:val="tx1"/>
                  </w14:solidFill>
                </w14:textFill>
              </w:rPr>
            </w:pPr>
          </w:p>
          <w:p w14:paraId="6B05D8F3">
            <w:pPr>
              <w:spacing w:line="360" w:lineRule="auto"/>
              <w:rPr>
                <w:rFonts w:hint="eastAsia" w:ascii="宋体" w:hAnsi="宋体"/>
                <w:color w:val="000000" w:themeColor="text1"/>
                <w:sz w:val="24"/>
                <w:highlight w:val="none"/>
                <w14:textFill>
                  <w14:solidFill>
                    <w14:schemeClr w14:val="tx1"/>
                  </w14:solidFill>
                </w14:textFill>
              </w:rPr>
            </w:pPr>
          </w:p>
          <w:p w14:paraId="015CE6AC">
            <w:pPr>
              <w:spacing w:line="360" w:lineRule="auto"/>
              <w:rPr>
                <w:rFonts w:hint="eastAsia" w:ascii="宋体" w:hAnsi="宋体"/>
                <w:color w:val="000000" w:themeColor="text1"/>
                <w:sz w:val="24"/>
                <w:highlight w:val="none"/>
                <w14:textFill>
                  <w14:solidFill>
                    <w14:schemeClr w14:val="tx1"/>
                  </w14:solidFill>
                </w14:textFill>
              </w:rPr>
            </w:pPr>
          </w:p>
          <w:p w14:paraId="099D0328">
            <w:pPr>
              <w:spacing w:line="360" w:lineRule="auto"/>
              <w:rPr>
                <w:rFonts w:hint="eastAsia" w:ascii="宋体" w:hAnsi="宋体"/>
                <w:color w:val="000000" w:themeColor="text1"/>
                <w:sz w:val="24"/>
                <w:highlight w:val="none"/>
                <w14:textFill>
                  <w14:solidFill>
                    <w14:schemeClr w14:val="tx1"/>
                  </w14:solidFill>
                </w14:textFill>
              </w:rPr>
            </w:pPr>
          </w:p>
          <w:p w14:paraId="397BA985">
            <w:pPr>
              <w:spacing w:line="360" w:lineRule="auto"/>
              <w:ind w:firstLine="240"/>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投标单位（公章）：</w:t>
            </w:r>
          </w:p>
        </w:tc>
      </w:tr>
    </w:tbl>
    <w:p w14:paraId="72EE28F5">
      <w:pPr>
        <w:pStyle w:val="227"/>
        <w:spacing w:line="360" w:lineRule="auto"/>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 xml:space="preserve"> </w:t>
      </w:r>
    </w:p>
    <w:p w14:paraId="055ED444">
      <w:pPr>
        <w:spacing w:line="360" w:lineRule="auto"/>
        <w:ind w:firstLine="21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投标单位（公章）：</w:t>
      </w:r>
    </w:p>
    <w:p w14:paraId="243BD82A">
      <w:pPr>
        <w:spacing w:line="360" w:lineRule="auto"/>
        <w:ind w:firstLine="21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法定代表人或代理人：（签字或签章）</w:t>
      </w:r>
    </w:p>
    <w:p w14:paraId="5021840F">
      <w:pPr>
        <w:spacing w:line="360" w:lineRule="auto"/>
        <w:ind w:firstLine="21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3FA78E3D">
      <w:pPr>
        <w:spacing w:line="360" w:lineRule="auto"/>
        <w:rPr>
          <w:rFonts w:hint="eastAsia" w:ascii="宋体" w:hAnsi="宋体"/>
          <w:color w:val="000000" w:themeColor="text1"/>
          <w:sz w:val="28"/>
          <w:szCs w:val="28"/>
          <w:highlight w:val="none"/>
          <w:lang w:val="en-US" w:eastAsia="zh-CN"/>
          <w14:textFill>
            <w14:solidFill>
              <w14:schemeClr w14:val="tx1"/>
            </w14:solidFill>
          </w14:textFill>
        </w:rPr>
      </w:pPr>
    </w:p>
    <w:p w14:paraId="3D2288FF">
      <w:pPr>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8</w:t>
      </w:r>
      <w:r>
        <w:rPr>
          <w:rFonts w:hint="eastAsia" w:ascii="宋体" w:hAnsi="宋体"/>
          <w:color w:val="000000" w:themeColor="text1"/>
          <w:sz w:val="28"/>
          <w:szCs w:val="28"/>
          <w:highlight w:val="none"/>
          <w14:textFill>
            <w14:solidFill>
              <w14:schemeClr w14:val="tx1"/>
            </w14:solidFill>
          </w14:textFill>
        </w:rPr>
        <w:t>、有关资格证明文件</w:t>
      </w:r>
    </w:p>
    <w:p w14:paraId="47084461">
      <w:pPr>
        <w:spacing w:line="360" w:lineRule="auto"/>
        <w:rPr>
          <w:rFonts w:ascii="宋体" w:hAnsi="宋体"/>
          <w:color w:val="000000" w:themeColor="text1"/>
          <w:sz w:val="24"/>
          <w:highlight w:val="none"/>
          <w14:textFill>
            <w14:solidFill>
              <w14:schemeClr w14:val="tx1"/>
            </w14:solidFill>
          </w14:textFill>
        </w:rPr>
      </w:pPr>
    </w:p>
    <w:p w14:paraId="515C6243">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关于资格文件的声明函</w:t>
      </w:r>
    </w:p>
    <w:p w14:paraId="52868290">
      <w:pPr>
        <w:spacing w:line="360" w:lineRule="auto"/>
        <w:ind w:firstLine="420"/>
        <w:jc w:val="center"/>
        <w:rPr>
          <w:rFonts w:ascii="宋体" w:hAnsi="宋体"/>
          <w:color w:val="000000" w:themeColor="text1"/>
          <w:sz w:val="24"/>
          <w:highlight w:val="none"/>
          <w14:textFill>
            <w14:solidFill>
              <w14:schemeClr w14:val="tx1"/>
            </w14:solidFill>
          </w14:textFill>
        </w:rPr>
      </w:pPr>
    </w:p>
    <w:p w14:paraId="6A4604BC">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eastAsia="zh-CN"/>
          <w14:textFill>
            <w14:solidFill>
              <w14:schemeClr w14:val="tx1"/>
            </w14:solidFill>
          </w14:textFill>
        </w:rPr>
        <w:t>苏州惠德普源企业咨询有限公司</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11F9FB00">
      <w:pPr>
        <w:spacing w:line="360" w:lineRule="auto"/>
        <w:ind w:firstLine="42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本公司愿就由贵公司组织实施的编号为</w:t>
      </w:r>
      <w:r>
        <w:rPr>
          <w:rFonts w:hint="eastAsia" w:ascii="宋体" w:hAnsi="宋体"/>
          <w:color w:val="000000" w:themeColor="text1"/>
          <w:sz w:val="24"/>
          <w:highlight w:val="none"/>
          <w:u w:val="single"/>
          <w14:textFill>
            <w14:solidFill>
              <w14:schemeClr w14:val="tx1"/>
            </w14:solidFill>
          </w14:textFill>
        </w:rPr>
        <w:t>（招标编号）</w:t>
      </w:r>
      <w:r>
        <w:rPr>
          <w:rFonts w:hint="eastAsia" w:ascii="宋体" w:hAnsi="宋体"/>
          <w:color w:val="000000" w:themeColor="text1"/>
          <w:sz w:val="24"/>
          <w:highlight w:val="none"/>
          <w14:textFill>
            <w14:solidFill>
              <w14:schemeClr w14:val="tx1"/>
            </w14:solidFill>
          </w14:textFill>
        </w:rPr>
        <w:t>号的招标活动进行投标。本公司所提交的投标文件中所有关于投标资格的文件、证明和陈述均是真实的、准确的。若与真实情况不符，本公司愿意承担由此而产生的一切后果。</w:t>
      </w:r>
    </w:p>
    <w:p w14:paraId="05CD994E">
      <w:pPr>
        <w:spacing w:line="360" w:lineRule="auto"/>
        <w:ind w:firstLine="42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ab/>
      </w:r>
    </w:p>
    <w:p w14:paraId="76A50920">
      <w:pPr>
        <w:spacing w:line="360" w:lineRule="auto"/>
        <w:ind w:firstLine="4260"/>
        <w:jc w:val="left"/>
        <w:rPr>
          <w:rFonts w:hint="eastAsia" w:ascii="宋体" w:hAnsi="宋体"/>
          <w:color w:val="000000" w:themeColor="text1"/>
          <w:sz w:val="24"/>
          <w:highlight w:val="none"/>
          <w14:textFill>
            <w14:solidFill>
              <w14:schemeClr w14:val="tx1"/>
            </w14:solidFill>
          </w14:textFill>
        </w:rPr>
      </w:pPr>
    </w:p>
    <w:p w14:paraId="64CDED07">
      <w:pPr>
        <w:spacing w:line="360" w:lineRule="auto"/>
        <w:ind w:firstLine="4260"/>
        <w:jc w:val="left"/>
        <w:rPr>
          <w:rFonts w:hint="eastAsia" w:ascii="宋体" w:hAnsi="宋体"/>
          <w:color w:val="000000" w:themeColor="text1"/>
          <w:sz w:val="24"/>
          <w:highlight w:val="none"/>
          <w14:textFill>
            <w14:solidFill>
              <w14:schemeClr w14:val="tx1"/>
            </w14:solidFill>
          </w14:textFill>
        </w:rPr>
      </w:pPr>
    </w:p>
    <w:p w14:paraId="2B5DED5B">
      <w:pPr>
        <w:spacing w:line="360" w:lineRule="auto"/>
        <w:ind w:firstLine="426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投标单位（盖公章）：</w:t>
      </w:r>
    </w:p>
    <w:p w14:paraId="79288D49">
      <w:pPr>
        <w:spacing w:line="360" w:lineRule="auto"/>
        <w:ind w:firstLine="42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 xml:space="preserve">  法定代表人或被授权人（签字或盖章）：</w:t>
      </w:r>
    </w:p>
    <w:p w14:paraId="4B147EE7">
      <w:pPr>
        <w:spacing w:line="360" w:lineRule="auto"/>
        <w:ind w:firstLine="425"/>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 xml:space="preserve">   月   </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日</w:t>
      </w:r>
    </w:p>
    <w:p w14:paraId="7B5CCD54">
      <w:pPr>
        <w:spacing w:line="360" w:lineRule="auto"/>
        <w:jc w:val="lef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clear="all"/>
      </w:r>
      <w:r>
        <w:rPr>
          <w:rFonts w:hint="eastAsia" w:ascii="宋体" w:hAnsi="宋体"/>
          <w:color w:val="000000" w:themeColor="text1"/>
          <w:sz w:val="28"/>
          <w:szCs w:val="28"/>
          <w:highlight w:val="none"/>
          <w:lang w:val="en-US" w:eastAsia="zh-CN"/>
          <w14:textFill>
            <w14:solidFill>
              <w14:schemeClr w14:val="tx1"/>
            </w14:solidFill>
          </w14:textFill>
        </w:rPr>
        <w:t>9</w:t>
      </w:r>
      <w:r>
        <w:rPr>
          <w:rFonts w:hint="eastAsia" w:ascii="宋体" w:hAnsi="宋体"/>
          <w:color w:val="000000" w:themeColor="text1"/>
          <w:sz w:val="28"/>
          <w:szCs w:val="28"/>
          <w:highlight w:val="none"/>
          <w14:textFill>
            <w14:solidFill>
              <w14:schemeClr w14:val="tx1"/>
            </w14:solidFill>
          </w14:textFill>
        </w:rPr>
        <w:t>、中小企业声明函</w:t>
      </w:r>
    </w:p>
    <w:p w14:paraId="3C84A642">
      <w:pPr>
        <w:spacing w:line="360" w:lineRule="auto"/>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中小企业声明函</w:t>
      </w:r>
    </w:p>
    <w:p w14:paraId="5E582B96">
      <w:pPr>
        <w:spacing w:line="360" w:lineRule="auto"/>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本公司（联合体）郑重声明，根据</w:t>
      </w:r>
      <w:r>
        <w:rPr>
          <w:rFonts w:hint="eastAsia" w:ascii="宋体" w:hAnsi="宋体" w:cs="宋体"/>
          <w:color w:val="000000" w:themeColor="text1"/>
          <w:sz w:val="24"/>
          <w:highlight w:val="none"/>
          <w14:textFill>
            <w14:solidFill>
              <w14:schemeClr w14:val="tx1"/>
            </w14:solidFill>
          </w14:textFill>
        </w:rPr>
        <w:t>《关于印发</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苏州市政府采购促进中小企业发展实施意见</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的通知》（苏财购</w:t>
      </w:r>
      <w:r>
        <w:rPr>
          <w:rFonts w:hint="eastAsia" w:ascii="宋体" w:hAnsi="宋体" w:cs="宋体"/>
          <w:color w:val="000000" w:themeColor="text1"/>
          <w:sz w:val="24"/>
          <w:highlight w:val="none"/>
          <w:lang w:eastAsia="zh-CN"/>
          <w14:textFill>
            <w14:solidFill>
              <w14:schemeClr w14:val="tx1"/>
            </w14:solidFill>
          </w14:textFill>
        </w:rPr>
        <w:t>〔2022〕16号</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的规定，本公司 （联合体）参加</w:t>
      </w:r>
      <w:r>
        <w:rPr>
          <w:rFonts w:ascii="宋体" w:hAnsi="宋体" w:cs="宋体"/>
          <w:color w:val="000000" w:themeColor="text1"/>
          <w:sz w:val="24"/>
          <w:highlight w:val="none"/>
          <w:u w:val="single"/>
          <w14:textFill>
            <w14:solidFill>
              <w14:schemeClr w14:val="tx1"/>
            </w14:solidFill>
          </w14:textFill>
        </w:rPr>
        <w:t>（单位名称）</w:t>
      </w:r>
      <w:r>
        <w:rPr>
          <w:rFonts w:ascii="宋体" w:hAnsi="宋体" w:cs="宋体"/>
          <w:color w:val="000000" w:themeColor="text1"/>
          <w:sz w:val="24"/>
          <w:highlight w:val="none"/>
          <w14:textFill>
            <w14:solidFill>
              <w14:schemeClr w14:val="tx1"/>
            </w14:solidFill>
          </w14:textFill>
        </w:rPr>
        <w:t>的</w:t>
      </w:r>
      <w:r>
        <w:rPr>
          <w:rFonts w:ascii="宋体" w:hAnsi="宋体" w:cs="宋体"/>
          <w:color w:val="000000" w:themeColor="text1"/>
          <w:sz w:val="24"/>
          <w:highlight w:val="none"/>
          <w:u w:val="single"/>
          <w14:textFill>
            <w14:solidFill>
              <w14:schemeClr w14:val="tx1"/>
            </w14:solidFill>
          </w14:textFill>
        </w:rPr>
        <w:t>（项目名称）</w:t>
      </w:r>
      <w:r>
        <w:rPr>
          <w:rFonts w:ascii="宋体" w:hAnsi="宋体" w:cs="宋体"/>
          <w:color w:val="000000" w:themeColor="text1"/>
          <w:sz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1E859CEE">
      <w:pPr>
        <w:numPr>
          <w:ilvl w:val="0"/>
          <w:numId w:val="1"/>
        </w:numPr>
        <w:spacing w:line="360" w:lineRule="auto"/>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（标的名称）</w:t>
      </w:r>
      <w:r>
        <w:rPr>
          <w:rFonts w:ascii="宋体" w:hAnsi="宋体" w:cs="宋体"/>
          <w:color w:val="000000" w:themeColor="text1"/>
          <w:sz w:val="24"/>
          <w:highlight w:val="none"/>
          <w14:textFill>
            <w14:solidFill>
              <w14:schemeClr w14:val="tx1"/>
            </w14:solidFill>
          </w14:textFill>
        </w:rPr>
        <w:t>，属于</w:t>
      </w:r>
      <w:r>
        <w:rPr>
          <w:rFonts w:ascii="宋体" w:hAnsi="宋体" w:cs="宋体"/>
          <w:color w:val="000000" w:themeColor="text1"/>
          <w:sz w:val="24"/>
          <w:highlight w:val="none"/>
          <w:u w:val="single"/>
          <w14:textFill>
            <w14:solidFill>
              <w14:schemeClr w14:val="tx1"/>
            </w14:solidFill>
          </w14:textFill>
        </w:rPr>
        <w:t>（采购文件中明确的所属行业）</w:t>
      </w:r>
      <w:r>
        <w:rPr>
          <w:rFonts w:ascii="宋体" w:hAnsi="宋体" w:cs="宋体"/>
          <w:color w:val="000000" w:themeColor="text1"/>
          <w:sz w:val="24"/>
          <w:highlight w:val="none"/>
          <w14:textFill>
            <w14:solidFill>
              <w14:schemeClr w14:val="tx1"/>
            </w14:solidFill>
          </w14:textFill>
        </w:rPr>
        <w:t>；承建（承接）企业为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（企业名称）</w:t>
      </w:r>
      <w:r>
        <w:rPr>
          <w:rFonts w:ascii="宋体" w:hAnsi="宋体" w:cs="宋体"/>
          <w:color w:val="000000" w:themeColor="text1"/>
          <w:sz w:val="24"/>
          <w:highlight w:val="none"/>
          <w14:textFill>
            <w14:solidFill>
              <w14:schemeClr w14:val="tx1"/>
            </w14:solidFill>
          </w14:textFill>
        </w:rPr>
        <w:t>，从业人员</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人，营业收入为</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万元，资产总额为</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万元，属于</w:t>
      </w:r>
      <w:r>
        <w:rPr>
          <w:rFonts w:ascii="宋体" w:hAnsi="宋体" w:cs="宋体"/>
          <w:color w:val="000000" w:themeColor="text1"/>
          <w:sz w:val="24"/>
          <w:highlight w:val="none"/>
          <w:u w:val="single"/>
          <w14:textFill>
            <w14:solidFill>
              <w14:schemeClr w14:val="tx1"/>
            </w14:solidFill>
          </w14:textFill>
        </w:rPr>
        <w:t>（</w:t>
      </w:r>
      <w:r>
        <w:rPr>
          <w:rFonts w:ascii="Wingdings" w:hAnsi="Wingdings" w:eastAsia="Wingdings" w:cs="Wingdings"/>
          <w:b w:val="0"/>
          <w:bCs w:val="0"/>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中型企业、</w:t>
      </w:r>
      <w:r>
        <w:rPr>
          <w:rFonts w:ascii="Wingdings" w:hAnsi="Wingdings" w:eastAsia="Wingdings" w:cs="Wingdings"/>
          <w:b w:val="0"/>
          <w:bCs w:val="0"/>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小型企业、</w:t>
      </w:r>
      <w:r>
        <w:rPr>
          <w:rFonts w:ascii="Wingdings" w:hAnsi="Wingdings" w:eastAsia="Wingdings" w:cs="Wingdings"/>
          <w:b w:val="0"/>
          <w:bCs w:val="0"/>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微型企业）</w:t>
      </w:r>
      <w:r>
        <w:rPr>
          <w:rFonts w:ascii="宋体" w:hAnsi="宋体" w:cs="宋体"/>
          <w:color w:val="000000" w:themeColor="text1"/>
          <w:sz w:val="24"/>
          <w:highlight w:val="none"/>
          <w14:textFill>
            <w14:solidFill>
              <w14:schemeClr w14:val="tx1"/>
            </w14:solidFill>
          </w14:textFill>
        </w:rPr>
        <w:t xml:space="preserve">； </w:t>
      </w:r>
    </w:p>
    <w:p w14:paraId="6B8F65AF">
      <w:pPr>
        <w:numPr>
          <w:ilvl w:val="0"/>
          <w:numId w:val="1"/>
        </w:numPr>
        <w:spacing w:line="360" w:lineRule="auto"/>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（标的名称）</w:t>
      </w:r>
      <w:r>
        <w:rPr>
          <w:rFonts w:ascii="宋体" w:hAnsi="宋体" w:cs="宋体"/>
          <w:color w:val="000000" w:themeColor="text1"/>
          <w:sz w:val="24"/>
          <w:highlight w:val="none"/>
          <w14:textFill>
            <w14:solidFill>
              <w14:schemeClr w14:val="tx1"/>
            </w14:solidFill>
          </w14:textFill>
        </w:rPr>
        <w:t>，属于</w:t>
      </w:r>
      <w:r>
        <w:rPr>
          <w:rFonts w:ascii="宋体" w:hAnsi="宋体" w:cs="宋体"/>
          <w:color w:val="000000" w:themeColor="text1"/>
          <w:sz w:val="24"/>
          <w:highlight w:val="none"/>
          <w:u w:val="single"/>
          <w14:textFill>
            <w14:solidFill>
              <w14:schemeClr w14:val="tx1"/>
            </w14:solidFill>
          </w14:textFill>
        </w:rPr>
        <w:t>（采购文件中明确的所属行业）</w:t>
      </w:r>
      <w:r>
        <w:rPr>
          <w:rFonts w:ascii="宋体" w:hAnsi="宋体" w:cs="宋体"/>
          <w:color w:val="000000" w:themeColor="text1"/>
          <w:sz w:val="24"/>
          <w:highlight w:val="none"/>
          <w14:textFill>
            <w14:solidFill>
              <w14:schemeClr w14:val="tx1"/>
            </w14:solidFill>
          </w14:textFill>
        </w:rPr>
        <w:t>； 承建（承接）企业为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（企业名称）</w:t>
      </w:r>
      <w:r>
        <w:rPr>
          <w:rFonts w:ascii="宋体" w:hAnsi="宋体" w:cs="宋体"/>
          <w:color w:val="000000" w:themeColor="text1"/>
          <w:sz w:val="24"/>
          <w:highlight w:val="none"/>
          <w14:textFill>
            <w14:solidFill>
              <w14:schemeClr w14:val="tx1"/>
            </w14:solidFill>
          </w14:textFill>
        </w:rPr>
        <w:t>，从业人员</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人，营业收入为</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万元，资产总额为</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万元，属于</w:t>
      </w:r>
      <w:r>
        <w:rPr>
          <w:rFonts w:ascii="宋体" w:hAnsi="宋体" w:cs="宋体"/>
          <w:color w:val="000000" w:themeColor="text1"/>
          <w:sz w:val="24"/>
          <w:highlight w:val="none"/>
          <w:u w:val="single"/>
          <w14:textFill>
            <w14:solidFill>
              <w14:schemeClr w14:val="tx1"/>
            </w14:solidFill>
          </w14:textFill>
        </w:rPr>
        <w:t>（</w:t>
      </w:r>
      <w:r>
        <w:rPr>
          <w:rFonts w:ascii="Wingdings" w:hAnsi="Wingdings" w:eastAsia="Wingdings" w:cs="Wingdings"/>
          <w:b w:val="0"/>
          <w:bCs w:val="0"/>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中型企业、</w:t>
      </w:r>
      <w:r>
        <w:rPr>
          <w:rFonts w:ascii="Wingdings" w:hAnsi="Wingdings" w:eastAsia="Wingdings" w:cs="Wingdings"/>
          <w:b w:val="0"/>
          <w:bCs w:val="0"/>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小型企业、</w:t>
      </w:r>
      <w:r>
        <w:rPr>
          <w:rFonts w:ascii="Wingdings" w:hAnsi="Wingdings" w:eastAsia="Wingdings" w:cs="Wingdings"/>
          <w:b w:val="0"/>
          <w:bCs w:val="0"/>
          <w:color w:val="000000" w:themeColor="text1"/>
          <w:sz w:val="24"/>
          <w:highlight w:val="none"/>
          <w:u w:val="single"/>
          <w14:textFill>
            <w14:solidFill>
              <w14:schemeClr w14:val="tx1"/>
            </w14:solidFill>
          </w14:textFill>
        </w:rPr>
        <w:t>¨</w:t>
      </w:r>
      <w:r>
        <w:rPr>
          <w:rFonts w:ascii="宋体" w:hAnsi="宋体" w:cs="宋体"/>
          <w:color w:val="000000" w:themeColor="text1"/>
          <w:sz w:val="24"/>
          <w:highlight w:val="none"/>
          <w:u w:val="single"/>
          <w14:textFill>
            <w14:solidFill>
              <w14:schemeClr w14:val="tx1"/>
            </w14:solidFill>
          </w14:textFill>
        </w:rPr>
        <w:t>微型企业）</w:t>
      </w:r>
      <w:r>
        <w:rPr>
          <w:rFonts w:ascii="宋体" w:hAnsi="宋体" w:cs="宋体"/>
          <w:color w:val="000000" w:themeColor="text1"/>
          <w:sz w:val="24"/>
          <w:highlight w:val="none"/>
          <w14:textFill>
            <w14:solidFill>
              <w14:schemeClr w14:val="tx1"/>
            </w14:solidFill>
          </w14:textFill>
        </w:rPr>
        <w:t xml:space="preserve">； </w:t>
      </w:r>
    </w:p>
    <w:p w14:paraId="34102442">
      <w:pPr>
        <w:spacing w:line="360" w:lineRule="auto"/>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w:t>
      </w:r>
    </w:p>
    <w:p w14:paraId="11B8ED56">
      <w:pPr>
        <w:spacing w:line="360" w:lineRule="auto"/>
        <w:ind w:firstLine="48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以上企业，不属于大企业的分支机构，不存在控股股东为大企业的情形，也不存在与大企业的负责人为同一人的情形。 </w:t>
      </w:r>
    </w:p>
    <w:p w14:paraId="25252370">
      <w:pPr>
        <w:pStyle w:val="248"/>
        <w:spacing w:after="0" w:line="360" w:lineRule="auto"/>
        <w:ind w:firstLine="645"/>
        <w:rPr>
          <w:rFonts w:ascii="宋体" w:hAnsi="宋体"/>
          <w:color w:val="000000" w:themeColor="text1"/>
          <w:sz w:val="24"/>
          <w:szCs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本企业对上述声明内容的真实性负责。如有虚假，将依法承担相应责任</w:t>
      </w:r>
      <w:r>
        <w:rPr>
          <w:rFonts w:ascii="宋体" w:hAnsi="宋体" w:cs="宋体"/>
          <w:color w:val="000000" w:themeColor="text1"/>
          <w:sz w:val="24"/>
          <w:szCs w:val="24"/>
          <w:highlight w:val="none"/>
          <w14:textFill>
            <w14:solidFill>
              <w14:schemeClr w14:val="tx1"/>
            </w14:solidFill>
          </w14:textFill>
        </w:rPr>
        <w:t>。</w:t>
      </w:r>
    </w:p>
    <w:p w14:paraId="24009065">
      <w:pPr>
        <w:pStyle w:val="249"/>
        <w:spacing w:after="0" w:line="360" w:lineRule="auto"/>
        <w:ind w:firstLine="240"/>
        <w:rPr>
          <w:color w:val="000000" w:themeColor="text1"/>
          <w:sz w:val="24"/>
          <w:szCs w:val="24"/>
          <w:highlight w:val="none"/>
          <w14:textFill>
            <w14:solidFill>
              <w14:schemeClr w14:val="tx1"/>
            </w14:solidFill>
          </w14:textFill>
        </w:rPr>
      </w:pPr>
    </w:p>
    <w:p w14:paraId="40497170">
      <w:pPr>
        <w:spacing w:line="360" w:lineRule="auto"/>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投标单位：（盖章）</w:t>
      </w:r>
    </w:p>
    <w:p w14:paraId="23CB4E91">
      <w:pPr>
        <w:spacing w:line="360" w:lineRule="auto"/>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日    期：</w:t>
      </w:r>
    </w:p>
    <w:p w14:paraId="6F2462C0">
      <w:pPr>
        <w:jc w:val="left"/>
        <w:rPr>
          <w:rFonts w:hint="eastAsia" w:ascii="宋体" w:hAnsi="宋体"/>
          <w:bCs/>
          <w:color w:val="000000" w:themeColor="text1"/>
          <w:sz w:val="24"/>
          <w:szCs w:val="24"/>
          <w:highlight w:val="none"/>
          <w14:textFill>
            <w14:solidFill>
              <w14:schemeClr w14:val="tx1"/>
            </w14:solidFill>
          </w14:textFill>
        </w:rPr>
      </w:pPr>
    </w:p>
    <w:p w14:paraId="09BDA65B">
      <w:pPr>
        <w:keepLines w:val="0"/>
        <w:pageBreakBefore w:val="0"/>
        <w:widowControl w:val="0"/>
        <w:spacing w:line="340" w:lineRule="exact"/>
        <w:jc w:val="left"/>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备注：1</w:t>
      </w:r>
      <w:r>
        <w:rPr>
          <w:rFonts w:hint="eastAsia" w:ascii="宋体" w:hAnsi="宋体"/>
          <w:bCs/>
          <w:color w:val="000000" w:themeColor="text1"/>
          <w:sz w:val="24"/>
          <w:szCs w:val="24"/>
          <w:highlight w:val="none"/>
          <w:lang w:eastAsia="zh-CN"/>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从业人员、营业收入、资产总额填报上一年度数据，无上一年度数据的新成立企业可不填报。</w:t>
      </w:r>
    </w:p>
    <w:p w14:paraId="3A52D9EE">
      <w:pPr>
        <w:keepLines w:val="0"/>
        <w:pageBreakBefore w:val="0"/>
        <w:widowControl w:val="0"/>
        <w:spacing w:line="340" w:lineRule="exact"/>
        <w:ind w:firstLine="720"/>
        <w:jc w:val="left"/>
        <w:rPr>
          <w:rFonts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2</w:t>
      </w:r>
      <w:r>
        <w:rPr>
          <w:rFonts w:hint="eastAsia" w:ascii="宋体" w:hAnsi="宋体"/>
          <w:bCs/>
          <w:color w:val="000000" w:themeColor="text1"/>
          <w:sz w:val="24"/>
          <w:szCs w:val="24"/>
          <w:highlight w:val="none"/>
          <w:lang w:eastAsia="zh-CN"/>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在服务采购项目中，服务由中小企业承接，即提供服务的人员为中小企业依照《中华人民共和国劳动合同法》订立劳动合同的从业人员。服务类项目中供应商若使用退休人员，将不享受相应扶持政策。</w:t>
      </w:r>
    </w:p>
    <w:p w14:paraId="24382D03">
      <w:pPr>
        <w:pStyle w:val="250"/>
        <w:keepLines w:val="0"/>
        <w:pageBreakBefore w:val="0"/>
        <w:widowControl w:val="0"/>
        <w:spacing w:line="340" w:lineRule="exact"/>
        <w:ind w:firstLine="600"/>
        <w:rPr>
          <w:b w:val="0"/>
          <w:bCs/>
          <w:color w:val="000000" w:themeColor="text1"/>
          <w:sz w:val="24"/>
          <w:szCs w:val="24"/>
          <w:highlight w:val="none"/>
          <w14:textFill>
            <w14:solidFill>
              <w14:schemeClr w14:val="tx1"/>
            </w14:solidFill>
          </w14:textFill>
        </w:rPr>
      </w:pPr>
      <w:r>
        <w:rPr>
          <w:rFonts w:hint="eastAsia"/>
          <w:b w:val="0"/>
          <w:bCs/>
          <w:color w:val="000000" w:themeColor="text1"/>
          <w:sz w:val="24"/>
          <w:szCs w:val="24"/>
          <w:highlight w:val="none"/>
          <w14:textFill>
            <w14:solidFill>
              <w14:schemeClr w14:val="tx1"/>
            </w14:solidFill>
          </w14:textFill>
        </w:rPr>
        <w:t>3</w:t>
      </w:r>
      <w:r>
        <w:rPr>
          <w:rFonts w:hint="eastAsia"/>
          <w:b w:val="0"/>
          <w:bCs/>
          <w:color w:val="000000" w:themeColor="text1"/>
          <w:sz w:val="24"/>
          <w:szCs w:val="24"/>
          <w:highlight w:val="none"/>
          <w:lang w:eastAsia="zh-CN"/>
          <w14:textFill>
            <w14:solidFill>
              <w14:schemeClr w14:val="tx1"/>
            </w14:solidFill>
          </w14:textFill>
        </w:rPr>
        <w:t>）</w:t>
      </w:r>
      <w:r>
        <w:rPr>
          <w:rFonts w:hint="eastAsia"/>
          <w:b w:val="0"/>
          <w:bCs/>
          <w:color w:val="000000" w:themeColor="text1"/>
          <w:sz w:val="24"/>
          <w:szCs w:val="24"/>
          <w:highlight w:val="none"/>
          <w14:textFill>
            <w14:solidFill>
              <w14:schemeClr w14:val="tx1"/>
            </w14:solidFill>
          </w14:textFill>
        </w:rPr>
        <w:t>《中小企业声明函》中所填的行业应与本采购标的对应的中小企业划分标准所属行业一致，不一致的不可享受相应政策优惠。本采购标的对应的中小企业划分标准所属行业，以招标文件第四章《招标书》规定为准。</w:t>
      </w:r>
    </w:p>
    <w:p w14:paraId="01F08CE8">
      <w:pPr>
        <w:pStyle w:val="250"/>
        <w:keepLines w:val="0"/>
        <w:pageBreakBefore w:val="0"/>
        <w:widowControl w:val="0"/>
        <w:spacing w:line="340" w:lineRule="exact"/>
        <w:ind w:firstLine="600"/>
        <w:rPr>
          <w:b w:val="0"/>
          <w:bCs/>
          <w:color w:val="000000" w:themeColor="text1"/>
          <w:sz w:val="24"/>
          <w:szCs w:val="24"/>
          <w:highlight w:val="none"/>
          <w14:textFill>
            <w14:solidFill>
              <w14:schemeClr w14:val="tx1"/>
            </w14:solidFill>
          </w14:textFill>
        </w:rPr>
      </w:pPr>
      <w:r>
        <w:rPr>
          <w:b w:val="0"/>
          <w:bCs/>
          <w:color w:val="000000" w:themeColor="text1"/>
          <w:sz w:val="24"/>
          <w:szCs w:val="24"/>
          <w:highlight w:val="none"/>
          <w14:textFill>
            <w14:solidFill>
              <w14:schemeClr w14:val="tx1"/>
            </w14:solidFill>
          </w14:textFill>
        </w:rPr>
        <w:t>4</w:t>
      </w:r>
      <w:r>
        <w:rPr>
          <w:rFonts w:hint="eastAsia"/>
          <w:b w:val="0"/>
          <w:bCs/>
          <w:color w:val="000000" w:themeColor="text1"/>
          <w:sz w:val="24"/>
          <w:szCs w:val="24"/>
          <w:highlight w:val="none"/>
          <w:lang w:eastAsia="zh-CN"/>
          <w14:textFill>
            <w14:solidFill>
              <w14:schemeClr w14:val="tx1"/>
            </w14:solidFill>
          </w14:textFill>
        </w:rPr>
        <w:t>）</w:t>
      </w:r>
      <w:r>
        <w:rPr>
          <w:rFonts w:hint="eastAsia"/>
          <w:b w:val="0"/>
          <w:bCs/>
          <w:color w:val="000000" w:themeColor="text1"/>
          <w:sz w:val="24"/>
          <w:szCs w:val="24"/>
          <w:highlight w:val="none"/>
          <w14:textFill>
            <w14:solidFill>
              <w14:schemeClr w14:val="tx1"/>
            </w14:solidFill>
          </w14:textFill>
        </w:rPr>
        <w:t>如未对（中型企业、小型企业、微型企业）进行勾选，视同非中小微企业，不可享受相应扶持政策。</w:t>
      </w:r>
    </w:p>
    <w:p w14:paraId="51C2F831">
      <w:pPr>
        <w:pStyle w:val="250"/>
        <w:keepLines w:val="0"/>
        <w:pageBreakBefore w:val="0"/>
        <w:widowControl w:val="0"/>
        <w:spacing w:line="340" w:lineRule="exact"/>
        <w:ind w:firstLine="600"/>
        <w:rPr>
          <w:b w:val="0"/>
          <w:bCs/>
          <w:color w:val="000000" w:themeColor="text1"/>
          <w:sz w:val="24"/>
          <w:szCs w:val="24"/>
          <w:highlight w:val="none"/>
          <w14:textFill>
            <w14:solidFill>
              <w14:schemeClr w14:val="tx1"/>
            </w14:solidFill>
          </w14:textFill>
        </w:rPr>
      </w:pPr>
      <w:r>
        <w:rPr>
          <w:rFonts w:hint="eastAsia"/>
          <w:b w:val="0"/>
          <w:bCs/>
          <w:color w:val="000000" w:themeColor="text1"/>
          <w:sz w:val="24"/>
          <w:szCs w:val="24"/>
          <w:highlight w:val="none"/>
          <w14:textFill>
            <w14:solidFill>
              <w14:schemeClr w14:val="tx1"/>
            </w14:solidFill>
          </w14:textFill>
        </w:rPr>
        <w:t>5</w:t>
      </w:r>
      <w:r>
        <w:rPr>
          <w:rFonts w:hint="eastAsia"/>
          <w:b w:val="0"/>
          <w:bCs/>
          <w:color w:val="000000" w:themeColor="text1"/>
          <w:sz w:val="24"/>
          <w:szCs w:val="24"/>
          <w:highlight w:val="none"/>
          <w:lang w:eastAsia="zh-CN"/>
          <w14:textFill>
            <w14:solidFill>
              <w14:schemeClr w14:val="tx1"/>
            </w14:solidFill>
          </w14:textFill>
        </w:rPr>
        <w:t>）</w:t>
      </w:r>
      <w:r>
        <w:rPr>
          <w:rFonts w:hint="eastAsia"/>
          <w:b w:val="0"/>
          <w:bCs/>
          <w:color w:val="000000" w:themeColor="text1"/>
          <w:sz w:val="24"/>
          <w:szCs w:val="24"/>
          <w:highlight w:val="none"/>
          <w14:textFill>
            <w14:solidFill>
              <w14:schemeClr w14:val="tx1"/>
            </w14:solidFill>
          </w14:textFill>
        </w:rPr>
        <w:t>中标单位为中小企业的，《中小企业声明函》将随中标结果同时公告。</w:t>
      </w:r>
    </w:p>
    <w:p w14:paraId="74A8F46D">
      <w:pPr>
        <w:rPr>
          <w:rFonts w:hint="eastAsia" w:ascii="宋体" w:hAnsi="宋体" w:eastAsia="宋体" w:cs="Times New Roman"/>
          <w:b/>
          <w:bCs/>
          <w:color w:val="000000" w:themeColor="text1"/>
          <w:sz w:val="28"/>
          <w:szCs w:val="28"/>
          <w:highlight w:val="none"/>
          <w:lang w:val="en-US" w:eastAsia="zh-CN"/>
          <w14:textFill>
            <w14:solidFill>
              <w14:schemeClr w14:val="tx1"/>
            </w14:solidFill>
          </w14:textFill>
        </w:rPr>
      </w:pPr>
    </w:p>
    <w:p w14:paraId="6D75B25D">
      <w:pPr>
        <w:keepNext w:val="0"/>
        <w:keepLines w:val="0"/>
        <w:pageBreakBefore w:val="0"/>
        <w:widowControl w:val="0"/>
        <w:spacing w:line="360" w:lineRule="exact"/>
        <w:jc w:val="left"/>
        <w:rPr>
          <w:rFonts w:hint="eastAsia" w:ascii="宋体" w:hAnsi="宋体" w:eastAsia="宋体" w:cs="Times New Roman"/>
          <w:b/>
          <w:bCs/>
          <w:color w:val="000000" w:themeColor="text1"/>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sz w:val="28"/>
          <w:szCs w:val="28"/>
          <w:highlight w:val="none"/>
          <w:lang w:val="en-US" w:eastAsia="zh-CN"/>
          <w14:textFill>
            <w14:solidFill>
              <w14:schemeClr w14:val="tx1"/>
            </w14:solidFill>
          </w14:textFill>
        </w:rPr>
        <w:t>附：中小企业划型标准规定</w:t>
      </w:r>
    </w:p>
    <w:p w14:paraId="23402356">
      <w:pPr>
        <w:keepNext w:val="0"/>
        <w:keepLines w:val="0"/>
        <w:pageBreakBefore w:val="0"/>
        <w:widowControl w:val="0"/>
        <w:spacing w:line="360" w:lineRule="exact"/>
        <w:ind w:firstLine="402"/>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（一）农、林、牧、渔业。</w:t>
      </w:r>
      <w:r>
        <w:rPr>
          <w:rFonts w:hint="eastAsia" w:ascii="宋体" w:hAnsi="宋体"/>
          <w:color w:val="000000" w:themeColor="text1"/>
          <w:sz w:val="24"/>
          <w:szCs w:val="24"/>
          <w:highlight w:val="none"/>
          <w14:textFill>
            <w14:solidFill>
              <w14:schemeClr w14:val="tx1"/>
            </w14:solidFill>
          </w14:textFill>
        </w:rPr>
        <w:t>营业收入20000万元以下的为中小微型企业。其中，营业收入500万元及以上的为中型企业，营业收入50万元及以上的为小型企业，营业收入50万元以下的为微型企业。</w:t>
      </w:r>
    </w:p>
    <w:p w14:paraId="5B31CA2A">
      <w:pPr>
        <w:keepNext w:val="0"/>
        <w:keepLines w:val="0"/>
        <w:pageBreakBefore w:val="0"/>
        <w:widowControl w:val="0"/>
        <w:spacing w:line="360" w:lineRule="exact"/>
        <w:ind w:firstLine="402"/>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（二）工业。</w:t>
      </w:r>
      <w:r>
        <w:rPr>
          <w:rFonts w:hint="eastAsia" w:ascii="宋体" w:hAnsi="宋体"/>
          <w:color w:val="000000" w:themeColor="text1"/>
          <w:sz w:val="24"/>
          <w:szCs w:val="24"/>
          <w:highlight w:val="none"/>
          <w14:textFill>
            <w14:solidFill>
              <w14:schemeClr w14:val="tx1"/>
            </w14:solidFill>
          </w14:textFill>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2338261">
      <w:pPr>
        <w:keepNext w:val="0"/>
        <w:keepLines w:val="0"/>
        <w:pageBreakBefore w:val="0"/>
        <w:widowControl w:val="0"/>
        <w:spacing w:line="360" w:lineRule="exact"/>
        <w:ind w:firstLine="402"/>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（三）建筑业。</w:t>
      </w:r>
      <w:r>
        <w:rPr>
          <w:rFonts w:hint="eastAsia" w:ascii="宋体" w:hAnsi="宋体"/>
          <w:color w:val="000000" w:themeColor="text1"/>
          <w:sz w:val="24"/>
          <w:szCs w:val="24"/>
          <w:highlight w:val="none"/>
          <w14:textFill>
            <w14:solidFill>
              <w14:schemeClr w14:val="tx1"/>
            </w14:solidFill>
          </w14:textFill>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68AF224">
      <w:pPr>
        <w:keepNext w:val="0"/>
        <w:keepLines w:val="0"/>
        <w:pageBreakBefore w:val="0"/>
        <w:widowControl w:val="0"/>
        <w:spacing w:line="360" w:lineRule="exact"/>
        <w:ind w:firstLine="402"/>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（四）批发业。</w:t>
      </w:r>
      <w:r>
        <w:rPr>
          <w:rFonts w:hint="eastAsia" w:ascii="宋体" w:hAnsi="宋体"/>
          <w:color w:val="000000" w:themeColor="text1"/>
          <w:sz w:val="24"/>
          <w:szCs w:val="24"/>
          <w:highlight w:val="none"/>
          <w14:textFill>
            <w14:solidFill>
              <w14:schemeClr w14:val="tx1"/>
            </w14:solidFill>
          </w14:textFill>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27A5E4B">
      <w:pPr>
        <w:keepNext w:val="0"/>
        <w:keepLines w:val="0"/>
        <w:pageBreakBefore w:val="0"/>
        <w:widowControl w:val="0"/>
        <w:spacing w:line="360" w:lineRule="exact"/>
        <w:ind w:firstLine="402"/>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（五）零售业。</w:t>
      </w:r>
      <w:r>
        <w:rPr>
          <w:rFonts w:hint="eastAsia" w:ascii="宋体" w:hAnsi="宋体"/>
          <w:color w:val="000000" w:themeColor="text1"/>
          <w:sz w:val="24"/>
          <w:szCs w:val="24"/>
          <w:highlight w:val="none"/>
          <w14:textFill>
            <w14:solidFill>
              <w14:schemeClr w14:val="tx1"/>
            </w14:solidFill>
          </w14:textFill>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B4F1A78">
      <w:pPr>
        <w:keepNext w:val="0"/>
        <w:keepLines w:val="0"/>
        <w:pageBreakBefore w:val="0"/>
        <w:widowControl w:val="0"/>
        <w:spacing w:line="360" w:lineRule="exact"/>
        <w:ind w:firstLine="402"/>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（六）交通运输业。</w:t>
      </w:r>
      <w:r>
        <w:rPr>
          <w:rFonts w:hint="eastAsia" w:ascii="宋体" w:hAnsi="宋体"/>
          <w:color w:val="000000" w:themeColor="text1"/>
          <w:sz w:val="24"/>
          <w:szCs w:val="24"/>
          <w:highlight w:val="none"/>
          <w14:textFill>
            <w14:solidFill>
              <w14:schemeClr w14:val="tx1"/>
            </w14:solidFill>
          </w14:textFill>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7A3A948">
      <w:pPr>
        <w:keepNext w:val="0"/>
        <w:keepLines w:val="0"/>
        <w:pageBreakBefore w:val="0"/>
        <w:widowControl w:val="0"/>
        <w:spacing w:line="360" w:lineRule="exact"/>
        <w:ind w:firstLine="402"/>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（七）仓储业。</w:t>
      </w:r>
      <w:r>
        <w:rPr>
          <w:rFonts w:hint="eastAsia" w:ascii="宋体" w:hAnsi="宋体"/>
          <w:color w:val="000000" w:themeColor="text1"/>
          <w:sz w:val="24"/>
          <w:szCs w:val="24"/>
          <w:highlight w:val="none"/>
          <w14:textFill>
            <w14:solidFill>
              <w14:schemeClr w14:val="tx1"/>
            </w14:solidFill>
          </w14:textFill>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32834BC">
      <w:pPr>
        <w:keepNext w:val="0"/>
        <w:keepLines w:val="0"/>
        <w:pageBreakBefore w:val="0"/>
        <w:widowControl w:val="0"/>
        <w:spacing w:line="360" w:lineRule="exact"/>
        <w:ind w:firstLine="402"/>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（八）邮政业。</w:t>
      </w:r>
      <w:r>
        <w:rPr>
          <w:rFonts w:hint="eastAsia" w:ascii="宋体" w:hAnsi="宋体"/>
          <w:color w:val="000000" w:themeColor="text1"/>
          <w:sz w:val="24"/>
          <w:szCs w:val="24"/>
          <w:highlight w:val="none"/>
          <w14:textFill>
            <w14:solidFill>
              <w14:schemeClr w14:val="tx1"/>
            </w14:solidFill>
          </w14:textFill>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E4EC7EA">
      <w:pPr>
        <w:keepNext w:val="0"/>
        <w:keepLines w:val="0"/>
        <w:pageBreakBefore w:val="0"/>
        <w:widowControl w:val="0"/>
        <w:spacing w:line="360" w:lineRule="exact"/>
        <w:ind w:firstLine="402"/>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（九）住宿业。</w:t>
      </w:r>
      <w:r>
        <w:rPr>
          <w:rFonts w:hint="eastAsia" w:ascii="宋体" w:hAnsi="宋体"/>
          <w:color w:val="000000" w:themeColor="text1"/>
          <w:sz w:val="24"/>
          <w:szCs w:val="24"/>
          <w:highlight w:val="none"/>
          <w14:textFill>
            <w14:solidFill>
              <w14:schemeClr w14:val="tx1"/>
            </w14:solidFill>
          </w14:textFill>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71FB92">
      <w:pPr>
        <w:keepNext w:val="0"/>
        <w:keepLines w:val="0"/>
        <w:pageBreakBefore w:val="0"/>
        <w:widowControl w:val="0"/>
        <w:spacing w:line="360" w:lineRule="exact"/>
        <w:ind w:firstLine="402"/>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（十）餐饮业。</w:t>
      </w:r>
      <w:r>
        <w:rPr>
          <w:rFonts w:hint="eastAsia" w:ascii="宋体" w:hAnsi="宋体"/>
          <w:color w:val="000000" w:themeColor="text1"/>
          <w:sz w:val="24"/>
          <w:szCs w:val="24"/>
          <w:highlight w:val="none"/>
          <w14:textFill>
            <w14:solidFill>
              <w14:schemeClr w14:val="tx1"/>
            </w14:solidFill>
          </w14:textFill>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C57E55">
      <w:pPr>
        <w:keepNext w:val="0"/>
        <w:keepLines w:val="0"/>
        <w:pageBreakBefore w:val="0"/>
        <w:widowControl w:val="0"/>
        <w:spacing w:line="360" w:lineRule="exact"/>
        <w:ind w:firstLine="402"/>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（十一）信息传输业。</w:t>
      </w:r>
      <w:r>
        <w:rPr>
          <w:rFonts w:hint="eastAsia" w:ascii="宋体" w:hAnsi="宋体"/>
          <w:color w:val="000000" w:themeColor="text1"/>
          <w:sz w:val="24"/>
          <w:szCs w:val="24"/>
          <w:highlight w:val="none"/>
          <w14:textFill>
            <w14:solidFill>
              <w14:schemeClr w14:val="tx1"/>
            </w14:solidFill>
          </w14:textFill>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9CA743C">
      <w:pPr>
        <w:keepNext w:val="0"/>
        <w:keepLines w:val="0"/>
        <w:pageBreakBefore w:val="0"/>
        <w:widowControl w:val="0"/>
        <w:spacing w:line="360" w:lineRule="exact"/>
        <w:ind w:firstLine="402"/>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（十二）软件和信息技术服务业。</w:t>
      </w:r>
      <w:r>
        <w:rPr>
          <w:rFonts w:hint="eastAsia" w:ascii="宋体" w:hAnsi="宋体"/>
          <w:color w:val="000000" w:themeColor="text1"/>
          <w:sz w:val="24"/>
          <w:szCs w:val="24"/>
          <w:highlight w:val="none"/>
          <w14:textFill>
            <w14:solidFill>
              <w14:schemeClr w14:val="tx1"/>
            </w14:solidFill>
          </w14:textFill>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F57AF6C">
      <w:pPr>
        <w:keepNext w:val="0"/>
        <w:keepLines w:val="0"/>
        <w:pageBreakBefore w:val="0"/>
        <w:widowControl w:val="0"/>
        <w:spacing w:line="360" w:lineRule="exact"/>
        <w:ind w:firstLine="402"/>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（十三）房地产开发经营。</w:t>
      </w:r>
      <w:r>
        <w:rPr>
          <w:rFonts w:hint="eastAsia" w:ascii="宋体" w:hAnsi="宋体"/>
          <w:color w:val="000000" w:themeColor="text1"/>
          <w:sz w:val="24"/>
          <w:szCs w:val="24"/>
          <w:highlight w:val="none"/>
          <w14:textFill>
            <w14:solidFill>
              <w14:schemeClr w14:val="tx1"/>
            </w14:solidFill>
          </w14:textFill>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D4C5177">
      <w:pPr>
        <w:keepNext w:val="0"/>
        <w:keepLines w:val="0"/>
        <w:pageBreakBefore w:val="0"/>
        <w:widowControl w:val="0"/>
        <w:spacing w:line="360" w:lineRule="exact"/>
        <w:ind w:firstLine="402"/>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（十四）物业管理。</w:t>
      </w:r>
      <w:r>
        <w:rPr>
          <w:rFonts w:hint="eastAsia" w:ascii="宋体" w:hAnsi="宋体"/>
          <w:color w:val="000000" w:themeColor="text1"/>
          <w:sz w:val="24"/>
          <w:szCs w:val="24"/>
          <w:highlight w:val="none"/>
          <w14:textFill>
            <w14:solidFill>
              <w14:schemeClr w14:val="tx1"/>
            </w14:solidFill>
          </w14:textFill>
        </w:rPr>
        <w:t>从业人员1000人以下或营业收入5000万元以下的为中小微型企业。其中，从业人员</w:t>
      </w:r>
    </w:p>
    <w:p w14:paraId="2039D4DB">
      <w:pPr>
        <w:keepNext w:val="0"/>
        <w:keepLines w:val="0"/>
        <w:pageBreakBefore w:val="0"/>
        <w:widowControl w:val="0"/>
        <w:spacing w:line="36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300人及以上，且营业收入1000万元及以上的为中型企业；从业人员100人及以上，且营业收入500万元及以上的为小型企业；从业人员100人以下或营业收入500万元以下的为微型企业。</w:t>
      </w:r>
    </w:p>
    <w:p w14:paraId="60A6D0AE">
      <w:pPr>
        <w:keepNext w:val="0"/>
        <w:keepLines w:val="0"/>
        <w:pageBreakBefore w:val="0"/>
        <w:widowControl w:val="0"/>
        <w:spacing w:line="360" w:lineRule="exact"/>
        <w:ind w:firstLine="402"/>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（十五）租赁和商务服务业。</w:t>
      </w:r>
      <w:r>
        <w:rPr>
          <w:rFonts w:hint="eastAsia" w:ascii="宋体" w:hAnsi="宋体"/>
          <w:color w:val="000000" w:themeColor="text1"/>
          <w:sz w:val="24"/>
          <w:szCs w:val="24"/>
          <w:highlight w:val="none"/>
          <w14:textFill>
            <w14:solidFill>
              <w14:schemeClr w14:val="tx1"/>
            </w14:solidFill>
          </w14:textFill>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6430984">
      <w:pPr>
        <w:keepNext w:val="0"/>
        <w:keepLines w:val="0"/>
        <w:pageBreakBefore w:val="0"/>
        <w:widowControl w:val="0"/>
        <w:spacing w:line="360" w:lineRule="exact"/>
        <w:ind w:firstLine="402"/>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（十六）其他未列明行业。</w:t>
      </w:r>
      <w:r>
        <w:rPr>
          <w:rFonts w:hint="eastAsia" w:ascii="宋体" w:hAnsi="宋体"/>
          <w:color w:val="000000" w:themeColor="text1"/>
          <w:sz w:val="24"/>
          <w:szCs w:val="24"/>
          <w:highlight w:val="none"/>
          <w14:textFill>
            <w14:solidFill>
              <w14:schemeClr w14:val="tx1"/>
            </w14:solidFill>
          </w14:textFill>
        </w:rPr>
        <w:t>从业人员300人以下的为中小微型企业。其中，从业人员100人及以上的为中型企业；从业人员10人及以上的为小型企业；从业人员10人以下的为微型企业。</w:t>
      </w:r>
    </w:p>
    <w:p w14:paraId="55466991">
      <w:pPr>
        <w:spacing w:line="360" w:lineRule="auto"/>
        <w:ind w:left="-42" w:right="357"/>
        <w:rPr>
          <w:rFonts w:ascii="宋体" w:hAnsi="宋体"/>
          <w:b/>
          <w:color w:val="000000" w:themeColor="text1"/>
          <w:highlight w:val="none"/>
          <w14:textFill>
            <w14:solidFill>
              <w14:schemeClr w14:val="tx1"/>
            </w14:solidFill>
          </w14:textFill>
        </w:rPr>
      </w:pPr>
    </w:p>
    <w:p w14:paraId="4D44CDE8">
      <w:pPr>
        <w:spacing w:line="360" w:lineRule="auto"/>
        <w:jc w:val="center"/>
        <w:rPr>
          <w:rFonts w:ascii="宋体" w:hAnsi="宋体"/>
          <w:bCs/>
          <w:color w:val="000000" w:themeColor="text1"/>
          <w:sz w:val="52"/>
          <w:szCs w:val="52"/>
          <w:highlight w:val="none"/>
          <w14:textFill>
            <w14:solidFill>
              <w14:schemeClr w14:val="tx1"/>
            </w14:solidFill>
          </w14:textFill>
        </w:rPr>
      </w:pPr>
    </w:p>
    <w:p w14:paraId="23134260">
      <w:pPr>
        <w:spacing w:line="360" w:lineRule="auto"/>
        <w:rPr>
          <w:rFonts w:hint="eastAsia" w:ascii="宋体" w:hAnsi="宋体"/>
          <w:color w:val="000000" w:themeColor="text1"/>
          <w:sz w:val="28"/>
          <w:szCs w:val="28"/>
          <w:highlight w:val="none"/>
          <w14:textFill>
            <w14:solidFill>
              <w14:schemeClr w14:val="tx1"/>
            </w14:solidFill>
          </w14:textFill>
        </w:rPr>
      </w:pPr>
    </w:p>
    <w:p w14:paraId="3521DA58">
      <w:pP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clear="all"/>
      </w:r>
    </w:p>
    <w:p w14:paraId="21B953EC">
      <w:pPr>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10</w:t>
      </w:r>
      <w:r>
        <w:rPr>
          <w:rFonts w:hint="eastAsia" w:ascii="宋体" w:hAnsi="宋体"/>
          <w:color w:val="000000" w:themeColor="text1"/>
          <w:sz w:val="28"/>
          <w:szCs w:val="28"/>
          <w:highlight w:val="none"/>
          <w14:textFill>
            <w14:solidFill>
              <w14:schemeClr w14:val="tx1"/>
            </w14:solidFill>
          </w14:textFill>
        </w:rPr>
        <w:t>、残疾人福利性单位声明函</w:t>
      </w:r>
    </w:p>
    <w:p w14:paraId="64EB4084">
      <w:pPr>
        <w:spacing w:line="360" w:lineRule="auto"/>
        <w:jc w:val="center"/>
        <w:rPr>
          <w:rFonts w:hint="eastAsia" w:ascii="宋体" w:hAnsi="宋体"/>
          <w:color w:val="000000" w:themeColor="text1"/>
          <w:sz w:val="24"/>
          <w:szCs w:val="24"/>
          <w:highlight w:val="none"/>
          <w14:textFill>
            <w14:solidFill>
              <w14:schemeClr w14:val="tx1"/>
            </w14:solidFill>
          </w14:textFill>
        </w:rPr>
      </w:pPr>
    </w:p>
    <w:p w14:paraId="2F418F93">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残疾人福利性单位声明函</w:t>
      </w:r>
    </w:p>
    <w:p w14:paraId="05F03CB0">
      <w:pPr>
        <w:keepNext w:val="0"/>
        <w:keepLines w:val="0"/>
        <w:pageBreakBefore w:val="0"/>
        <w:widowControl w:val="0"/>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olor w:val="000000" w:themeColor="text1"/>
          <w:sz w:val="24"/>
          <w:szCs w:val="24"/>
          <w:highlight w:val="none"/>
          <w:u w:val="single"/>
          <w:lang w:eastAsia="zh-CN"/>
          <w14:textFill>
            <w14:solidFill>
              <w14:schemeClr w14:val="tx1"/>
            </w14:solidFill>
          </w14:textFill>
        </w:rPr>
        <w:t>苏州惠德普源企业咨询有限公司</w:t>
      </w:r>
      <w:r>
        <w:rPr>
          <w:rFonts w:hint="eastAsia" w:ascii="宋体" w:hAnsi="宋体"/>
          <w:color w:val="000000" w:themeColor="text1"/>
          <w:sz w:val="24"/>
          <w:szCs w:val="24"/>
          <w:highlight w:val="none"/>
          <w14:textFill>
            <w14:solidFill>
              <w14:schemeClr w14:val="tx1"/>
            </w14:solidFill>
          </w14:textFill>
        </w:rPr>
        <w:t>单位的</w:t>
      </w:r>
      <w:r>
        <w:rPr>
          <w:rFonts w:hint="eastAsia" w:ascii="宋体" w:hAnsi="宋体"/>
          <w:color w:val="000000" w:themeColor="text1"/>
          <w:sz w:val="24"/>
          <w:szCs w:val="24"/>
          <w:highlight w:val="none"/>
          <w:u w:val="single"/>
          <w14:textFill>
            <w14:solidFill>
              <w14:schemeClr w14:val="tx1"/>
            </w14:solidFill>
          </w14:textFill>
        </w:rPr>
        <w:t>（采购编号及项目名称）</w:t>
      </w:r>
      <w:r>
        <w:rPr>
          <w:rFonts w:hint="eastAsia" w:ascii="宋体" w:hAnsi="宋体"/>
          <w:color w:val="000000" w:themeColor="text1"/>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5909F655">
      <w:pPr>
        <w:keepNext w:val="0"/>
        <w:keepLines w:val="0"/>
        <w:pageBreakBefore w:val="0"/>
        <w:widowControl w:val="0"/>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本单位对上述声明的真实性负责。如有虚假，将依法承担相应责任。</w:t>
      </w:r>
    </w:p>
    <w:p w14:paraId="15628B8C">
      <w:pPr>
        <w:spacing w:line="360" w:lineRule="auto"/>
        <w:rPr>
          <w:rFonts w:ascii="宋体" w:hAnsi="宋体"/>
          <w:color w:val="000000" w:themeColor="text1"/>
          <w:sz w:val="24"/>
          <w:szCs w:val="24"/>
          <w:highlight w:val="none"/>
          <w14:textFill>
            <w14:solidFill>
              <w14:schemeClr w14:val="tx1"/>
            </w14:solidFill>
          </w14:textFill>
        </w:rPr>
      </w:pPr>
    </w:p>
    <w:p w14:paraId="428D2172">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单位名称（盖章）：</w:t>
      </w:r>
    </w:p>
    <w:p w14:paraId="5C8E0774">
      <w:pPr>
        <w:spacing w:line="360" w:lineRule="auto"/>
        <w:jc w:val="center"/>
        <w:outlineLvl w:val="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日  期：</w:t>
      </w:r>
    </w:p>
    <w:p w14:paraId="0DAF81A5">
      <w:pPr>
        <w:pStyle w:val="245"/>
        <w:spacing w:after="0" w:line="360" w:lineRule="auto"/>
        <w:ind w:left="0" w:firstLine="0"/>
        <w:rPr>
          <w:rFonts w:hint="eastAsia" w:ascii="宋体" w:hAnsi="宋体"/>
          <w:bCs/>
          <w:color w:val="000000" w:themeColor="text1"/>
          <w:sz w:val="24"/>
          <w:szCs w:val="24"/>
          <w:highlight w:val="none"/>
          <w:lang w:val="zh-CN"/>
          <w14:textFill>
            <w14:solidFill>
              <w14:schemeClr w14:val="tx1"/>
            </w14:solidFill>
          </w14:textFill>
        </w:rPr>
      </w:pPr>
    </w:p>
    <w:p w14:paraId="06CFF1BC">
      <w:pPr>
        <w:pStyle w:val="245"/>
        <w:ind w:left="0" w:firstLine="0"/>
        <w:rPr>
          <w:rFonts w:ascii="宋体" w:hAnsi="宋体" w:cs="Arial"/>
          <w:bCs/>
          <w:color w:val="000000" w:themeColor="text1"/>
          <w:sz w:val="24"/>
          <w:szCs w:val="24"/>
          <w:highlight w:val="none"/>
          <w:shd w:val="clear" w:color="auto" w:fill="FFFFFF"/>
          <w14:textFill>
            <w14:solidFill>
              <w14:schemeClr w14:val="tx1"/>
            </w14:solidFill>
          </w14:textFill>
        </w:rPr>
      </w:pPr>
      <w:r>
        <w:rPr>
          <w:rFonts w:hint="eastAsia" w:ascii="宋体" w:hAnsi="宋体"/>
          <w:bCs/>
          <w:color w:val="000000" w:themeColor="text1"/>
          <w:sz w:val="24"/>
          <w:szCs w:val="24"/>
          <w:highlight w:val="none"/>
          <w:lang w:val="zh-CN"/>
          <w14:textFill>
            <w14:solidFill>
              <w14:schemeClr w14:val="tx1"/>
            </w14:solidFill>
          </w14:textFill>
        </w:rPr>
        <w:t>备注：1）</w:t>
      </w:r>
      <w:r>
        <w:rPr>
          <w:rFonts w:hint="eastAsia" w:ascii="宋体" w:hAnsi="宋体" w:cs="Arial"/>
          <w:bCs/>
          <w:color w:val="000000" w:themeColor="text1"/>
          <w:sz w:val="24"/>
          <w:szCs w:val="24"/>
          <w:highlight w:val="none"/>
          <w:shd w:val="clear" w:color="auto" w:fill="FFFFFF"/>
          <w14:textFill>
            <w14:solidFill>
              <w14:schemeClr w14:val="tx1"/>
            </w14:solidFill>
          </w14:textFill>
        </w:rPr>
        <w:t>享受政府采购支持政策的残疾人福利性单位应当同时满足以下条件：</w:t>
      </w:r>
    </w:p>
    <w:p w14:paraId="70DD70FD">
      <w:pPr>
        <w:pStyle w:val="245"/>
        <w:ind w:left="0" w:firstLine="400"/>
        <w:rPr>
          <w:rFonts w:ascii="宋体" w:hAnsi="宋体" w:cs="Arial"/>
          <w:bCs/>
          <w:color w:val="000000" w:themeColor="text1"/>
          <w:sz w:val="24"/>
          <w:szCs w:val="24"/>
          <w:highlight w:val="none"/>
          <w:shd w:val="clear" w:color="auto" w:fill="FFFFFF"/>
          <w14:textFill>
            <w14:solidFill>
              <w14:schemeClr w14:val="tx1"/>
            </w14:solidFill>
          </w14:textFill>
        </w:rPr>
      </w:pPr>
      <w:r>
        <w:rPr>
          <w:rFonts w:hint="eastAsia" w:ascii="宋体" w:hAnsi="宋体"/>
          <w:bCs/>
          <w:color w:val="000000" w:themeColor="text1"/>
          <w:sz w:val="24"/>
          <w:szCs w:val="24"/>
          <w:highlight w:val="none"/>
          <w:lang w:val="zh-CN"/>
          <w14:textFill>
            <w14:solidFill>
              <w14:schemeClr w14:val="tx1"/>
            </w14:solidFill>
          </w14:textFill>
        </w:rPr>
        <w:fldChar w:fldCharType="begin"/>
      </w:r>
      <w:r>
        <w:rPr>
          <w:rFonts w:hint="eastAsia" w:ascii="宋体" w:hAnsi="宋体"/>
          <w:bCs/>
          <w:color w:val="000000" w:themeColor="text1"/>
          <w:sz w:val="24"/>
          <w:szCs w:val="24"/>
          <w:highlight w:val="none"/>
          <w:lang w:val="zh-CN"/>
          <w14:textFill>
            <w14:solidFill>
              <w14:schemeClr w14:val="tx1"/>
            </w14:solidFill>
          </w14:textFill>
        </w:rPr>
        <w:instrText xml:space="preserve"> = 1 \* GB3 </w:instrText>
      </w:r>
      <w:r>
        <w:rPr>
          <w:rFonts w:hint="eastAsia" w:ascii="宋体" w:hAnsi="宋体"/>
          <w:bCs/>
          <w:color w:val="000000" w:themeColor="text1"/>
          <w:sz w:val="24"/>
          <w:szCs w:val="24"/>
          <w:highlight w:val="none"/>
          <w:lang w:val="zh-CN"/>
          <w14:textFill>
            <w14:solidFill>
              <w14:schemeClr w14:val="tx1"/>
            </w14:solidFill>
          </w14:textFill>
        </w:rPr>
        <w:fldChar w:fldCharType="separate"/>
      </w:r>
      <w:r>
        <w:rPr>
          <w:rFonts w:hint="eastAsia" w:ascii="宋体" w:hAnsi="宋体"/>
          <w:bCs/>
          <w:color w:val="000000" w:themeColor="text1"/>
          <w:sz w:val="24"/>
          <w:szCs w:val="24"/>
          <w:highlight w:val="none"/>
          <w:lang w:val="zh-CN"/>
          <w14:textFill>
            <w14:solidFill>
              <w14:schemeClr w14:val="tx1"/>
            </w14:solidFill>
          </w14:textFill>
        </w:rPr>
        <w:t>①</w:t>
      </w:r>
      <w:r>
        <w:rPr>
          <w:rFonts w:hint="eastAsia" w:ascii="宋体" w:hAnsi="宋体"/>
          <w:bCs/>
          <w:color w:val="000000" w:themeColor="text1"/>
          <w:sz w:val="24"/>
          <w:szCs w:val="24"/>
          <w:highlight w:val="none"/>
          <w:lang w:val="zh-CN"/>
          <w14:textFill>
            <w14:solidFill>
              <w14:schemeClr w14:val="tx1"/>
            </w14:solidFill>
          </w14:textFill>
        </w:rPr>
        <w:fldChar w:fldCharType="end"/>
      </w:r>
      <w:r>
        <w:rPr>
          <w:rFonts w:hint="eastAsia" w:ascii="宋体" w:hAnsi="宋体"/>
          <w:bCs/>
          <w:color w:val="000000" w:themeColor="text1"/>
          <w:sz w:val="24"/>
          <w:szCs w:val="24"/>
          <w:highlight w:val="none"/>
          <w:lang w:val="zh-CN"/>
          <w14:textFill>
            <w14:solidFill>
              <w14:schemeClr w14:val="tx1"/>
            </w14:solidFill>
          </w14:textFill>
        </w:rPr>
        <w:t>安置的残疾人占本单位在职职工人数的比例不低于25%（含25%），并且安置的残疾人人数不少于10人（含10人）；</w:t>
      </w:r>
    </w:p>
    <w:p w14:paraId="73523F1F">
      <w:pPr>
        <w:pStyle w:val="245"/>
        <w:ind w:left="0" w:firstLine="400"/>
        <w:rPr>
          <w:rFonts w:ascii="宋体" w:hAnsi="宋体"/>
          <w:bCs/>
          <w:color w:val="000000" w:themeColor="text1"/>
          <w:sz w:val="24"/>
          <w:szCs w:val="24"/>
          <w:highlight w:val="none"/>
          <w:lang w:val="zh-CN"/>
          <w14:textFill>
            <w14:solidFill>
              <w14:schemeClr w14:val="tx1"/>
            </w14:solidFill>
          </w14:textFill>
        </w:rPr>
      </w:pPr>
      <w:r>
        <w:rPr>
          <w:rFonts w:hint="eastAsia" w:ascii="宋体" w:hAnsi="宋体"/>
          <w:bCs/>
          <w:color w:val="000000" w:themeColor="text1"/>
          <w:sz w:val="24"/>
          <w:szCs w:val="24"/>
          <w:highlight w:val="none"/>
          <w:lang w:val="zh-CN"/>
          <w14:textFill>
            <w14:solidFill>
              <w14:schemeClr w14:val="tx1"/>
            </w14:solidFill>
          </w14:textFill>
        </w:rPr>
        <w:fldChar w:fldCharType="begin"/>
      </w:r>
      <w:r>
        <w:rPr>
          <w:rFonts w:hint="eastAsia" w:ascii="宋体" w:hAnsi="宋体"/>
          <w:bCs/>
          <w:color w:val="000000" w:themeColor="text1"/>
          <w:sz w:val="24"/>
          <w:szCs w:val="24"/>
          <w:highlight w:val="none"/>
          <w:lang w:val="zh-CN"/>
          <w14:textFill>
            <w14:solidFill>
              <w14:schemeClr w14:val="tx1"/>
            </w14:solidFill>
          </w14:textFill>
        </w:rPr>
        <w:instrText xml:space="preserve"> = 2 \* GB3 </w:instrText>
      </w:r>
      <w:r>
        <w:rPr>
          <w:rFonts w:hint="eastAsia" w:ascii="宋体" w:hAnsi="宋体"/>
          <w:bCs/>
          <w:color w:val="000000" w:themeColor="text1"/>
          <w:sz w:val="24"/>
          <w:szCs w:val="24"/>
          <w:highlight w:val="none"/>
          <w:lang w:val="zh-CN"/>
          <w14:textFill>
            <w14:solidFill>
              <w14:schemeClr w14:val="tx1"/>
            </w14:solidFill>
          </w14:textFill>
        </w:rPr>
        <w:fldChar w:fldCharType="separate"/>
      </w:r>
      <w:r>
        <w:rPr>
          <w:rFonts w:hint="eastAsia" w:ascii="宋体" w:hAnsi="宋体"/>
          <w:bCs/>
          <w:color w:val="000000" w:themeColor="text1"/>
          <w:sz w:val="24"/>
          <w:szCs w:val="24"/>
          <w:highlight w:val="none"/>
          <w:lang w:val="zh-CN"/>
          <w14:textFill>
            <w14:solidFill>
              <w14:schemeClr w14:val="tx1"/>
            </w14:solidFill>
          </w14:textFill>
        </w:rPr>
        <w:t>②</w:t>
      </w:r>
      <w:r>
        <w:rPr>
          <w:rFonts w:hint="eastAsia" w:ascii="宋体" w:hAnsi="宋体"/>
          <w:bCs/>
          <w:color w:val="000000" w:themeColor="text1"/>
          <w:sz w:val="24"/>
          <w:szCs w:val="24"/>
          <w:highlight w:val="none"/>
          <w:lang w:val="zh-CN"/>
          <w14:textFill>
            <w14:solidFill>
              <w14:schemeClr w14:val="tx1"/>
            </w14:solidFill>
          </w14:textFill>
        </w:rPr>
        <w:fldChar w:fldCharType="end"/>
      </w:r>
      <w:r>
        <w:rPr>
          <w:rFonts w:hint="eastAsia" w:ascii="宋体" w:hAnsi="宋体"/>
          <w:bCs/>
          <w:color w:val="000000" w:themeColor="text1"/>
          <w:sz w:val="24"/>
          <w:szCs w:val="24"/>
          <w:highlight w:val="none"/>
          <w:lang w:val="zh-CN"/>
          <w14:textFill>
            <w14:solidFill>
              <w14:schemeClr w14:val="tx1"/>
            </w14:solidFill>
          </w14:textFill>
        </w:rPr>
        <w:t>依法与安置的每位残疾人签订了一年以上（含一年）的劳动合同或服务协议；</w:t>
      </w:r>
    </w:p>
    <w:p w14:paraId="0AFBB1CC">
      <w:pPr>
        <w:pStyle w:val="245"/>
        <w:ind w:left="0" w:firstLine="400"/>
        <w:rPr>
          <w:rFonts w:ascii="宋体" w:hAnsi="宋体"/>
          <w:bCs/>
          <w:color w:val="000000" w:themeColor="text1"/>
          <w:sz w:val="24"/>
          <w:szCs w:val="24"/>
          <w:highlight w:val="none"/>
          <w:lang w:val="zh-CN"/>
          <w14:textFill>
            <w14:solidFill>
              <w14:schemeClr w14:val="tx1"/>
            </w14:solidFill>
          </w14:textFill>
        </w:rPr>
      </w:pPr>
      <w:r>
        <w:rPr>
          <w:rFonts w:hint="eastAsia" w:ascii="宋体" w:hAnsi="宋体"/>
          <w:bCs/>
          <w:color w:val="000000" w:themeColor="text1"/>
          <w:sz w:val="24"/>
          <w:szCs w:val="24"/>
          <w:highlight w:val="none"/>
          <w:lang w:val="zh-CN"/>
          <w14:textFill>
            <w14:solidFill>
              <w14:schemeClr w14:val="tx1"/>
            </w14:solidFill>
          </w14:textFill>
        </w:rPr>
        <w:fldChar w:fldCharType="begin"/>
      </w:r>
      <w:r>
        <w:rPr>
          <w:rFonts w:hint="eastAsia" w:ascii="宋体" w:hAnsi="宋体"/>
          <w:bCs/>
          <w:color w:val="000000" w:themeColor="text1"/>
          <w:sz w:val="24"/>
          <w:szCs w:val="24"/>
          <w:highlight w:val="none"/>
          <w:lang w:val="zh-CN"/>
          <w14:textFill>
            <w14:solidFill>
              <w14:schemeClr w14:val="tx1"/>
            </w14:solidFill>
          </w14:textFill>
        </w:rPr>
        <w:instrText xml:space="preserve"> = 3 \* GB3 </w:instrText>
      </w:r>
      <w:r>
        <w:rPr>
          <w:rFonts w:hint="eastAsia" w:ascii="宋体" w:hAnsi="宋体"/>
          <w:bCs/>
          <w:color w:val="000000" w:themeColor="text1"/>
          <w:sz w:val="24"/>
          <w:szCs w:val="24"/>
          <w:highlight w:val="none"/>
          <w:lang w:val="zh-CN"/>
          <w14:textFill>
            <w14:solidFill>
              <w14:schemeClr w14:val="tx1"/>
            </w14:solidFill>
          </w14:textFill>
        </w:rPr>
        <w:fldChar w:fldCharType="separate"/>
      </w:r>
      <w:r>
        <w:rPr>
          <w:rFonts w:hint="eastAsia" w:ascii="宋体" w:hAnsi="宋体"/>
          <w:bCs/>
          <w:color w:val="000000" w:themeColor="text1"/>
          <w:sz w:val="24"/>
          <w:szCs w:val="24"/>
          <w:highlight w:val="none"/>
          <w:lang w:val="zh-CN"/>
          <w14:textFill>
            <w14:solidFill>
              <w14:schemeClr w14:val="tx1"/>
            </w14:solidFill>
          </w14:textFill>
        </w:rPr>
        <w:t>③</w:t>
      </w:r>
      <w:r>
        <w:rPr>
          <w:rFonts w:hint="eastAsia" w:ascii="宋体" w:hAnsi="宋体"/>
          <w:bCs/>
          <w:color w:val="000000" w:themeColor="text1"/>
          <w:sz w:val="24"/>
          <w:szCs w:val="24"/>
          <w:highlight w:val="none"/>
          <w:lang w:val="zh-CN"/>
          <w14:textFill>
            <w14:solidFill>
              <w14:schemeClr w14:val="tx1"/>
            </w14:solidFill>
          </w14:textFill>
        </w:rPr>
        <w:fldChar w:fldCharType="end"/>
      </w:r>
      <w:r>
        <w:rPr>
          <w:rFonts w:hint="eastAsia" w:ascii="宋体" w:hAnsi="宋体"/>
          <w:bCs/>
          <w:color w:val="000000" w:themeColor="text1"/>
          <w:sz w:val="24"/>
          <w:szCs w:val="24"/>
          <w:highlight w:val="none"/>
          <w:lang w:val="zh-CN"/>
          <w14:textFill>
            <w14:solidFill>
              <w14:schemeClr w14:val="tx1"/>
            </w14:solidFill>
          </w14:textFill>
        </w:rPr>
        <w:t>为安置的每位残疾人按月足额缴纳了基本养老保险、基本医疗保险、失业保险、工伤保险和生育保险等社会保险费；</w:t>
      </w:r>
    </w:p>
    <w:p w14:paraId="731D746A">
      <w:pPr>
        <w:pStyle w:val="245"/>
        <w:ind w:left="0" w:firstLine="400"/>
        <w:rPr>
          <w:rFonts w:ascii="宋体" w:hAnsi="宋体"/>
          <w:bCs/>
          <w:color w:val="000000" w:themeColor="text1"/>
          <w:sz w:val="24"/>
          <w:szCs w:val="24"/>
          <w:highlight w:val="none"/>
          <w:lang w:val="zh-CN"/>
          <w14:textFill>
            <w14:solidFill>
              <w14:schemeClr w14:val="tx1"/>
            </w14:solidFill>
          </w14:textFill>
        </w:rPr>
      </w:pPr>
      <w:r>
        <w:rPr>
          <w:rFonts w:hint="eastAsia" w:ascii="宋体" w:hAnsi="宋体"/>
          <w:bCs/>
          <w:color w:val="000000" w:themeColor="text1"/>
          <w:sz w:val="24"/>
          <w:szCs w:val="24"/>
          <w:highlight w:val="none"/>
          <w:lang w:val="zh-CN"/>
          <w14:textFill>
            <w14:solidFill>
              <w14:schemeClr w14:val="tx1"/>
            </w14:solidFill>
          </w14:textFill>
        </w:rPr>
        <w:fldChar w:fldCharType="begin"/>
      </w:r>
      <w:r>
        <w:rPr>
          <w:rFonts w:hint="eastAsia" w:ascii="宋体" w:hAnsi="宋体"/>
          <w:bCs/>
          <w:color w:val="000000" w:themeColor="text1"/>
          <w:sz w:val="24"/>
          <w:szCs w:val="24"/>
          <w:highlight w:val="none"/>
          <w:lang w:val="zh-CN"/>
          <w14:textFill>
            <w14:solidFill>
              <w14:schemeClr w14:val="tx1"/>
            </w14:solidFill>
          </w14:textFill>
        </w:rPr>
        <w:instrText xml:space="preserve"> = 4 \* GB3 </w:instrText>
      </w:r>
      <w:r>
        <w:rPr>
          <w:rFonts w:hint="eastAsia" w:ascii="宋体" w:hAnsi="宋体"/>
          <w:bCs/>
          <w:color w:val="000000" w:themeColor="text1"/>
          <w:sz w:val="24"/>
          <w:szCs w:val="24"/>
          <w:highlight w:val="none"/>
          <w:lang w:val="zh-CN"/>
          <w14:textFill>
            <w14:solidFill>
              <w14:schemeClr w14:val="tx1"/>
            </w14:solidFill>
          </w14:textFill>
        </w:rPr>
        <w:fldChar w:fldCharType="separate"/>
      </w:r>
      <w:r>
        <w:rPr>
          <w:rFonts w:hint="eastAsia" w:ascii="宋体" w:hAnsi="宋体"/>
          <w:bCs/>
          <w:color w:val="000000" w:themeColor="text1"/>
          <w:sz w:val="24"/>
          <w:szCs w:val="24"/>
          <w:highlight w:val="none"/>
          <w:lang w:val="zh-CN"/>
          <w14:textFill>
            <w14:solidFill>
              <w14:schemeClr w14:val="tx1"/>
            </w14:solidFill>
          </w14:textFill>
        </w:rPr>
        <w:t>④</w:t>
      </w:r>
      <w:r>
        <w:rPr>
          <w:rFonts w:hint="eastAsia" w:ascii="宋体" w:hAnsi="宋体"/>
          <w:bCs/>
          <w:color w:val="000000" w:themeColor="text1"/>
          <w:sz w:val="24"/>
          <w:szCs w:val="24"/>
          <w:highlight w:val="none"/>
          <w:lang w:val="zh-CN"/>
          <w14:textFill>
            <w14:solidFill>
              <w14:schemeClr w14:val="tx1"/>
            </w14:solidFill>
          </w14:textFill>
        </w:rPr>
        <w:fldChar w:fldCharType="end"/>
      </w:r>
      <w:r>
        <w:rPr>
          <w:rFonts w:hint="eastAsia" w:ascii="宋体" w:hAnsi="宋体"/>
          <w:bCs/>
          <w:color w:val="000000" w:themeColor="text1"/>
          <w:sz w:val="24"/>
          <w:szCs w:val="24"/>
          <w:highlight w:val="none"/>
          <w:lang w:val="zh-CN"/>
          <w14:textFill>
            <w14:solidFill>
              <w14:schemeClr w14:val="tx1"/>
            </w14:solidFill>
          </w14:textFill>
        </w:rPr>
        <w:t>通过银行等金融机构向安置的每位残疾人，按月支付了不低于单位所在区县适用的经省级人民政府批准的月最低工资标准的工资；</w:t>
      </w:r>
    </w:p>
    <w:p w14:paraId="7E32D096">
      <w:pPr>
        <w:pStyle w:val="245"/>
        <w:ind w:left="0" w:firstLine="400"/>
        <w:rPr>
          <w:rFonts w:ascii="宋体" w:hAnsi="宋体"/>
          <w:bCs/>
          <w:color w:val="000000" w:themeColor="text1"/>
          <w:sz w:val="24"/>
          <w:szCs w:val="24"/>
          <w:highlight w:val="none"/>
          <w:lang w:val="zh-CN"/>
          <w14:textFill>
            <w14:solidFill>
              <w14:schemeClr w14:val="tx1"/>
            </w14:solidFill>
          </w14:textFill>
        </w:rPr>
      </w:pPr>
      <w:r>
        <w:rPr>
          <w:rFonts w:hint="eastAsia" w:ascii="宋体" w:hAnsi="宋体"/>
          <w:bCs/>
          <w:color w:val="000000" w:themeColor="text1"/>
          <w:sz w:val="24"/>
          <w:szCs w:val="24"/>
          <w:highlight w:val="none"/>
          <w:lang w:val="zh-CN"/>
          <w14:textFill>
            <w14:solidFill>
              <w14:schemeClr w14:val="tx1"/>
            </w14:solidFill>
          </w14:textFill>
        </w:rPr>
        <w:fldChar w:fldCharType="begin"/>
      </w:r>
      <w:r>
        <w:rPr>
          <w:rFonts w:hint="eastAsia" w:ascii="宋体" w:hAnsi="宋体"/>
          <w:bCs/>
          <w:color w:val="000000" w:themeColor="text1"/>
          <w:sz w:val="24"/>
          <w:szCs w:val="24"/>
          <w:highlight w:val="none"/>
          <w:lang w:val="zh-CN"/>
          <w14:textFill>
            <w14:solidFill>
              <w14:schemeClr w14:val="tx1"/>
            </w14:solidFill>
          </w14:textFill>
        </w:rPr>
        <w:instrText xml:space="preserve"> = 5 \* GB3 </w:instrText>
      </w:r>
      <w:r>
        <w:rPr>
          <w:rFonts w:hint="eastAsia" w:ascii="宋体" w:hAnsi="宋体"/>
          <w:bCs/>
          <w:color w:val="000000" w:themeColor="text1"/>
          <w:sz w:val="24"/>
          <w:szCs w:val="24"/>
          <w:highlight w:val="none"/>
          <w:lang w:val="zh-CN"/>
          <w14:textFill>
            <w14:solidFill>
              <w14:schemeClr w14:val="tx1"/>
            </w14:solidFill>
          </w14:textFill>
        </w:rPr>
        <w:fldChar w:fldCharType="separate"/>
      </w:r>
      <w:r>
        <w:rPr>
          <w:rFonts w:hint="eastAsia" w:ascii="宋体" w:hAnsi="宋体"/>
          <w:bCs/>
          <w:color w:val="000000" w:themeColor="text1"/>
          <w:sz w:val="24"/>
          <w:szCs w:val="24"/>
          <w:highlight w:val="none"/>
          <w:lang w:val="zh-CN"/>
          <w14:textFill>
            <w14:solidFill>
              <w14:schemeClr w14:val="tx1"/>
            </w14:solidFill>
          </w14:textFill>
        </w:rPr>
        <w:t>⑤</w:t>
      </w:r>
      <w:r>
        <w:rPr>
          <w:rFonts w:hint="eastAsia" w:ascii="宋体" w:hAnsi="宋体"/>
          <w:bCs/>
          <w:color w:val="000000" w:themeColor="text1"/>
          <w:sz w:val="24"/>
          <w:szCs w:val="24"/>
          <w:highlight w:val="none"/>
          <w:lang w:val="zh-CN"/>
          <w14:textFill>
            <w14:solidFill>
              <w14:schemeClr w14:val="tx1"/>
            </w14:solidFill>
          </w14:textFill>
        </w:rPr>
        <w:fldChar w:fldCharType="end"/>
      </w:r>
      <w:r>
        <w:rPr>
          <w:rFonts w:hint="eastAsia" w:ascii="宋体" w:hAnsi="宋体"/>
          <w:bCs/>
          <w:color w:val="000000" w:themeColor="text1"/>
          <w:sz w:val="24"/>
          <w:szCs w:val="24"/>
          <w:highlight w:val="none"/>
          <w:lang w:val="zh-CN"/>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09044551">
      <w:pPr>
        <w:pStyle w:val="245"/>
        <w:ind w:left="0" w:firstLine="400"/>
        <w:rPr>
          <w:rFonts w:ascii="宋体" w:hAnsi="宋体"/>
          <w:bCs/>
          <w:color w:val="000000" w:themeColor="text1"/>
          <w:sz w:val="24"/>
          <w:szCs w:val="24"/>
          <w:highlight w:val="none"/>
          <w:lang w:val="zh-CN"/>
          <w14:textFill>
            <w14:solidFill>
              <w14:schemeClr w14:val="tx1"/>
            </w14:solidFill>
          </w14:textFill>
        </w:rPr>
      </w:pPr>
      <w:r>
        <w:rPr>
          <w:rFonts w:hint="eastAsia" w:ascii="宋体" w:hAnsi="宋体"/>
          <w:bCs/>
          <w:color w:val="000000" w:themeColor="text1"/>
          <w:sz w:val="24"/>
          <w:szCs w:val="24"/>
          <w:highlight w:val="none"/>
          <w:lang w:val="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A4FBF35">
      <w:pPr>
        <w:pStyle w:val="245"/>
        <w:ind w:left="0" w:firstLine="402"/>
        <w:rPr>
          <w:rFonts w:ascii="宋体" w:hAnsi="宋体"/>
          <w:bCs/>
          <w:color w:val="000000" w:themeColor="text1"/>
          <w:sz w:val="24"/>
          <w:szCs w:val="24"/>
          <w:highlight w:val="none"/>
          <w:lang w:val="zh-CN"/>
          <w14:textFill>
            <w14:solidFill>
              <w14:schemeClr w14:val="tx1"/>
            </w14:solidFill>
          </w14:textFill>
        </w:rPr>
      </w:pPr>
      <w:r>
        <w:rPr>
          <w:rFonts w:hint="eastAsia" w:ascii="宋体" w:hAnsi="宋体"/>
          <w:bCs/>
          <w:color w:val="000000" w:themeColor="text1"/>
          <w:sz w:val="24"/>
          <w:szCs w:val="24"/>
          <w:highlight w:val="none"/>
          <w:lang w:val="zh-CN"/>
          <w14:textFill>
            <w14:solidFill>
              <w14:schemeClr w14:val="tx1"/>
            </w14:solidFill>
          </w14:textFill>
        </w:rPr>
        <w:t>2）中标单位为残疾人福利性单位的，《残疾人福利性单位声明函》将随中标结果同时公告。</w:t>
      </w:r>
    </w:p>
    <w:p w14:paraId="50B94621">
      <w:pPr>
        <w:pStyle w:val="245"/>
        <w:ind w:left="0" w:firstLine="402"/>
        <w:rPr>
          <w:rFonts w:ascii="宋体" w:hAnsi="宋体"/>
          <w:bCs/>
          <w:color w:val="000000" w:themeColor="text1"/>
          <w:sz w:val="24"/>
          <w:szCs w:val="24"/>
          <w:highlight w:val="none"/>
          <w:lang w:val="zh-CN"/>
          <w14:textFill>
            <w14:solidFill>
              <w14:schemeClr w14:val="tx1"/>
            </w14:solidFill>
          </w14:textFill>
        </w:rPr>
      </w:pPr>
      <w:r>
        <w:rPr>
          <w:rFonts w:hint="eastAsia" w:ascii="宋体" w:hAnsi="宋体"/>
          <w:bCs/>
          <w:color w:val="000000" w:themeColor="text1"/>
          <w:sz w:val="24"/>
          <w:szCs w:val="24"/>
          <w:highlight w:val="none"/>
          <w:lang w:val="zh-CN"/>
          <w14:textFill>
            <w14:solidFill>
              <w14:schemeClr w14:val="tx1"/>
            </w14:solidFill>
          </w14:textFill>
        </w:rPr>
        <w:t>3）供应商提供的《残疾人福利性单位声明函》与事实不符的，依照《中华人民共和国政府采购法》第七十七条第一款的规定追究法律责任。</w:t>
      </w:r>
    </w:p>
    <w:p w14:paraId="1BF1F6AC">
      <w:pPr>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w:t>
      </w:r>
      <w:r>
        <w:rPr>
          <w:rFonts w:hint="eastAsia" w:ascii="宋体" w:hAnsi="宋体"/>
          <w:color w:val="000000" w:themeColor="text1"/>
          <w:sz w:val="28"/>
          <w:szCs w:val="28"/>
          <w:highlight w:val="none"/>
          <w:lang w:val="en-US" w:eastAsia="zh-CN"/>
          <w14:textFill>
            <w14:solidFill>
              <w14:schemeClr w14:val="tx1"/>
            </w14:solidFill>
          </w14:textFill>
        </w:rPr>
        <w:t>1</w:t>
      </w:r>
      <w:r>
        <w:rPr>
          <w:rFonts w:hint="eastAsia" w:ascii="宋体" w:hAnsi="宋体"/>
          <w:color w:val="000000" w:themeColor="text1"/>
          <w:sz w:val="28"/>
          <w:szCs w:val="28"/>
          <w:highlight w:val="none"/>
          <w14:textFill>
            <w14:solidFill>
              <w14:schemeClr w14:val="tx1"/>
            </w14:solidFill>
          </w14:textFill>
        </w:rPr>
        <w:t>、供应商情况表</w:t>
      </w:r>
    </w:p>
    <w:p w14:paraId="56796862">
      <w:pPr>
        <w:spacing w:line="360" w:lineRule="auto"/>
        <w:jc w:val="center"/>
        <w:rPr>
          <w:rFonts w:eastAsia="黑体"/>
          <w:b/>
          <w:bCs/>
          <w:color w:val="000000" w:themeColor="text1"/>
          <w:spacing w:val="20"/>
          <w:sz w:val="32"/>
          <w:szCs w:val="32"/>
          <w:highlight w:val="none"/>
          <w14:textFill>
            <w14:solidFill>
              <w14:schemeClr w14:val="tx1"/>
            </w14:solidFill>
          </w14:textFill>
        </w:rPr>
      </w:pPr>
      <w:r>
        <w:rPr>
          <w:rFonts w:hint="eastAsia" w:eastAsia="黑体"/>
          <w:b/>
          <w:bCs/>
          <w:color w:val="000000" w:themeColor="text1"/>
          <w:spacing w:val="20"/>
          <w:sz w:val="32"/>
          <w:szCs w:val="32"/>
          <w:highlight w:val="none"/>
          <w14:textFill>
            <w14:solidFill>
              <w14:schemeClr w14:val="tx1"/>
            </w14:solidFill>
          </w14:textFill>
        </w:rPr>
        <w:t>供应商情况表</w:t>
      </w:r>
    </w:p>
    <w:p w14:paraId="2798C77A">
      <w:pPr>
        <w:spacing w:line="360" w:lineRule="auto"/>
        <w:jc w:val="right"/>
        <w:rPr>
          <w:color w:val="000000" w:themeColor="text1"/>
          <w:spacing w:val="20"/>
          <w:sz w:val="24"/>
          <w:highlight w:val="none"/>
          <w14:textFill>
            <w14:solidFill>
              <w14:schemeClr w14:val="tx1"/>
            </w14:solidFill>
          </w14:textFill>
        </w:rPr>
      </w:pPr>
      <w:r>
        <w:rPr>
          <w:rFonts w:hint="eastAsia"/>
          <w:color w:val="000000" w:themeColor="text1"/>
          <w:spacing w:val="20"/>
          <w:sz w:val="24"/>
          <w:highlight w:val="none"/>
          <w14:textFill>
            <w14:solidFill>
              <w14:schemeClr w14:val="tx1"/>
            </w14:solidFill>
          </w14:textFill>
        </w:rPr>
        <w:t>年   月   日</w:t>
      </w:r>
    </w:p>
    <w:tbl>
      <w:tblPr>
        <w:tblStyle w:val="40"/>
        <w:tblW w:w="8245" w:type="dxa"/>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590"/>
        <w:gridCol w:w="676"/>
        <w:gridCol w:w="410"/>
        <w:gridCol w:w="972"/>
        <w:gridCol w:w="530"/>
        <w:gridCol w:w="831"/>
        <w:gridCol w:w="1275"/>
        <w:gridCol w:w="896"/>
        <w:gridCol w:w="212"/>
        <w:gridCol w:w="1319"/>
      </w:tblGrid>
      <w:tr w14:paraId="1D6E3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trPr>
        <w:tc>
          <w:tcPr>
            <w:tcW w:w="1800" w:type="dxa"/>
            <w:gridSpan w:val="3"/>
            <w:noWrap/>
            <w:vAlign w:val="center"/>
          </w:tcPr>
          <w:p w14:paraId="3BAB8780">
            <w:pPr>
              <w:spacing w:line="360" w:lineRule="auto"/>
              <w:jc w:val="center"/>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单位名称</w:t>
            </w:r>
          </w:p>
          <w:p w14:paraId="0124E1F4">
            <w:pPr>
              <w:spacing w:line="360" w:lineRule="auto"/>
              <w:jc w:val="center"/>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（盖章）</w:t>
            </w:r>
          </w:p>
        </w:tc>
        <w:tc>
          <w:tcPr>
            <w:tcW w:w="1382" w:type="dxa"/>
            <w:gridSpan w:val="2"/>
            <w:noWrap/>
            <w:vAlign w:val="center"/>
          </w:tcPr>
          <w:p w14:paraId="2FE559D6">
            <w:pPr>
              <w:spacing w:line="360" w:lineRule="auto"/>
              <w:jc w:val="center"/>
              <w:rPr>
                <w:rFonts w:ascii="宋体" w:hAnsi="宋体" w:cs="宋体"/>
                <w:color w:val="000000" w:themeColor="text1"/>
                <w:spacing w:val="20"/>
                <w:sz w:val="24"/>
                <w:highlight w:val="none"/>
                <w14:textFill>
                  <w14:solidFill>
                    <w14:schemeClr w14:val="tx1"/>
                  </w14:solidFill>
                </w14:textFill>
              </w:rPr>
            </w:pPr>
          </w:p>
        </w:tc>
        <w:tc>
          <w:tcPr>
            <w:tcW w:w="1361" w:type="dxa"/>
            <w:gridSpan w:val="2"/>
            <w:noWrap/>
            <w:vAlign w:val="center"/>
          </w:tcPr>
          <w:p w14:paraId="1C7AFA41">
            <w:pPr>
              <w:spacing w:line="360" w:lineRule="auto"/>
              <w:jc w:val="center"/>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注册号</w:t>
            </w:r>
          </w:p>
        </w:tc>
        <w:tc>
          <w:tcPr>
            <w:tcW w:w="1275" w:type="dxa"/>
            <w:noWrap/>
            <w:vAlign w:val="center"/>
          </w:tcPr>
          <w:p w14:paraId="2904EE21">
            <w:pPr>
              <w:spacing w:line="360" w:lineRule="auto"/>
              <w:jc w:val="center"/>
              <w:rPr>
                <w:rFonts w:ascii="宋体" w:hAnsi="宋体" w:cs="宋体"/>
                <w:color w:val="000000" w:themeColor="text1"/>
                <w:spacing w:val="20"/>
                <w:sz w:val="24"/>
                <w:highlight w:val="none"/>
                <w14:textFill>
                  <w14:solidFill>
                    <w14:schemeClr w14:val="tx1"/>
                  </w14:solidFill>
                </w14:textFill>
              </w:rPr>
            </w:pPr>
          </w:p>
        </w:tc>
        <w:tc>
          <w:tcPr>
            <w:tcW w:w="1108" w:type="dxa"/>
            <w:gridSpan w:val="2"/>
            <w:noWrap/>
            <w:vAlign w:val="center"/>
          </w:tcPr>
          <w:p w14:paraId="515A2ECC">
            <w:pPr>
              <w:spacing w:line="360" w:lineRule="auto"/>
              <w:jc w:val="center"/>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电话</w:t>
            </w:r>
          </w:p>
        </w:tc>
        <w:tc>
          <w:tcPr>
            <w:tcW w:w="1319" w:type="dxa"/>
            <w:noWrap/>
            <w:vAlign w:val="center"/>
          </w:tcPr>
          <w:p w14:paraId="1AF265F7">
            <w:pPr>
              <w:spacing w:line="360" w:lineRule="auto"/>
              <w:jc w:val="center"/>
              <w:rPr>
                <w:rFonts w:ascii="宋体" w:hAnsi="宋体" w:cs="宋体"/>
                <w:color w:val="000000" w:themeColor="text1"/>
                <w:spacing w:val="20"/>
                <w:sz w:val="24"/>
                <w:highlight w:val="none"/>
                <w14:textFill>
                  <w14:solidFill>
                    <w14:schemeClr w14:val="tx1"/>
                  </w14:solidFill>
                </w14:textFill>
              </w:rPr>
            </w:pPr>
          </w:p>
        </w:tc>
      </w:tr>
      <w:tr w14:paraId="6D536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1800" w:type="dxa"/>
            <w:gridSpan w:val="3"/>
            <w:noWrap/>
            <w:vAlign w:val="center"/>
          </w:tcPr>
          <w:p w14:paraId="31E44E17">
            <w:pPr>
              <w:spacing w:line="360" w:lineRule="auto"/>
              <w:jc w:val="center"/>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企业地址</w:t>
            </w:r>
          </w:p>
        </w:tc>
        <w:tc>
          <w:tcPr>
            <w:tcW w:w="1382" w:type="dxa"/>
            <w:gridSpan w:val="2"/>
            <w:noWrap/>
            <w:vAlign w:val="center"/>
          </w:tcPr>
          <w:p w14:paraId="39C61E9B">
            <w:pPr>
              <w:spacing w:line="360" w:lineRule="auto"/>
              <w:jc w:val="center"/>
              <w:rPr>
                <w:rFonts w:ascii="宋体" w:hAnsi="宋体" w:cs="宋体"/>
                <w:color w:val="000000" w:themeColor="text1"/>
                <w:spacing w:val="20"/>
                <w:sz w:val="24"/>
                <w:highlight w:val="none"/>
                <w14:textFill>
                  <w14:solidFill>
                    <w14:schemeClr w14:val="tx1"/>
                  </w14:solidFill>
                </w14:textFill>
              </w:rPr>
            </w:pPr>
          </w:p>
        </w:tc>
        <w:tc>
          <w:tcPr>
            <w:tcW w:w="1361" w:type="dxa"/>
            <w:gridSpan w:val="2"/>
            <w:noWrap/>
            <w:vAlign w:val="center"/>
          </w:tcPr>
          <w:p w14:paraId="5B6930B7">
            <w:pPr>
              <w:spacing w:line="360" w:lineRule="auto"/>
              <w:jc w:val="center"/>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注册资金</w:t>
            </w:r>
          </w:p>
        </w:tc>
        <w:tc>
          <w:tcPr>
            <w:tcW w:w="1275" w:type="dxa"/>
            <w:noWrap/>
            <w:vAlign w:val="center"/>
          </w:tcPr>
          <w:p w14:paraId="24C7F5BA">
            <w:pPr>
              <w:spacing w:line="360" w:lineRule="auto"/>
              <w:jc w:val="center"/>
              <w:rPr>
                <w:rFonts w:ascii="宋体" w:hAnsi="宋体" w:cs="宋体"/>
                <w:color w:val="000000" w:themeColor="text1"/>
                <w:spacing w:val="20"/>
                <w:sz w:val="24"/>
                <w:highlight w:val="none"/>
                <w14:textFill>
                  <w14:solidFill>
                    <w14:schemeClr w14:val="tx1"/>
                  </w14:solidFill>
                </w14:textFill>
              </w:rPr>
            </w:pPr>
          </w:p>
        </w:tc>
        <w:tc>
          <w:tcPr>
            <w:tcW w:w="1108" w:type="dxa"/>
            <w:gridSpan w:val="2"/>
            <w:noWrap/>
            <w:vAlign w:val="center"/>
          </w:tcPr>
          <w:p w14:paraId="535D62EE">
            <w:pPr>
              <w:spacing w:line="360" w:lineRule="auto"/>
              <w:jc w:val="center"/>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传真</w:t>
            </w:r>
          </w:p>
        </w:tc>
        <w:tc>
          <w:tcPr>
            <w:tcW w:w="1319" w:type="dxa"/>
            <w:noWrap/>
            <w:vAlign w:val="center"/>
          </w:tcPr>
          <w:p w14:paraId="5E076E23">
            <w:pPr>
              <w:spacing w:line="360" w:lineRule="auto"/>
              <w:jc w:val="center"/>
              <w:rPr>
                <w:rFonts w:ascii="宋体" w:hAnsi="宋体" w:cs="宋体"/>
                <w:color w:val="000000" w:themeColor="text1"/>
                <w:spacing w:val="20"/>
                <w:sz w:val="24"/>
                <w:highlight w:val="none"/>
                <w14:textFill>
                  <w14:solidFill>
                    <w14:schemeClr w14:val="tx1"/>
                  </w14:solidFill>
                </w14:textFill>
              </w:rPr>
            </w:pPr>
          </w:p>
        </w:tc>
      </w:tr>
      <w:tr w14:paraId="26DF2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trPr>
        <w:tc>
          <w:tcPr>
            <w:tcW w:w="1800" w:type="dxa"/>
            <w:gridSpan w:val="3"/>
            <w:noWrap/>
            <w:vAlign w:val="center"/>
          </w:tcPr>
          <w:p w14:paraId="5A15238F">
            <w:pPr>
              <w:spacing w:line="360" w:lineRule="auto"/>
              <w:jc w:val="center"/>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一、单位简历及机构</w:t>
            </w:r>
          </w:p>
        </w:tc>
        <w:tc>
          <w:tcPr>
            <w:tcW w:w="6445" w:type="dxa"/>
            <w:gridSpan w:val="8"/>
            <w:noWrap/>
            <w:vAlign w:val="center"/>
          </w:tcPr>
          <w:p w14:paraId="65832E56">
            <w:pPr>
              <w:spacing w:line="360" w:lineRule="auto"/>
              <w:jc w:val="center"/>
              <w:rPr>
                <w:rFonts w:ascii="宋体" w:hAnsi="宋体" w:cs="宋体"/>
                <w:color w:val="000000" w:themeColor="text1"/>
                <w:spacing w:val="20"/>
                <w:sz w:val="24"/>
                <w:highlight w:val="none"/>
                <w14:textFill>
                  <w14:solidFill>
                    <w14:schemeClr w14:val="tx1"/>
                  </w14:solidFill>
                </w14:textFill>
              </w:rPr>
            </w:pPr>
          </w:p>
        </w:tc>
      </w:tr>
      <w:tr w14:paraId="57D45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trPr>
        <w:tc>
          <w:tcPr>
            <w:tcW w:w="1800" w:type="dxa"/>
            <w:gridSpan w:val="3"/>
            <w:noWrap/>
            <w:vAlign w:val="center"/>
          </w:tcPr>
          <w:p w14:paraId="5B9AFAEB">
            <w:pPr>
              <w:spacing w:line="360" w:lineRule="auto"/>
              <w:jc w:val="center"/>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二、单位优势及特长</w:t>
            </w:r>
          </w:p>
        </w:tc>
        <w:tc>
          <w:tcPr>
            <w:tcW w:w="6445" w:type="dxa"/>
            <w:gridSpan w:val="8"/>
            <w:noWrap/>
            <w:vAlign w:val="center"/>
          </w:tcPr>
          <w:p w14:paraId="5C036C5D">
            <w:pPr>
              <w:spacing w:line="360" w:lineRule="auto"/>
              <w:jc w:val="center"/>
              <w:rPr>
                <w:rFonts w:ascii="宋体" w:hAnsi="宋体" w:cs="宋体"/>
                <w:color w:val="000000" w:themeColor="text1"/>
                <w:spacing w:val="20"/>
                <w:sz w:val="24"/>
                <w:highlight w:val="none"/>
                <w14:textFill>
                  <w14:solidFill>
                    <w14:schemeClr w14:val="tx1"/>
                  </w14:solidFill>
                </w14:textFill>
              </w:rPr>
            </w:pPr>
          </w:p>
        </w:tc>
      </w:tr>
      <w:tr w14:paraId="60C0F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9" w:hRule="atLeast"/>
        </w:trPr>
        <w:tc>
          <w:tcPr>
            <w:tcW w:w="534" w:type="dxa"/>
            <w:vMerge w:val="restart"/>
            <w:noWrap/>
            <w:vAlign w:val="center"/>
          </w:tcPr>
          <w:p w14:paraId="7110DE21">
            <w:pPr>
              <w:spacing w:line="360" w:lineRule="auto"/>
              <w:jc w:val="center"/>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三、单</w:t>
            </w:r>
          </w:p>
          <w:p w14:paraId="67329B39">
            <w:pPr>
              <w:spacing w:line="360" w:lineRule="auto"/>
              <w:jc w:val="center"/>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位</w:t>
            </w:r>
          </w:p>
          <w:p w14:paraId="1B141B6F">
            <w:pPr>
              <w:spacing w:line="360" w:lineRule="auto"/>
              <w:jc w:val="center"/>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概</w:t>
            </w:r>
          </w:p>
          <w:p w14:paraId="5D09B2AA">
            <w:pPr>
              <w:spacing w:line="360" w:lineRule="auto"/>
              <w:jc w:val="center"/>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况</w:t>
            </w:r>
          </w:p>
        </w:tc>
        <w:tc>
          <w:tcPr>
            <w:tcW w:w="1676" w:type="dxa"/>
            <w:gridSpan w:val="3"/>
            <w:noWrap/>
            <w:vAlign w:val="center"/>
          </w:tcPr>
          <w:p w14:paraId="52849C2C">
            <w:pPr>
              <w:spacing w:line="360" w:lineRule="auto"/>
              <w:jc w:val="center"/>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职工总数</w:t>
            </w:r>
          </w:p>
        </w:tc>
        <w:tc>
          <w:tcPr>
            <w:tcW w:w="1502" w:type="dxa"/>
            <w:gridSpan w:val="2"/>
            <w:noWrap/>
            <w:vAlign w:val="center"/>
          </w:tcPr>
          <w:p w14:paraId="6E2CF585">
            <w:pPr>
              <w:spacing w:line="360" w:lineRule="auto"/>
              <w:jc w:val="center"/>
              <w:rPr>
                <w:rFonts w:ascii="宋体" w:hAnsi="宋体" w:cs="宋体"/>
                <w:color w:val="000000" w:themeColor="text1"/>
                <w:spacing w:val="20"/>
                <w:sz w:val="24"/>
                <w:highlight w:val="none"/>
                <w14:textFill>
                  <w14:solidFill>
                    <w14:schemeClr w14:val="tx1"/>
                  </w14:solidFill>
                </w14:textFill>
              </w:rPr>
            </w:pPr>
          </w:p>
        </w:tc>
        <w:tc>
          <w:tcPr>
            <w:tcW w:w="3002" w:type="dxa"/>
            <w:gridSpan w:val="3"/>
            <w:noWrap/>
            <w:vAlign w:val="center"/>
          </w:tcPr>
          <w:p w14:paraId="2F71F226">
            <w:pPr>
              <w:spacing w:line="360" w:lineRule="auto"/>
              <w:jc w:val="center"/>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其中：中级职称人员</w:t>
            </w:r>
          </w:p>
        </w:tc>
        <w:tc>
          <w:tcPr>
            <w:tcW w:w="1531" w:type="dxa"/>
            <w:gridSpan w:val="2"/>
            <w:noWrap/>
            <w:vAlign w:val="center"/>
          </w:tcPr>
          <w:p w14:paraId="18C48298">
            <w:pPr>
              <w:spacing w:line="360" w:lineRule="auto"/>
              <w:jc w:val="center"/>
              <w:rPr>
                <w:rFonts w:ascii="宋体" w:hAnsi="宋体" w:cs="宋体"/>
                <w:color w:val="000000" w:themeColor="text1"/>
                <w:spacing w:val="20"/>
                <w:sz w:val="24"/>
                <w:highlight w:val="none"/>
                <w14:textFill>
                  <w14:solidFill>
                    <w14:schemeClr w14:val="tx1"/>
                  </w14:solidFill>
                </w14:textFill>
              </w:rPr>
            </w:pPr>
          </w:p>
        </w:tc>
      </w:tr>
      <w:tr w14:paraId="6CE09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1" w:hRule="atLeast"/>
        </w:trPr>
        <w:tc>
          <w:tcPr>
            <w:tcW w:w="534" w:type="dxa"/>
            <w:vMerge w:val="continue"/>
            <w:noWrap/>
            <w:vAlign w:val="center"/>
          </w:tcPr>
          <w:p w14:paraId="668ADDA6">
            <w:pPr>
              <w:widowControl/>
              <w:jc w:val="left"/>
              <w:rPr>
                <w:rFonts w:ascii="宋体" w:hAnsi="宋体" w:cs="宋体"/>
                <w:color w:val="000000" w:themeColor="text1"/>
                <w:spacing w:val="20"/>
                <w:sz w:val="24"/>
                <w:highlight w:val="none"/>
                <w14:textFill>
                  <w14:solidFill>
                    <w14:schemeClr w14:val="tx1"/>
                  </w14:solidFill>
                </w14:textFill>
              </w:rPr>
            </w:pPr>
          </w:p>
        </w:tc>
        <w:tc>
          <w:tcPr>
            <w:tcW w:w="7711" w:type="dxa"/>
            <w:gridSpan w:val="10"/>
            <w:noWrap/>
            <w:vAlign w:val="center"/>
          </w:tcPr>
          <w:p w14:paraId="7AAFC720">
            <w:pPr>
              <w:spacing w:line="360" w:lineRule="auto"/>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资产总计：  万元；资产净值： 万元；股东权益：   万元</w:t>
            </w:r>
          </w:p>
        </w:tc>
      </w:tr>
      <w:tr w14:paraId="24426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0" w:hRule="atLeast"/>
        </w:trPr>
        <w:tc>
          <w:tcPr>
            <w:tcW w:w="534" w:type="dxa"/>
            <w:vMerge w:val="continue"/>
            <w:noWrap/>
            <w:vAlign w:val="center"/>
          </w:tcPr>
          <w:p w14:paraId="09F510AF">
            <w:pPr>
              <w:widowControl/>
              <w:jc w:val="left"/>
              <w:rPr>
                <w:rFonts w:ascii="宋体" w:hAnsi="宋体" w:cs="宋体"/>
                <w:color w:val="000000" w:themeColor="text1"/>
                <w:spacing w:val="20"/>
                <w:sz w:val="24"/>
                <w:highlight w:val="none"/>
                <w14:textFill>
                  <w14:solidFill>
                    <w14:schemeClr w14:val="tx1"/>
                  </w14:solidFill>
                </w14:textFill>
              </w:rPr>
            </w:pPr>
          </w:p>
        </w:tc>
        <w:tc>
          <w:tcPr>
            <w:tcW w:w="7711" w:type="dxa"/>
            <w:gridSpan w:val="10"/>
            <w:noWrap/>
            <w:vAlign w:val="center"/>
          </w:tcPr>
          <w:p w14:paraId="2881BF04">
            <w:pPr>
              <w:spacing w:line="360" w:lineRule="auto"/>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营业面积（含厂房面积）：   M</w:t>
            </w:r>
            <w:r>
              <w:rPr>
                <w:rFonts w:hint="eastAsia" w:ascii="宋体" w:hAnsi="宋体" w:cs="宋体"/>
                <w:color w:val="000000" w:themeColor="text1"/>
                <w:spacing w:val="20"/>
                <w:sz w:val="24"/>
                <w:highlight w:val="none"/>
                <w:vertAlign w:val="superscript"/>
                <w14:textFill>
                  <w14:solidFill>
                    <w14:schemeClr w14:val="tx1"/>
                  </w14:solidFill>
                </w14:textFill>
              </w:rPr>
              <w:t>2</w:t>
            </w:r>
            <w:r>
              <w:rPr>
                <w:rFonts w:hint="eastAsia" w:ascii="宋体" w:hAnsi="宋体" w:cs="宋体"/>
                <w:color w:val="000000" w:themeColor="text1"/>
                <w:spacing w:val="20"/>
                <w:sz w:val="24"/>
                <w:highlight w:val="none"/>
                <w14:textFill>
                  <w14:solidFill>
                    <w14:schemeClr w14:val="tx1"/>
                  </w14:solidFill>
                </w14:textFill>
              </w:rPr>
              <w:t>，产权：  M</w:t>
            </w:r>
            <w:r>
              <w:rPr>
                <w:rFonts w:hint="eastAsia" w:ascii="宋体" w:hAnsi="宋体" w:cs="宋体"/>
                <w:color w:val="000000" w:themeColor="text1"/>
                <w:spacing w:val="20"/>
                <w:sz w:val="24"/>
                <w:highlight w:val="none"/>
                <w:vertAlign w:val="superscript"/>
                <w14:textFill>
                  <w14:solidFill>
                    <w14:schemeClr w14:val="tx1"/>
                  </w14:solidFill>
                </w14:textFill>
              </w:rPr>
              <w:t>2</w:t>
            </w:r>
            <w:r>
              <w:rPr>
                <w:rFonts w:hint="eastAsia" w:ascii="宋体" w:hAnsi="宋体" w:cs="宋体"/>
                <w:color w:val="000000" w:themeColor="text1"/>
                <w:spacing w:val="20"/>
                <w:sz w:val="24"/>
                <w:highlight w:val="none"/>
                <w14:textFill>
                  <w14:solidFill>
                    <w14:schemeClr w14:val="tx1"/>
                  </w14:solidFill>
                </w14:textFill>
              </w:rPr>
              <w:t>，租：   M</w:t>
            </w:r>
            <w:r>
              <w:rPr>
                <w:rFonts w:hint="eastAsia" w:ascii="宋体" w:hAnsi="宋体" w:cs="宋体"/>
                <w:color w:val="000000" w:themeColor="text1"/>
                <w:spacing w:val="20"/>
                <w:sz w:val="24"/>
                <w:highlight w:val="none"/>
                <w:vertAlign w:val="superscript"/>
                <w14:textFill>
                  <w14:solidFill>
                    <w14:schemeClr w14:val="tx1"/>
                  </w14:solidFill>
                </w14:textFill>
              </w:rPr>
              <w:t>2</w:t>
            </w:r>
          </w:p>
        </w:tc>
      </w:tr>
      <w:tr w14:paraId="465D1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534" w:type="dxa"/>
            <w:vMerge w:val="continue"/>
            <w:noWrap/>
            <w:vAlign w:val="center"/>
          </w:tcPr>
          <w:p w14:paraId="6214098C">
            <w:pPr>
              <w:widowControl/>
              <w:jc w:val="left"/>
              <w:rPr>
                <w:rFonts w:ascii="宋体" w:hAnsi="宋体" w:cs="宋体"/>
                <w:color w:val="000000" w:themeColor="text1"/>
                <w:spacing w:val="20"/>
                <w:sz w:val="24"/>
                <w:highlight w:val="none"/>
                <w14:textFill>
                  <w14:solidFill>
                    <w14:schemeClr w14:val="tx1"/>
                  </w14:solidFill>
                </w14:textFill>
              </w:rPr>
            </w:pPr>
          </w:p>
        </w:tc>
        <w:tc>
          <w:tcPr>
            <w:tcW w:w="7711" w:type="dxa"/>
            <w:gridSpan w:val="10"/>
            <w:noWrap/>
            <w:vAlign w:val="center"/>
          </w:tcPr>
          <w:p w14:paraId="2A013EB1">
            <w:pPr>
              <w:spacing w:line="360" w:lineRule="auto"/>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销（零）售额：    年     万元；     年：      万元</w:t>
            </w:r>
          </w:p>
        </w:tc>
      </w:tr>
      <w:tr w14:paraId="50378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0" w:hRule="atLeast"/>
        </w:trPr>
        <w:tc>
          <w:tcPr>
            <w:tcW w:w="534" w:type="dxa"/>
            <w:vMerge w:val="continue"/>
            <w:noWrap/>
            <w:vAlign w:val="center"/>
          </w:tcPr>
          <w:p w14:paraId="424F9C58">
            <w:pPr>
              <w:widowControl/>
              <w:jc w:val="left"/>
              <w:rPr>
                <w:rFonts w:ascii="宋体" w:hAnsi="宋体" w:cs="宋体"/>
                <w:color w:val="000000" w:themeColor="text1"/>
                <w:spacing w:val="20"/>
                <w:sz w:val="24"/>
                <w:highlight w:val="none"/>
                <w14:textFill>
                  <w14:solidFill>
                    <w14:schemeClr w14:val="tx1"/>
                  </w14:solidFill>
                </w14:textFill>
              </w:rPr>
            </w:pPr>
          </w:p>
        </w:tc>
        <w:tc>
          <w:tcPr>
            <w:tcW w:w="7711" w:type="dxa"/>
            <w:gridSpan w:val="10"/>
            <w:noWrap/>
            <w:vAlign w:val="center"/>
          </w:tcPr>
          <w:p w14:paraId="527E57D3">
            <w:pPr>
              <w:spacing w:line="360" w:lineRule="auto"/>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实现利润：    年        万元；      年：     万元</w:t>
            </w:r>
          </w:p>
        </w:tc>
      </w:tr>
      <w:tr w14:paraId="67142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5" w:hRule="atLeast"/>
        </w:trPr>
        <w:tc>
          <w:tcPr>
            <w:tcW w:w="534" w:type="dxa"/>
            <w:vMerge w:val="continue"/>
            <w:noWrap/>
            <w:vAlign w:val="center"/>
          </w:tcPr>
          <w:p w14:paraId="4A241EE1">
            <w:pPr>
              <w:widowControl/>
              <w:jc w:val="left"/>
              <w:rPr>
                <w:rFonts w:ascii="宋体" w:hAnsi="宋体" w:cs="宋体"/>
                <w:color w:val="000000" w:themeColor="text1"/>
                <w:spacing w:val="20"/>
                <w:sz w:val="24"/>
                <w:highlight w:val="none"/>
                <w14:textFill>
                  <w14:solidFill>
                    <w14:schemeClr w14:val="tx1"/>
                  </w14:solidFill>
                </w14:textFill>
              </w:rPr>
            </w:pPr>
          </w:p>
        </w:tc>
        <w:tc>
          <w:tcPr>
            <w:tcW w:w="590" w:type="dxa"/>
            <w:vMerge w:val="restart"/>
            <w:noWrap/>
            <w:vAlign w:val="center"/>
          </w:tcPr>
          <w:p w14:paraId="0672AE5D">
            <w:pPr>
              <w:spacing w:line="360" w:lineRule="auto"/>
              <w:jc w:val="center"/>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主</w:t>
            </w:r>
          </w:p>
          <w:p w14:paraId="5C6212B1">
            <w:pPr>
              <w:spacing w:line="360" w:lineRule="auto"/>
              <w:jc w:val="center"/>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要</w:t>
            </w:r>
          </w:p>
          <w:p w14:paraId="45B18ACB">
            <w:pPr>
              <w:spacing w:line="360" w:lineRule="auto"/>
              <w:jc w:val="center"/>
              <w:rPr>
                <w:rFonts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业务</w:t>
            </w:r>
          </w:p>
        </w:tc>
        <w:tc>
          <w:tcPr>
            <w:tcW w:w="7121" w:type="dxa"/>
            <w:gridSpan w:val="9"/>
            <w:noWrap/>
            <w:vAlign w:val="center"/>
          </w:tcPr>
          <w:p w14:paraId="284A7FDA">
            <w:pPr>
              <w:spacing w:line="360" w:lineRule="auto"/>
              <w:rPr>
                <w:rFonts w:ascii="宋体" w:hAnsi="宋体" w:cs="宋体"/>
                <w:color w:val="000000" w:themeColor="text1"/>
                <w:spacing w:val="20"/>
                <w:sz w:val="24"/>
                <w:highlight w:val="none"/>
                <w14:textFill>
                  <w14:solidFill>
                    <w14:schemeClr w14:val="tx1"/>
                  </w14:solidFill>
                </w14:textFill>
              </w:rPr>
            </w:pPr>
          </w:p>
        </w:tc>
      </w:tr>
      <w:tr w14:paraId="4FF2A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01" w:hRule="atLeast"/>
        </w:trPr>
        <w:tc>
          <w:tcPr>
            <w:tcW w:w="534" w:type="dxa"/>
            <w:vMerge w:val="continue"/>
            <w:noWrap/>
            <w:vAlign w:val="center"/>
          </w:tcPr>
          <w:p w14:paraId="68187DF5">
            <w:pPr>
              <w:widowControl/>
              <w:jc w:val="left"/>
              <w:rPr>
                <w:rFonts w:ascii="宋体" w:hAnsi="宋体" w:cs="宋体"/>
                <w:color w:val="000000" w:themeColor="text1"/>
                <w:spacing w:val="20"/>
                <w:sz w:val="24"/>
                <w:highlight w:val="none"/>
                <w14:textFill>
                  <w14:solidFill>
                    <w14:schemeClr w14:val="tx1"/>
                  </w14:solidFill>
                </w14:textFill>
              </w:rPr>
            </w:pPr>
          </w:p>
        </w:tc>
        <w:tc>
          <w:tcPr>
            <w:tcW w:w="590" w:type="dxa"/>
            <w:vMerge w:val="continue"/>
            <w:noWrap/>
            <w:vAlign w:val="center"/>
          </w:tcPr>
          <w:p w14:paraId="3944B59D">
            <w:pPr>
              <w:widowControl/>
              <w:jc w:val="left"/>
              <w:rPr>
                <w:rFonts w:ascii="宋体" w:hAnsi="宋体" w:cs="宋体"/>
                <w:color w:val="000000" w:themeColor="text1"/>
                <w:spacing w:val="20"/>
                <w:sz w:val="24"/>
                <w:highlight w:val="none"/>
                <w14:textFill>
                  <w14:solidFill>
                    <w14:schemeClr w14:val="tx1"/>
                  </w14:solidFill>
                </w14:textFill>
              </w:rPr>
            </w:pPr>
          </w:p>
        </w:tc>
        <w:tc>
          <w:tcPr>
            <w:tcW w:w="7121" w:type="dxa"/>
            <w:gridSpan w:val="9"/>
            <w:noWrap/>
            <w:vAlign w:val="center"/>
          </w:tcPr>
          <w:p w14:paraId="0CBE696E">
            <w:pPr>
              <w:spacing w:line="360" w:lineRule="auto"/>
              <w:rPr>
                <w:rFonts w:ascii="宋体" w:hAnsi="宋体" w:cs="宋体"/>
                <w:color w:val="000000" w:themeColor="text1"/>
                <w:spacing w:val="20"/>
                <w:sz w:val="24"/>
                <w:highlight w:val="none"/>
                <w14:textFill>
                  <w14:solidFill>
                    <w14:schemeClr w14:val="tx1"/>
                  </w14:solidFill>
                </w14:textFill>
              </w:rPr>
            </w:pPr>
          </w:p>
        </w:tc>
      </w:tr>
      <w:tr w14:paraId="6FAE2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1" w:hRule="atLeast"/>
        </w:trPr>
        <w:tc>
          <w:tcPr>
            <w:tcW w:w="534" w:type="dxa"/>
            <w:vMerge w:val="continue"/>
            <w:noWrap/>
            <w:vAlign w:val="center"/>
          </w:tcPr>
          <w:p w14:paraId="784CB43B">
            <w:pPr>
              <w:widowControl/>
              <w:jc w:val="left"/>
              <w:rPr>
                <w:rFonts w:ascii="宋体" w:hAnsi="宋体" w:cs="宋体"/>
                <w:color w:val="000000" w:themeColor="text1"/>
                <w:spacing w:val="20"/>
                <w:sz w:val="24"/>
                <w:highlight w:val="none"/>
                <w14:textFill>
                  <w14:solidFill>
                    <w14:schemeClr w14:val="tx1"/>
                  </w14:solidFill>
                </w14:textFill>
              </w:rPr>
            </w:pPr>
          </w:p>
        </w:tc>
        <w:tc>
          <w:tcPr>
            <w:tcW w:w="590" w:type="dxa"/>
            <w:vMerge w:val="continue"/>
            <w:noWrap/>
            <w:vAlign w:val="center"/>
          </w:tcPr>
          <w:p w14:paraId="50A368B4">
            <w:pPr>
              <w:widowControl/>
              <w:jc w:val="left"/>
              <w:rPr>
                <w:rFonts w:ascii="宋体" w:hAnsi="宋体" w:cs="宋体"/>
                <w:color w:val="000000" w:themeColor="text1"/>
                <w:spacing w:val="20"/>
                <w:sz w:val="24"/>
                <w:highlight w:val="none"/>
                <w14:textFill>
                  <w14:solidFill>
                    <w14:schemeClr w14:val="tx1"/>
                  </w14:solidFill>
                </w14:textFill>
              </w:rPr>
            </w:pPr>
          </w:p>
        </w:tc>
        <w:tc>
          <w:tcPr>
            <w:tcW w:w="7121" w:type="dxa"/>
            <w:gridSpan w:val="9"/>
            <w:noWrap/>
            <w:vAlign w:val="center"/>
          </w:tcPr>
          <w:p w14:paraId="6CF5ACC2">
            <w:pPr>
              <w:spacing w:line="360" w:lineRule="auto"/>
              <w:rPr>
                <w:rFonts w:ascii="宋体" w:hAnsi="宋体" w:cs="宋体"/>
                <w:color w:val="000000" w:themeColor="text1"/>
                <w:spacing w:val="20"/>
                <w:sz w:val="24"/>
                <w:highlight w:val="none"/>
                <w14:textFill>
                  <w14:solidFill>
                    <w14:schemeClr w14:val="tx1"/>
                  </w14:solidFill>
                </w14:textFill>
              </w:rPr>
            </w:pPr>
          </w:p>
        </w:tc>
      </w:tr>
    </w:tbl>
    <w:p w14:paraId="09324530">
      <w:pPr>
        <w:spacing w:before="240" w:after="60"/>
        <w:jc w:val="both"/>
        <w:outlineLvl w:val="0"/>
        <w:rPr>
          <w:color w:val="000000" w:themeColor="text1"/>
          <w:highlight w:val="none"/>
          <w14:textFill>
            <w14:solidFill>
              <w14:schemeClr w14:val="tx1"/>
            </w14:solidFill>
          </w14:textFill>
        </w:rPr>
      </w:pPr>
    </w:p>
    <w:p w14:paraId="1FDE6E4A">
      <w:pPr>
        <w:spacing w:before="240" w:after="60"/>
        <w:jc w:val="center"/>
        <w:outlineLvl w:val="0"/>
        <w:rPr>
          <w:rFonts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第四章 招标书</w:t>
      </w:r>
    </w:p>
    <w:p w14:paraId="3083085C">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苏州惠德普源企业咨询有限公司受</w:t>
      </w:r>
      <w:r>
        <w:rPr>
          <w:rFonts w:hint="eastAsia" w:ascii="宋体" w:hAnsi="宋体" w:cs="宋体"/>
          <w:color w:val="000000" w:themeColor="text1"/>
          <w:sz w:val="24"/>
          <w:szCs w:val="24"/>
          <w:highlight w:val="none"/>
          <w:lang w:eastAsia="zh-CN"/>
          <w14:textFill>
            <w14:solidFill>
              <w14:schemeClr w14:val="tx1"/>
            </w14:solidFill>
          </w14:textFill>
        </w:rPr>
        <w:t>苏州市立医院</w:t>
      </w:r>
      <w:r>
        <w:rPr>
          <w:rFonts w:hint="eastAsia" w:ascii="宋体" w:hAnsi="宋体"/>
          <w:color w:val="000000" w:themeColor="text1"/>
          <w:sz w:val="24"/>
          <w:highlight w:val="none"/>
          <w14:textFill>
            <w14:solidFill>
              <w14:schemeClr w14:val="tx1"/>
            </w14:solidFill>
          </w14:textFill>
        </w:rPr>
        <w:t>的委托，就其</w:t>
      </w:r>
      <w:r>
        <w:rPr>
          <w:rFonts w:hint="eastAsia" w:ascii="宋体" w:hAnsi="宋体" w:cs="宋体"/>
          <w:color w:val="000000" w:themeColor="text1"/>
          <w:sz w:val="24"/>
          <w:szCs w:val="24"/>
          <w:highlight w:val="none"/>
          <w:lang w:eastAsia="zh-CN"/>
          <w14:textFill>
            <w14:solidFill>
              <w14:schemeClr w14:val="tx1"/>
            </w14:solidFill>
          </w14:textFill>
        </w:rPr>
        <w:t>太湖总院医用被服洗涤租赁服务</w:t>
      </w:r>
      <w:r>
        <w:rPr>
          <w:rFonts w:hint="eastAsia" w:ascii="宋体" w:hAnsi="宋体"/>
          <w:color w:val="000000" w:themeColor="text1"/>
          <w:sz w:val="24"/>
          <w:highlight w:val="none"/>
          <w14:textFill>
            <w14:solidFill>
              <w14:schemeClr w14:val="tx1"/>
            </w14:solidFill>
          </w14:textFill>
        </w:rPr>
        <w:t>的政府采购进行国内公开招标。欢迎有资格的投标人前来参加投标。本次招标具体情况如下：</w:t>
      </w:r>
    </w:p>
    <w:p w14:paraId="07CBC862">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一、招标编号：</w:t>
      </w:r>
      <w:r>
        <w:rPr>
          <w:rFonts w:hint="eastAsia" w:ascii="宋体" w:hAnsi="宋体" w:cs="宋体"/>
          <w:color w:val="000000" w:themeColor="text1"/>
          <w:sz w:val="24"/>
          <w:szCs w:val="24"/>
          <w:highlight w:val="none"/>
          <w:lang w:eastAsia="zh-CN"/>
          <w14:textFill>
            <w14:solidFill>
              <w14:schemeClr w14:val="tx1"/>
            </w14:solidFill>
          </w14:textFill>
        </w:rPr>
        <w:t>JSZC-320500-HDPY-G2026-0002</w:t>
      </w:r>
    </w:p>
    <w:p w14:paraId="56A962A7">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二、招标内容：</w:t>
      </w:r>
      <w:r>
        <w:rPr>
          <w:rFonts w:hint="eastAsia" w:ascii="宋体" w:hAnsi="宋体" w:cs="宋体"/>
          <w:color w:val="000000" w:themeColor="text1"/>
          <w:sz w:val="24"/>
          <w:szCs w:val="24"/>
          <w:highlight w:val="none"/>
          <w:lang w:eastAsia="zh-CN"/>
          <w14:textFill>
            <w14:solidFill>
              <w14:schemeClr w14:val="tx1"/>
            </w14:solidFill>
          </w14:textFill>
        </w:rPr>
        <w:t>太湖总院医用被服洗涤租赁服务</w:t>
      </w:r>
    </w:p>
    <w:p w14:paraId="33D6381E">
      <w:pPr>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三、预算金额：</w:t>
      </w:r>
      <w:r>
        <w:rPr>
          <w:rFonts w:hint="eastAsia" w:ascii="宋体" w:hAnsi="宋体" w:cs="宋体"/>
          <w:color w:val="000000" w:themeColor="text1"/>
          <w:sz w:val="24"/>
          <w:szCs w:val="24"/>
          <w:highlight w:val="none"/>
          <w:lang w:eastAsia="zh-CN"/>
          <w14:textFill>
            <w14:solidFill>
              <w14:schemeClr w14:val="tx1"/>
            </w14:solidFill>
          </w14:textFill>
        </w:rPr>
        <w:t>玖拾万元整（￥900000.00）</w:t>
      </w:r>
    </w:p>
    <w:p w14:paraId="40BF83AB">
      <w:pPr>
        <w:keepNext w:val="0"/>
        <w:keepLines w:val="0"/>
        <w:pageBreakBefore w:val="0"/>
        <w:widowControl w:val="0"/>
        <w:spacing w:line="360" w:lineRule="auto"/>
        <w:ind w:firstLine="480"/>
        <w:jc w:val="left"/>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最高限价：</w:t>
      </w:r>
      <w:r>
        <w:rPr>
          <w:rFonts w:hint="eastAsia" w:ascii="宋体" w:hAnsi="宋体" w:cs="宋体"/>
          <w:color w:val="000000" w:themeColor="text1"/>
          <w:sz w:val="24"/>
          <w:szCs w:val="24"/>
          <w:highlight w:val="none"/>
          <w:lang w:val="en-US" w:eastAsia="zh-CN"/>
          <w14:textFill>
            <w14:solidFill>
              <w14:schemeClr w14:val="tx1"/>
            </w14:solidFill>
          </w14:textFill>
        </w:rPr>
        <w:t>伍</w:t>
      </w:r>
      <w:r>
        <w:rPr>
          <w:rFonts w:hint="eastAsia" w:ascii="宋体" w:hAnsi="宋体" w:cs="宋体"/>
          <w:color w:val="000000" w:themeColor="text1"/>
          <w:sz w:val="24"/>
          <w:szCs w:val="24"/>
          <w:highlight w:val="none"/>
          <w:lang w:eastAsia="zh-CN"/>
          <w14:textFill>
            <w14:solidFill>
              <w14:schemeClr w14:val="tx1"/>
            </w14:solidFill>
          </w14:textFill>
        </w:rPr>
        <w:t>拾</w:t>
      </w:r>
      <w:r>
        <w:rPr>
          <w:rFonts w:hint="eastAsia" w:ascii="宋体" w:hAnsi="宋体" w:cs="宋体"/>
          <w:color w:val="000000" w:themeColor="text1"/>
          <w:sz w:val="24"/>
          <w:szCs w:val="24"/>
          <w:highlight w:val="none"/>
          <w:lang w:val="en-US" w:eastAsia="zh-CN"/>
          <w14:textFill>
            <w14:solidFill>
              <w14:schemeClr w14:val="tx1"/>
            </w14:solidFill>
          </w14:textFill>
        </w:rPr>
        <w:t>捌</w:t>
      </w:r>
      <w:r>
        <w:rPr>
          <w:rFonts w:hint="eastAsia" w:ascii="宋体" w:hAnsi="宋体" w:cs="宋体"/>
          <w:color w:val="000000" w:themeColor="text1"/>
          <w:sz w:val="24"/>
          <w:szCs w:val="24"/>
          <w:highlight w:val="none"/>
          <w:lang w:eastAsia="zh-CN"/>
          <w14:textFill>
            <w14:solidFill>
              <w14:schemeClr w14:val="tx1"/>
            </w14:solidFill>
          </w14:textFill>
        </w:rPr>
        <w:t>万</w:t>
      </w:r>
      <w:r>
        <w:rPr>
          <w:rFonts w:hint="eastAsia" w:ascii="宋体" w:hAnsi="宋体" w:cs="宋体"/>
          <w:color w:val="000000" w:themeColor="text1"/>
          <w:sz w:val="24"/>
          <w:szCs w:val="24"/>
          <w:highlight w:val="none"/>
          <w:lang w:val="en-US" w:eastAsia="zh-CN"/>
          <w14:textFill>
            <w14:solidFill>
              <w14:schemeClr w14:val="tx1"/>
            </w14:solidFill>
          </w14:textFill>
        </w:rPr>
        <w:t>玖仟玖佰</w:t>
      </w:r>
      <w:r>
        <w:rPr>
          <w:rFonts w:hint="eastAsia" w:ascii="宋体" w:hAnsi="宋体" w:cs="宋体"/>
          <w:color w:val="000000" w:themeColor="text1"/>
          <w:sz w:val="24"/>
          <w:szCs w:val="24"/>
          <w:highlight w:val="none"/>
          <w:lang w:eastAsia="zh-CN"/>
          <w14:textFill>
            <w14:solidFill>
              <w14:schemeClr w14:val="tx1"/>
            </w14:solidFill>
          </w14:textFill>
        </w:rPr>
        <w:t>元整（￥</w:t>
      </w:r>
      <w:r>
        <w:rPr>
          <w:rFonts w:hint="eastAsia" w:ascii="宋体" w:hAnsi="宋体" w:cs="宋体"/>
          <w:color w:val="000000" w:themeColor="text1"/>
          <w:sz w:val="24"/>
          <w:szCs w:val="24"/>
          <w:highlight w:val="none"/>
          <w:lang w:val="en-US" w:eastAsia="zh-CN"/>
          <w14:textFill>
            <w14:solidFill>
              <w14:schemeClr w14:val="tx1"/>
            </w14:solidFill>
          </w14:textFill>
        </w:rPr>
        <w:t>589900</w:t>
      </w:r>
      <w:r>
        <w:rPr>
          <w:rFonts w:hint="eastAsia" w:ascii="宋体" w:hAnsi="宋体" w:cs="宋体"/>
          <w:color w:val="000000" w:themeColor="text1"/>
          <w:sz w:val="24"/>
          <w:szCs w:val="24"/>
          <w:highlight w:val="none"/>
          <w:lang w:eastAsia="zh-CN"/>
          <w14:textFill>
            <w14:solidFill>
              <w14:schemeClr w14:val="tx1"/>
            </w14:solidFill>
          </w14:textFill>
        </w:rPr>
        <w:t>.00）</w:t>
      </w:r>
    </w:p>
    <w:p w14:paraId="71A303A6">
      <w:pPr>
        <w:pStyle w:val="244"/>
        <w:numPr>
          <w:ilvl w:val="0"/>
          <w:numId w:val="0"/>
        </w:numPr>
        <w:spacing w:after="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cs="宋体"/>
          <w:color w:val="000000" w:themeColor="text1"/>
          <w:sz w:val="24"/>
          <w:szCs w:val="24"/>
          <w:highlight w:val="none"/>
          <w14:textFill>
            <w14:solidFill>
              <w14:schemeClr w14:val="tx1"/>
            </w14:solidFill>
          </w14:textFill>
        </w:rPr>
        <w:t>采购内容及要求：</w:t>
      </w:r>
    </w:p>
    <w:p w14:paraId="1AE20311">
      <w:pPr>
        <w:numPr>
          <w:ilvl w:val="0"/>
          <w:numId w:val="0"/>
        </w:numPr>
        <w:spacing w:line="360" w:lineRule="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项目</w:t>
      </w:r>
      <w:r>
        <w:rPr>
          <w:rFonts w:hint="eastAsia" w:ascii="宋体" w:hAnsi="宋体" w:cs="宋体"/>
          <w:bCs/>
          <w:color w:val="000000" w:themeColor="text1"/>
          <w:sz w:val="24"/>
          <w:szCs w:val="24"/>
          <w:highlight w:val="none"/>
          <w:lang w:val="en-US" w:eastAsia="zh-CN"/>
          <w14:textFill>
            <w14:solidFill>
              <w14:schemeClr w14:val="tx1"/>
            </w14:solidFill>
          </w14:textFill>
        </w:rPr>
        <w:t>概述</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针对苏州市立医院</w:t>
      </w:r>
      <w:r>
        <w:rPr>
          <w:rFonts w:hint="eastAsia" w:ascii="宋体" w:hAnsi="宋体" w:cs="宋体"/>
          <w:color w:val="000000" w:themeColor="text1"/>
          <w:sz w:val="24"/>
          <w:szCs w:val="24"/>
          <w:highlight w:val="none"/>
          <w:lang w:val="en-US" w:eastAsia="zh-CN"/>
          <w14:textFill>
            <w14:solidFill>
              <w14:schemeClr w14:val="tx1"/>
            </w14:solidFill>
          </w14:textFill>
        </w:rPr>
        <w:t>太湖总院</w:t>
      </w:r>
      <w:r>
        <w:rPr>
          <w:rFonts w:hint="eastAsia" w:ascii="宋体" w:hAnsi="宋体"/>
          <w:bCs/>
          <w:color w:val="000000" w:themeColor="text1"/>
          <w:sz w:val="24"/>
          <w:highlight w:val="none"/>
          <w14:textFill>
            <w14:solidFill>
              <w14:schemeClr w14:val="tx1"/>
            </w14:solidFill>
          </w14:textFill>
        </w:rPr>
        <w:t>所有医用被服物品含感染性织物的洗涤、折叠和熨烫</w:t>
      </w:r>
      <w:r>
        <w:rPr>
          <w:rFonts w:hint="eastAsia" w:ascii="宋体" w:hAnsi="宋体"/>
          <w:bCs/>
          <w:color w:val="000000" w:themeColor="text1"/>
          <w:sz w:val="24"/>
          <w:highlight w:val="none"/>
          <w:lang w:val="en-US" w:eastAsia="zh-CN"/>
          <w14:textFill>
            <w14:solidFill>
              <w14:schemeClr w14:val="tx1"/>
            </w14:solidFill>
          </w14:textFill>
        </w:rPr>
        <w:t>及部分租赁</w:t>
      </w:r>
      <w:r>
        <w:rPr>
          <w:rFonts w:hint="eastAsia" w:ascii="宋体" w:hAnsi="宋体" w:cs="宋体"/>
          <w:color w:val="000000" w:themeColor="text1"/>
          <w:sz w:val="24"/>
          <w:highlight w:val="none"/>
          <w14:textFill>
            <w14:solidFill>
              <w14:schemeClr w14:val="tx1"/>
            </w14:solidFill>
          </w14:textFill>
        </w:rPr>
        <w:t>，每天按时集中收集和配送至医院固定接收点</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p>
    <w:p w14:paraId="394EA025">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二）</w:t>
      </w:r>
      <w:r>
        <w:rPr>
          <w:rFonts w:hint="eastAsia" w:ascii="宋体" w:hAnsi="宋体"/>
          <w:bCs/>
          <w:color w:val="000000" w:themeColor="text1"/>
          <w:sz w:val="24"/>
          <w:highlight w:val="none"/>
          <w14:textFill>
            <w14:solidFill>
              <w14:schemeClr w14:val="tx1"/>
            </w14:solidFill>
          </w14:textFill>
        </w:rPr>
        <w:t>服务</w:t>
      </w:r>
      <w:r>
        <w:rPr>
          <w:rFonts w:hint="eastAsia" w:ascii="宋体" w:hAnsi="宋体"/>
          <w:bCs/>
          <w:color w:val="000000" w:themeColor="text1"/>
          <w:sz w:val="24"/>
          <w:highlight w:val="none"/>
          <w:lang w:val="en-US" w:eastAsia="zh-CN"/>
          <w14:textFill>
            <w14:solidFill>
              <w14:schemeClr w14:val="tx1"/>
            </w14:solidFill>
          </w14:textFill>
        </w:rPr>
        <w:t>内容</w:t>
      </w:r>
      <w:r>
        <w:rPr>
          <w:rFonts w:hint="eastAsia" w:ascii="宋体" w:hAnsi="宋体"/>
          <w:bCs/>
          <w:color w:val="000000" w:themeColor="text1"/>
          <w:sz w:val="24"/>
          <w:highlight w:val="none"/>
          <w14:textFill>
            <w14:solidFill>
              <w14:schemeClr w14:val="tx1"/>
            </w14:solidFill>
          </w14:textFill>
        </w:rPr>
        <w:t>：</w:t>
      </w:r>
    </w:p>
    <w:p w14:paraId="499DA82B">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根据医院时间要求，将洗净物品送至医院被服收发室，双方清点数量并签字确认，送洗物品交接同样按上述程序进行清点。</w:t>
      </w:r>
    </w:p>
    <w:p w14:paraId="7E532537">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bCs/>
          <w:color w:val="000000" w:themeColor="text1"/>
          <w:sz w:val="24"/>
          <w:highlight w:val="none"/>
          <w14:textFill>
            <w14:solidFill>
              <w14:schemeClr w14:val="tx1"/>
            </w14:solidFill>
          </w14:textFill>
        </w:rPr>
        <w:t>运输工具：医院内至各病区收集被服的运输工具（不锈钢车辆），由</w:t>
      </w:r>
      <w:r>
        <w:rPr>
          <w:rFonts w:hint="eastAsia" w:ascii="宋体" w:hAnsi="宋体"/>
          <w:bCs/>
          <w:color w:val="000000" w:themeColor="text1"/>
          <w:sz w:val="24"/>
          <w:highlight w:val="none"/>
          <w:lang w:eastAsia="zh-CN"/>
          <w14:textFill>
            <w14:solidFill>
              <w14:schemeClr w14:val="tx1"/>
            </w14:solidFill>
          </w14:textFill>
        </w:rPr>
        <w:t>投标单位</w:t>
      </w:r>
      <w:r>
        <w:rPr>
          <w:rFonts w:hint="eastAsia" w:ascii="宋体" w:hAnsi="宋体"/>
          <w:bCs/>
          <w:color w:val="000000" w:themeColor="text1"/>
          <w:sz w:val="24"/>
          <w:highlight w:val="none"/>
          <w14:textFill>
            <w14:solidFill>
              <w14:schemeClr w14:val="tx1"/>
            </w14:solidFill>
          </w14:textFill>
        </w:rPr>
        <w:t>免费提供给医院并自行维护。</w:t>
      </w:r>
    </w:p>
    <w:p w14:paraId="7CB74006">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污物收集：车辆到达医院后停放至指定位置，与收发班工作人员对接后，在指定地点清点物品（纺织品进行分类清点）；如双方有争议，应进行多次清点至数目准确。及时清理被服中无关洗涤物品（如：圆珠笔，手表、钱包、工作证等），如未发现上述物品导致的衣物洗涤破损变色等，</w:t>
      </w:r>
      <w:r>
        <w:rPr>
          <w:rFonts w:hint="eastAsia" w:ascii="宋体" w:hAnsi="宋体"/>
          <w:bCs/>
          <w:color w:val="000000" w:themeColor="text1"/>
          <w:sz w:val="24"/>
          <w:highlight w:val="none"/>
          <w:lang w:eastAsia="zh-CN"/>
          <w14:textFill>
            <w14:solidFill>
              <w14:schemeClr w14:val="tx1"/>
            </w14:solidFill>
          </w14:textFill>
        </w:rPr>
        <w:t>投标单位</w:t>
      </w:r>
      <w:r>
        <w:rPr>
          <w:rFonts w:hint="eastAsia" w:ascii="宋体" w:hAnsi="宋体"/>
          <w:bCs/>
          <w:color w:val="000000" w:themeColor="text1"/>
          <w:sz w:val="24"/>
          <w:highlight w:val="none"/>
          <w14:textFill>
            <w14:solidFill>
              <w14:schemeClr w14:val="tx1"/>
            </w14:solidFill>
          </w14:textFill>
        </w:rPr>
        <w:t>需全额赔偿。</w:t>
      </w:r>
    </w:p>
    <w:p w14:paraId="14C64A28">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洗涤后衣物由驻场服务人员运输至各病区、各部门，每次详细记下医院对洗涤工作的意见和建议，定期通报；对解决过程进行跟踪，直到问题解决。</w:t>
      </w:r>
      <w:r>
        <w:rPr>
          <w:rFonts w:hint="eastAsia" w:ascii="宋体" w:hAnsi="宋体"/>
          <w:bCs/>
          <w:color w:val="000000" w:themeColor="text1"/>
          <w:sz w:val="24"/>
          <w:highlight w:val="none"/>
          <w:lang w:eastAsia="zh-CN"/>
          <w14:textFill>
            <w14:solidFill>
              <w14:schemeClr w14:val="tx1"/>
            </w14:solidFill>
          </w14:textFill>
        </w:rPr>
        <w:t>投标单位</w:t>
      </w:r>
      <w:r>
        <w:rPr>
          <w:rFonts w:hint="eastAsia" w:ascii="宋体" w:hAnsi="宋体"/>
          <w:bCs/>
          <w:color w:val="000000" w:themeColor="text1"/>
          <w:sz w:val="24"/>
          <w:highlight w:val="none"/>
          <w14:textFill>
            <w14:solidFill>
              <w14:schemeClr w14:val="tx1"/>
            </w14:solidFill>
          </w14:textFill>
        </w:rPr>
        <w:t>需按时做好工作月报表，按时上交采购单位总务处，汇总当月洗涤及服务质量情况，接受采购单位考核。</w:t>
      </w:r>
    </w:p>
    <w:p w14:paraId="6A0D1EB6">
      <w:pPr>
        <w:widowControl/>
        <w:spacing w:line="360" w:lineRule="auto"/>
        <w:outlineLvl w:val="0"/>
        <w:rPr>
          <w:rFonts w:hint="default" w:ascii="宋体" w:hAnsi="宋体"/>
          <w:bCs/>
          <w:color w:val="000000" w:themeColor="text1"/>
          <w:sz w:val="24"/>
          <w:highlight w:val="none"/>
          <w:lang w:val="en-US" w:eastAsia="zh-CN"/>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三）服务要求：</w:t>
      </w:r>
    </w:p>
    <w:p w14:paraId="353EA345">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洗涤要求：为避免交叉感染，承担疾控的社会责任，</w:t>
      </w:r>
      <w:r>
        <w:rPr>
          <w:rFonts w:hint="eastAsia" w:ascii="宋体" w:hAnsi="宋体"/>
          <w:bCs/>
          <w:color w:val="000000" w:themeColor="text1"/>
          <w:sz w:val="24"/>
          <w:highlight w:val="none"/>
          <w:lang w:eastAsia="zh-CN"/>
          <w14:textFill>
            <w14:solidFill>
              <w14:schemeClr w14:val="tx1"/>
            </w14:solidFill>
          </w14:textFill>
        </w:rPr>
        <w:t>投标单位</w:t>
      </w:r>
      <w:r>
        <w:rPr>
          <w:rFonts w:hint="eastAsia" w:ascii="宋体" w:hAnsi="宋体"/>
          <w:bCs/>
          <w:color w:val="000000" w:themeColor="text1"/>
          <w:sz w:val="24"/>
          <w:highlight w:val="none"/>
          <w14:textFill>
            <w14:solidFill>
              <w14:schemeClr w14:val="tx1"/>
            </w14:solidFill>
          </w14:textFill>
        </w:rPr>
        <w:t>必须严格执行国家最新颁布的《医用织物洗涤消毒技术规范》（WS/T508）有关规定要求。根据医用被服物品的特点，明确工艺标准，科学安排洗涤工序，</w:t>
      </w:r>
      <w:r>
        <w:rPr>
          <w:rFonts w:hint="eastAsia" w:ascii="宋体" w:hAnsi="宋体"/>
          <w:bCs/>
          <w:color w:val="000000" w:themeColor="text1"/>
          <w:sz w:val="24"/>
          <w:highlight w:val="none"/>
          <w:lang w:val="en-US" w:eastAsia="zh-CN"/>
          <w14:textFill>
            <w14:solidFill>
              <w14:schemeClr w14:val="tx1"/>
            </w14:solidFill>
          </w14:textFill>
        </w:rPr>
        <w:t>确</w:t>
      </w:r>
      <w:r>
        <w:rPr>
          <w:rFonts w:hint="eastAsia" w:ascii="宋体" w:hAnsi="宋体"/>
          <w:bCs/>
          <w:color w:val="000000" w:themeColor="text1"/>
          <w:sz w:val="24"/>
          <w:highlight w:val="none"/>
          <w14:textFill>
            <w14:solidFill>
              <w14:schemeClr w14:val="tx1"/>
            </w14:solidFill>
          </w14:textFill>
        </w:rPr>
        <w:t>保洗涤质量；具体措施如下：</w:t>
      </w:r>
    </w:p>
    <w:p w14:paraId="2357C8AA">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1.1</w:t>
      </w:r>
      <w:r>
        <w:rPr>
          <w:rFonts w:hint="eastAsia" w:ascii="宋体" w:hAnsi="宋体"/>
          <w:bCs/>
          <w:color w:val="000000" w:themeColor="text1"/>
          <w:sz w:val="24"/>
          <w:highlight w:val="none"/>
          <w14:textFill>
            <w14:solidFill>
              <w14:schemeClr w14:val="tx1"/>
            </w14:solidFill>
          </w14:textFill>
        </w:rPr>
        <w:t>工作服洗涤及消毒；</w:t>
      </w:r>
    </w:p>
    <w:p w14:paraId="08DB1DC0">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1.2</w:t>
      </w:r>
      <w:r>
        <w:rPr>
          <w:rFonts w:hint="eastAsia" w:ascii="宋体" w:hAnsi="宋体"/>
          <w:bCs/>
          <w:color w:val="000000" w:themeColor="text1"/>
          <w:sz w:val="24"/>
          <w:highlight w:val="none"/>
          <w14:textFill>
            <w14:solidFill>
              <w14:schemeClr w14:val="tx1"/>
            </w14:solidFill>
          </w14:textFill>
        </w:rPr>
        <w:t>手术室医用织物需专机单独洗涤及消毒；</w:t>
      </w:r>
    </w:p>
    <w:p w14:paraId="0557AC8F">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1.3</w:t>
      </w:r>
      <w:r>
        <w:rPr>
          <w:rFonts w:hint="eastAsia" w:ascii="宋体" w:hAnsi="宋体"/>
          <w:bCs/>
          <w:color w:val="000000" w:themeColor="text1"/>
          <w:sz w:val="24"/>
          <w:highlight w:val="none"/>
          <w14:textFill>
            <w14:solidFill>
              <w14:schemeClr w14:val="tx1"/>
            </w14:solidFill>
          </w14:textFill>
        </w:rPr>
        <w:t>新生儿婴儿医用织物需专机洗涤及消毒；</w:t>
      </w:r>
    </w:p>
    <w:p w14:paraId="00791476">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1.4</w:t>
      </w:r>
      <w:r>
        <w:rPr>
          <w:rFonts w:hint="eastAsia" w:ascii="宋体" w:hAnsi="宋体"/>
          <w:bCs/>
          <w:color w:val="000000" w:themeColor="text1"/>
          <w:sz w:val="24"/>
          <w:highlight w:val="none"/>
          <w14:textFill>
            <w14:solidFill>
              <w14:schemeClr w14:val="tx1"/>
            </w14:solidFill>
          </w14:textFill>
        </w:rPr>
        <w:t>感染性织物按《医用织物洗涤消毒技术规范》要求先消毒再专机洗涤消毒。</w:t>
      </w:r>
    </w:p>
    <w:p w14:paraId="25C44869">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bCs/>
          <w:color w:val="000000" w:themeColor="text1"/>
          <w:sz w:val="24"/>
          <w:highlight w:val="none"/>
          <w14:textFill>
            <w14:solidFill>
              <w14:schemeClr w14:val="tx1"/>
            </w14:solidFill>
          </w14:textFill>
        </w:rPr>
        <w:t>严格按照省感染管理的有关规定，规范操作流程、分类洗涤、统一消毒，并</w:t>
      </w:r>
      <w:r>
        <w:rPr>
          <w:rFonts w:hint="eastAsia" w:ascii="宋体" w:hAnsi="宋体"/>
          <w:bCs/>
          <w:color w:val="000000" w:themeColor="text1"/>
          <w:sz w:val="24"/>
          <w:highlight w:val="none"/>
          <w:lang w:val="en-US" w:eastAsia="zh-CN"/>
          <w14:textFill>
            <w14:solidFill>
              <w14:schemeClr w14:val="tx1"/>
            </w14:solidFill>
          </w14:textFill>
        </w:rPr>
        <w:t>确</w:t>
      </w:r>
      <w:r>
        <w:rPr>
          <w:rFonts w:hint="eastAsia" w:ascii="宋体" w:hAnsi="宋体"/>
          <w:bCs/>
          <w:color w:val="000000" w:themeColor="text1"/>
          <w:sz w:val="24"/>
          <w:highlight w:val="none"/>
          <w14:textFill>
            <w14:solidFill>
              <w14:schemeClr w14:val="tx1"/>
            </w14:solidFill>
          </w14:textFill>
        </w:rPr>
        <w:t>保质量；采购单位如有传染性洗涤物，必须先浸泡或臭氧熏蒸消毒并密封包装后交给</w:t>
      </w:r>
      <w:r>
        <w:rPr>
          <w:rFonts w:hint="eastAsia" w:ascii="宋体" w:hAnsi="宋体"/>
          <w:bCs/>
          <w:color w:val="000000" w:themeColor="text1"/>
          <w:sz w:val="24"/>
          <w:highlight w:val="none"/>
          <w:lang w:eastAsia="zh-CN"/>
          <w14:textFill>
            <w14:solidFill>
              <w14:schemeClr w14:val="tx1"/>
            </w14:solidFill>
          </w14:textFill>
        </w:rPr>
        <w:t>投标单位</w:t>
      </w:r>
      <w:r>
        <w:rPr>
          <w:rFonts w:hint="eastAsia" w:ascii="宋体" w:hAnsi="宋体"/>
          <w:bCs/>
          <w:color w:val="000000" w:themeColor="text1"/>
          <w:sz w:val="24"/>
          <w:highlight w:val="none"/>
          <w14:textFill>
            <w14:solidFill>
              <w14:schemeClr w14:val="tx1"/>
            </w14:solidFill>
          </w14:textFill>
        </w:rPr>
        <w:t>洗涤；</w:t>
      </w:r>
      <w:r>
        <w:rPr>
          <w:rFonts w:hint="eastAsia" w:ascii="宋体" w:hAnsi="宋体"/>
          <w:bCs/>
          <w:color w:val="000000" w:themeColor="text1"/>
          <w:sz w:val="24"/>
          <w:highlight w:val="none"/>
          <w:lang w:eastAsia="zh-CN"/>
          <w14:textFill>
            <w14:solidFill>
              <w14:schemeClr w14:val="tx1"/>
            </w14:solidFill>
          </w14:textFill>
        </w:rPr>
        <w:t>投标单位</w:t>
      </w:r>
      <w:r>
        <w:rPr>
          <w:rFonts w:hint="eastAsia" w:ascii="宋体" w:hAnsi="宋体"/>
          <w:bCs/>
          <w:color w:val="000000" w:themeColor="text1"/>
          <w:sz w:val="24"/>
          <w:highlight w:val="none"/>
          <w14:textFill>
            <w14:solidFill>
              <w14:schemeClr w14:val="tx1"/>
            </w14:solidFill>
          </w14:textFill>
        </w:rPr>
        <w:t>必须按照先消毒后洗涤原则进行洗涤。</w:t>
      </w:r>
    </w:p>
    <w:p w14:paraId="18B608CC">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洗涤物品需随时接受卫生防疫部门检测，定期报告采购单位，采购单位有权对</w:t>
      </w:r>
      <w:r>
        <w:rPr>
          <w:rFonts w:hint="eastAsia" w:ascii="宋体" w:hAnsi="宋体"/>
          <w:bCs/>
          <w:color w:val="000000" w:themeColor="text1"/>
          <w:sz w:val="24"/>
          <w:highlight w:val="none"/>
          <w:lang w:eastAsia="zh-CN"/>
          <w14:textFill>
            <w14:solidFill>
              <w14:schemeClr w14:val="tx1"/>
            </w14:solidFill>
          </w14:textFill>
        </w:rPr>
        <w:t>投标单位</w:t>
      </w:r>
      <w:r>
        <w:rPr>
          <w:rFonts w:hint="eastAsia" w:ascii="宋体" w:hAnsi="宋体"/>
          <w:bCs/>
          <w:color w:val="000000" w:themeColor="text1"/>
          <w:sz w:val="24"/>
          <w:highlight w:val="none"/>
          <w14:textFill>
            <w14:solidFill>
              <w14:schemeClr w14:val="tx1"/>
            </w14:solidFill>
          </w14:textFill>
        </w:rPr>
        <w:t>所洗被服物品和洗涤场所进行抽查和检验，并根据实际结果给予奖惩，确保洗涤质量。出现特殊感染物品根据相关规定进行单独处理。为防止交叉感染，确保病人安全，对于烈性传染病人的医用被服物品和其他卫生部门要求的特殊医用被服物品，医院将按医疗废物处置；同时医院配合</w:t>
      </w:r>
      <w:r>
        <w:rPr>
          <w:rFonts w:hint="eastAsia" w:ascii="宋体" w:hAnsi="宋体"/>
          <w:bCs/>
          <w:color w:val="000000" w:themeColor="text1"/>
          <w:sz w:val="24"/>
          <w:highlight w:val="none"/>
          <w:lang w:eastAsia="zh-CN"/>
          <w14:textFill>
            <w14:solidFill>
              <w14:schemeClr w14:val="tx1"/>
            </w14:solidFill>
          </w14:textFill>
        </w:rPr>
        <w:t>投标单位</w:t>
      </w:r>
      <w:r>
        <w:rPr>
          <w:rFonts w:hint="eastAsia" w:ascii="宋体" w:hAnsi="宋体"/>
          <w:bCs/>
          <w:color w:val="000000" w:themeColor="text1"/>
          <w:sz w:val="24"/>
          <w:highlight w:val="none"/>
          <w14:textFill>
            <w14:solidFill>
              <w14:schemeClr w14:val="tx1"/>
            </w14:solidFill>
          </w14:textFill>
        </w:rPr>
        <w:t>，根据洗涤管理污物分色的要求，将不同用途的物品，分类包装，从源头分检，防止交叉感染。</w:t>
      </w:r>
    </w:p>
    <w:p w14:paraId="1A813AA9">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缝补要求：洗涤衣物在交接前应保证缝补到位，在收货中发现未缝补的衣物将处罚。洗涤衣物中出现小洞，脱线，掉纽扣等由</w:t>
      </w:r>
      <w:r>
        <w:rPr>
          <w:rFonts w:hint="eastAsia" w:ascii="宋体" w:hAnsi="宋体"/>
          <w:bCs/>
          <w:color w:val="000000" w:themeColor="text1"/>
          <w:sz w:val="24"/>
          <w:highlight w:val="none"/>
          <w:lang w:eastAsia="zh-CN"/>
          <w14:textFill>
            <w14:solidFill>
              <w14:schemeClr w14:val="tx1"/>
            </w14:solidFill>
          </w14:textFill>
        </w:rPr>
        <w:t>投标单位</w:t>
      </w:r>
      <w:r>
        <w:rPr>
          <w:rFonts w:hint="eastAsia" w:ascii="宋体" w:hAnsi="宋体"/>
          <w:bCs/>
          <w:color w:val="000000" w:themeColor="text1"/>
          <w:sz w:val="24"/>
          <w:highlight w:val="none"/>
          <w14:textFill>
            <w14:solidFill>
              <w14:schemeClr w14:val="tx1"/>
            </w14:solidFill>
          </w14:textFill>
        </w:rPr>
        <w:t>负责缝补后24小时内送往医院，未达标采购单位将作相应处罚；棉质类包布如有破损不得缝补后使用。</w:t>
      </w:r>
    </w:p>
    <w:p w14:paraId="436AE6F3">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5、</w:t>
      </w:r>
      <w:r>
        <w:rPr>
          <w:rFonts w:hint="eastAsia" w:ascii="宋体" w:hAnsi="宋体"/>
          <w:bCs/>
          <w:color w:val="000000" w:themeColor="text1"/>
          <w:sz w:val="24"/>
          <w:highlight w:val="none"/>
          <w14:textFill>
            <w14:solidFill>
              <w14:schemeClr w14:val="tx1"/>
            </w14:solidFill>
          </w14:textFill>
        </w:rPr>
        <w:t>不及时送达、遗失与破损处罚：如洗涤物品不及时送达，严重影响医院医疗业务正常运行的，第一次警告，第二次书面函告，第三次直接终止合同并给予处罚；遗失物品及工作服等特殊物品按原值的100%赔偿。</w:t>
      </w:r>
    </w:p>
    <w:p w14:paraId="17DB620A">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6</w:t>
      </w:r>
      <w:r>
        <w:rPr>
          <w:rFonts w:hint="eastAsia" w:ascii="宋体" w:hAnsi="宋体"/>
          <w:bCs/>
          <w:color w:val="000000" w:themeColor="text1"/>
          <w:sz w:val="24"/>
          <w:highlight w:val="none"/>
          <w14:textFill>
            <w14:solidFill>
              <w14:schemeClr w14:val="tx1"/>
            </w14:solidFill>
          </w14:textFill>
        </w:rPr>
        <w:t>、对各类洗涤物品必须折叠整齐、平整、无污渍；对有熨烫要求的物品必须熨烫到位；对破损物品（缺钮扣、少带子、脱线缝、撕裂……）必须缝补完好后方能发出。</w:t>
      </w:r>
    </w:p>
    <w:p w14:paraId="53A09469">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7</w:t>
      </w:r>
      <w:r>
        <w:rPr>
          <w:rFonts w:hint="eastAsia" w:ascii="宋体" w:hAnsi="宋体"/>
          <w:bCs/>
          <w:color w:val="000000" w:themeColor="text1"/>
          <w:sz w:val="24"/>
          <w:highlight w:val="none"/>
          <w14:textFill>
            <w14:solidFill>
              <w14:schemeClr w14:val="tx1"/>
            </w14:solidFill>
          </w14:textFill>
        </w:rPr>
        <w:t>、对由洗涤不当引起的严重褪色、老化等必须作出说明，并予以赔偿；由于</w:t>
      </w:r>
      <w:r>
        <w:rPr>
          <w:rFonts w:hint="eastAsia" w:ascii="宋体" w:hAnsi="宋体"/>
          <w:bCs/>
          <w:color w:val="000000" w:themeColor="text1"/>
          <w:sz w:val="24"/>
          <w:highlight w:val="none"/>
          <w:lang w:eastAsia="zh-CN"/>
          <w14:textFill>
            <w14:solidFill>
              <w14:schemeClr w14:val="tx1"/>
            </w14:solidFill>
          </w14:textFill>
        </w:rPr>
        <w:t>投标单位</w:t>
      </w:r>
      <w:r>
        <w:rPr>
          <w:rFonts w:hint="eastAsia" w:ascii="宋体" w:hAnsi="宋体"/>
          <w:bCs/>
          <w:color w:val="000000" w:themeColor="text1"/>
          <w:sz w:val="24"/>
          <w:highlight w:val="none"/>
          <w14:textFill>
            <w14:solidFill>
              <w14:schemeClr w14:val="tx1"/>
            </w14:solidFill>
          </w14:textFill>
        </w:rPr>
        <w:t>原因导致丢失的</w:t>
      </w:r>
      <w:r>
        <w:rPr>
          <w:rFonts w:hint="eastAsia" w:ascii="宋体" w:hAnsi="宋体"/>
          <w:bCs/>
          <w:color w:val="000000" w:themeColor="text1"/>
          <w:sz w:val="24"/>
          <w:highlight w:val="none"/>
          <w:lang w:val="zh-CN"/>
          <w14:textFill>
            <w14:solidFill>
              <w14:schemeClr w14:val="tx1"/>
            </w14:solidFill>
          </w14:textFill>
        </w:rPr>
        <w:t>采购单位</w:t>
      </w:r>
      <w:r>
        <w:rPr>
          <w:rFonts w:hint="eastAsia" w:ascii="宋体" w:hAnsi="宋体"/>
          <w:bCs/>
          <w:color w:val="000000" w:themeColor="text1"/>
          <w:sz w:val="24"/>
          <w:highlight w:val="none"/>
          <w14:textFill>
            <w14:solidFill>
              <w14:schemeClr w14:val="tx1"/>
            </w14:solidFill>
          </w14:textFill>
        </w:rPr>
        <w:t>物品，须按照</w:t>
      </w:r>
      <w:r>
        <w:rPr>
          <w:rFonts w:hint="eastAsia" w:ascii="宋体" w:hAnsi="宋体"/>
          <w:bCs/>
          <w:color w:val="000000" w:themeColor="text1"/>
          <w:sz w:val="24"/>
          <w:highlight w:val="none"/>
          <w:lang w:val="zh-CN"/>
          <w14:textFill>
            <w14:solidFill>
              <w14:schemeClr w14:val="tx1"/>
            </w14:solidFill>
          </w14:textFill>
        </w:rPr>
        <w:t>采购单位</w:t>
      </w:r>
      <w:r>
        <w:rPr>
          <w:rFonts w:hint="eastAsia" w:ascii="宋体" w:hAnsi="宋体"/>
          <w:bCs/>
          <w:color w:val="000000" w:themeColor="text1"/>
          <w:sz w:val="24"/>
          <w:highlight w:val="none"/>
          <w14:textFill>
            <w14:solidFill>
              <w14:schemeClr w14:val="tx1"/>
            </w14:solidFill>
          </w14:textFill>
        </w:rPr>
        <w:t>采购价进行赔偿，赔偿款以洗涤费扣款的形式支付给</w:t>
      </w:r>
      <w:r>
        <w:rPr>
          <w:rFonts w:hint="eastAsia" w:ascii="宋体" w:hAnsi="宋体"/>
          <w:bCs/>
          <w:color w:val="000000" w:themeColor="text1"/>
          <w:sz w:val="24"/>
          <w:highlight w:val="none"/>
          <w:lang w:val="zh-CN"/>
          <w14:textFill>
            <w14:solidFill>
              <w14:schemeClr w14:val="tx1"/>
            </w14:solidFill>
          </w14:textFill>
        </w:rPr>
        <w:t>采购单位</w:t>
      </w:r>
      <w:r>
        <w:rPr>
          <w:rFonts w:hint="eastAsia" w:ascii="宋体" w:hAnsi="宋体"/>
          <w:bCs/>
          <w:color w:val="000000" w:themeColor="text1"/>
          <w:sz w:val="24"/>
          <w:highlight w:val="none"/>
          <w14:textFill>
            <w14:solidFill>
              <w14:schemeClr w14:val="tx1"/>
            </w14:solidFill>
          </w14:textFill>
        </w:rPr>
        <w:t>。</w:t>
      </w:r>
    </w:p>
    <w:p w14:paraId="58250A68">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8</w:t>
      </w:r>
      <w:r>
        <w:rPr>
          <w:rFonts w:hint="eastAsia" w:ascii="宋体" w:hAnsi="宋体"/>
          <w:bCs/>
          <w:color w:val="000000" w:themeColor="text1"/>
          <w:sz w:val="24"/>
          <w:highlight w:val="none"/>
          <w14:textFill>
            <w14:solidFill>
              <w14:schemeClr w14:val="tx1"/>
            </w14:solidFill>
          </w14:textFill>
        </w:rPr>
        <w:t>、对因</w:t>
      </w:r>
      <w:r>
        <w:rPr>
          <w:rFonts w:hint="eastAsia" w:ascii="宋体" w:hAnsi="宋体"/>
          <w:bCs/>
          <w:color w:val="000000" w:themeColor="text1"/>
          <w:sz w:val="24"/>
          <w:highlight w:val="none"/>
          <w:lang w:eastAsia="zh-CN"/>
          <w14:textFill>
            <w14:solidFill>
              <w14:schemeClr w14:val="tx1"/>
            </w14:solidFill>
          </w14:textFill>
        </w:rPr>
        <w:t>投标单位</w:t>
      </w:r>
      <w:r>
        <w:rPr>
          <w:rFonts w:hint="eastAsia" w:ascii="宋体" w:hAnsi="宋体"/>
          <w:bCs/>
          <w:color w:val="000000" w:themeColor="text1"/>
          <w:sz w:val="24"/>
          <w:highlight w:val="none"/>
          <w14:textFill>
            <w14:solidFill>
              <w14:schemeClr w14:val="tx1"/>
            </w14:solidFill>
          </w14:textFill>
        </w:rPr>
        <w:t>洁净物没有及时到位，影响</w:t>
      </w:r>
      <w:r>
        <w:rPr>
          <w:rFonts w:hint="eastAsia" w:ascii="宋体" w:hAnsi="宋体"/>
          <w:bCs/>
          <w:color w:val="000000" w:themeColor="text1"/>
          <w:sz w:val="24"/>
          <w:highlight w:val="none"/>
          <w:lang w:val="zh-CN"/>
          <w14:textFill>
            <w14:solidFill>
              <w14:schemeClr w14:val="tx1"/>
            </w14:solidFill>
          </w14:textFill>
        </w:rPr>
        <w:t>采购单位</w:t>
      </w:r>
      <w:r>
        <w:rPr>
          <w:rFonts w:hint="eastAsia" w:ascii="宋体" w:hAnsi="宋体"/>
          <w:bCs/>
          <w:color w:val="000000" w:themeColor="text1"/>
          <w:sz w:val="24"/>
          <w:highlight w:val="none"/>
          <w14:textFill>
            <w14:solidFill>
              <w14:schemeClr w14:val="tx1"/>
            </w14:solidFill>
          </w14:textFill>
        </w:rPr>
        <w:t>正常工作的，</w:t>
      </w:r>
      <w:r>
        <w:rPr>
          <w:rFonts w:hint="eastAsia" w:ascii="宋体" w:hAnsi="宋体"/>
          <w:bCs/>
          <w:color w:val="000000" w:themeColor="text1"/>
          <w:sz w:val="24"/>
          <w:highlight w:val="none"/>
          <w:lang w:eastAsia="zh-CN"/>
          <w14:textFill>
            <w14:solidFill>
              <w14:schemeClr w14:val="tx1"/>
            </w14:solidFill>
          </w14:textFill>
        </w:rPr>
        <w:t>投标单位</w:t>
      </w:r>
      <w:r>
        <w:rPr>
          <w:rFonts w:hint="eastAsia" w:ascii="宋体" w:hAnsi="宋体"/>
          <w:bCs/>
          <w:color w:val="000000" w:themeColor="text1"/>
          <w:sz w:val="24"/>
          <w:highlight w:val="none"/>
          <w14:textFill>
            <w14:solidFill>
              <w14:schemeClr w14:val="tx1"/>
            </w14:solidFill>
          </w14:textFill>
        </w:rPr>
        <w:t>必须承担相应的赔偿责任。</w:t>
      </w:r>
    </w:p>
    <w:p w14:paraId="01C74D16">
      <w:pPr>
        <w:widowControl/>
        <w:spacing w:line="360" w:lineRule="auto"/>
        <w:outlineLvl w:val="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四）</w:t>
      </w:r>
      <w:r>
        <w:rPr>
          <w:rFonts w:hint="eastAsia" w:ascii="宋体" w:hAnsi="宋体"/>
          <w:bCs/>
          <w:color w:val="000000" w:themeColor="text1"/>
          <w:sz w:val="24"/>
          <w:highlight w:val="none"/>
          <w14:textFill>
            <w14:solidFill>
              <w14:schemeClr w14:val="tx1"/>
            </w14:solidFill>
          </w14:textFill>
        </w:rPr>
        <w:t>洗涤数量</w:t>
      </w:r>
    </w:p>
    <w:p w14:paraId="29C07293">
      <w:pPr>
        <w:widowControl/>
        <w:spacing w:line="360" w:lineRule="auto"/>
        <w:outlineLvl w:val="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病区被服数量</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不涉及租赁）</w:t>
      </w:r>
      <w:r>
        <w:rPr>
          <w:rFonts w:hint="eastAsia" w:ascii="宋体" w:hAnsi="宋体"/>
          <w:bCs/>
          <w:color w:val="000000" w:themeColor="text1"/>
          <w:sz w:val="24"/>
          <w:highlight w:val="none"/>
          <w14:textFill>
            <w14:solidFill>
              <w14:schemeClr w14:val="tx1"/>
            </w14:solidFill>
          </w14:textFill>
        </w:rPr>
        <w:t>：</w:t>
      </w:r>
    </w:p>
    <w:tbl>
      <w:tblPr>
        <w:tblStyle w:val="40"/>
        <w:tblW w:w="4835" w:type="pct"/>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0"/>
        <w:gridCol w:w="2832"/>
        <w:gridCol w:w="2264"/>
        <w:gridCol w:w="2085"/>
      </w:tblGrid>
      <w:tr w14:paraId="1A13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D3D0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序号</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52FC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名称</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63D3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年预估</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数量</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3C68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最高洗涤</w:t>
            </w:r>
          </w:p>
          <w:p w14:paraId="713575A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单价限价</w:t>
            </w:r>
          </w:p>
          <w:p w14:paraId="404C0EE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（元/件）</w:t>
            </w:r>
          </w:p>
        </w:tc>
      </w:tr>
      <w:tr w14:paraId="1F98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0CDA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8AB4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床罩</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DBA2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22890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7DB6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1.50 </w:t>
            </w:r>
          </w:p>
        </w:tc>
      </w:tr>
      <w:tr w14:paraId="40B5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AE7F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7F00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枕套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6BBD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21450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2FD5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0.50 </w:t>
            </w:r>
          </w:p>
        </w:tc>
      </w:tr>
      <w:tr w14:paraId="32D8B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CD6E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AB9E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被套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6F4F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23530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B466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1.90 </w:t>
            </w:r>
          </w:p>
        </w:tc>
      </w:tr>
      <w:tr w14:paraId="7DF4F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3D24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446D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病员服</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6CE0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33100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72C1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1.10 </w:t>
            </w:r>
          </w:p>
        </w:tc>
      </w:tr>
      <w:tr w14:paraId="694A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E173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7ACD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病员裤</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A924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29100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B648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1.10 </w:t>
            </w:r>
          </w:p>
        </w:tc>
      </w:tr>
      <w:tr w14:paraId="4E92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8885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980A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儿童病员服</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3E84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8DBE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1.10 </w:t>
            </w:r>
          </w:p>
        </w:tc>
      </w:tr>
      <w:tr w14:paraId="352F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3F1A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E1A7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儿童病员裤</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D5D2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DDE8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1.10 </w:t>
            </w:r>
          </w:p>
        </w:tc>
      </w:tr>
      <w:tr w14:paraId="6880B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C454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0F14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值班床单</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72A4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5860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959E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1.50 </w:t>
            </w:r>
          </w:p>
        </w:tc>
      </w:tr>
      <w:tr w14:paraId="199A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8FD0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EBD7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值班枕套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0F5D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4980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4737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0.50 </w:t>
            </w:r>
          </w:p>
        </w:tc>
      </w:tr>
      <w:tr w14:paraId="76AF0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8519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035E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值班被套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BF94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5230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5BBA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1.90 </w:t>
            </w:r>
          </w:p>
        </w:tc>
      </w:tr>
      <w:tr w14:paraId="151C7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0A18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349A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手术被套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F2E6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8D9B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1.90 </w:t>
            </w:r>
          </w:p>
        </w:tc>
      </w:tr>
      <w:tr w14:paraId="070E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92F4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EF0B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手术床单</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3AC6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110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8BB3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1.30 </w:t>
            </w:r>
          </w:p>
        </w:tc>
      </w:tr>
      <w:tr w14:paraId="6705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25D5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A1C8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污衣袋</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74A1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5200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256D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3.00 </w:t>
            </w:r>
          </w:p>
        </w:tc>
      </w:tr>
      <w:tr w14:paraId="296B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4FB1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B9F2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剖腹单</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740D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DD1F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2.60 </w:t>
            </w:r>
          </w:p>
        </w:tc>
      </w:tr>
      <w:tr w14:paraId="73945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CD83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ADDF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双层大包布</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094E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1380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73E9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1.20 </w:t>
            </w:r>
          </w:p>
        </w:tc>
      </w:tr>
      <w:tr w14:paraId="187DC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0F68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8D64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双层中包布</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34A8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305C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1.20 </w:t>
            </w:r>
          </w:p>
        </w:tc>
      </w:tr>
      <w:tr w14:paraId="3214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D476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2F0D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双层台布</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3316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120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11FA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2.20 </w:t>
            </w:r>
          </w:p>
        </w:tc>
      </w:tr>
      <w:tr w14:paraId="3E3B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7DBC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718E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内穿衣（套）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9F7D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C004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2.30 </w:t>
            </w:r>
          </w:p>
        </w:tc>
      </w:tr>
      <w:tr w14:paraId="0F5A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F3EC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ED43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巡回服</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68A4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2B84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1.10 </w:t>
            </w:r>
          </w:p>
        </w:tc>
      </w:tr>
      <w:tr w14:paraId="382B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E46D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3953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捆手布</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A0BA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5855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3.00 </w:t>
            </w:r>
          </w:p>
        </w:tc>
      </w:tr>
      <w:tr w14:paraId="4BF5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0989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8E56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新生儿双层毛衫</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DD36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3A6B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0.80 </w:t>
            </w:r>
          </w:p>
        </w:tc>
      </w:tr>
      <w:tr w14:paraId="60A4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91E6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BC13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新生儿被套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2E00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3941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1.10 </w:t>
            </w:r>
          </w:p>
        </w:tc>
      </w:tr>
      <w:tr w14:paraId="6C83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F9B5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1854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洗手衣</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9E24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18800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76BC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1.50 </w:t>
            </w:r>
          </w:p>
        </w:tc>
      </w:tr>
      <w:tr w14:paraId="2404B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2063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05F1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洗手裤</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3DBB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18500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844E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1.50 </w:t>
            </w:r>
          </w:p>
        </w:tc>
      </w:tr>
      <w:tr w14:paraId="277E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E336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E425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手术衣</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6C9F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4750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5342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1.40 </w:t>
            </w:r>
          </w:p>
        </w:tc>
      </w:tr>
      <w:tr w14:paraId="5B4C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C3BB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6503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夏款短工作服</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E5DD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D7AB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1.60 </w:t>
            </w:r>
          </w:p>
        </w:tc>
      </w:tr>
      <w:tr w14:paraId="17B8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DD7D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6EF6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夏款长工作服</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691B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3430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B08E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2.00 </w:t>
            </w:r>
          </w:p>
        </w:tc>
      </w:tr>
      <w:tr w14:paraId="3CF8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FFFF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3350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冬款长工作服</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8E75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19500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FBA5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3.00 </w:t>
            </w:r>
          </w:p>
        </w:tc>
      </w:tr>
      <w:tr w14:paraId="57B6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82BE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A3A8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冬款短工作服</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F558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150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8655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2.60 </w:t>
            </w:r>
          </w:p>
        </w:tc>
      </w:tr>
      <w:tr w14:paraId="18DF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0F98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5155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工作裤</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173D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11140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DDF6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1.50 </w:t>
            </w:r>
          </w:p>
        </w:tc>
      </w:tr>
      <w:tr w14:paraId="2C14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9E66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722E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新生儿被芯</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316A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53</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49A0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4.50 </w:t>
            </w:r>
          </w:p>
        </w:tc>
      </w:tr>
      <w:tr w14:paraId="6C57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5C77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3BE2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新生儿大鸟巢</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855A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B5DD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4.50 </w:t>
            </w:r>
          </w:p>
        </w:tc>
      </w:tr>
      <w:tr w14:paraId="0D369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A71A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5625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新生儿大鸟巢被芯</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C810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3647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4.50 </w:t>
            </w:r>
          </w:p>
        </w:tc>
      </w:tr>
      <w:tr w14:paraId="5434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1A63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FDA1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四季被芯</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D752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340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C27B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4.50 </w:t>
            </w:r>
          </w:p>
        </w:tc>
      </w:tr>
      <w:tr w14:paraId="7B2C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7492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C1EE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枕芯</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9AF3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570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0E16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1.00 </w:t>
            </w:r>
          </w:p>
        </w:tc>
      </w:tr>
      <w:tr w14:paraId="7EEB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D9DD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C3F0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手术被芯</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DDAA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04D7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8.00 </w:t>
            </w:r>
          </w:p>
        </w:tc>
      </w:tr>
      <w:tr w14:paraId="3906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43CA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DCCB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小棉被芯（手术室）</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2FDB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110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019F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6.00 </w:t>
            </w:r>
          </w:p>
        </w:tc>
      </w:tr>
      <w:tr w14:paraId="355A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C24B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096E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小棉被套（手术室）</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2B74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460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009D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1.70 </w:t>
            </w:r>
          </w:p>
        </w:tc>
      </w:tr>
      <w:tr w14:paraId="0743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7D9A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57E0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护士帽</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E64A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F12E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1.00 </w:t>
            </w:r>
          </w:p>
        </w:tc>
      </w:tr>
      <w:tr w14:paraId="60F4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35D6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41</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4652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护士毛衣</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6D3D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86BD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3.00 </w:t>
            </w:r>
          </w:p>
        </w:tc>
      </w:tr>
      <w:tr w14:paraId="174E6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F8D8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42</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2E4F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体位垫</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D853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3990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6.00 </w:t>
            </w:r>
          </w:p>
        </w:tc>
      </w:tr>
      <w:tr w14:paraId="545F3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B3B0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43</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C603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翻身枕</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53BC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2FFD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4.00 </w:t>
            </w:r>
          </w:p>
        </w:tc>
      </w:tr>
      <w:tr w14:paraId="0EF4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11C1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44</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50C5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搁脚枕</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5653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E28C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3.00 </w:t>
            </w:r>
          </w:p>
        </w:tc>
      </w:tr>
      <w:tr w14:paraId="6D90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F2BC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45</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4BF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搁手枕</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AEA4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26E0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3.00 </w:t>
            </w:r>
          </w:p>
        </w:tc>
      </w:tr>
      <w:tr w14:paraId="08FB5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B3AD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46</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20ED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羽绒服长袖短款</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DE1E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1DA9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4.60 </w:t>
            </w:r>
          </w:p>
        </w:tc>
      </w:tr>
      <w:tr w14:paraId="0EB9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8BBB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47</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7E4B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羽绒服长袖长款</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5EF4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2207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5.20 </w:t>
            </w:r>
          </w:p>
        </w:tc>
      </w:tr>
      <w:tr w14:paraId="5AAE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83FC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48</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73F4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窗帘</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767B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074B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3.00 </w:t>
            </w:r>
          </w:p>
        </w:tc>
      </w:tr>
      <w:tr w14:paraId="5C16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6AC3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49</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962B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隔帘</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4A97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570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4C13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4.00 </w:t>
            </w:r>
          </w:p>
        </w:tc>
      </w:tr>
      <w:tr w14:paraId="683B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80A0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50</w:t>
            </w:r>
          </w:p>
        </w:tc>
        <w:tc>
          <w:tcPr>
            <w:tcW w:w="171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621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沙发套</w:t>
            </w:r>
          </w:p>
        </w:tc>
        <w:tc>
          <w:tcPr>
            <w:tcW w:w="13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07C2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100</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C5FB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 xml:space="preserve">2.00 </w:t>
            </w:r>
          </w:p>
        </w:tc>
      </w:tr>
    </w:tbl>
    <w:p w14:paraId="370B760A">
      <w:pPr>
        <w:widowControl/>
        <w:spacing w:line="360" w:lineRule="auto"/>
        <w:outlineLvl w:val="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bCs/>
          <w:color w:val="000000" w:themeColor="text1"/>
          <w:sz w:val="24"/>
          <w:highlight w:val="none"/>
          <w14:textFill>
            <w14:solidFill>
              <w14:schemeClr w14:val="tx1"/>
            </w14:solidFill>
          </w14:textFill>
        </w:rPr>
        <w:t>手术室包裹数量</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涉及租赁）</w:t>
      </w:r>
      <w:r>
        <w:rPr>
          <w:rFonts w:hint="eastAsia" w:ascii="宋体" w:hAnsi="宋体"/>
          <w:bCs/>
          <w:color w:val="000000" w:themeColor="text1"/>
          <w:sz w:val="24"/>
          <w:highlight w:val="none"/>
          <w14:textFill>
            <w14:solidFill>
              <w14:schemeClr w14:val="tx1"/>
            </w14:solidFill>
          </w14:textFill>
        </w:rPr>
        <w:t>：</w:t>
      </w:r>
    </w:p>
    <w:tbl>
      <w:tblPr>
        <w:tblStyle w:val="40"/>
        <w:tblW w:w="0" w:type="auto"/>
        <w:tblInd w:w="91" w:type="dxa"/>
        <w:tblLayout w:type="fixed"/>
        <w:tblCellMar>
          <w:top w:w="0" w:type="dxa"/>
          <w:left w:w="108" w:type="dxa"/>
          <w:bottom w:w="0" w:type="dxa"/>
          <w:right w:w="108" w:type="dxa"/>
        </w:tblCellMar>
      </w:tblPr>
      <w:tblGrid>
        <w:gridCol w:w="1403"/>
        <w:gridCol w:w="2865"/>
        <w:gridCol w:w="4065"/>
      </w:tblGrid>
      <w:tr w14:paraId="25E0DDFB">
        <w:tblPrEx>
          <w:tblCellMar>
            <w:top w:w="0" w:type="dxa"/>
            <w:left w:w="108" w:type="dxa"/>
            <w:bottom w:w="0" w:type="dxa"/>
            <w:right w:w="108" w:type="dxa"/>
          </w:tblCellMar>
        </w:tblPrEx>
        <w:trPr>
          <w:trHeight w:val="340" w:hRule="atLeast"/>
        </w:trPr>
        <w:tc>
          <w:tcPr>
            <w:tcW w:w="1403" w:type="dxa"/>
            <w:tcBorders>
              <w:top w:val="single" w:color="000000" w:sz="4" w:space="0"/>
              <w:left w:val="single" w:color="000000" w:sz="4" w:space="0"/>
              <w:bottom w:val="single" w:color="000000" w:sz="4" w:space="0"/>
              <w:right w:val="single" w:color="000000" w:sz="4" w:space="0"/>
            </w:tcBorders>
            <w:noWrap w:val="0"/>
            <w:vAlign w:val="center"/>
          </w:tcPr>
          <w:p w14:paraId="4A77BF75">
            <w:pPr>
              <w:widowControl/>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序号</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026ECF95">
            <w:pPr>
              <w:widowControl/>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物品名称</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56C8E425">
            <w:pPr>
              <w:widowControl/>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年预估</w:t>
            </w:r>
            <w:r>
              <w:rPr>
                <w:rFonts w:hint="eastAsia" w:ascii="宋体" w:hAnsi="宋体" w:cs="宋体"/>
                <w:color w:val="000000" w:themeColor="text1"/>
                <w:sz w:val="24"/>
                <w:szCs w:val="24"/>
                <w:highlight w:val="none"/>
                <w:lang w:bidi="ar"/>
                <w14:textFill>
                  <w14:solidFill>
                    <w14:schemeClr w14:val="tx1"/>
                  </w14:solidFill>
                </w14:textFill>
              </w:rPr>
              <w:t>数量</w:t>
            </w:r>
          </w:p>
        </w:tc>
      </w:tr>
      <w:tr w14:paraId="22C19D40">
        <w:tblPrEx>
          <w:tblCellMar>
            <w:top w:w="0" w:type="dxa"/>
            <w:left w:w="108" w:type="dxa"/>
            <w:bottom w:w="0" w:type="dxa"/>
            <w:right w:w="108" w:type="dxa"/>
          </w:tblCellMar>
        </w:tblPrEx>
        <w:trPr>
          <w:trHeight w:val="340" w:hRule="atLeast"/>
        </w:trPr>
        <w:tc>
          <w:tcPr>
            <w:tcW w:w="1403" w:type="dxa"/>
            <w:tcBorders>
              <w:top w:val="single" w:color="000000" w:sz="4" w:space="0"/>
              <w:left w:val="single" w:color="000000" w:sz="4" w:space="0"/>
              <w:bottom w:val="single" w:color="000000" w:sz="4" w:space="0"/>
              <w:right w:val="single" w:color="000000" w:sz="4" w:space="0"/>
            </w:tcBorders>
            <w:noWrap w:val="0"/>
            <w:vAlign w:val="center"/>
          </w:tcPr>
          <w:p w14:paraId="09A6EB7B">
            <w:pPr>
              <w:widowControl/>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1</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ED8756D">
            <w:pPr>
              <w:keepNext w:val="0"/>
              <w:keepLines w:val="0"/>
              <w:widowControl/>
              <w:suppressLineNumbers w:val="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大包</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72902D05">
            <w:pPr>
              <w:keepNext w:val="0"/>
              <w:keepLines w:val="0"/>
              <w:widowControl/>
              <w:suppressLineNumbers w:val="0"/>
              <w:jc w:val="center"/>
              <w:rPr>
                <w:rFonts w:hint="default"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2200</w:t>
            </w:r>
          </w:p>
        </w:tc>
      </w:tr>
      <w:tr w14:paraId="43A663CF">
        <w:tblPrEx>
          <w:tblCellMar>
            <w:top w:w="0" w:type="dxa"/>
            <w:left w:w="108" w:type="dxa"/>
            <w:bottom w:w="0" w:type="dxa"/>
            <w:right w:w="108" w:type="dxa"/>
          </w:tblCellMar>
        </w:tblPrEx>
        <w:trPr>
          <w:trHeight w:val="340" w:hRule="atLeast"/>
        </w:trPr>
        <w:tc>
          <w:tcPr>
            <w:tcW w:w="1403" w:type="dxa"/>
            <w:tcBorders>
              <w:top w:val="single" w:color="000000" w:sz="4" w:space="0"/>
              <w:left w:val="single" w:color="000000" w:sz="4" w:space="0"/>
              <w:bottom w:val="single" w:color="000000" w:sz="4" w:space="0"/>
              <w:right w:val="single" w:color="000000" w:sz="4" w:space="0"/>
            </w:tcBorders>
            <w:noWrap w:val="0"/>
            <w:vAlign w:val="center"/>
          </w:tcPr>
          <w:p w14:paraId="0EF91BD4">
            <w:pPr>
              <w:widowControl/>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2</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C49185D">
            <w:pPr>
              <w:keepNext w:val="0"/>
              <w:keepLines w:val="0"/>
              <w:widowControl/>
              <w:suppressLineNumbers w:val="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剖腹单包</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57A49BE3">
            <w:pPr>
              <w:keepNext w:val="0"/>
              <w:keepLines w:val="0"/>
              <w:widowControl/>
              <w:suppressLineNumbers w:val="0"/>
              <w:jc w:val="center"/>
              <w:rPr>
                <w:rFonts w:hint="default"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1500</w:t>
            </w:r>
          </w:p>
        </w:tc>
      </w:tr>
      <w:tr w14:paraId="4756037B">
        <w:tblPrEx>
          <w:tblCellMar>
            <w:top w:w="0" w:type="dxa"/>
            <w:left w:w="108" w:type="dxa"/>
            <w:bottom w:w="0" w:type="dxa"/>
            <w:right w:w="108" w:type="dxa"/>
          </w:tblCellMar>
        </w:tblPrEx>
        <w:trPr>
          <w:trHeight w:val="340" w:hRule="atLeast"/>
        </w:trPr>
        <w:tc>
          <w:tcPr>
            <w:tcW w:w="1403" w:type="dxa"/>
            <w:tcBorders>
              <w:top w:val="single" w:color="000000" w:sz="4" w:space="0"/>
              <w:left w:val="single" w:color="000000" w:sz="4" w:space="0"/>
              <w:bottom w:val="single" w:color="000000" w:sz="4" w:space="0"/>
              <w:right w:val="single" w:color="000000" w:sz="4" w:space="0"/>
            </w:tcBorders>
            <w:noWrap w:val="0"/>
            <w:vAlign w:val="center"/>
          </w:tcPr>
          <w:p w14:paraId="0818F2D2">
            <w:pPr>
              <w:widowControl/>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3</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6DB55AE2">
            <w:pPr>
              <w:keepNext w:val="0"/>
              <w:keepLines w:val="0"/>
              <w:widowControl/>
              <w:suppressLineNumbers w:val="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手术衣包</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666A7D21">
            <w:pPr>
              <w:keepNext w:val="0"/>
              <w:keepLines w:val="0"/>
              <w:widowControl/>
              <w:suppressLineNumbers w:val="0"/>
              <w:jc w:val="center"/>
              <w:rPr>
                <w:rFonts w:hint="default"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520</w:t>
            </w:r>
          </w:p>
        </w:tc>
      </w:tr>
      <w:tr w14:paraId="4ED829A2">
        <w:tblPrEx>
          <w:tblCellMar>
            <w:top w:w="0" w:type="dxa"/>
            <w:left w:w="108" w:type="dxa"/>
            <w:bottom w:w="0" w:type="dxa"/>
            <w:right w:w="108" w:type="dxa"/>
          </w:tblCellMar>
        </w:tblPrEx>
        <w:trPr>
          <w:trHeight w:val="340" w:hRule="atLeast"/>
        </w:trPr>
        <w:tc>
          <w:tcPr>
            <w:tcW w:w="1403" w:type="dxa"/>
            <w:tcBorders>
              <w:top w:val="single" w:color="000000" w:sz="4" w:space="0"/>
              <w:left w:val="single" w:color="000000" w:sz="4" w:space="0"/>
              <w:bottom w:val="single" w:color="000000" w:sz="4" w:space="0"/>
              <w:right w:val="single" w:color="000000" w:sz="4" w:space="0"/>
            </w:tcBorders>
            <w:noWrap w:val="0"/>
            <w:vAlign w:val="center"/>
          </w:tcPr>
          <w:p w14:paraId="285BDC7B">
            <w:pPr>
              <w:widowControl/>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4</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397FD04C">
            <w:pPr>
              <w:keepNext w:val="0"/>
              <w:keepLines w:val="0"/>
              <w:widowControl/>
              <w:suppressLineNumbers w:val="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台布包</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06DADF42">
            <w:pPr>
              <w:keepNext w:val="0"/>
              <w:keepLines w:val="0"/>
              <w:widowControl/>
              <w:suppressLineNumbers w:val="0"/>
              <w:jc w:val="center"/>
              <w:rPr>
                <w:rFonts w:hint="default"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650</w:t>
            </w:r>
          </w:p>
        </w:tc>
      </w:tr>
      <w:tr w14:paraId="6EE641CA">
        <w:tblPrEx>
          <w:tblCellMar>
            <w:top w:w="0" w:type="dxa"/>
            <w:left w:w="108" w:type="dxa"/>
            <w:bottom w:w="0" w:type="dxa"/>
            <w:right w:w="108" w:type="dxa"/>
          </w:tblCellMar>
        </w:tblPrEx>
        <w:trPr>
          <w:trHeight w:val="340" w:hRule="atLeast"/>
        </w:trPr>
        <w:tc>
          <w:tcPr>
            <w:tcW w:w="1403" w:type="dxa"/>
            <w:tcBorders>
              <w:top w:val="single" w:color="000000" w:sz="4" w:space="0"/>
              <w:left w:val="single" w:color="000000" w:sz="4" w:space="0"/>
              <w:bottom w:val="single" w:color="000000" w:sz="4" w:space="0"/>
              <w:right w:val="single" w:color="000000" w:sz="4" w:space="0"/>
            </w:tcBorders>
            <w:noWrap w:val="0"/>
            <w:vAlign w:val="center"/>
          </w:tcPr>
          <w:p w14:paraId="441C851E">
            <w:pPr>
              <w:widowControl/>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5</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45B9333C">
            <w:pPr>
              <w:keepNext w:val="0"/>
              <w:keepLines w:val="0"/>
              <w:widowControl/>
              <w:suppressLineNumbers w:val="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洗手衣裤包</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093E63E0">
            <w:pPr>
              <w:keepNext w:val="0"/>
              <w:keepLines w:val="0"/>
              <w:widowControl/>
              <w:suppressLineNumbers w:val="0"/>
              <w:jc w:val="center"/>
              <w:rPr>
                <w:rFonts w:hint="default"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3750</w:t>
            </w:r>
          </w:p>
        </w:tc>
      </w:tr>
      <w:tr w14:paraId="5238BE94">
        <w:tblPrEx>
          <w:tblCellMar>
            <w:top w:w="0" w:type="dxa"/>
            <w:left w:w="108" w:type="dxa"/>
            <w:bottom w:w="0" w:type="dxa"/>
            <w:right w:w="108" w:type="dxa"/>
          </w:tblCellMar>
        </w:tblPrEx>
        <w:trPr>
          <w:trHeight w:val="340" w:hRule="atLeast"/>
        </w:trPr>
        <w:tc>
          <w:tcPr>
            <w:tcW w:w="1403" w:type="dxa"/>
            <w:tcBorders>
              <w:top w:val="single" w:color="000000" w:sz="4" w:space="0"/>
              <w:left w:val="single" w:color="000000" w:sz="4" w:space="0"/>
              <w:bottom w:val="single" w:color="000000" w:sz="4" w:space="0"/>
              <w:right w:val="single" w:color="000000" w:sz="4" w:space="0"/>
            </w:tcBorders>
            <w:noWrap w:val="0"/>
            <w:vAlign w:val="center"/>
          </w:tcPr>
          <w:p w14:paraId="02ACC8F7">
            <w:pPr>
              <w:widowControl/>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6</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552916F1">
            <w:pPr>
              <w:keepNext w:val="0"/>
              <w:keepLines w:val="0"/>
              <w:widowControl/>
              <w:suppressLineNumbers w:val="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巡回衣包</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3046287E">
            <w:pPr>
              <w:keepNext w:val="0"/>
              <w:keepLines w:val="0"/>
              <w:widowControl/>
              <w:suppressLineNumbers w:val="0"/>
              <w:jc w:val="center"/>
              <w:rPr>
                <w:rFonts w:hint="default"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420</w:t>
            </w:r>
          </w:p>
        </w:tc>
      </w:tr>
      <w:tr w14:paraId="6A3E14AB">
        <w:tblPrEx>
          <w:tblCellMar>
            <w:top w:w="0" w:type="dxa"/>
            <w:left w:w="108" w:type="dxa"/>
            <w:bottom w:w="0" w:type="dxa"/>
            <w:right w:w="108" w:type="dxa"/>
          </w:tblCellMar>
        </w:tblPrEx>
        <w:trPr>
          <w:trHeight w:val="340" w:hRule="atLeast"/>
        </w:trPr>
        <w:tc>
          <w:tcPr>
            <w:tcW w:w="1403" w:type="dxa"/>
            <w:tcBorders>
              <w:top w:val="single" w:color="000000" w:sz="4" w:space="0"/>
              <w:left w:val="single" w:color="000000" w:sz="4" w:space="0"/>
              <w:bottom w:val="single" w:color="000000" w:sz="4" w:space="0"/>
              <w:right w:val="single" w:color="000000" w:sz="4" w:space="0"/>
            </w:tcBorders>
            <w:noWrap w:val="0"/>
            <w:vAlign w:val="center"/>
          </w:tcPr>
          <w:p w14:paraId="664CB497">
            <w:pPr>
              <w:widowControl/>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t>7</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14:paraId="7DAB0894">
            <w:pPr>
              <w:keepNext w:val="0"/>
              <w:keepLines w:val="0"/>
              <w:widowControl/>
              <w:suppressLineNumbers w:val="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治疗巾包</w:t>
            </w:r>
          </w:p>
        </w:tc>
        <w:tc>
          <w:tcPr>
            <w:tcW w:w="4065" w:type="dxa"/>
            <w:tcBorders>
              <w:top w:val="single" w:color="000000" w:sz="4" w:space="0"/>
              <w:left w:val="single" w:color="000000" w:sz="4" w:space="0"/>
              <w:bottom w:val="single" w:color="000000" w:sz="4" w:space="0"/>
              <w:right w:val="single" w:color="000000" w:sz="4" w:space="0"/>
            </w:tcBorders>
            <w:noWrap w:val="0"/>
            <w:vAlign w:val="center"/>
          </w:tcPr>
          <w:p w14:paraId="5078754E">
            <w:pPr>
              <w:keepNext w:val="0"/>
              <w:keepLines w:val="0"/>
              <w:widowControl/>
              <w:suppressLineNumbers w:val="0"/>
              <w:jc w:val="center"/>
              <w:rPr>
                <w:rFonts w:hint="default"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850</w:t>
            </w:r>
          </w:p>
        </w:tc>
      </w:tr>
    </w:tbl>
    <w:p w14:paraId="3751AA10">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2.1包裹组成明细</w:t>
      </w:r>
    </w:p>
    <w:tbl>
      <w:tblPr>
        <w:tblStyle w:val="40"/>
        <w:tblW w:w="894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1190"/>
        <w:gridCol w:w="855"/>
        <w:gridCol w:w="1080"/>
        <w:gridCol w:w="1140"/>
        <w:gridCol w:w="795"/>
        <w:gridCol w:w="735"/>
        <w:gridCol w:w="1185"/>
        <w:gridCol w:w="1230"/>
      </w:tblGrid>
      <w:tr w14:paraId="654F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5356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序号</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60CD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物品</w:t>
            </w:r>
          </w:p>
          <w:p w14:paraId="11F4C4D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E350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F924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品名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4E04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尺寸（cm）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E13B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18FD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2065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最高洗涤</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单价</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限价（元）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B983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最高租赁</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单价</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限价（元）</w:t>
            </w:r>
          </w:p>
        </w:tc>
      </w:tr>
      <w:tr w14:paraId="6BDD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A269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A5DF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大包</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1D12C">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2200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A07F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外包布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D552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130*130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D3D9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0C24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70E5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9215D">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1.0</w:t>
            </w:r>
          </w:p>
        </w:tc>
      </w:tr>
      <w:tr w14:paraId="41C1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8DDC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8122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99E3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C3EE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治疗巾</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8EAC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90*90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699B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2D51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CFB8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0.6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2D0C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0.4</w:t>
            </w:r>
          </w:p>
        </w:tc>
      </w:tr>
      <w:tr w14:paraId="580A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BA19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4239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A514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79E9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台布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FB04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210*140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CCF6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BDC5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16AB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9D4D7">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.0</w:t>
            </w:r>
          </w:p>
        </w:tc>
      </w:tr>
      <w:tr w14:paraId="7A73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E265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66CF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剖腹单包</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F2641">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508E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剖腹单</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ABEB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310*210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BE30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AA3D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1044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64566">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2.4</w:t>
            </w:r>
          </w:p>
        </w:tc>
      </w:tr>
      <w:tr w14:paraId="20CB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C3AD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4CD8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C94B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58EA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台布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1623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210*140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1986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03B9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9DAE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8A211">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.0</w:t>
            </w:r>
          </w:p>
        </w:tc>
      </w:tr>
      <w:tr w14:paraId="66A2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B9D8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7D5E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104D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C1A8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外包布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AD82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130*130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362B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E992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8960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4F83B">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1.0</w:t>
            </w:r>
          </w:p>
        </w:tc>
      </w:tr>
      <w:tr w14:paraId="5DBB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2F9E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DFE3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手术衣包</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F208D">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520</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16F2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手术衣</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0988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BDC1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D324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30CE0">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1.3</w:t>
            </w:r>
          </w:p>
        </w:tc>
      </w:tr>
      <w:tr w14:paraId="471F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C816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43CD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6931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1F66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台布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5F0B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210*140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07A4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0866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48E1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79676">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w:t>
            </w: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.0</w:t>
            </w:r>
          </w:p>
        </w:tc>
      </w:tr>
      <w:tr w14:paraId="1D252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9BFA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5AFA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898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B920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外包布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F730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130*130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1B9B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2690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727A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1F365">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1.0</w:t>
            </w:r>
          </w:p>
        </w:tc>
      </w:tr>
      <w:tr w14:paraId="6BEC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893C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5E4C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台布包</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6EF3F">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A189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台布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878B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210*140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9C0D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69E8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2C16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4ADBA">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2.0</w:t>
            </w:r>
          </w:p>
        </w:tc>
      </w:tr>
      <w:tr w14:paraId="487C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190D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80BE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C504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6035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外包布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1D31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130*130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6661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7B95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3A19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FF5E5">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1.0</w:t>
            </w:r>
          </w:p>
        </w:tc>
      </w:tr>
      <w:tr w14:paraId="62C6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CF89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5</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0090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洗手衣裤包</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26EC1">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3750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8CEA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外包布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1125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110*110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7975F">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3003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B784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09082">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1.0</w:t>
            </w:r>
          </w:p>
        </w:tc>
      </w:tr>
      <w:tr w14:paraId="5C15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CE81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A08D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58BA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p>
        </w:tc>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6CC8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洗手衣裤</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7B0F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套</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1C6E0">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8</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AD25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2.3</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BBBAC">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2.0</w:t>
            </w:r>
          </w:p>
        </w:tc>
      </w:tr>
      <w:tr w14:paraId="5BC6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7CA5E">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6</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2ECE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巡回衣包</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15AE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42</w:t>
            </w: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7CE0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外包布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A9BF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110*110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6A92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B6C7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5976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081F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1.0</w:t>
            </w:r>
          </w:p>
        </w:tc>
      </w:tr>
      <w:tr w14:paraId="70BD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F694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9C25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D78C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9528A">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巡回衣裤</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2E3A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套</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340C7">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8</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02CA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2.3</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0B383">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2.0</w:t>
            </w:r>
          </w:p>
        </w:tc>
      </w:tr>
      <w:tr w14:paraId="2E7D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FC51D">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7</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86846">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治疗巾包</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545A0">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850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6A87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治疗巾</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BD84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90*90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CE695">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D805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C2734">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0.6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93101">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0.4</w:t>
            </w:r>
          </w:p>
        </w:tc>
      </w:tr>
      <w:tr w14:paraId="3DB2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00DE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0390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EEAE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13279">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外包布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0DE48">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130*130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B74DC">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93A42">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B52CB">
            <w:pPr>
              <w:keepNext w:val="0"/>
              <w:keepLines w:val="0"/>
              <w:widowControl/>
              <w:suppressLineNumbers w:val="0"/>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bidi="ar"/>
                <w14:textFill>
                  <w14:solidFill>
                    <w14:schemeClr w14:val="tx1"/>
                  </w14:solidFill>
                </w14:textFill>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D5DD9">
            <w:pPr>
              <w:keepNext w:val="0"/>
              <w:keepLines w:val="0"/>
              <w:widowControl/>
              <w:suppressLineNumbers w:val="0"/>
              <w:jc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bidi="ar"/>
                <w14:textFill>
                  <w14:solidFill>
                    <w14:schemeClr w14:val="tx1"/>
                  </w14:solidFill>
                </w14:textFill>
              </w:rPr>
              <w:t>1.0</w:t>
            </w:r>
          </w:p>
        </w:tc>
      </w:tr>
    </w:tbl>
    <w:p w14:paraId="1EB67FEB">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2.2采购单位有权在服务期内对手术包裹内各种数量及尺寸进行调整和变动，</w:t>
      </w:r>
      <w:r>
        <w:rPr>
          <w:rFonts w:hint="eastAsia" w:ascii="宋体" w:hAnsi="宋体"/>
          <w:bCs/>
          <w:color w:val="000000" w:themeColor="text1"/>
          <w:sz w:val="24"/>
          <w:highlight w:val="none"/>
          <w:lang w:eastAsia="zh-CN"/>
          <w14:textFill>
            <w14:solidFill>
              <w14:schemeClr w14:val="tx1"/>
            </w14:solidFill>
          </w14:textFill>
        </w:rPr>
        <w:t>中标单位</w:t>
      </w:r>
      <w:r>
        <w:rPr>
          <w:rFonts w:hint="eastAsia" w:ascii="宋体" w:hAnsi="宋体"/>
          <w:bCs/>
          <w:color w:val="000000" w:themeColor="text1"/>
          <w:sz w:val="24"/>
          <w:highlight w:val="none"/>
          <w14:textFill>
            <w14:solidFill>
              <w14:schemeClr w14:val="tx1"/>
            </w14:solidFill>
          </w14:textFill>
        </w:rPr>
        <w:t>需条件配合，调整后价格双方可友好协商解决。</w:t>
      </w:r>
    </w:p>
    <w:p w14:paraId="0E658184">
      <w:pPr>
        <w:widowControl/>
        <w:spacing w:line="360" w:lineRule="auto"/>
        <w:outlineLvl w:val="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五）服务</w:t>
      </w:r>
      <w:r>
        <w:rPr>
          <w:rFonts w:hint="eastAsia" w:ascii="宋体" w:hAnsi="宋体"/>
          <w:bCs/>
          <w:color w:val="000000" w:themeColor="text1"/>
          <w:sz w:val="24"/>
          <w:highlight w:val="none"/>
          <w14:textFill>
            <w14:solidFill>
              <w14:schemeClr w14:val="tx1"/>
            </w14:solidFill>
          </w14:textFill>
        </w:rPr>
        <w:t>人员、洗涤设备配置要求：</w:t>
      </w:r>
    </w:p>
    <w:p w14:paraId="78C0B9DA">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管理人员：2名；驻场服务人员：不少于4名；</w:t>
      </w:r>
    </w:p>
    <w:p w14:paraId="54B0B631">
      <w:pPr>
        <w:widowControl/>
        <w:spacing w:line="360" w:lineRule="auto"/>
        <w:outlineLvl w:val="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bCs/>
          <w:color w:val="000000" w:themeColor="text1"/>
          <w:sz w:val="24"/>
          <w:highlight w:val="none"/>
          <w14:textFill>
            <w14:solidFill>
              <w14:schemeClr w14:val="tx1"/>
            </w14:solidFill>
          </w14:textFill>
        </w:rPr>
        <w:t>服务</w:t>
      </w:r>
      <w:r>
        <w:rPr>
          <w:rFonts w:hint="eastAsia" w:ascii="宋体" w:hAnsi="宋体"/>
          <w:bCs/>
          <w:color w:val="000000" w:themeColor="text1"/>
          <w:sz w:val="24"/>
          <w:highlight w:val="none"/>
          <w:lang w:val="en-US" w:eastAsia="zh-CN"/>
          <w14:textFill>
            <w14:solidFill>
              <w14:schemeClr w14:val="tx1"/>
            </w14:solidFill>
          </w14:textFill>
        </w:rPr>
        <w:t>时间：</w:t>
      </w:r>
      <w:r>
        <w:rPr>
          <w:rFonts w:hint="eastAsia" w:ascii="宋体" w:hAnsi="宋体"/>
          <w:bCs/>
          <w:color w:val="000000" w:themeColor="text1"/>
          <w:sz w:val="24"/>
          <w:highlight w:val="none"/>
          <w14:textFill>
            <w14:solidFill>
              <w14:schemeClr w14:val="tx1"/>
            </w14:solidFill>
          </w14:textFill>
        </w:rPr>
        <w:t>每周七天</w:t>
      </w:r>
      <w:r>
        <w:rPr>
          <w:rFonts w:hint="eastAsia" w:ascii="宋体" w:hAnsi="宋体"/>
          <w:bCs/>
          <w:color w:val="000000" w:themeColor="text1"/>
          <w:sz w:val="24"/>
          <w:highlight w:val="none"/>
          <w:lang w:val="en-US"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每天保持八小时工作时间都必须有人值守。</w:t>
      </w:r>
    </w:p>
    <w:p w14:paraId="58BFD3F7">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对驻场服务人员进行入职和在岗培训，培训内容需涵盖全部服务内容，</w:t>
      </w:r>
      <w:r>
        <w:rPr>
          <w:rFonts w:hint="eastAsia" w:ascii="宋体" w:hAnsi="宋体"/>
          <w:bCs/>
          <w:color w:val="000000" w:themeColor="text1"/>
          <w:sz w:val="24"/>
          <w:highlight w:val="none"/>
          <w:lang w:val="en-US" w:eastAsia="zh-CN"/>
          <w14:textFill>
            <w14:solidFill>
              <w14:schemeClr w14:val="tx1"/>
            </w14:solidFill>
          </w14:textFill>
        </w:rPr>
        <w:t>提供</w:t>
      </w:r>
      <w:r>
        <w:rPr>
          <w:rFonts w:hint="eastAsia" w:ascii="宋体" w:hAnsi="宋体"/>
          <w:bCs/>
          <w:color w:val="000000" w:themeColor="text1"/>
          <w:sz w:val="24"/>
          <w:highlight w:val="none"/>
          <w14:textFill>
            <w14:solidFill>
              <w14:schemeClr w14:val="tx1"/>
            </w14:solidFill>
          </w14:textFill>
        </w:rPr>
        <w:t>考核评价体系。</w:t>
      </w:r>
    </w:p>
    <w:p w14:paraId="6BA6C764">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洗烘设备</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需</w:t>
      </w:r>
      <w:r>
        <w:rPr>
          <w:rFonts w:hint="eastAsia" w:ascii="宋体" w:hAnsi="宋体"/>
          <w:bCs/>
          <w:color w:val="000000" w:themeColor="text1"/>
          <w:sz w:val="24"/>
          <w:highlight w:val="none"/>
          <w:lang w:val="en-US" w:eastAsia="zh-CN"/>
          <w14:textFill>
            <w14:solidFill>
              <w14:schemeClr w14:val="tx1"/>
            </w14:solidFill>
          </w14:textFill>
        </w:rPr>
        <w:t>配备</w:t>
      </w:r>
      <w:r>
        <w:rPr>
          <w:rFonts w:hint="eastAsia" w:ascii="宋体" w:hAnsi="宋体"/>
          <w:bCs/>
          <w:color w:val="000000" w:themeColor="text1"/>
          <w:sz w:val="24"/>
          <w:highlight w:val="none"/>
          <w14:textFill>
            <w14:solidFill>
              <w14:schemeClr w14:val="tx1"/>
            </w14:solidFill>
          </w14:textFill>
        </w:rPr>
        <w:t>6台及以上全自动大型洗脱机、烘干机等。</w:t>
      </w:r>
    </w:p>
    <w:p w14:paraId="3FF94D13">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六）</w:t>
      </w:r>
      <w:r>
        <w:rPr>
          <w:rFonts w:hint="eastAsia" w:ascii="宋体" w:hAnsi="宋体"/>
          <w:bCs/>
          <w:color w:val="000000" w:themeColor="text1"/>
          <w:sz w:val="24"/>
          <w:highlight w:val="none"/>
          <w14:textFill>
            <w14:solidFill>
              <w14:schemeClr w14:val="tx1"/>
            </w14:solidFill>
          </w14:textFill>
        </w:rPr>
        <w:t>考核要求：</w:t>
      </w:r>
    </w:p>
    <w:p w14:paraId="2154F8E0">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每月采购单位的所在科室、病区对</w:t>
      </w:r>
      <w:r>
        <w:rPr>
          <w:rFonts w:hint="eastAsia" w:ascii="宋体" w:hAnsi="宋体"/>
          <w:bCs/>
          <w:color w:val="000000" w:themeColor="text1"/>
          <w:sz w:val="24"/>
          <w:highlight w:val="none"/>
          <w:lang w:eastAsia="zh-CN"/>
          <w14:textFill>
            <w14:solidFill>
              <w14:schemeClr w14:val="tx1"/>
            </w14:solidFill>
          </w14:textFill>
        </w:rPr>
        <w:t>中标单位</w:t>
      </w:r>
      <w:r>
        <w:rPr>
          <w:rFonts w:hint="eastAsia" w:ascii="宋体" w:hAnsi="宋体"/>
          <w:bCs/>
          <w:color w:val="000000" w:themeColor="text1"/>
          <w:sz w:val="24"/>
          <w:highlight w:val="none"/>
          <w14:textFill>
            <w14:solidFill>
              <w14:schemeClr w14:val="tx1"/>
            </w14:solidFill>
          </w14:textFill>
        </w:rPr>
        <w:t>上月的洗涤、缝补、熨烫、租赁质量进行考核打分，</w:t>
      </w:r>
      <w:r>
        <w:rPr>
          <w:rFonts w:hint="eastAsia" w:ascii="宋体" w:hAnsi="宋体" w:cs="宋体"/>
          <w:color w:val="000000" w:themeColor="text1"/>
          <w:sz w:val="24"/>
          <w:szCs w:val="24"/>
          <w:highlight w:val="none"/>
          <w14:textFill>
            <w14:solidFill>
              <w14:schemeClr w14:val="tx1"/>
            </w14:solidFill>
          </w14:textFill>
        </w:rPr>
        <w:t>考核总分为100分。得分</w:t>
      </w:r>
      <w:r>
        <w:rPr>
          <w:rFonts w:hint="eastAsia" w:ascii="宋体" w:hAnsi="宋体"/>
          <w:bCs/>
          <w:color w:val="000000" w:themeColor="text1"/>
          <w:sz w:val="24"/>
          <w:highlight w:val="none"/>
          <w14:textFill>
            <w14:solidFill>
              <w14:schemeClr w14:val="tx1"/>
            </w14:solidFill>
          </w14:textFill>
        </w:rPr>
        <w:t>90分为基准合格，月考核分在8</w:t>
      </w:r>
      <w:r>
        <w:rPr>
          <w:rFonts w:hint="eastAsia" w:ascii="宋体" w:hAnsi="宋体"/>
          <w:bCs/>
          <w:color w:val="000000" w:themeColor="text1"/>
          <w:sz w:val="24"/>
          <w:highlight w:val="none"/>
          <w:lang w:val="en-US" w:eastAsia="zh-CN"/>
          <w14:textFill>
            <w14:solidFill>
              <w14:schemeClr w14:val="tx1"/>
            </w14:solidFill>
          </w14:textFill>
        </w:rPr>
        <w:t>6</w:t>
      </w:r>
      <w:r>
        <w:rPr>
          <w:rFonts w:hint="eastAsia" w:ascii="宋体" w:hAnsi="宋体"/>
          <w:bCs/>
          <w:color w:val="000000" w:themeColor="text1"/>
          <w:sz w:val="24"/>
          <w:highlight w:val="none"/>
          <w14:textFill>
            <w14:solidFill>
              <w14:schemeClr w14:val="tx1"/>
            </w14:solidFill>
          </w14:textFill>
        </w:rPr>
        <w:t>-90，第一个月警告整改，第二个月每降低1分扣500元，第三个月每降低1分扣1000元；月考核分7</w:t>
      </w:r>
      <w:r>
        <w:rPr>
          <w:rFonts w:hint="eastAsia" w:ascii="宋体" w:hAnsi="宋体"/>
          <w:bCs/>
          <w:color w:val="000000" w:themeColor="text1"/>
          <w:sz w:val="24"/>
          <w:highlight w:val="none"/>
          <w:lang w:val="en-US" w:eastAsia="zh-CN"/>
          <w14:textFill>
            <w14:solidFill>
              <w14:schemeClr w14:val="tx1"/>
            </w14:solidFill>
          </w14:textFill>
        </w:rPr>
        <w:t>6</w:t>
      </w:r>
      <w:r>
        <w:rPr>
          <w:rFonts w:hint="eastAsia" w:ascii="宋体" w:hAnsi="宋体"/>
          <w:bCs/>
          <w:color w:val="000000" w:themeColor="text1"/>
          <w:sz w:val="24"/>
          <w:highlight w:val="none"/>
          <w14:textFill>
            <w14:solidFill>
              <w14:schemeClr w14:val="tx1"/>
            </w14:solidFill>
          </w14:textFill>
        </w:rPr>
        <w:t>-85分，每分扣</w:t>
      </w:r>
      <w:r>
        <w:rPr>
          <w:rFonts w:hint="eastAsia" w:ascii="宋体" w:hAnsi="宋体" w:cs="宋体"/>
          <w:color w:val="000000" w:themeColor="text1"/>
          <w:sz w:val="24"/>
          <w:szCs w:val="24"/>
          <w:highlight w:val="none"/>
          <w14:textFill>
            <w14:solidFill>
              <w14:schemeClr w14:val="tx1"/>
            </w14:solidFill>
          </w14:textFill>
        </w:rPr>
        <w:t>月洗涤费用的</w:t>
      </w:r>
      <w:r>
        <w:rPr>
          <w:rFonts w:hint="eastAsia" w:ascii="宋体" w:hAnsi="宋体"/>
          <w:bCs/>
          <w:color w:val="000000" w:themeColor="text1"/>
          <w:sz w:val="24"/>
          <w:highlight w:val="none"/>
          <w14:textFill>
            <w14:solidFill>
              <w14:schemeClr w14:val="tx1"/>
            </w14:solidFill>
          </w14:textFill>
        </w:rPr>
        <w:t>1%；月考核分6</w:t>
      </w:r>
      <w:r>
        <w:rPr>
          <w:rFonts w:hint="eastAsia" w:ascii="宋体" w:hAnsi="宋体"/>
          <w:bCs/>
          <w:color w:val="000000" w:themeColor="text1"/>
          <w:sz w:val="24"/>
          <w:highlight w:val="none"/>
          <w:lang w:val="en-US" w:eastAsia="zh-CN"/>
          <w14:textFill>
            <w14:solidFill>
              <w14:schemeClr w14:val="tx1"/>
            </w14:solidFill>
          </w14:textFill>
        </w:rPr>
        <w:t>6</w:t>
      </w:r>
      <w:r>
        <w:rPr>
          <w:rFonts w:hint="eastAsia" w:ascii="宋体" w:hAnsi="宋体"/>
          <w:bCs/>
          <w:color w:val="000000" w:themeColor="text1"/>
          <w:sz w:val="24"/>
          <w:highlight w:val="none"/>
          <w14:textFill>
            <w14:solidFill>
              <w14:schemeClr w14:val="tx1"/>
            </w14:solidFill>
          </w14:textFill>
        </w:rPr>
        <w:t>-75分，每分扣</w:t>
      </w:r>
      <w:r>
        <w:rPr>
          <w:rFonts w:hint="eastAsia" w:ascii="宋体" w:hAnsi="宋体" w:cs="宋体"/>
          <w:color w:val="000000" w:themeColor="text1"/>
          <w:sz w:val="24"/>
          <w:szCs w:val="24"/>
          <w:highlight w:val="none"/>
          <w14:textFill>
            <w14:solidFill>
              <w14:schemeClr w14:val="tx1"/>
            </w14:solidFill>
          </w14:textFill>
        </w:rPr>
        <w:t>月洗涤费用的</w:t>
      </w:r>
      <w:r>
        <w:rPr>
          <w:rFonts w:hint="eastAsia" w:ascii="宋体" w:hAnsi="宋体"/>
          <w:bCs/>
          <w:color w:val="000000" w:themeColor="text1"/>
          <w:sz w:val="24"/>
          <w:highlight w:val="none"/>
          <w14:textFill>
            <w14:solidFill>
              <w14:schemeClr w14:val="tx1"/>
            </w14:solidFill>
          </w14:textFill>
        </w:rPr>
        <w:t>2%；月考核分60-65分，每分扣</w:t>
      </w:r>
      <w:r>
        <w:rPr>
          <w:rFonts w:hint="eastAsia" w:ascii="宋体" w:hAnsi="宋体" w:cs="宋体"/>
          <w:color w:val="000000" w:themeColor="text1"/>
          <w:sz w:val="24"/>
          <w:szCs w:val="24"/>
          <w:highlight w:val="none"/>
          <w14:textFill>
            <w14:solidFill>
              <w14:schemeClr w14:val="tx1"/>
            </w14:solidFill>
          </w14:textFill>
        </w:rPr>
        <w:t>月洗涤费用的</w:t>
      </w:r>
      <w:r>
        <w:rPr>
          <w:rFonts w:hint="eastAsia" w:ascii="宋体" w:hAnsi="宋体"/>
          <w:bCs/>
          <w:color w:val="000000" w:themeColor="text1"/>
          <w:sz w:val="24"/>
          <w:highlight w:val="none"/>
          <w14:textFill>
            <w14:solidFill>
              <w14:schemeClr w14:val="tx1"/>
            </w14:solidFill>
          </w14:textFill>
        </w:rPr>
        <w:t>4%；月考核分在60分以下，扣除当月</w:t>
      </w:r>
      <w:r>
        <w:rPr>
          <w:rFonts w:hint="eastAsia" w:ascii="宋体" w:hAnsi="宋体" w:cs="宋体"/>
          <w:color w:val="000000" w:themeColor="text1"/>
          <w:sz w:val="24"/>
          <w:szCs w:val="24"/>
          <w:highlight w:val="none"/>
          <w14:textFill>
            <w14:solidFill>
              <w14:schemeClr w14:val="tx1"/>
            </w14:solidFill>
          </w14:textFill>
        </w:rPr>
        <w:t>洗涤费用</w:t>
      </w:r>
      <w:r>
        <w:rPr>
          <w:rFonts w:hint="eastAsia" w:ascii="宋体" w:hAnsi="宋体"/>
          <w:bCs/>
          <w:color w:val="000000" w:themeColor="text1"/>
          <w:sz w:val="24"/>
          <w:highlight w:val="none"/>
          <w14:textFill>
            <w14:solidFill>
              <w14:schemeClr w14:val="tx1"/>
            </w14:solidFill>
          </w14:textFill>
        </w:rPr>
        <w:t>。</w:t>
      </w:r>
    </w:p>
    <w:p w14:paraId="52BAD4E0">
      <w:pPr>
        <w:widowControl/>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2、</w:t>
      </w:r>
      <w:r>
        <w:rPr>
          <w:rFonts w:hint="eastAsia" w:ascii="宋体" w:hAnsi="宋体"/>
          <w:bCs/>
          <w:color w:val="000000" w:themeColor="text1"/>
          <w:sz w:val="24"/>
          <w:highlight w:val="none"/>
          <w14:textFill>
            <w14:solidFill>
              <w14:schemeClr w14:val="tx1"/>
            </w14:solidFill>
          </w14:textFill>
        </w:rPr>
        <w:t>每月通报考核分（一份</w:t>
      </w:r>
      <w:r>
        <w:rPr>
          <w:rFonts w:hint="eastAsia" w:ascii="宋体" w:hAnsi="宋体"/>
          <w:bCs/>
          <w:color w:val="000000" w:themeColor="text1"/>
          <w:sz w:val="24"/>
          <w:highlight w:val="none"/>
          <w:lang w:eastAsia="zh-CN"/>
          <w14:textFill>
            <w14:solidFill>
              <w14:schemeClr w14:val="tx1"/>
            </w14:solidFill>
          </w14:textFill>
        </w:rPr>
        <w:t>中标单位</w:t>
      </w:r>
      <w:r>
        <w:rPr>
          <w:rFonts w:hint="eastAsia" w:ascii="宋体" w:hAnsi="宋体"/>
          <w:bCs/>
          <w:color w:val="000000" w:themeColor="text1"/>
          <w:sz w:val="24"/>
          <w:highlight w:val="none"/>
          <w14:textFill>
            <w14:solidFill>
              <w14:schemeClr w14:val="tx1"/>
            </w14:solidFill>
          </w14:textFill>
        </w:rPr>
        <w:t>留存，一份采购单位后勤备存）与洗涤费用结算挂钩。由后勤、</w:t>
      </w:r>
      <w:r>
        <w:rPr>
          <w:rFonts w:hint="eastAsia" w:ascii="宋体" w:hAnsi="宋体"/>
          <w:bCs/>
          <w:color w:val="000000" w:themeColor="text1"/>
          <w:sz w:val="24"/>
          <w:highlight w:val="none"/>
          <w:lang w:eastAsia="zh-CN"/>
          <w14:textFill>
            <w14:solidFill>
              <w14:schemeClr w14:val="tx1"/>
            </w14:solidFill>
          </w14:textFill>
        </w:rPr>
        <w:t>中标单位</w:t>
      </w:r>
      <w:r>
        <w:rPr>
          <w:rFonts w:hint="eastAsia" w:ascii="宋体" w:hAnsi="宋体"/>
          <w:bCs/>
          <w:color w:val="000000" w:themeColor="text1"/>
          <w:sz w:val="24"/>
          <w:highlight w:val="none"/>
          <w14:textFill>
            <w14:solidFill>
              <w14:schemeClr w14:val="tx1"/>
            </w14:solidFill>
          </w14:textFill>
        </w:rPr>
        <w:t>管理人员到现场各部门进行考核；后勤保障部不定期进行抽部门现场考核，占总分权重的30%；部门投诉，双方调查核实，直接扣总分同时视情节严重进行单项考核扣款（500~2000元）；后勤、</w:t>
      </w:r>
      <w:r>
        <w:rPr>
          <w:rFonts w:hint="eastAsia" w:ascii="宋体" w:hAnsi="宋体"/>
          <w:bCs/>
          <w:color w:val="000000" w:themeColor="text1"/>
          <w:sz w:val="24"/>
          <w:highlight w:val="none"/>
          <w:lang w:eastAsia="zh-CN"/>
          <w14:textFill>
            <w14:solidFill>
              <w14:schemeClr w14:val="tx1"/>
            </w14:solidFill>
          </w14:textFill>
        </w:rPr>
        <w:t>中标单位</w:t>
      </w:r>
      <w:r>
        <w:rPr>
          <w:rFonts w:hint="eastAsia" w:ascii="宋体" w:hAnsi="宋体"/>
          <w:bCs/>
          <w:color w:val="000000" w:themeColor="text1"/>
          <w:sz w:val="24"/>
          <w:highlight w:val="none"/>
          <w14:textFill>
            <w14:solidFill>
              <w14:schemeClr w14:val="tx1"/>
            </w14:solidFill>
          </w14:textFill>
        </w:rPr>
        <w:t>对考核结果进行分析，实施整改。</w:t>
      </w:r>
    </w:p>
    <w:p w14:paraId="3E9C961D">
      <w:pPr>
        <w:widowControl/>
        <w:spacing w:line="360" w:lineRule="auto"/>
        <w:outlineLvl w:val="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3、</w:t>
      </w:r>
      <w:r>
        <w:rPr>
          <w:rFonts w:hint="eastAsia" w:ascii="宋体" w:hAnsi="宋体"/>
          <w:bCs/>
          <w:color w:val="000000" w:themeColor="text1"/>
          <w:sz w:val="24"/>
          <w:highlight w:val="none"/>
          <w14:textFill>
            <w14:solidFill>
              <w14:schemeClr w14:val="tx1"/>
            </w14:solidFill>
          </w14:textFill>
        </w:rPr>
        <w:t>考核细则：</w:t>
      </w:r>
    </w:p>
    <w:tbl>
      <w:tblPr>
        <w:tblStyle w:val="40"/>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46"/>
        <w:gridCol w:w="746"/>
        <w:gridCol w:w="3167"/>
      </w:tblGrid>
      <w:tr w14:paraId="5B57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noWrap w:val="0"/>
            <w:vAlign w:val="center"/>
          </w:tcPr>
          <w:p w14:paraId="027FD872">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序号</w:t>
            </w:r>
          </w:p>
        </w:tc>
        <w:tc>
          <w:tcPr>
            <w:tcW w:w="3646" w:type="dxa"/>
            <w:noWrap w:val="0"/>
            <w:vAlign w:val="center"/>
          </w:tcPr>
          <w:p w14:paraId="1E8891F4">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工作内容</w:t>
            </w:r>
          </w:p>
        </w:tc>
        <w:tc>
          <w:tcPr>
            <w:tcW w:w="746" w:type="dxa"/>
            <w:noWrap w:val="0"/>
            <w:vAlign w:val="center"/>
          </w:tcPr>
          <w:p w14:paraId="4E18141E">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分值</w:t>
            </w:r>
          </w:p>
        </w:tc>
        <w:tc>
          <w:tcPr>
            <w:tcW w:w="3167" w:type="dxa"/>
            <w:noWrap w:val="0"/>
            <w:vAlign w:val="center"/>
          </w:tcPr>
          <w:p w14:paraId="7AFF81EC">
            <w:pPr>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检查考核细则</w:t>
            </w:r>
          </w:p>
        </w:tc>
      </w:tr>
      <w:tr w14:paraId="7D9F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noWrap w:val="0"/>
            <w:vAlign w:val="center"/>
          </w:tcPr>
          <w:p w14:paraId="237613D2">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p>
        </w:tc>
        <w:tc>
          <w:tcPr>
            <w:tcW w:w="3646" w:type="dxa"/>
            <w:noWrap w:val="0"/>
            <w:vAlign w:val="center"/>
          </w:tcPr>
          <w:p w14:paraId="088945F5">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按时收集、洗涤、送达需洗涤的被服</w:t>
            </w:r>
          </w:p>
        </w:tc>
        <w:tc>
          <w:tcPr>
            <w:tcW w:w="746" w:type="dxa"/>
            <w:noWrap w:val="0"/>
            <w:vAlign w:val="center"/>
          </w:tcPr>
          <w:p w14:paraId="1B9A816D">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15</w:t>
            </w:r>
          </w:p>
        </w:tc>
        <w:tc>
          <w:tcPr>
            <w:tcW w:w="3167" w:type="dxa"/>
            <w:noWrap w:val="0"/>
            <w:vAlign w:val="center"/>
          </w:tcPr>
          <w:p w14:paraId="30A58174">
            <w:pP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未按时收集、洗涤、送达每次扣2分</w:t>
            </w:r>
          </w:p>
        </w:tc>
      </w:tr>
      <w:tr w14:paraId="1A57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noWrap w:val="0"/>
            <w:vAlign w:val="center"/>
          </w:tcPr>
          <w:p w14:paraId="1A63C5E1">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p>
        </w:tc>
        <w:tc>
          <w:tcPr>
            <w:tcW w:w="3646" w:type="dxa"/>
            <w:noWrap w:val="0"/>
            <w:vAlign w:val="center"/>
          </w:tcPr>
          <w:p w14:paraId="7A8991D8">
            <w:pP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根据医用被服物品的特点分类合理洗涤，使用的洗涤剂、消毒剂及残留量符合国家规定</w:t>
            </w:r>
          </w:p>
        </w:tc>
        <w:tc>
          <w:tcPr>
            <w:tcW w:w="746" w:type="dxa"/>
            <w:noWrap w:val="0"/>
            <w:vAlign w:val="center"/>
          </w:tcPr>
          <w:p w14:paraId="3F134A1B">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w:t>
            </w:r>
          </w:p>
        </w:tc>
        <w:tc>
          <w:tcPr>
            <w:tcW w:w="3167" w:type="dxa"/>
            <w:noWrap w:val="0"/>
            <w:vAlign w:val="center"/>
          </w:tcPr>
          <w:p w14:paraId="65B3D518">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未分类洗涤而造成的被服损坏每次扣10分，残留量超过国家规定扣5分。</w:t>
            </w:r>
          </w:p>
        </w:tc>
      </w:tr>
      <w:tr w14:paraId="3203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noWrap w:val="0"/>
            <w:vAlign w:val="center"/>
          </w:tcPr>
          <w:p w14:paraId="1AD755FC">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c>
          <w:tcPr>
            <w:tcW w:w="3646" w:type="dxa"/>
            <w:noWrap w:val="0"/>
            <w:vAlign w:val="center"/>
          </w:tcPr>
          <w:p w14:paraId="14C5DF21">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洗涤物品均需接受卫生防疫部门的抽检</w:t>
            </w:r>
          </w:p>
        </w:tc>
        <w:tc>
          <w:tcPr>
            <w:tcW w:w="746" w:type="dxa"/>
            <w:noWrap w:val="0"/>
            <w:vAlign w:val="center"/>
          </w:tcPr>
          <w:p w14:paraId="5ACAF80E">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w:t>
            </w:r>
          </w:p>
        </w:tc>
        <w:tc>
          <w:tcPr>
            <w:tcW w:w="3167" w:type="dxa"/>
            <w:noWrap w:val="0"/>
            <w:vAlign w:val="center"/>
          </w:tcPr>
          <w:p w14:paraId="711AC412">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检测结果不合格扣</w:t>
            </w:r>
            <w:r>
              <w:rPr>
                <w:rFonts w:hint="eastAsia" w:ascii="宋体" w:hAnsi="宋体" w:cs="宋体"/>
                <w:bCs/>
                <w:color w:val="000000" w:themeColor="text1"/>
                <w:sz w:val="24"/>
                <w:szCs w:val="24"/>
                <w:highlight w:val="none"/>
                <w:lang w:val="en-US" w:eastAsia="zh-CN"/>
                <w14:textFill>
                  <w14:solidFill>
                    <w14:schemeClr w14:val="tx1"/>
                  </w14:solidFill>
                </w14:textFill>
              </w:rPr>
              <w:t>5</w:t>
            </w:r>
            <w:r>
              <w:rPr>
                <w:rFonts w:hint="eastAsia" w:ascii="宋体" w:hAnsi="宋体" w:cs="宋体"/>
                <w:bCs/>
                <w:color w:val="000000" w:themeColor="text1"/>
                <w:sz w:val="24"/>
                <w:szCs w:val="24"/>
                <w:highlight w:val="none"/>
                <w14:textFill>
                  <w14:solidFill>
                    <w14:schemeClr w14:val="tx1"/>
                  </w14:solidFill>
                </w14:textFill>
              </w:rPr>
              <w:t>分</w:t>
            </w:r>
          </w:p>
        </w:tc>
      </w:tr>
      <w:tr w14:paraId="74F3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noWrap w:val="0"/>
            <w:vAlign w:val="center"/>
          </w:tcPr>
          <w:p w14:paraId="10AFC991">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w:t>
            </w:r>
          </w:p>
        </w:tc>
        <w:tc>
          <w:tcPr>
            <w:tcW w:w="3646" w:type="dxa"/>
            <w:noWrap w:val="0"/>
            <w:vAlign w:val="center"/>
          </w:tcPr>
          <w:p w14:paraId="1833FEE3">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收、送洗涤织物必须密闭后收集运输</w:t>
            </w:r>
          </w:p>
        </w:tc>
        <w:tc>
          <w:tcPr>
            <w:tcW w:w="746" w:type="dxa"/>
            <w:noWrap w:val="0"/>
            <w:vAlign w:val="center"/>
          </w:tcPr>
          <w:p w14:paraId="28753D64">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w:t>
            </w:r>
          </w:p>
        </w:tc>
        <w:tc>
          <w:tcPr>
            <w:tcW w:w="3167" w:type="dxa"/>
            <w:noWrap w:val="0"/>
            <w:vAlign w:val="center"/>
          </w:tcPr>
          <w:p w14:paraId="51F0CF09">
            <w:pP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未采用密闭手段收、发的每次扣2分</w:t>
            </w:r>
          </w:p>
        </w:tc>
      </w:tr>
      <w:tr w14:paraId="7CC2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noWrap w:val="0"/>
            <w:vAlign w:val="center"/>
          </w:tcPr>
          <w:p w14:paraId="0BC338AD">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w:t>
            </w:r>
          </w:p>
        </w:tc>
        <w:tc>
          <w:tcPr>
            <w:tcW w:w="3646" w:type="dxa"/>
            <w:noWrap w:val="0"/>
            <w:vAlign w:val="center"/>
          </w:tcPr>
          <w:p w14:paraId="23599E2D">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清洁织物卫生质量达标（WS/T508）</w:t>
            </w:r>
          </w:p>
        </w:tc>
        <w:tc>
          <w:tcPr>
            <w:tcW w:w="746" w:type="dxa"/>
            <w:noWrap w:val="0"/>
            <w:vAlign w:val="center"/>
          </w:tcPr>
          <w:p w14:paraId="42B02BDC">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w:t>
            </w:r>
          </w:p>
        </w:tc>
        <w:tc>
          <w:tcPr>
            <w:tcW w:w="3167" w:type="dxa"/>
            <w:noWrap w:val="0"/>
            <w:vAlign w:val="center"/>
          </w:tcPr>
          <w:p w14:paraId="24BC88AA">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发现一次不达标的扣20分</w:t>
            </w:r>
          </w:p>
        </w:tc>
      </w:tr>
      <w:tr w14:paraId="075A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noWrap w:val="0"/>
            <w:vAlign w:val="center"/>
          </w:tcPr>
          <w:p w14:paraId="1CDB0B9E">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w:t>
            </w:r>
          </w:p>
        </w:tc>
        <w:tc>
          <w:tcPr>
            <w:tcW w:w="3646" w:type="dxa"/>
            <w:noWrap w:val="0"/>
            <w:vAlign w:val="center"/>
          </w:tcPr>
          <w:p w14:paraId="7A454512">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未报废物品中出现小洞，脱线，掉纽扣等负责缝补后再送往医院</w:t>
            </w:r>
          </w:p>
        </w:tc>
        <w:tc>
          <w:tcPr>
            <w:tcW w:w="746" w:type="dxa"/>
            <w:noWrap w:val="0"/>
            <w:vAlign w:val="center"/>
          </w:tcPr>
          <w:p w14:paraId="1396AAC3">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w:t>
            </w:r>
          </w:p>
        </w:tc>
        <w:tc>
          <w:tcPr>
            <w:tcW w:w="3167" w:type="dxa"/>
            <w:noWrap w:val="0"/>
            <w:vAlign w:val="center"/>
          </w:tcPr>
          <w:p w14:paraId="7BE51E9C">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未报废而不缝补的物品送入医院的扣5分</w:t>
            </w:r>
          </w:p>
        </w:tc>
      </w:tr>
      <w:tr w14:paraId="6247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noWrap w:val="0"/>
            <w:vAlign w:val="center"/>
          </w:tcPr>
          <w:p w14:paraId="6F4C5A9C">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w:t>
            </w:r>
          </w:p>
        </w:tc>
        <w:tc>
          <w:tcPr>
            <w:tcW w:w="3646" w:type="dxa"/>
            <w:noWrap w:val="0"/>
            <w:vAlign w:val="center"/>
          </w:tcPr>
          <w:p w14:paraId="6B3B09DB">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洗涤后衣物需折叠熨烫</w:t>
            </w:r>
          </w:p>
        </w:tc>
        <w:tc>
          <w:tcPr>
            <w:tcW w:w="746" w:type="dxa"/>
            <w:noWrap w:val="0"/>
            <w:vAlign w:val="center"/>
          </w:tcPr>
          <w:p w14:paraId="1F2900A1">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w:t>
            </w:r>
          </w:p>
        </w:tc>
        <w:tc>
          <w:tcPr>
            <w:tcW w:w="3167" w:type="dxa"/>
            <w:noWrap w:val="0"/>
            <w:vAlign w:val="center"/>
          </w:tcPr>
          <w:p w14:paraId="2AA42393">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发现一批未折叠熨烫的扣5分</w:t>
            </w:r>
          </w:p>
        </w:tc>
      </w:tr>
      <w:tr w14:paraId="59A5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noWrap w:val="0"/>
            <w:vAlign w:val="center"/>
          </w:tcPr>
          <w:p w14:paraId="53C6E97F">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w:t>
            </w:r>
          </w:p>
        </w:tc>
        <w:tc>
          <w:tcPr>
            <w:tcW w:w="3646" w:type="dxa"/>
            <w:noWrap w:val="0"/>
            <w:vAlign w:val="center"/>
          </w:tcPr>
          <w:p w14:paraId="7FEC4C2E">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服务人员需配合保持院内环境整洁，不得在医疗区域抖动清点脏织物，不得随意丢弃个人垃圾，禁止吸烟；必须遵守医院纪律、服务态度良好。</w:t>
            </w:r>
          </w:p>
        </w:tc>
        <w:tc>
          <w:tcPr>
            <w:tcW w:w="746" w:type="dxa"/>
            <w:noWrap w:val="0"/>
            <w:vAlign w:val="center"/>
          </w:tcPr>
          <w:p w14:paraId="0D50BCAF">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15</w:t>
            </w:r>
          </w:p>
        </w:tc>
        <w:tc>
          <w:tcPr>
            <w:tcW w:w="3167" w:type="dxa"/>
            <w:noWrap w:val="0"/>
            <w:vAlign w:val="center"/>
          </w:tcPr>
          <w:p w14:paraId="6A39AA67">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每发现一次扣5分</w:t>
            </w:r>
          </w:p>
        </w:tc>
      </w:tr>
      <w:tr w14:paraId="2E1E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noWrap w:val="0"/>
            <w:vAlign w:val="center"/>
          </w:tcPr>
          <w:p w14:paraId="7126A3EA">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9</w:t>
            </w:r>
          </w:p>
        </w:tc>
        <w:tc>
          <w:tcPr>
            <w:tcW w:w="3646" w:type="dxa"/>
            <w:noWrap w:val="0"/>
            <w:vAlign w:val="center"/>
          </w:tcPr>
          <w:p w14:paraId="324F15A8">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运输车辆按序停放在指定地点</w:t>
            </w:r>
          </w:p>
        </w:tc>
        <w:tc>
          <w:tcPr>
            <w:tcW w:w="746" w:type="dxa"/>
            <w:noWrap w:val="0"/>
            <w:vAlign w:val="center"/>
          </w:tcPr>
          <w:p w14:paraId="42715B2B">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w:t>
            </w:r>
          </w:p>
        </w:tc>
        <w:tc>
          <w:tcPr>
            <w:tcW w:w="3167" w:type="dxa"/>
            <w:noWrap w:val="0"/>
            <w:vAlign w:val="center"/>
          </w:tcPr>
          <w:p w14:paraId="33C0C21F">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违停乱放的每次扣2分</w:t>
            </w:r>
          </w:p>
        </w:tc>
      </w:tr>
      <w:tr w14:paraId="5D10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noWrap w:val="0"/>
            <w:vAlign w:val="center"/>
          </w:tcPr>
          <w:p w14:paraId="572B28F2">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w:t>
            </w:r>
          </w:p>
        </w:tc>
        <w:tc>
          <w:tcPr>
            <w:tcW w:w="3646" w:type="dxa"/>
            <w:noWrap w:val="0"/>
            <w:vAlign w:val="center"/>
          </w:tcPr>
          <w:p w14:paraId="2C005E87">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手术室租赁包裹数量和尺寸及质量保证达标</w:t>
            </w:r>
          </w:p>
        </w:tc>
        <w:tc>
          <w:tcPr>
            <w:tcW w:w="746" w:type="dxa"/>
            <w:noWrap w:val="0"/>
            <w:vAlign w:val="center"/>
          </w:tcPr>
          <w:p w14:paraId="73F02520">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w:t>
            </w:r>
          </w:p>
        </w:tc>
        <w:tc>
          <w:tcPr>
            <w:tcW w:w="3167" w:type="dxa"/>
            <w:noWrap w:val="0"/>
            <w:vAlign w:val="center"/>
          </w:tcPr>
          <w:p w14:paraId="48B88066">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每发现一次扣5分</w:t>
            </w:r>
          </w:p>
        </w:tc>
      </w:tr>
      <w:tr w14:paraId="4731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noWrap w:val="0"/>
            <w:vAlign w:val="center"/>
          </w:tcPr>
          <w:p w14:paraId="3A496E56">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w:t>
            </w:r>
          </w:p>
        </w:tc>
        <w:tc>
          <w:tcPr>
            <w:tcW w:w="3646" w:type="dxa"/>
            <w:noWrap w:val="0"/>
            <w:vAlign w:val="center"/>
          </w:tcPr>
          <w:p w14:paraId="6A2EE65B">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工作服及被服不得用笔涂改标记。</w:t>
            </w:r>
          </w:p>
        </w:tc>
        <w:tc>
          <w:tcPr>
            <w:tcW w:w="746" w:type="dxa"/>
            <w:noWrap w:val="0"/>
            <w:vAlign w:val="center"/>
          </w:tcPr>
          <w:p w14:paraId="5AA4E608">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w:t>
            </w:r>
          </w:p>
        </w:tc>
        <w:tc>
          <w:tcPr>
            <w:tcW w:w="3167" w:type="dxa"/>
            <w:noWrap w:val="0"/>
            <w:vAlign w:val="center"/>
          </w:tcPr>
          <w:p w14:paraId="145859CD">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发现一件扣1分，或免费赔偿一件。</w:t>
            </w:r>
          </w:p>
        </w:tc>
      </w:tr>
      <w:tr w14:paraId="17D3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5" w:type="dxa"/>
            <w:noWrap w:val="0"/>
            <w:vAlign w:val="center"/>
          </w:tcPr>
          <w:p w14:paraId="45677D75">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w:t>
            </w:r>
          </w:p>
        </w:tc>
        <w:tc>
          <w:tcPr>
            <w:tcW w:w="3646" w:type="dxa"/>
            <w:noWrap w:val="0"/>
            <w:vAlign w:val="center"/>
          </w:tcPr>
          <w:p w14:paraId="49F5536C">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具有应急配备供应</w:t>
            </w:r>
          </w:p>
        </w:tc>
        <w:tc>
          <w:tcPr>
            <w:tcW w:w="746" w:type="dxa"/>
            <w:noWrap w:val="0"/>
            <w:vAlign w:val="center"/>
          </w:tcPr>
          <w:p w14:paraId="33D7DFF5">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w:t>
            </w:r>
          </w:p>
        </w:tc>
        <w:tc>
          <w:tcPr>
            <w:tcW w:w="3167" w:type="dxa"/>
            <w:noWrap w:val="0"/>
            <w:vAlign w:val="center"/>
          </w:tcPr>
          <w:p w14:paraId="3B9A603C">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应急供应不到位扣除5分</w:t>
            </w:r>
          </w:p>
        </w:tc>
      </w:tr>
    </w:tbl>
    <w:p w14:paraId="0960C7C3">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五、综合说明：</w:t>
      </w:r>
    </w:p>
    <w:p w14:paraId="263ACAA8">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1、投标单位必须说明其是否响应采购文件中提出的全部服务内容与要求，如果对其中某些条款不响应时，应在文件中逐条列出。</w:t>
      </w:r>
    </w:p>
    <w:p w14:paraId="1B0EBD7C">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2、本项目中投标报价</w:t>
      </w:r>
      <w:r>
        <w:rPr>
          <w:rFonts w:hint="eastAsia" w:ascii="宋体" w:hAnsi="宋体" w:cs="宋体"/>
          <w:color w:val="000000" w:themeColor="text1"/>
          <w:sz w:val="24"/>
          <w:szCs w:val="24"/>
          <w:highlight w:val="none"/>
          <w:lang w:eastAsia="zh-CN"/>
          <w14:textFill>
            <w14:solidFill>
              <w14:schemeClr w14:val="tx1"/>
            </w14:solidFill>
          </w14:textFill>
        </w:rPr>
        <w:t>包括在承包期内完成服务内容所需要人员工资、奖金、节假日加班费用、社保、意外险及各类保险、运输、洗涤、租费、税金、利润、管理费、维护及平时保养耗材费用、工具损耗、招标代理服务费及合同包含的所有风险、责任等各项应有费用</w:t>
      </w:r>
      <w:r>
        <w:rPr>
          <w:rFonts w:hint="eastAsia" w:ascii="宋体" w:hAnsi="宋体" w:eastAsia="宋体" w:cs="宋体"/>
          <w:color w:val="000000" w:themeColor="text1"/>
          <w:sz w:val="24"/>
          <w:szCs w:val="24"/>
          <w:highlight w:val="none"/>
          <w14:textFill>
            <w14:solidFill>
              <w14:schemeClr w14:val="tx1"/>
            </w14:solidFill>
          </w14:textFill>
        </w:rPr>
        <w:t>。</w:t>
      </w:r>
    </w:p>
    <w:p w14:paraId="483F8601">
      <w:pPr>
        <w:keepNext w:val="0"/>
        <w:keepLines w:val="0"/>
        <w:pageBreakBefore w:val="0"/>
        <w:widowControl w:val="0"/>
        <w:spacing w:beforeAutospacing="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bCs/>
          <w:color w:val="000000" w:themeColor="text1"/>
          <w:sz w:val="24"/>
          <w:highlight w:val="none"/>
          <w:lang w:val="en-US" w:eastAsia="zh-CN"/>
          <w14:textFill>
            <w14:solidFill>
              <w14:schemeClr w14:val="tx1"/>
            </w14:solidFill>
          </w14:textFill>
        </w:rPr>
        <w:t>中标</w:t>
      </w:r>
      <w:r>
        <w:rPr>
          <w:rFonts w:hint="eastAsia" w:ascii="宋体" w:hAnsi="宋体"/>
          <w:bCs/>
          <w:color w:val="000000" w:themeColor="text1"/>
          <w:sz w:val="24"/>
          <w:highlight w:val="none"/>
          <w:lang w:val="zh-CN"/>
          <w14:textFill>
            <w14:solidFill>
              <w14:schemeClr w14:val="tx1"/>
            </w14:solidFill>
          </w14:textFill>
        </w:rPr>
        <w:t>单位需无条件配合采购单位各类检查、评审工作等突击工作（如：安排人员临时加班等）；如出现疑似织物的不良事件，</w:t>
      </w:r>
      <w:r>
        <w:rPr>
          <w:rFonts w:hint="eastAsia" w:ascii="宋体" w:hAnsi="宋体"/>
          <w:bCs/>
          <w:color w:val="000000" w:themeColor="text1"/>
          <w:sz w:val="24"/>
          <w:highlight w:val="none"/>
          <w:lang w:val="en-US" w:eastAsia="zh-CN"/>
          <w14:textFill>
            <w14:solidFill>
              <w14:schemeClr w14:val="tx1"/>
            </w14:solidFill>
          </w14:textFill>
        </w:rPr>
        <w:t>中标</w:t>
      </w:r>
      <w:r>
        <w:rPr>
          <w:rFonts w:hint="eastAsia" w:ascii="宋体" w:hAnsi="宋体"/>
          <w:bCs/>
          <w:color w:val="000000" w:themeColor="text1"/>
          <w:sz w:val="24"/>
          <w:highlight w:val="none"/>
          <w:lang w:val="zh-CN"/>
          <w14:textFill>
            <w14:solidFill>
              <w14:schemeClr w14:val="tx1"/>
            </w14:solidFill>
          </w14:textFill>
        </w:rPr>
        <w:t>单位需无条件积极配合采购单位调查。</w:t>
      </w:r>
    </w:p>
    <w:p w14:paraId="459F8280">
      <w:pPr>
        <w:keepNext w:val="0"/>
        <w:keepLines w:val="0"/>
        <w:pageBreakBefore w:val="0"/>
        <w:widowControl w:val="0"/>
        <w:spacing w:beforeAutospacing="0"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服务期限：</w:t>
      </w:r>
      <w:r>
        <w:rPr>
          <w:rFonts w:hint="eastAsia" w:ascii="宋体" w:hAnsi="宋体" w:cs="宋体"/>
          <w:color w:val="000000" w:themeColor="text1"/>
          <w:sz w:val="24"/>
          <w:szCs w:val="24"/>
          <w:highlight w:val="none"/>
          <w:lang w:eastAsia="zh-CN"/>
          <w14:textFill>
            <w14:solidFill>
              <w14:schemeClr w14:val="tx1"/>
            </w14:solidFill>
          </w14:textFill>
        </w:rPr>
        <w:t>一年（具体以采购单位通知为准）。</w:t>
      </w:r>
    </w:p>
    <w:p w14:paraId="78F3C550">
      <w:pPr>
        <w:pStyle w:val="245"/>
        <w:keepNext w:val="0"/>
        <w:keepLines w:val="0"/>
        <w:pageBreakBefore w:val="0"/>
        <w:widowControl w:val="0"/>
        <w:spacing w:beforeAutospacing="0" w:after="0" w:line="360" w:lineRule="auto"/>
        <w:ind w:left="0" w:firstLine="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、服务地点：采购单位指定地点。</w:t>
      </w:r>
    </w:p>
    <w:p w14:paraId="3BEBB6C6">
      <w:pPr>
        <w:keepNext w:val="0"/>
        <w:keepLines w:val="0"/>
        <w:pageBreakBefore w:val="0"/>
        <w:widowControl w:val="0"/>
        <w:spacing w:beforeAutospacing="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六、政府采购政策：</w:t>
      </w:r>
    </w:p>
    <w:p w14:paraId="1119F48B">
      <w:pPr>
        <w:pStyle w:val="219"/>
        <w:keepNext w:val="0"/>
        <w:keepLines w:val="0"/>
        <w:pageBreakBefore w:val="0"/>
        <w:widowControl w:val="0"/>
        <w:spacing w:before="0" w:beforeAutospacing="0" w:after="0" w:line="360" w:lineRule="auto"/>
        <w:ind w:left="0" w:firstLine="0"/>
        <w:jc w:val="left"/>
        <w:rPr>
          <w:rFonts w:ascii="宋体" w:hAnsi="宋体" w:cs="宋体"/>
          <w:color w:val="000000" w:themeColor="text1"/>
          <w:sz w:val="24"/>
          <w:highlight w:val="none"/>
          <w14:textFill>
            <w14:solidFill>
              <w14:schemeClr w14:val="tx1"/>
            </w14:solidFill>
          </w14:textFill>
        </w:rPr>
      </w:pPr>
      <w:r>
        <w:rPr>
          <w:rFonts w:ascii="宋体" w:hAnsi="宋体" w:cs="黑体"/>
          <w:bCs/>
          <w:color w:val="000000" w:themeColor="text1"/>
          <w:sz w:val="24"/>
          <w:highlight w:val="none"/>
          <w:shd w:val="clear" w:color="auto" w:fill="FFFFFF"/>
          <w14:textFill>
            <w14:solidFill>
              <w14:schemeClr w14:val="tx1"/>
            </w14:solidFill>
          </w14:textFill>
        </w:rPr>
        <w:t>1</w:t>
      </w:r>
      <w:r>
        <w:rPr>
          <w:rFonts w:hint="eastAsia" w:ascii="宋体" w:hAnsi="宋体" w:cs="黑体"/>
          <w:bCs/>
          <w:color w:val="000000" w:themeColor="text1"/>
          <w:sz w:val="24"/>
          <w:highlight w:val="none"/>
          <w:shd w:val="clear" w:color="auto" w:fill="FFFFFF"/>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中、小企业：根据</w:t>
      </w:r>
      <w:r>
        <w:rPr>
          <w:rFonts w:hint="eastAsia" w:ascii="宋体" w:hAnsi="宋体"/>
          <w:color w:val="000000" w:themeColor="text1"/>
          <w:sz w:val="24"/>
          <w:highlight w:val="none"/>
          <w14:textFill>
            <w14:solidFill>
              <w14:schemeClr w14:val="tx1"/>
            </w14:solidFill>
          </w14:textFill>
        </w:rPr>
        <w:t>《关于印发</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苏州市政府采购促进中小企业发展实施意见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的通知》（苏财购</w:t>
      </w:r>
      <w:r>
        <w:rPr>
          <w:rFonts w:hint="eastAsia" w:ascii="宋体" w:hAnsi="宋体"/>
          <w:color w:val="000000" w:themeColor="text1"/>
          <w:sz w:val="24"/>
          <w:highlight w:val="none"/>
          <w:lang w:eastAsia="zh-CN"/>
          <w14:textFill>
            <w14:solidFill>
              <w14:schemeClr w14:val="tx1"/>
            </w14:solidFill>
          </w14:textFill>
        </w:rPr>
        <w:t>〔2022〕16号</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规定：</w:t>
      </w:r>
    </w:p>
    <w:p w14:paraId="248B808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1.1本项目属于</w:t>
      </w:r>
      <w:r>
        <w:rPr>
          <w:rFonts w:hint="eastAsia" w:ascii="宋体" w:hAnsi="宋体" w:cs="宋体"/>
          <w:color w:val="000000" w:themeColor="text1"/>
          <w:sz w:val="24"/>
          <w:szCs w:val="24"/>
          <w:highlight w:val="none"/>
          <w:u w:val="single"/>
          <w14:textFill>
            <w14:solidFill>
              <w14:schemeClr w14:val="tx1"/>
            </w14:solidFill>
          </w14:textFill>
        </w:rPr>
        <w:t>专门面向中小企业采购</w:t>
      </w:r>
      <w:r>
        <w:rPr>
          <w:rFonts w:hint="eastAsia" w:ascii="宋体" w:hAnsi="宋体" w:cs="宋体"/>
          <w:color w:val="000000" w:themeColor="text1"/>
          <w:sz w:val="24"/>
          <w:szCs w:val="24"/>
          <w:highlight w:val="none"/>
          <w14:textFill>
            <w14:solidFill>
              <w14:schemeClr w14:val="tx1"/>
            </w14:solidFill>
          </w14:textFill>
        </w:rPr>
        <w:t>。</w:t>
      </w:r>
    </w:p>
    <w:p w14:paraId="3DB9319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1.2依据</w:t>
      </w:r>
      <w:r>
        <w:rPr>
          <w:rFonts w:hint="eastAsia" w:ascii="宋体" w:hAnsi="宋体"/>
          <w:color w:val="000000" w:themeColor="text1"/>
          <w:sz w:val="24"/>
          <w:highlight w:val="none"/>
          <w14:textFill>
            <w14:solidFill>
              <w14:schemeClr w14:val="tx1"/>
            </w14:solidFill>
          </w14:textFill>
        </w:rPr>
        <w:t>《关于印发</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苏州市政府采购促进中小企业发展实施意见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的通知》（苏财购</w:t>
      </w:r>
      <w:r>
        <w:rPr>
          <w:rFonts w:hint="eastAsia" w:ascii="宋体" w:hAnsi="宋体"/>
          <w:color w:val="000000" w:themeColor="text1"/>
          <w:sz w:val="24"/>
          <w:highlight w:val="none"/>
          <w:lang w:eastAsia="zh-CN"/>
          <w14:textFill>
            <w14:solidFill>
              <w14:schemeClr w14:val="tx1"/>
            </w14:solidFill>
          </w14:textFill>
        </w:rPr>
        <w:t>〔2022〕16号</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规定享受扶持政策获得政府采购合同的，小微企业不得将合同分包给大中型企业，中型企业不得将合同分包给大型企业。</w:t>
      </w:r>
    </w:p>
    <w:p w14:paraId="434AF1C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1.3本项目采购标的对应的中小企业划分标准所属行业为：</w:t>
      </w:r>
      <w:r>
        <w:rPr>
          <w:rFonts w:hint="eastAsia" w:ascii="宋体" w:hAnsi="宋体"/>
          <w:b/>
          <w:bCs/>
          <w:color w:val="000000" w:themeColor="text1"/>
          <w:sz w:val="24"/>
          <w:highlight w:val="none"/>
          <w14:textFill>
            <w14:solidFill>
              <w14:schemeClr w14:val="tx1"/>
            </w14:solidFill>
          </w14:textFill>
        </w:rPr>
        <w:t>其他未列明行业</w:t>
      </w:r>
      <w:r>
        <w:rPr>
          <w:rFonts w:hint="eastAsia" w:ascii="宋体" w:hAnsi="宋体"/>
          <w:color w:val="000000" w:themeColor="text1"/>
          <w:sz w:val="24"/>
          <w:highlight w:val="none"/>
          <w14:textFill>
            <w14:solidFill>
              <w14:schemeClr w14:val="tx1"/>
            </w14:solidFill>
          </w14:textFill>
        </w:rPr>
        <w:t>。</w:t>
      </w:r>
    </w:p>
    <w:p w14:paraId="12798C7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1.4中小企业参加政府采购活动，应当出具</w:t>
      </w:r>
      <w:r>
        <w:rPr>
          <w:rFonts w:hint="eastAsia" w:ascii="宋体" w:hAnsi="宋体"/>
          <w:color w:val="000000" w:themeColor="text1"/>
          <w:sz w:val="24"/>
          <w:highlight w:val="none"/>
          <w14:textFill>
            <w14:solidFill>
              <w14:schemeClr w14:val="tx1"/>
            </w14:solidFill>
          </w14:textFill>
        </w:rPr>
        <w:t>《关于印发</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苏州市政府采购促进中小企业发展实施意见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的通知》（苏财购</w:t>
      </w:r>
      <w:r>
        <w:rPr>
          <w:rFonts w:hint="eastAsia" w:ascii="宋体" w:hAnsi="宋体"/>
          <w:color w:val="000000" w:themeColor="text1"/>
          <w:sz w:val="24"/>
          <w:highlight w:val="none"/>
          <w:lang w:eastAsia="zh-CN"/>
          <w14:textFill>
            <w14:solidFill>
              <w14:schemeClr w14:val="tx1"/>
            </w14:solidFill>
          </w14:textFill>
        </w:rPr>
        <w:t>〔2022〕16号</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规定的《中小企业声明函》，否则不得享受相关中小企业扶持政策。</w:t>
      </w:r>
    </w:p>
    <w:p w14:paraId="012ECD7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1.5本项目中，供应商提供的服务由中小企业承接，即提供服务的人员为中小企业依照《中华人民共和国劳动合同法》订立劳动合同的从业人员，才可享受规定的中小企业扶持政策。</w:t>
      </w:r>
    </w:p>
    <w:p w14:paraId="7E5940B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1.6若供应商提供的《中小企业声明函》为虚假声明则视同提供虚假材料，按政府采购相关规定处理并报请政府监管部门给予行政处罚。</w:t>
      </w:r>
    </w:p>
    <w:p w14:paraId="576447A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残疾人福利性单位：根据《关于贯彻执行绿色采购、促进残疾人就业和支持监狱企业发展有关政策的通知（苏财购〔2019〕10号）》，残疾人福利性单位视同小型、微型企业，享受评审中价格扣除等促进中小企业发展的政府采购政策，残疾人福利性单位属于小型、微型企业的，不重复享受政策。如供应商认定本企业为残疾人福利性单位，应提交《残疾人福利性单位声明函》，未提交则不享受相关价格扣除政策。</w:t>
      </w:r>
    </w:p>
    <w:p w14:paraId="4FA459C6">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3、监狱企业：根据苏财购</w:t>
      </w:r>
      <w:r>
        <w:rPr>
          <w:rFonts w:hint="eastAsia" w:ascii="宋体" w:hAnsi="宋体" w:cs="宋体"/>
          <w:color w:val="000000" w:themeColor="text1"/>
          <w:sz w:val="24"/>
          <w:szCs w:val="24"/>
          <w:highlight w:val="none"/>
          <w:lang w:eastAsia="zh-CN"/>
          <w14:textFill>
            <w14:solidFill>
              <w14:schemeClr w14:val="tx1"/>
            </w14:solidFill>
          </w14:textFill>
        </w:rPr>
        <w:t>〔2019〕10号</w:t>
      </w:r>
      <w:r>
        <w:rPr>
          <w:rFonts w:hint="eastAsia" w:ascii="宋体" w:hAnsi="宋体" w:cs="宋体"/>
          <w:color w:val="000000" w:themeColor="text1"/>
          <w:sz w:val="24"/>
          <w:szCs w:val="24"/>
          <w:highlight w:val="none"/>
          <w14:textFill>
            <w14:solidFill>
              <w14:schemeClr w14:val="tx1"/>
            </w14:solidFill>
          </w14:textFill>
        </w:rPr>
        <w:t>文，监狱企业视同小型、微型企业，享受评审中价格扣除等促进中小企业发展的政府采购政策。如供应商为监狱企业，应当提供由省级以上监狱管理局、戒毒管理局（含新疆生产建设兵团）出具的属于监狱企业的证明文件，未提交则不享受相关价格扣除政策。</w:t>
      </w:r>
    </w:p>
    <w:p w14:paraId="39446876">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4.绿色采购</w:t>
      </w:r>
    </w:p>
    <w:p w14:paraId="1FF9D07B">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根据《关于调整优化节能产品、环境标志产品政府采购执行机制的通知》（财库〔2019〕9号）等相关文件的规定，对属于《节能产品政府采购品目清单》中强制采购范围内产品的，供应商须提供由国家确定的认证机构出具的、处于有效期之内的节能产品认证证书，上述品目清单可通过“中国政府采购网”（http://www.ccgp.gov.cn）查询，并在投标文件中提供由国家确定的认证机构出具的、处于有效期之内的节能产品认证证书复印件，否则视为未实质性响应。</w:t>
      </w:r>
    </w:p>
    <w:p w14:paraId="4EB09C48">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为加快数据中心绿色转型，根据财政部、生态环境部、工业和信息化部关于印发《绿色数据中心政府采购需求标准（试行）》的通知（财库〔2023〕7号）文件规定，采购数据中心相关设备、运维服务，应当有利于节约能源、环境保护和资源循环利用，按照标准要求实施相关采购活动，供应商应提供符合标准要求的设备或服务。</w:t>
      </w:r>
    </w:p>
    <w:p w14:paraId="3098A5D7">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4.3为助力打好污染防治攻坚战，推广使用绿色包装，根据财政部办公厅、生态环境部办公厅、国家邮政局办公室关于印发《商品包装政府采购需求标准（试行）》《快递包装政府采购需求标准（试行）》的通知（财办库〔2020〕123 号文）文件规定，供应商提</w:t>
      </w:r>
      <w:r>
        <w:rPr>
          <w:rFonts w:hint="eastAsia" w:ascii="宋体" w:hAnsi="宋体" w:cs="宋体"/>
          <w:color w:val="000000" w:themeColor="text1"/>
          <w:sz w:val="24"/>
          <w:szCs w:val="24"/>
          <w:highlight w:val="none"/>
          <w:lang w:eastAsia="zh-CN"/>
          <w14:textFill>
            <w14:solidFill>
              <w14:schemeClr w14:val="tx1"/>
            </w14:solidFill>
          </w14:textFill>
        </w:rPr>
        <w:t>供的</w:t>
      </w:r>
      <w:r>
        <w:rPr>
          <w:rFonts w:hint="eastAsia" w:ascii="宋体" w:hAnsi="宋体" w:cs="宋体"/>
          <w:color w:val="000000" w:themeColor="text1"/>
          <w:sz w:val="24"/>
          <w:szCs w:val="24"/>
          <w:highlight w:val="none"/>
          <w14:textFill>
            <w14:solidFill>
              <w14:schemeClr w14:val="tx1"/>
            </w14:solidFill>
          </w14:textFill>
        </w:rPr>
        <w:t>产品及相关快递服务的包装应符合标准要求。</w:t>
      </w:r>
    </w:p>
    <w:p w14:paraId="3915E84A">
      <w:pPr>
        <w:spacing w:line="360" w:lineRule="auto"/>
        <w:jc w:val="left"/>
        <w:rPr>
          <w:rFonts w:hint="eastAsia" w:ascii="宋体" w:hAnsi="宋体" w:cs="宋体"/>
          <w:bCs/>
          <w:color w:val="000000" w:themeColor="text1"/>
          <w:sz w:val="24"/>
          <w:szCs w:val="24"/>
          <w:highlight w:val="none"/>
          <w:shd w:val="clear" w:color="auto" w:fill="FFFFFF"/>
          <w14:textFill>
            <w14:solidFill>
              <w14:schemeClr w14:val="tx1"/>
            </w14:solidFill>
          </w14:textFill>
        </w:rPr>
      </w:pPr>
      <w:r>
        <w:rPr>
          <w:rFonts w:hint="eastAsia" w:ascii="宋体" w:hAnsi="宋体" w:cs="宋体"/>
          <w:bCs/>
          <w:color w:val="000000" w:themeColor="text1"/>
          <w:sz w:val="24"/>
          <w:szCs w:val="24"/>
          <w:highlight w:val="none"/>
          <w:shd w:val="clear" w:color="auto" w:fill="FFFFFF"/>
          <w14:textFill>
            <w14:solidFill>
              <w14:schemeClr w14:val="tx1"/>
            </w14:solidFill>
          </w14:textFill>
        </w:rPr>
        <w:t>七、关于对参与供应商信用记录的政府采购要求</w:t>
      </w:r>
    </w:p>
    <w:p w14:paraId="5AC596E8">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1、采购代理机构会在接收投标文件截止时间后，登录信用中国网站（www.creditchina.gov.cn/）和中国政府采购网（www.ccgp.gov.cn/）查询供应商的信用记录，并将查询结果递交评标委员会。</w:t>
      </w:r>
    </w:p>
    <w:p w14:paraId="31BFD00A">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采购过程中将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两个以上的自然人、法人或者其他组织组成一个联合体，以一个供应商的身份共同参加政府采购活动的，应当对所有联合体成员进行信用记录查询，联</w:t>
      </w:r>
      <w:r>
        <w:rPr>
          <w:rFonts w:hint="eastAsia" w:ascii="宋体" w:hAnsi="宋体" w:eastAsia="宋体" w:cs="宋体"/>
          <w:color w:val="000000" w:themeColor="text1"/>
          <w:sz w:val="24"/>
          <w:szCs w:val="24"/>
          <w:highlight w:val="none"/>
          <w14:textFill>
            <w14:solidFill>
              <w14:schemeClr w14:val="tx1"/>
            </w14:solidFill>
          </w14:textFill>
        </w:rPr>
        <w:t>合体成员存在不良信用记录的，视同联合体存在不良信用记录。</w:t>
      </w:r>
    </w:p>
    <w:p w14:paraId="3E363D40">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3、供应商若在经营活动中受到罚款的，请携带相关地方、部门对较大数额认定标准的证明材料，与投标文件一并提交。若无法提供，则可能承担投标无效等相应不利后果。</w:t>
      </w:r>
    </w:p>
    <w:p w14:paraId="6B1AD3B2">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4、对存在失信信息的供应商，由失信供应商进行确认。同时，采购代理机构工作人员应根据评标委员会确认的失信信息，登录到相关来源网站页面进行复核并打印，作为证据留存。</w:t>
      </w:r>
    </w:p>
    <w:p w14:paraId="4F927CAD">
      <w:pPr>
        <w:rPr>
          <w:rFonts w:hint="eastAsia"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br w:type="page" w:clear="all"/>
      </w:r>
    </w:p>
    <w:p w14:paraId="58AA0FCB">
      <w:pPr>
        <w:pStyle w:val="2"/>
        <w:keepNext w:val="0"/>
        <w:keepLines w:val="0"/>
        <w:pageBreakBefore w:val="0"/>
        <w:widowControl w:val="0"/>
        <w:spacing w:line="360" w:lineRule="auto"/>
        <w:ind w:firstLine="0"/>
        <w:jc w:val="center"/>
        <w:rPr>
          <w:rFonts w:ascii="宋体" w:hAnsi="宋体"/>
          <w:color w:val="000000" w:themeColor="text1"/>
          <w:sz w:val="36"/>
          <w:szCs w:val="36"/>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第五章 合同主要条款</w:t>
      </w:r>
    </w:p>
    <w:p w14:paraId="4322EA44">
      <w:pPr>
        <w:spacing w:line="360" w:lineRule="auto"/>
        <w:ind w:firstLine="48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根据《中华人民共和国民法典》《中华人民共和国政府采购法》等相关法律法规的规定以及苏州惠德普源企业咨询有限公司采购编号</w:t>
      </w:r>
      <w:r>
        <w:rPr>
          <w:rFonts w:hint="eastAsia" w:ascii="宋体" w:hAnsi="宋体"/>
          <w:color w:val="000000" w:themeColor="text1"/>
          <w:sz w:val="24"/>
          <w:szCs w:val="24"/>
          <w:highlight w:val="none"/>
          <w:lang w:eastAsia="zh-CN"/>
          <w14:textFill>
            <w14:solidFill>
              <w14:schemeClr w14:val="tx1"/>
            </w14:solidFill>
          </w14:textFill>
        </w:rPr>
        <w:t>JSZC-320500-HDPY-G2026-0002</w:t>
      </w:r>
      <w:r>
        <w:rPr>
          <w:rFonts w:hint="eastAsia" w:ascii="宋体" w:hAnsi="宋体"/>
          <w:color w:val="000000" w:themeColor="text1"/>
          <w:sz w:val="24"/>
          <w:szCs w:val="24"/>
          <w:highlight w:val="none"/>
          <w14:textFill>
            <w14:solidFill>
              <w14:schemeClr w14:val="tx1"/>
            </w14:solidFill>
          </w14:textFill>
        </w:rPr>
        <w:t>号招标文件及乙方的投标文件和中标通知书，甲乙双方就此次中标的</w:t>
      </w:r>
      <w:r>
        <w:rPr>
          <w:rFonts w:hint="eastAsia" w:ascii="宋体" w:hAnsi="宋体" w:cs="宋体"/>
          <w:color w:val="000000" w:themeColor="text1"/>
          <w:sz w:val="24"/>
          <w:szCs w:val="24"/>
          <w:highlight w:val="none"/>
          <w:lang w:eastAsia="zh-CN"/>
          <w14:textFill>
            <w14:solidFill>
              <w14:schemeClr w14:val="tx1"/>
            </w14:solidFill>
          </w14:textFill>
        </w:rPr>
        <w:t>太湖总院医用被服洗涤租赁服务</w:t>
      </w:r>
      <w:r>
        <w:rPr>
          <w:rFonts w:hint="eastAsia" w:ascii="宋体" w:hAnsi="宋体"/>
          <w:color w:val="000000" w:themeColor="text1"/>
          <w:sz w:val="24"/>
          <w:szCs w:val="24"/>
          <w:highlight w:val="none"/>
          <w14:textFill>
            <w14:solidFill>
              <w14:schemeClr w14:val="tx1"/>
            </w14:solidFill>
          </w14:textFill>
        </w:rPr>
        <w:t>采购事宜，签订本合同，以兹共同遵守。</w:t>
      </w:r>
    </w:p>
    <w:p w14:paraId="418FD830">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一、项目名称：</w:t>
      </w:r>
      <w:r>
        <w:rPr>
          <w:rFonts w:hint="eastAsia" w:ascii="宋体" w:hAnsi="宋体" w:cs="宋体"/>
          <w:color w:val="000000" w:themeColor="text1"/>
          <w:sz w:val="24"/>
          <w:szCs w:val="24"/>
          <w:highlight w:val="none"/>
          <w:lang w:eastAsia="zh-CN"/>
          <w14:textFill>
            <w14:solidFill>
              <w14:schemeClr w14:val="tx1"/>
            </w14:solidFill>
          </w14:textFill>
        </w:rPr>
        <w:t>太湖总院医用被服洗涤租赁服务</w:t>
      </w:r>
      <w:r>
        <w:rPr>
          <w:rFonts w:hint="eastAsia" w:ascii="宋体" w:hAnsi="宋体"/>
          <w:color w:val="000000" w:themeColor="text1"/>
          <w:sz w:val="24"/>
          <w:szCs w:val="24"/>
          <w:highlight w:val="none"/>
          <w14:textFill>
            <w14:solidFill>
              <w14:schemeClr w14:val="tx1"/>
            </w14:solidFill>
          </w14:textFill>
        </w:rPr>
        <w:t>。</w:t>
      </w:r>
    </w:p>
    <w:p w14:paraId="05FAD61B">
      <w:pPr>
        <w:pStyle w:val="2"/>
        <w:ind w:firstLine="0"/>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w:t>
      </w:r>
      <w:r>
        <w:rPr>
          <w:rFonts w:hint="eastAsia" w:ascii="宋体" w:hAnsi="宋体"/>
          <w:color w:val="000000" w:themeColor="text1"/>
          <w:sz w:val="24"/>
          <w:highlight w:val="none"/>
          <w:lang w:eastAsia="zh-CN"/>
          <w14:textFill>
            <w14:solidFill>
              <w14:schemeClr w14:val="tx1"/>
            </w14:solidFill>
          </w14:textFill>
        </w:rPr>
        <w:t>服务期限：</w:t>
      </w:r>
      <w:r>
        <w:rPr>
          <w:rFonts w:hint="eastAsia" w:ascii="宋体" w:hAnsi="宋体" w:cs="宋体"/>
          <w:color w:val="000000" w:themeColor="text1"/>
          <w:sz w:val="24"/>
          <w:szCs w:val="24"/>
          <w:highlight w:val="none"/>
          <w:lang w:eastAsia="zh-CN"/>
          <w14:textFill>
            <w14:solidFill>
              <w14:schemeClr w14:val="tx1"/>
            </w14:solidFill>
          </w14:textFill>
        </w:rPr>
        <w:t>一年（具体以甲方通知为准）</w:t>
      </w:r>
      <w:r>
        <w:rPr>
          <w:rFonts w:hint="eastAsia" w:ascii="宋体" w:hAnsi="宋体"/>
          <w:color w:val="000000" w:themeColor="text1"/>
          <w:sz w:val="24"/>
          <w:highlight w:val="none"/>
          <w14:textFill>
            <w14:solidFill>
              <w14:schemeClr w14:val="tx1"/>
            </w14:solidFill>
          </w14:textFill>
        </w:rPr>
        <w:t>。</w:t>
      </w:r>
    </w:p>
    <w:p w14:paraId="257E7F8E">
      <w:pPr>
        <w:spacing w:line="360" w:lineRule="auto"/>
        <w:ind w:firstLine="48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服务地点：</w:t>
      </w:r>
      <w:r>
        <w:rPr>
          <w:rFonts w:hint="eastAsia" w:ascii="宋体" w:hAnsi="宋体" w:cs="Times New Roman"/>
          <w:color w:val="000000" w:themeColor="text1"/>
          <w:sz w:val="24"/>
          <w:szCs w:val="24"/>
          <w:highlight w:val="none"/>
          <w:lang w:eastAsia="zh-CN"/>
          <w14:textFill>
            <w14:solidFill>
              <w14:schemeClr w14:val="tx1"/>
            </w14:solidFill>
          </w14:textFill>
        </w:rPr>
        <w:t>甲方</w:t>
      </w:r>
      <w:r>
        <w:rPr>
          <w:rFonts w:hint="eastAsia" w:ascii="宋体" w:hAnsi="宋体" w:eastAsia="宋体" w:cs="Times New Roman"/>
          <w:color w:val="000000" w:themeColor="text1"/>
          <w:sz w:val="24"/>
          <w:szCs w:val="24"/>
          <w:highlight w:val="none"/>
          <w:lang w:eastAsia="zh-CN"/>
          <w14:textFill>
            <w14:solidFill>
              <w14:schemeClr w14:val="tx1"/>
            </w14:solidFill>
          </w14:textFill>
        </w:rPr>
        <w:t>指定地点</w:t>
      </w:r>
      <w:r>
        <w:rPr>
          <w:rFonts w:hint="eastAsia" w:ascii="宋体" w:hAnsi="宋体"/>
          <w:color w:val="000000" w:themeColor="text1"/>
          <w:sz w:val="24"/>
          <w:highlight w:val="none"/>
          <w14:textFill>
            <w14:solidFill>
              <w14:schemeClr w14:val="tx1"/>
            </w14:solidFill>
          </w14:textFill>
        </w:rPr>
        <w:t>。</w:t>
      </w:r>
    </w:p>
    <w:p w14:paraId="1DAC79EF">
      <w:pPr>
        <w:spacing w:line="360" w:lineRule="auto"/>
        <w:ind w:firstLine="48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服务进度：按招标文件规定。</w:t>
      </w:r>
    </w:p>
    <w:p w14:paraId="0714EA2F">
      <w:pPr>
        <w:spacing w:line="360" w:lineRule="auto"/>
        <w:ind w:firstLine="48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服务质量要求：达到国家和省、市、区规定的技术标准。</w:t>
      </w:r>
    </w:p>
    <w:p w14:paraId="45F01826">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三、合同价款及支付方式：</w:t>
      </w:r>
    </w:p>
    <w:p w14:paraId="5442F520">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合同总金额为（人民币）</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14:textFill>
            <w14:solidFill>
              <w14:schemeClr w14:val="tx1"/>
            </w14:solidFill>
          </w14:textFill>
        </w:rPr>
        <w:t>，小写</w:t>
      </w:r>
      <w:r>
        <w:rPr>
          <w:rFonts w:hint="eastAsia" w:ascii="宋体" w:hAnsi="宋体" w:cs="宋体"/>
          <w:color w:val="000000" w:themeColor="text1"/>
          <w:sz w:val="24"/>
          <w:szCs w:val="24"/>
          <w:highlight w:val="none"/>
          <w:u w:val="single"/>
          <w14:textFill>
            <w14:solidFill>
              <w14:schemeClr w14:val="tx1"/>
            </w14:solidFill>
          </w14:textFill>
        </w:rPr>
        <w:t>（          ）</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以上报价应</w:t>
      </w:r>
      <w:r>
        <w:rPr>
          <w:rFonts w:hint="eastAsia" w:ascii="宋体" w:hAnsi="宋体" w:cs="宋体"/>
          <w:color w:val="000000" w:themeColor="text1"/>
          <w:sz w:val="24"/>
          <w:highlight w:val="none"/>
          <w:lang w:eastAsia="zh-CN"/>
          <w14:textFill>
            <w14:solidFill>
              <w14:schemeClr w14:val="tx1"/>
            </w14:solidFill>
          </w14:textFill>
        </w:rPr>
        <w:t>包括在承包期内完成服务内容所需要人员工资、奖金、节假日加班费用、社保、意外险及各类保险、运输、洗涤、租费、税金、利润、管理费、维护及平时保养耗材费用、工具损耗、招标代理服务费及合同包含的所有风险、责任等各项应有费用</w:t>
      </w:r>
      <w:r>
        <w:rPr>
          <w:rFonts w:hint="eastAsia" w:ascii="宋体" w:hAnsi="宋体"/>
          <w:color w:val="000000" w:themeColor="text1"/>
          <w:sz w:val="24"/>
          <w:highlight w:val="none"/>
          <w14:textFill>
            <w14:solidFill>
              <w14:schemeClr w14:val="tx1"/>
            </w14:solidFill>
          </w14:textFill>
        </w:rPr>
        <w:t>。</w:t>
      </w:r>
    </w:p>
    <w:p w14:paraId="3FAC8D0D">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2.付款</w:t>
      </w:r>
      <w:r>
        <w:rPr>
          <w:rFonts w:hint="eastAsia" w:ascii="宋体" w:hAnsi="宋体" w:cs="宋体"/>
          <w:color w:val="000000" w:themeColor="text1"/>
          <w:sz w:val="24"/>
          <w:szCs w:val="24"/>
          <w:highlight w:val="none"/>
          <w:lang w:eastAsia="zh-CN"/>
          <w14:textFill>
            <w14:solidFill>
              <w14:schemeClr w14:val="tx1"/>
            </w14:solidFill>
          </w14:textFill>
        </w:rPr>
        <w:t>步骤</w:t>
      </w:r>
      <w:r>
        <w:rPr>
          <w:rFonts w:hint="eastAsia" w:ascii="宋体" w:hAnsi="宋体" w:cs="宋体"/>
          <w:color w:val="000000" w:themeColor="text1"/>
          <w:sz w:val="24"/>
          <w:szCs w:val="24"/>
          <w:highlight w:val="none"/>
          <w14:textFill>
            <w14:solidFill>
              <w14:schemeClr w14:val="tx1"/>
            </w14:solidFill>
          </w14:textFill>
        </w:rPr>
        <w:t>：</w:t>
      </w:r>
    </w:p>
    <w:p w14:paraId="20DC0AB6">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2.1付款步骤：</w:t>
      </w:r>
      <w:r>
        <w:rPr>
          <w:rFonts w:hint="eastAsia" w:ascii="宋体" w:hAnsi="宋体"/>
          <w:color w:val="000000" w:themeColor="text1"/>
          <w:sz w:val="24"/>
          <w:highlight w:val="none"/>
          <w:lang w:val="zh-CN"/>
          <w14:textFill>
            <w14:solidFill>
              <w14:schemeClr w14:val="tx1"/>
            </w14:solidFill>
          </w14:textFill>
        </w:rPr>
        <w:t>合同签订后，每月10日前，甲乙双方将上月洗涤物交接清单的数量进行汇总、核对制表，</w:t>
      </w:r>
      <w:r>
        <w:rPr>
          <w:rFonts w:hint="eastAsia" w:ascii="宋体" w:hAnsi="宋体"/>
          <w:color w:val="000000" w:themeColor="text1"/>
          <w:sz w:val="24"/>
          <w:highlight w:val="none"/>
          <w:lang w:val="en-US" w:eastAsia="zh-CN"/>
          <w14:textFill>
            <w14:solidFill>
              <w14:schemeClr w14:val="tx1"/>
            </w14:solidFill>
          </w14:textFill>
        </w:rPr>
        <w:t>扣除月度考核扣款，</w:t>
      </w:r>
      <w:r>
        <w:rPr>
          <w:rFonts w:hint="eastAsia" w:ascii="宋体" w:hAnsi="宋体"/>
          <w:color w:val="000000" w:themeColor="text1"/>
          <w:sz w:val="24"/>
          <w:highlight w:val="none"/>
          <w:lang w:val="zh-CN"/>
          <w14:textFill>
            <w14:solidFill>
              <w14:schemeClr w14:val="tx1"/>
            </w14:solidFill>
          </w14:textFill>
        </w:rPr>
        <w:t>并经双方签字确认，乙方提供合格服务发票后由甲方向乙方支付当月款项</w:t>
      </w:r>
      <w:r>
        <w:rPr>
          <w:rFonts w:hint="eastAsia" w:ascii="宋体" w:hAnsi="宋体"/>
          <w:color w:val="000000" w:themeColor="text1"/>
          <w:sz w:val="24"/>
          <w:highlight w:val="none"/>
          <w14:textFill>
            <w14:solidFill>
              <w14:schemeClr w14:val="tx1"/>
            </w14:solidFill>
          </w14:textFill>
        </w:rPr>
        <w:t>。【结算合计金额达到总合同金额自动终止合同】。</w:t>
      </w:r>
    </w:p>
    <w:p w14:paraId="197BD2CD">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2.2</w:t>
      </w:r>
      <w:r>
        <w:rPr>
          <w:rFonts w:hint="eastAsia" w:ascii="宋体" w:hAnsi="宋体"/>
          <w:bCs/>
          <w:color w:val="000000" w:themeColor="text1"/>
          <w:sz w:val="24"/>
          <w:highlight w:val="none"/>
          <w:lang w:val="zh-CN"/>
          <w14:textFill>
            <w14:solidFill>
              <w14:schemeClr w14:val="tx1"/>
            </w14:solidFill>
          </w14:textFill>
        </w:rPr>
        <w:t>乙方开具发票或开具发票不符合规定的，甲方有权暂缓支付相应款项，因此产生的损失及违约责任由乙方承担。</w:t>
      </w:r>
    </w:p>
    <w:p w14:paraId="098ADFB0">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2.3</w:t>
      </w:r>
      <w:r>
        <w:rPr>
          <w:rFonts w:hint="eastAsia" w:ascii="宋体" w:hAnsi="宋体"/>
          <w:bCs/>
          <w:color w:val="000000" w:themeColor="text1"/>
          <w:sz w:val="24"/>
          <w:highlight w:val="none"/>
          <w:lang w:val="zh-CN"/>
          <w14:textFill>
            <w14:solidFill>
              <w14:schemeClr w14:val="tx1"/>
            </w14:solidFill>
          </w14:textFill>
        </w:rPr>
        <w:t>甲方支付此项费用外不再承担其他任何费用（包括个人），人员的薪金、福利、休假日补贴等由乙方付给，与甲方无关。</w:t>
      </w:r>
    </w:p>
    <w:p w14:paraId="662C26ED">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2.4</w:t>
      </w:r>
      <w:r>
        <w:rPr>
          <w:rFonts w:hint="eastAsia" w:ascii="宋体" w:hAnsi="宋体"/>
          <w:bCs/>
          <w:color w:val="000000" w:themeColor="text1"/>
          <w:sz w:val="24"/>
          <w:highlight w:val="none"/>
          <w:lang w:val="zh-CN"/>
          <w14:textFill>
            <w14:solidFill>
              <w14:schemeClr w14:val="tx1"/>
            </w14:solidFill>
          </w14:textFill>
        </w:rPr>
        <w:t>根据现行税法对甲方征收的与本合同有关的一切税费均由甲方承担；根据现行税法对乙方征收的与本合同有关的一切税费均由乙方承担。</w:t>
      </w:r>
    </w:p>
    <w:p w14:paraId="7BA034B7">
      <w:pPr>
        <w:widowControl/>
        <w:tabs>
          <w:tab w:val="left" w:pos="0"/>
          <w:tab w:val="left" w:pos="540"/>
        </w:tabs>
        <w:spacing w:line="360" w:lineRule="auto"/>
        <w:jc w:val="left"/>
        <w:rPr>
          <w:rFonts w:hint="eastAsia"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支付</w:t>
      </w:r>
      <w:r>
        <w:rPr>
          <w:rFonts w:hint="eastAsia" w:ascii="宋体" w:hAnsi="宋体"/>
          <w:bCs/>
          <w:color w:val="000000" w:themeColor="text1"/>
          <w:sz w:val="24"/>
          <w:highlight w:val="none"/>
          <w14:textFill>
            <w14:solidFill>
              <w14:schemeClr w14:val="tx1"/>
            </w14:solidFill>
          </w14:textFill>
        </w:rPr>
        <w:t>方式：数字人民币或银行转账支付。</w:t>
      </w:r>
    </w:p>
    <w:p w14:paraId="0573202D">
      <w:pPr>
        <w:widowControl/>
        <w:tabs>
          <w:tab w:val="left" w:pos="0"/>
          <w:tab w:val="left" w:pos="540"/>
        </w:tabs>
        <w:spacing w:line="360" w:lineRule="auto"/>
        <w:ind w:firstLine="480"/>
        <w:jc w:val="left"/>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乙方银行账户信息：</w:t>
      </w:r>
    </w:p>
    <w:p w14:paraId="192E54E8">
      <w:pPr>
        <w:widowControl/>
        <w:tabs>
          <w:tab w:val="left" w:pos="0"/>
          <w:tab w:val="left" w:pos="540"/>
        </w:tabs>
        <w:spacing w:line="360" w:lineRule="auto"/>
        <w:ind w:firstLine="480"/>
        <w:jc w:val="left"/>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账户名：</w:t>
      </w:r>
    </w:p>
    <w:p w14:paraId="5EE078EA">
      <w:pPr>
        <w:widowControl/>
        <w:tabs>
          <w:tab w:val="left" w:pos="0"/>
          <w:tab w:val="left" w:pos="540"/>
        </w:tabs>
        <w:spacing w:line="360" w:lineRule="auto"/>
        <w:ind w:firstLine="480"/>
        <w:jc w:val="left"/>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开户银行：</w:t>
      </w:r>
    </w:p>
    <w:p w14:paraId="4C6A4CAE">
      <w:pPr>
        <w:widowControl/>
        <w:tabs>
          <w:tab w:val="left" w:pos="0"/>
          <w:tab w:val="left" w:pos="540"/>
        </w:tabs>
        <w:spacing w:line="360" w:lineRule="auto"/>
        <w:ind w:firstLine="480"/>
        <w:jc w:val="left"/>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银行账号：</w:t>
      </w:r>
    </w:p>
    <w:p w14:paraId="0956544C">
      <w:pPr>
        <w:widowControl/>
        <w:tabs>
          <w:tab w:val="left" w:pos="0"/>
          <w:tab w:val="left" w:pos="540"/>
        </w:tabs>
        <w:spacing w:line="360" w:lineRule="auto"/>
        <w:ind w:firstLine="480"/>
        <w:jc w:val="left"/>
        <w:rPr>
          <w:rFonts w:hint="eastAsia" w:ascii="宋体" w:hAnsi="宋体" w:cs="宋体"/>
          <w:color w:val="000000" w:themeColor="text1"/>
          <w:sz w:val="24"/>
          <w:szCs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数字人民币账号（数币钱包ID）：</w:t>
      </w:r>
    </w:p>
    <w:p w14:paraId="79818698">
      <w:pPr>
        <w:spacing w:line="360" w:lineRule="auto"/>
        <w:jc w:val="left"/>
        <w:rPr>
          <w:rFonts w:hint="eastAsia" w:ascii="宋体" w:hAnsi="宋体" w:eastAsia="宋体"/>
          <w:b w:val="0"/>
          <w:bCs/>
          <w:color w:val="000000" w:themeColor="text1"/>
          <w:sz w:val="24"/>
          <w:highlight w:val="none"/>
          <w:lang w:eastAsia="zh-CN"/>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四、服务</w:t>
      </w:r>
      <w:r>
        <w:rPr>
          <w:rFonts w:hint="eastAsia" w:ascii="宋体" w:hAnsi="宋体"/>
          <w:b w:val="0"/>
          <w:bCs/>
          <w:color w:val="000000" w:themeColor="text1"/>
          <w:sz w:val="24"/>
          <w:highlight w:val="none"/>
          <w:lang w:eastAsia="zh-CN"/>
          <w14:textFill>
            <w14:solidFill>
              <w14:schemeClr w14:val="tx1"/>
            </w14:solidFill>
          </w14:textFill>
        </w:rPr>
        <w:t>内容及</w:t>
      </w:r>
      <w:r>
        <w:rPr>
          <w:rFonts w:hint="eastAsia" w:ascii="宋体" w:hAnsi="宋体"/>
          <w:b w:val="0"/>
          <w:bCs/>
          <w:color w:val="000000" w:themeColor="text1"/>
          <w:sz w:val="24"/>
          <w:highlight w:val="none"/>
          <w14:textFill>
            <w14:solidFill>
              <w14:schemeClr w14:val="tx1"/>
            </w14:solidFill>
          </w14:textFill>
        </w:rPr>
        <w:t>要求</w:t>
      </w:r>
      <w:r>
        <w:rPr>
          <w:rFonts w:hint="eastAsia" w:ascii="宋体" w:hAnsi="宋体"/>
          <w:b w:val="0"/>
          <w:bCs/>
          <w:color w:val="000000" w:themeColor="text1"/>
          <w:sz w:val="24"/>
          <w:highlight w:val="none"/>
          <w:lang w:eastAsia="zh-CN"/>
          <w14:textFill>
            <w14:solidFill>
              <w14:schemeClr w14:val="tx1"/>
            </w14:solidFill>
          </w14:textFill>
        </w:rPr>
        <w:t>（详见招标文件及乙方的投标文件）</w:t>
      </w:r>
    </w:p>
    <w:p w14:paraId="353FA4ED">
      <w:pPr>
        <w:spacing w:line="360" w:lineRule="auto"/>
        <w:ind w:right="-159"/>
        <w:rPr>
          <w:rFonts w:hint="eastAsia" w:ascii="宋体" w:hAnsi="宋体"/>
          <w:b w:val="0"/>
          <w:bCs/>
          <w:color w:val="000000" w:themeColor="text1"/>
          <w:spacing w:val="-10"/>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五、</w:t>
      </w:r>
      <w:r>
        <w:rPr>
          <w:rFonts w:hint="eastAsia" w:ascii="宋体" w:hAnsi="宋体"/>
          <w:b w:val="0"/>
          <w:bCs/>
          <w:color w:val="000000" w:themeColor="text1"/>
          <w:spacing w:val="-10"/>
          <w:sz w:val="24"/>
          <w:highlight w:val="none"/>
          <w14:textFill>
            <w14:solidFill>
              <w14:schemeClr w14:val="tx1"/>
            </w14:solidFill>
          </w14:textFill>
        </w:rPr>
        <w:t>验收相关要求：</w:t>
      </w:r>
    </w:p>
    <w:p w14:paraId="27F857A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验收要求参照《江苏省政府采购履约验收管理办法》相关要求执行。</w:t>
      </w:r>
    </w:p>
    <w:p w14:paraId="41C7C07C">
      <w:pPr>
        <w:pStyle w:val="17"/>
        <w:spacing w:line="360" w:lineRule="auto"/>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Times New Roman"/>
          <w:color w:val="000000" w:themeColor="text1"/>
          <w:szCs w:val="22"/>
          <w:highlight w:val="none"/>
          <w14:textFill>
            <w14:solidFill>
              <w14:schemeClr w14:val="tx1"/>
            </w14:solidFill>
          </w14:textFill>
        </w:rPr>
        <w:t>验收时间：</w:t>
      </w: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根据合同约定，付款前分批验收。</w:t>
      </w:r>
    </w:p>
    <w:p w14:paraId="0CD0E79C">
      <w:pPr>
        <w:pStyle w:val="17"/>
        <w:spacing w:line="360" w:lineRule="auto"/>
        <w:rPr>
          <w:color w:val="000000" w:themeColor="text1"/>
          <w:sz w:val="24"/>
          <w:highlight w:val="none"/>
          <w14:textFill>
            <w14:solidFill>
              <w14:schemeClr w14:val="tx1"/>
            </w14:solidFill>
          </w14:textFill>
        </w:rPr>
      </w:pPr>
      <w:r>
        <w:rPr>
          <w:rFonts w:hint="eastAsia" w:hAnsi="宋体" w:cs="Times New Roman"/>
          <w:color w:val="000000" w:themeColor="text1"/>
          <w:sz w:val="24"/>
          <w:szCs w:val="22"/>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2"/>
          <w:highlight w:val="none"/>
          <w:lang w:val="en-US" w:eastAsia="zh-CN"/>
          <w14:textFill>
            <w14:solidFill>
              <w14:schemeClr w14:val="tx1"/>
            </w14:solidFill>
          </w14:textFill>
        </w:rPr>
        <w:t>.</w:t>
      </w:r>
      <w:r>
        <w:rPr>
          <w:rFonts w:hint="eastAsia" w:ascii="宋体" w:hAnsi="宋体" w:eastAsia="宋体" w:cs="Times New Roman"/>
          <w:color w:val="000000" w:themeColor="text1"/>
          <w:sz w:val="24"/>
          <w:szCs w:val="22"/>
          <w:highlight w:val="none"/>
          <w14:textFill>
            <w14:solidFill>
              <w14:schemeClr w14:val="tx1"/>
            </w14:solidFill>
          </w14:textFill>
        </w:rPr>
        <w:t>验收标准：</w:t>
      </w:r>
      <w:r>
        <w:rPr>
          <w:rFonts w:hint="eastAsia" w:ascii="宋体" w:hAnsi="宋体"/>
          <w:bCs/>
          <w:color w:val="000000" w:themeColor="text1"/>
          <w:sz w:val="24"/>
          <w:highlight w:val="none"/>
          <w:lang w:val="en-US" w:eastAsia="zh-CN"/>
          <w14:textFill>
            <w14:solidFill>
              <w14:schemeClr w14:val="tx1"/>
            </w14:solidFill>
          </w14:textFill>
        </w:rPr>
        <w:t>根据采购文件、乙方的投标文件、双方签订的合同文件及《江苏省政府采购履约验收管理办法》的相关规定和现行法律、规范</w:t>
      </w:r>
      <w:r>
        <w:rPr>
          <w:rFonts w:hint="eastAsia" w:hAnsi="宋体"/>
          <w:bCs/>
          <w:color w:val="000000" w:themeColor="text1"/>
          <w:sz w:val="24"/>
          <w:highlight w:val="none"/>
          <w:lang w:val="en-US" w:eastAsia="zh-CN"/>
          <w14:textFill>
            <w14:solidFill>
              <w14:schemeClr w14:val="tx1"/>
            </w14:solidFill>
          </w14:textFill>
        </w:rPr>
        <w:t>。</w:t>
      </w:r>
    </w:p>
    <w:p w14:paraId="0596DFD5">
      <w:pPr>
        <w:spacing w:line="360" w:lineRule="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任一项验收不合格的</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乙方应负责在甲方限定的期限内完成整改</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因整改而导致的费用和损失由乙方自行承担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若导致项目逾期的</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乙方承担逾期违约责任。</w:t>
      </w:r>
    </w:p>
    <w:p w14:paraId="53F07203">
      <w:pPr>
        <w:spacing w:line="360" w:lineRule="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甲方所有验收意见将以书面形式做出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因此除非甲方书面明示通过验收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否则任何其他行为均不代表甲方已验收合格。</w:t>
      </w:r>
    </w:p>
    <w:p w14:paraId="05ECEB6F">
      <w:pPr>
        <w:spacing w:line="360" w:lineRule="auto"/>
        <w:jc w:val="left"/>
        <w:rPr>
          <w:rFonts w:hint="eastAsia" w:ascii="宋体" w:hAnsi="宋体" w:eastAsia="宋体"/>
          <w:b w:val="0"/>
          <w:bCs/>
          <w:color w:val="000000" w:themeColor="text1"/>
          <w:sz w:val="24"/>
          <w:highlight w:val="none"/>
          <w:lang w:eastAsia="zh-CN"/>
          <w14:textFill>
            <w14:solidFill>
              <w14:schemeClr w14:val="tx1"/>
            </w14:solidFill>
          </w14:textFill>
        </w:rPr>
      </w:pPr>
      <w:r>
        <w:rPr>
          <w:rFonts w:hint="eastAsia" w:ascii="宋体" w:hAnsi="宋体"/>
          <w:b w:val="0"/>
          <w:bCs/>
          <w:color w:val="000000" w:themeColor="text1"/>
          <w:sz w:val="24"/>
          <w:highlight w:val="none"/>
          <w:lang w:eastAsia="zh-CN"/>
          <w14:textFill>
            <w14:solidFill>
              <w14:schemeClr w14:val="tx1"/>
            </w14:solidFill>
          </w14:textFill>
        </w:rPr>
        <w:t>六</w:t>
      </w:r>
      <w:r>
        <w:rPr>
          <w:rFonts w:hint="eastAsia" w:ascii="宋体" w:hAnsi="宋体"/>
          <w:b w:val="0"/>
          <w:bCs/>
          <w:color w:val="000000" w:themeColor="text1"/>
          <w:sz w:val="24"/>
          <w:highlight w:val="none"/>
          <w14:textFill>
            <w14:solidFill>
              <w14:schemeClr w14:val="tx1"/>
            </w14:solidFill>
          </w14:textFill>
        </w:rPr>
        <w:t>、不可抗力</w:t>
      </w:r>
      <w:r>
        <w:rPr>
          <w:rFonts w:hint="eastAsia" w:ascii="宋体" w:hAnsi="宋体"/>
          <w:b w:val="0"/>
          <w:bCs/>
          <w:color w:val="000000" w:themeColor="text1"/>
          <w:sz w:val="24"/>
          <w:highlight w:val="none"/>
          <w:lang w:eastAsia="zh-CN"/>
          <w14:textFill>
            <w14:solidFill>
              <w14:schemeClr w14:val="tx1"/>
            </w14:solidFill>
          </w14:textFill>
        </w:rPr>
        <w:t>：</w:t>
      </w:r>
    </w:p>
    <w:p w14:paraId="335CBC47">
      <w:pPr>
        <w:spacing w:line="360" w:lineRule="auto"/>
        <w:jc w:val="left"/>
        <w:rPr>
          <w:rFonts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lang w:val="en-US" w:eastAsia="zh-CN"/>
          <w14:textFill>
            <w14:solidFill>
              <w14:schemeClr w14:val="tx1"/>
            </w14:solidFill>
          </w14:textFill>
        </w:rPr>
        <w:t>1</w:t>
      </w:r>
      <w:r>
        <w:rPr>
          <w:rFonts w:hint="eastAsia" w:ascii="宋体" w:hAnsi="宋体"/>
          <w:b w:val="0"/>
          <w:bCs/>
          <w:color w:val="000000" w:themeColor="text1"/>
          <w:sz w:val="24"/>
          <w:highlight w:val="none"/>
          <w14:textFill>
            <w14:solidFill>
              <w14:schemeClr w14:val="tx1"/>
            </w14:solidFill>
          </w14:textFill>
        </w:rPr>
        <w:t>.因不可抗力（或甲、乙双方不能控制的原因）不能履行合同的，根据不可抗力的影响，部分或者全部免除责任。但合同一方迟延履行后发生不可抗力的，不能免除责任。</w:t>
      </w:r>
    </w:p>
    <w:p w14:paraId="1F0CCF77">
      <w:pPr>
        <w:spacing w:line="360" w:lineRule="auto"/>
        <w:jc w:val="left"/>
        <w:rPr>
          <w:rFonts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lang w:val="en-US" w:eastAsia="zh-CN"/>
          <w14:textFill>
            <w14:solidFill>
              <w14:schemeClr w14:val="tx1"/>
            </w14:solidFill>
          </w14:textFill>
        </w:rPr>
        <w:t>2</w:t>
      </w:r>
      <w:r>
        <w:rPr>
          <w:rFonts w:hint="eastAsia" w:ascii="宋体" w:hAnsi="宋体"/>
          <w:b w:val="0"/>
          <w:bCs/>
          <w:color w:val="000000" w:themeColor="text1"/>
          <w:sz w:val="24"/>
          <w:highlight w:val="none"/>
          <w14:textFill>
            <w14:solidFill>
              <w14:schemeClr w14:val="tx1"/>
            </w14:solidFill>
          </w14:textFill>
        </w:rPr>
        <w:t>.合同一方因不可抗力不能履行合同的，应当自不可抗力发生后3日内通知对方，以减轻可能给对方造成的损失，并应当在发出不可抗力通知后7日内提供书面证明。</w:t>
      </w:r>
    </w:p>
    <w:p w14:paraId="3464717C">
      <w:pPr>
        <w:spacing w:line="360" w:lineRule="auto"/>
        <w:jc w:val="left"/>
        <w:rPr>
          <w:rFonts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lang w:eastAsia="zh-CN"/>
          <w14:textFill>
            <w14:solidFill>
              <w14:schemeClr w14:val="tx1"/>
            </w14:solidFill>
          </w14:textFill>
        </w:rPr>
        <w:t>七</w:t>
      </w:r>
      <w:r>
        <w:rPr>
          <w:rFonts w:hint="eastAsia" w:ascii="宋体" w:hAnsi="宋体"/>
          <w:b w:val="0"/>
          <w:bCs/>
          <w:color w:val="000000" w:themeColor="text1"/>
          <w:sz w:val="24"/>
          <w:highlight w:val="none"/>
          <w14:textFill>
            <w14:solidFill>
              <w14:schemeClr w14:val="tx1"/>
            </w14:solidFill>
          </w14:textFill>
        </w:rPr>
        <w:t>、违约责任</w:t>
      </w:r>
      <w:r>
        <w:rPr>
          <w:rFonts w:hint="eastAsia" w:ascii="宋体" w:hAnsi="宋体"/>
          <w:b w:val="0"/>
          <w:bCs/>
          <w:color w:val="000000" w:themeColor="text1"/>
          <w:sz w:val="24"/>
          <w:highlight w:val="none"/>
          <w:lang w:eastAsia="zh-CN"/>
          <w14:textFill>
            <w14:solidFill>
              <w14:schemeClr w14:val="tx1"/>
            </w14:solidFill>
          </w14:textFill>
        </w:rPr>
        <w:t>：</w:t>
      </w:r>
      <w:r>
        <w:rPr>
          <w:rFonts w:hint="eastAsia" w:ascii="宋体" w:hAnsi="宋体"/>
          <w:b w:val="0"/>
          <w:bCs/>
          <w:color w:val="000000" w:themeColor="text1"/>
          <w:sz w:val="24"/>
          <w:highlight w:val="none"/>
          <w14:textFill>
            <w14:solidFill>
              <w14:schemeClr w14:val="tx1"/>
            </w14:solidFill>
          </w14:textFill>
        </w:rPr>
        <w:t>合同一方不履行合同义务或者履行合同义务不符合约定的，应当承担继续履行、采取补救措施或赔偿损失等违约责任。</w:t>
      </w:r>
    </w:p>
    <w:p w14:paraId="0F890840">
      <w:pPr>
        <w:spacing w:line="360" w:lineRule="auto"/>
        <w:jc w:val="left"/>
        <w:rPr>
          <w:rFonts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lang w:val="en-US" w:eastAsia="zh-CN"/>
          <w14:textFill>
            <w14:solidFill>
              <w14:schemeClr w14:val="tx1"/>
            </w14:solidFill>
          </w14:textFill>
        </w:rPr>
        <w:t>1.</w:t>
      </w:r>
      <w:r>
        <w:rPr>
          <w:rFonts w:hint="eastAsia" w:ascii="宋体" w:hAnsi="宋体"/>
          <w:b w:val="0"/>
          <w:bCs/>
          <w:color w:val="000000" w:themeColor="text1"/>
          <w:sz w:val="24"/>
          <w:highlight w:val="none"/>
          <w14:textFill>
            <w14:solidFill>
              <w14:schemeClr w14:val="tx1"/>
            </w14:solidFill>
          </w14:textFill>
        </w:rPr>
        <w:t>甲方违约责任</w:t>
      </w:r>
    </w:p>
    <w:p w14:paraId="1462629B">
      <w:pPr>
        <w:spacing w:line="360" w:lineRule="auto"/>
        <w:jc w:val="left"/>
        <w:rPr>
          <w:rFonts w:ascii="宋体" w:hAnsi="宋体"/>
          <w:b w:val="0"/>
          <w:bCs/>
          <w:color w:val="000000" w:themeColor="text1"/>
          <w:sz w:val="24"/>
          <w:highlight w:val="none"/>
          <w14:textFill>
            <w14:solidFill>
              <w14:schemeClr w14:val="tx1"/>
            </w14:solidFill>
          </w14:textFill>
        </w:rPr>
      </w:pPr>
      <w:r>
        <w:rPr>
          <w:rFonts w:ascii="宋体" w:hAnsi="宋体"/>
          <w:b w:val="0"/>
          <w:bCs/>
          <w:color w:val="000000" w:themeColor="text1"/>
          <w:sz w:val="24"/>
          <w:highlight w:val="none"/>
          <w14:textFill>
            <w14:solidFill>
              <w14:schemeClr w14:val="tx1"/>
            </w14:solidFill>
          </w14:textFill>
        </w:rPr>
        <w:t>1.1</w:t>
      </w:r>
      <w:r>
        <w:rPr>
          <w:rFonts w:hint="eastAsia" w:ascii="宋体" w:hAnsi="宋体"/>
          <w:b w:val="0"/>
          <w:bCs/>
          <w:color w:val="000000" w:themeColor="text1"/>
          <w:sz w:val="24"/>
          <w:highlight w:val="none"/>
          <w14:textFill>
            <w14:solidFill>
              <w14:schemeClr w14:val="tx1"/>
            </w14:solidFill>
          </w14:textFill>
        </w:rPr>
        <w:t>在合同生效后，甲方无合理理由要求终止服务的，应向乙方支付合同总价款的</w:t>
      </w:r>
      <w:r>
        <w:rPr>
          <w:rFonts w:ascii="宋体" w:hAnsi="宋体"/>
          <w:b w:val="0"/>
          <w:bCs/>
          <w:color w:val="000000" w:themeColor="text1"/>
          <w:sz w:val="24"/>
          <w:highlight w:val="none"/>
          <w14:textFill>
            <w14:solidFill>
              <w14:schemeClr w14:val="tx1"/>
            </w14:solidFill>
          </w14:textFill>
        </w:rPr>
        <w:t>5%</w:t>
      </w:r>
      <w:r>
        <w:rPr>
          <w:rFonts w:hint="eastAsia" w:ascii="宋体" w:hAnsi="宋体"/>
          <w:b w:val="0"/>
          <w:bCs/>
          <w:color w:val="000000" w:themeColor="text1"/>
          <w:sz w:val="24"/>
          <w:highlight w:val="none"/>
          <w14:textFill>
            <w14:solidFill>
              <w14:schemeClr w14:val="tx1"/>
            </w14:solidFill>
          </w14:textFill>
        </w:rPr>
        <w:t>作为违约金，违约金不足以补偿损失的，乙方有权要求甲方补足。</w:t>
      </w:r>
    </w:p>
    <w:p w14:paraId="612B8627">
      <w:pPr>
        <w:spacing w:line="360" w:lineRule="auto"/>
        <w:jc w:val="left"/>
        <w:rPr>
          <w:rFonts w:ascii="宋体" w:hAnsi="宋体"/>
          <w:b w:val="0"/>
          <w:bCs/>
          <w:color w:val="000000" w:themeColor="text1"/>
          <w:sz w:val="24"/>
          <w:highlight w:val="none"/>
          <w14:textFill>
            <w14:solidFill>
              <w14:schemeClr w14:val="tx1"/>
            </w14:solidFill>
          </w14:textFill>
        </w:rPr>
      </w:pPr>
      <w:r>
        <w:rPr>
          <w:rFonts w:ascii="宋体" w:hAnsi="宋体"/>
          <w:b w:val="0"/>
          <w:bCs/>
          <w:color w:val="000000" w:themeColor="text1"/>
          <w:sz w:val="24"/>
          <w:highlight w:val="none"/>
          <w14:textFill>
            <w14:solidFill>
              <w14:schemeClr w14:val="tx1"/>
            </w14:solidFill>
          </w14:textFill>
        </w:rPr>
        <w:t>1.2</w:t>
      </w:r>
      <w:r>
        <w:rPr>
          <w:rFonts w:hint="eastAsia" w:ascii="宋体" w:hAnsi="宋体"/>
          <w:b w:val="0"/>
          <w:bCs/>
          <w:color w:val="000000" w:themeColor="text1"/>
          <w:sz w:val="24"/>
          <w:highlight w:val="none"/>
          <w14:textFill>
            <w14:solidFill>
              <w14:schemeClr w14:val="tx1"/>
            </w14:solidFill>
          </w14:textFill>
        </w:rPr>
        <w:t>甲方违反合同规定，拒绝接收乙方交付的合格服务成果的，应当承担乙方由此造成的损失。</w:t>
      </w:r>
    </w:p>
    <w:p w14:paraId="6116184C">
      <w:pPr>
        <w:spacing w:line="360" w:lineRule="auto"/>
        <w:jc w:val="left"/>
        <w:rPr>
          <w:rFonts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lang w:val="en-US" w:eastAsia="zh-CN"/>
          <w14:textFill>
            <w14:solidFill>
              <w14:schemeClr w14:val="tx1"/>
            </w14:solidFill>
          </w14:textFill>
        </w:rPr>
        <w:t>2</w:t>
      </w:r>
      <w:r>
        <w:rPr>
          <w:rFonts w:ascii="宋体" w:hAnsi="宋体"/>
          <w:b w:val="0"/>
          <w:bCs/>
          <w:color w:val="000000" w:themeColor="text1"/>
          <w:sz w:val="24"/>
          <w:highlight w:val="none"/>
          <w14:textFill>
            <w14:solidFill>
              <w14:schemeClr w14:val="tx1"/>
            </w14:solidFill>
          </w14:textFill>
        </w:rPr>
        <w:t>.</w:t>
      </w:r>
      <w:r>
        <w:rPr>
          <w:rFonts w:hint="eastAsia" w:ascii="宋体" w:hAnsi="宋体"/>
          <w:b w:val="0"/>
          <w:bCs/>
          <w:color w:val="000000" w:themeColor="text1"/>
          <w:sz w:val="24"/>
          <w:highlight w:val="none"/>
          <w14:textFill>
            <w14:solidFill>
              <w14:schemeClr w14:val="tx1"/>
            </w14:solidFill>
          </w14:textFill>
        </w:rPr>
        <w:t>乙方违约责任</w:t>
      </w:r>
    </w:p>
    <w:p w14:paraId="32599FD9">
      <w:pPr>
        <w:spacing w:line="360" w:lineRule="auto"/>
        <w:jc w:val="left"/>
        <w:rPr>
          <w:rFonts w:ascii="宋体" w:hAnsi="宋体"/>
          <w:b w:val="0"/>
          <w:bCs/>
          <w:color w:val="000000" w:themeColor="text1"/>
          <w:sz w:val="24"/>
          <w:highlight w:val="none"/>
          <w14:textFill>
            <w14:solidFill>
              <w14:schemeClr w14:val="tx1"/>
            </w14:solidFill>
          </w14:textFill>
        </w:rPr>
      </w:pPr>
      <w:r>
        <w:rPr>
          <w:rFonts w:ascii="宋体" w:hAnsi="宋体"/>
          <w:b w:val="0"/>
          <w:bCs/>
          <w:color w:val="000000" w:themeColor="text1"/>
          <w:sz w:val="24"/>
          <w:highlight w:val="none"/>
          <w14:textFill>
            <w14:solidFill>
              <w14:schemeClr w14:val="tx1"/>
            </w14:solidFill>
          </w14:textFill>
        </w:rPr>
        <w:t>2.1</w:t>
      </w:r>
      <w:r>
        <w:rPr>
          <w:rFonts w:hint="eastAsia" w:ascii="宋体" w:hAnsi="宋体"/>
          <w:b w:val="0"/>
          <w:bCs/>
          <w:color w:val="000000" w:themeColor="text1"/>
          <w:sz w:val="24"/>
          <w:highlight w:val="none"/>
          <w14:textFill>
            <w14:solidFill>
              <w14:schemeClr w14:val="tx1"/>
            </w14:solidFill>
          </w14:textFill>
        </w:rPr>
        <w:t>乙方不能履行合同从而影响甲方正常工作的，应向甲方支付合同总价款</w:t>
      </w:r>
      <w:r>
        <w:rPr>
          <w:rFonts w:hint="eastAsia" w:ascii="宋体" w:hAnsi="宋体"/>
          <w:b w:val="0"/>
          <w:bCs/>
          <w:color w:val="000000" w:themeColor="text1"/>
          <w:sz w:val="24"/>
          <w:highlight w:val="none"/>
          <w:lang w:val="en-US" w:eastAsia="zh-CN"/>
          <w14:textFill>
            <w14:solidFill>
              <w14:schemeClr w14:val="tx1"/>
            </w14:solidFill>
          </w14:textFill>
        </w:rPr>
        <w:t>1</w:t>
      </w:r>
      <w:r>
        <w:rPr>
          <w:rFonts w:hint="eastAsia" w:ascii="宋体" w:hAnsi="宋体"/>
          <w:b w:val="0"/>
          <w:bCs/>
          <w:color w:val="000000" w:themeColor="text1"/>
          <w:sz w:val="24"/>
          <w:highlight w:val="none"/>
          <w14:textFill>
            <w14:solidFill>
              <w14:schemeClr w14:val="tx1"/>
            </w14:solidFill>
          </w14:textFill>
        </w:rPr>
        <w:t>0</w:t>
      </w:r>
      <w:r>
        <w:rPr>
          <w:rFonts w:ascii="宋体" w:hAnsi="宋体"/>
          <w:b w:val="0"/>
          <w:bCs/>
          <w:color w:val="000000" w:themeColor="text1"/>
          <w:sz w:val="24"/>
          <w:highlight w:val="none"/>
          <w14:textFill>
            <w14:solidFill>
              <w14:schemeClr w14:val="tx1"/>
            </w14:solidFill>
          </w14:textFill>
        </w:rPr>
        <w:t>%</w:t>
      </w:r>
      <w:r>
        <w:rPr>
          <w:rFonts w:hint="eastAsia" w:ascii="宋体" w:hAnsi="宋体"/>
          <w:b w:val="0"/>
          <w:bCs/>
          <w:color w:val="000000" w:themeColor="text1"/>
          <w:sz w:val="24"/>
          <w:highlight w:val="none"/>
          <w14:textFill>
            <w14:solidFill>
              <w14:schemeClr w14:val="tx1"/>
            </w14:solidFill>
          </w14:textFill>
        </w:rPr>
        <w:t>的违约金，违约金不足以补偿损失的，甲方有权要求乙方补足。</w:t>
      </w:r>
    </w:p>
    <w:p w14:paraId="5E6D4488">
      <w:pPr>
        <w:spacing w:line="360" w:lineRule="auto"/>
        <w:jc w:val="left"/>
        <w:rPr>
          <w:rFonts w:ascii="宋体" w:hAnsi="宋体"/>
          <w:b w:val="0"/>
          <w:bCs/>
          <w:color w:val="000000" w:themeColor="text1"/>
          <w:sz w:val="24"/>
          <w:highlight w:val="none"/>
          <w14:textFill>
            <w14:solidFill>
              <w14:schemeClr w14:val="tx1"/>
            </w14:solidFill>
          </w14:textFill>
        </w:rPr>
      </w:pPr>
      <w:r>
        <w:rPr>
          <w:rFonts w:ascii="宋体" w:hAnsi="宋体"/>
          <w:b w:val="0"/>
          <w:bCs/>
          <w:color w:val="000000" w:themeColor="text1"/>
          <w:sz w:val="24"/>
          <w:highlight w:val="none"/>
          <w14:textFill>
            <w14:solidFill>
              <w14:schemeClr w14:val="tx1"/>
            </w14:solidFill>
          </w14:textFill>
        </w:rPr>
        <w:t>2.2</w:t>
      </w:r>
      <w:r>
        <w:rPr>
          <w:rFonts w:hint="eastAsia" w:ascii="宋体" w:hAnsi="宋体"/>
          <w:b w:val="0"/>
          <w:bCs/>
          <w:color w:val="000000" w:themeColor="text1"/>
          <w:sz w:val="24"/>
          <w:highlight w:val="none"/>
          <w14:textFill>
            <w14:solidFill>
              <w14:schemeClr w14:val="tx1"/>
            </w14:solidFill>
          </w14:textFill>
        </w:rPr>
        <w:t>乙方逾期完成任一阶段服务内容的，应与甲方协商，甲方仍要求乙方继续履行的，乙方应立即提供服务，并按照合同价款的每天万分之四支付逾期交付违约金，同时承担甲方因此产生的损失费用。</w:t>
      </w:r>
    </w:p>
    <w:p w14:paraId="246084EA">
      <w:pPr>
        <w:spacing w:line="360" w:lineRule="auto"/>
        <w:jc w:val="left"/>
        <w:rPr>
          <w:rFonts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2.3乙方提供的服务不符合约定要求的，首次甲方有权责令乙方改正，之后每发生一次，乙方应向甲方支付合同总价款</w:t>
      </w:r>
      <w:r>
        <w:rPr>
          <w:rFonts w:hint="eastAsia" w:ascii="宋体" w:hAnsi="宋体"/>
          <w:b w:val="0"/>
          <w:bCs/>
          <w:color w:val="000000" w:themeColor="text1"/>
          <w:sz w:val="24"/>
          <w:highlight w:val="none"/>
          <w:lang w:val="en-US" w:eastAsia="zh-CN"/>
          <w14:textFill>
            <w14:solidFill>
              <w14:schemeClr w14:val="tx1"/>
            </w14:solidFill>
          </w14:textFill>
        </w:rPr>
        <w:t>1</w:t>
      </w:r>
      <w:r>
        <w:rPr>
          <w:rFonts w:hint="eastAsia" w:ascii="宋体" w:hAnsi="宋体"/>
          <w:b w:val="0"/>
          <w:bCs/>
          <w:color w:val="000000" w:themeColor="text1"/>
          <w:sz w:val="24"/>
          <w:highlight w:val="none"/>
          <w14:textFill>
            <w14:solidFill>
              <w14:schemeClr w14:val="tx1"/>
            </w14:solidFill>
          </w14:textFill>
        </w:rPr>
        <w:t>0%的违约金，同时承担甲方因此产生的损失费用。</w:t>
      </w:r>
    </w:p>
    <w:p w14:paraId="51331358">
      <w:pPr>
        <w:spacing w:line="360" w:lineRule="auto"/>
        <w:jc w:val="left"/>
        <w:rPr>
          <w:rFonts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2.4乙方应提供符合</w:t>
      </w:r>
      <w:r>
        <w:rPr>
          <w:rFonts w:hint="eastAsia" w:ascii="宋体" w:hAnsi="宋体"/>
          <w:b w:val="0"/>
          <w:bCs/>
          <w:color w:val="000000" w:themeColor="text1"/>
          <w:sz w:val="24"/>
          <w:highlight w:val="none"/>
          <w:lang w:eastAsia="zh-CN"/>
          <w14:textFill>
            <w14:solidFill>
              <w14:schemeClr w14:val="tx1"/>
            </w14:solidFill>
          </w14:textFill>
        </w:rPr>
        <w:t>服务</w:t>
      </w:r>
      <w:r>
        <w:rPr>
          <w:rFonts w:hint="eastAsia" w:ascii="宋体" w:hAnsi="宋体"/>
          <w:b w:val="0"/>
          <w:bCs/>
          <w:color w:val="000000" w:themeColor="text1"/>
          <w:sz w:val="24"/>
          <w:highlight w:val="none"/>
          <w14:textFill>
            <w14:solidFill>
              <w14:schemeClr w14:val="tx1"/>
            </w14:solidFill>
          </w14:textFill>
        </w:rPr>
        <w:t>所需的资质及营业执照等相关资料，并对资料的真实性负责。若乙方提供虚假材料的，甲方有权解除本合同，并要求乙方支付本合同总金额</w:t>
      </w:r>
      <w:r>
        <w:rPr>
          <w:rFonts w:ascii="宋体" w:hAnsi="宋体"/>
          <w:b w:val="0"/>
          <w:bCs/>
          <w:color w:val="000000" w:themeColor="text1"/>
          <w:sz w:val="24"/>
          <w:highlight w:val="none"/>
          <w14:textFill>
            <w14:solidFill>
              <w14:schemeClr w14:val="tx1"/>
            </w14:solidFill>
          </w14:textFill>
        </w:rPr>
        <w:t>20%的违约金，违约金不足以弥补损失的，乙方应予以补足。</w:t>
      </w:r>
    </w:p>
    <w:p w14:paraId="16A2BF43">
      <w:pPr>
        <w:spacing w:line="360" w:lineRule="auto"/>
        <w:jc w:val="left"/>
        <w:rPr>
          <w:rFonts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2.5本合同的部分和全部都不得转包或分包</w:t>
      </w:r>
      <w:r>
        <w:rPr>
          <w:rFonts w:hint="eastAsia" w:ascii="宋体" w:hAnsi="宋体"/>
          <w:b w:val="0"/>
          <w:bCs/>
          <w:color w:val="000000" w:themeColor="text1"/>
          <w:sz w:val="24"/>
          <w:highlight w:val="none"/>
          <w:lang w:eastAsia="zh-CN"/>
          <w14:textFill>
            <w14:solidFill>
              <w14:schemeClr w14:val="tx1"/>
            </w14:solidFill>
          </w14:textFill>
        </w:rPr>
        <w:t>；</w:t>
      </w:r>
      <w:r>
        <w:rPr>
          <w:rFonts w:hint="eastAsia" w:ascii="宋体" w:hAnsi="宋体"/>
          <w:b w:val="0"/>
          <w:bCs/>
          <w:color w:val="000000" w:themeColor="text1"/>
          <w:sz w:val="24"/>
          <w:highlight w:val="none"/>
          <w14:textFill>
            <w14:solidFill>
              <w14:schemeClr w14:val="tx1"/>
            </w14:solidFill>
          </w14:textFill>
        </w:rPr>
        <w:t>乙方将本合同的部分或全部转包或分包的，视为乙方根本违约，甲方有权直接解除本合同并要求乙方向甲方支付本合同总金额</w:t>
      </w:r>
      <w:r>
        <w:rPr>
          <w:rFonts w:hint="eastAsia" w:ascii="宋体" w:hAnsi="宋体"/>
          <w:b w:val="0"/>
          <w:bCs/>
          <w:color w:val="000000" w:themeColor="text1"/>
          <w:sz w:val="24"/>
          <w:highlight w:val="none"/>
          <w:lang w:val="en-US" w:eastAsia="zh-CN"/>
          <w14:textFill>
            <w14:solidFill>
              <w14:schemeClr w14:val="tx1"/>
            </w14:solidFill>
          </w14:textFill>
        </w:rPr>
        <w:t>1</w:t>
      </w:r>
      <w:r>
        <w:rPr>
          <w:rFonts w:ascii="宋体" w:hAnsi="宋体"/>
          <w:b w:val="0"/>
          <w:bCs/>
          <w:color w:val="000000" w:themeColor="text1"/>
          <w:sz w:val="24"/>
          <w:highlight w:val="none"/>
          <w14:textFill>
            <w14:solidFill>
              <w14:schemeClr w14:val="tx1"/>
            </w14:solidFill>
          </w14:textFill>
        </w:rPr>
        <w:t>0%的违约金。同时，甲方有权立即向第三方购买服务以保证项目正常运行且购买费用由乙方无异议接受、承担；因乙方分包或转包而导致第三方向甲方追索任何费用或赔偿的，甲方承担或处理该追索的全部费用（包括但不限于诉讼费、保全费、鉴定费、执行费、律师费、差旅费等）均由乙方承担。</w:t>
      </w:r>
    </w:p>
    <w:p w14:paraId="6C0417B2">
      <w:pPr>
        <w:spacing w:line="360" w:lineRule="auto"/>
        <w:jc w:val="left"/>
        <w:rPr>
          <w:rFonts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2.6乙方如有其他违反合同约定行为的，甲方有权视其违约严重程度及自身损失情况，要求乙方支付合同总金额</w:t>
      </w:r>
      <w:r>
        <w:rPr>
          <w:rFonts w:hint="eastAsia" w:ascii="宋体" w:hAnsi="宋体"/>
          <w:b w:val="0"/>
          <w:bCs/>
          <w:color w:val="000000" w:themeColor="text1"/>
          <w:sz w:val="24"/>
          <w:highlight w:val="none"/>
          <w:lang w:val="en-US" w:eastAsia="zh-CN"/>
          <w14:textFill>
            <w14:solidFill>
              <w14:schemeClr w14:val="tx1"/>
            </w14:solidFill>
          </w14:textFill>
        </w:rPr>
        <w:t>1</w:t>
      </w:r>
      <w:r>
        <w:rPr>
          <w:rFonts w:hint="eastAsia" w:ascii="宋体" w:hAnsi="宋体"/>
          <w:b w:val="0"/>
          <w:bCs/>
          <w:color w:val="000000" w:themeColor="text1"/>
          <w:sz w:val="24"/>
          <w:highlight w:val="none"/>
          <w14:textFill>
            <w14:solidFill>
              <w14:schemeClr w14:val="tx1"/>
            </w14:solidFill>
          </w14:textFill>
        </w:rPr>
        <w:t>0%的违约金，并赔偿甲方相应的损失。</w:t>
      </w:r>
    </w:p>
    <w:p w14:paraId="2AFDA610">
      <w:pPr>
        <w:spacing w:line="360" w:lineRule="auto"/>
        <w:jc w:val="left"/>
        <w:rPr>
          <w:rFonts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2.7乙方应赔偿甲方的损失、支付给甲方的违约金以及其他根据本合同应支付给甲方的费用，甲方有权直接从未支付款项中予以扣除，不足部分有权要求乙方补足。</w:t>
      </w:r>
    </w:p>
    <w:p w14:paraId="53FCD131">
      <w:pPr>
        <w:spacing w:line="360" w:lineRule="auto"/>
        <w:jc w:val="left"/>
        <w:rPr>
          <w:rFonts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lang w:eastAsia="zh-CN"/>
          <w14:textFill>
            <w14:solidFill>
              <w14:schemeClr w14:val="tx1"/>
            </w14:solidFill>
          </w14:textFill>
        </w:rPr>
        <w:t>八</w:t>
      </w:r>
      <w:r>
        <w:rPr>
          <w:rFonts w:hint="eastAsia" w:ascii="宋体" w:hAnsi="宋体"/>
          <w:b w:val="0"/>
          <w:bCs/>
          <w:color w:val="000000" w:themeColor="text1"/>
          <w:sz w:val="24"/>
          <w:highlight w:val="none"/>
          <w14:textFill>
            <w14:solidFill>
              <w14:schemeClr w14:val="tx1"/>
            </w14:solidFill>
          </w14:textFill>
        </w:rPr>
        <w:t>、合同生效及其他：合同经甲乙双方法定代表人或授权代表人签字并加盖公章后生效</w:t>
      </w:r>
      <w:r>
        <w:rPr>
          <w:rFonts w:hint="eastAsia" w:ascii="宋体" w:hAnsi="宋体"/>
          <w:b w:val="0"/>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zh-CN"/>
          <w14:textFill>
            <w14:solidFill>
              <w14:schemeClr w14:val="tx1"/>
            </w14:solidFill>
          </w14:textFill>
        </w:rPr>
        <w:t>生效后需网上备案</w:t>
      </w:r>
      <w:r>
        <w:rPr>
          <w:rFonts w:hint="eastAsia" w:ascii="宋体" w:hAnsi="宋体"/>
          <w:b w:val="0"/>
          <w:bCs/>
          <w:color w:val="000000" w:themeColor="text1"/>
          <w:sz w:val="24"/>
          <w:highlight w:val="none"/>
          <w14:textFill>
            <w14:solidFill>
              <w14:schemeClr w14:val="tx1"/>
            </w14:solidFill>
          </w14:textFill>
        </w:rPr>
        <w:t>。</w:t>
      </w:r>
    </w:p>
    <w:p w14:paraId="4018334A">
      <w:pPr>
        <w:spacing w:line="360" w:lineRule="auto"/>
        <w:jc w:val="left"/>
        <w:rPr>
          <w:rFonts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lang w:eastAsia="zh-CN"/>
          <w14:textFill>
            <w14:solidFill>
              <w14:schemeClr w14:val="tx1"/>
            </w14:solidFill>
          </w14:textFill>
        </w:rPr>
        <w:t>九</w:t>
      </w:r>
      <w:r>
        <w:rPr>
          <w:rFonts w:hint="eastAsia" w:ascii="宋体" w:hAnsi="宋体"/>
          <w:b w:val="0"/>
          <w:bCs/>
          <w:color w:val="000000" w:themeColor="text1"/>
          <w:sz w:val="24"/>
          <w:highlight w:val="none"/>
          <w14:textFill>
            <w14:solidFill>
              <w14:schemeClr w14:val="tx1"/>
            </w14:solidFill>
          </w14:textFill>
        </w:rPr>
        <w:t>、合同的解除：</w:t>
      </w:r>
    </w:p>
    <w:p w14:paraId="48301ADE">
      <w:pPr>
        <w:spacing w:line="360" w:lineRule="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1</w:t>
      </w:r>
      <w:r>
        <w:rPr>
          <w:rFonts w:hint="eastAsia" w:ascii="宋体" w:hAnsi="宋体" w:cs="宋体"/>
          <w:b w:val="0"/>
          <w:bCs/>
          <w:color w:val="000000" w:themeColor="text1"/>
          <w:sz w:val="24"/>
          <w:szCs w:val="24"/>
          <w:highlight w:val="none"/>
          <w:lang w:eastAsia="zh-CN"/>
          <w14:textFill>
            <w14:solidFill>
              <w14:schemeClr w14:val="tx1"/>
            </w14:solidFill>
          </w14:textFill>
        </w:rPr>
        <w:t>.</w:t>
      </w:r>
      <w:r>
        <w:rPr>
          <w:rFonts w:hint="eastAsia" w:ascii="宋体" w:hAnsi="宋体" w:cs="宋体"/>
          <w:b w:val="0"/>
          <w:bCs/>
          <w:color w:val="000000" w:themeColor="text1"/>
          <w:sz w:val="24"/>
          <w:szCs w:val="24"/>
          <w:highlight w:val="none"/>
          <w14:textFill>
            <w14:solidFill>
              <w14:schemeClr w14:val="tx1"/>
            </w14:solidFill>
          </w14:textFill>
        </w:rPr>
        <w:t>除《中华人民共和国政府采购法》第49条、第50条和第二款规定及本合同约定的情况外，本合同签订后，甲乙双方不得</w:t>
      </w:r>
      <w:r>
        <w:rPr>
          <w:rFonts w:hint="eastAsia" w:ascii="宋体" w:hAnsi="宋体" w:cs="宋体"/>
          <w:b w:val="0"/>
          <w:bCs/>
          <w:color w:val="000000" w:themeColor="text1"/>
          <w:sz w:val="24"/>
          <w:szCs w:val="24"/>
          <w:highlight w:val="none"/>
          <w:lang w:eastAsia="en-US"/>
          <w14:textFill>
            <w14:solidFill>
              <w14:schemeClr w14:val="tx1"/>
            </w14:solidFill>
          </w14:textFill>
        </w:rPr>
        <w:t>擅自</w:t>
      </w:r>
      <w:r>
        <w:rPr>
          <w:rFonts w:hint="eastAsia" w:ascii="宋体" w:hAnsi="宋体" w:cs="宋体"/>
          <w:b w:val="0"/>
          <w:bCs/>
          <w:color w:val="000000" w:themeColor="text1"/>
          <w:sz w:val="24"/>
          <w:szCs w:val="24"/>
          <w:highlight w:val="none"/>
          <w14:textFill>
            <w14:solidFill>
              <w14:schemeClr w14:val="tx1"/>
            </w14:solidFill>
          </w14:textFill>
        </w:rPr>
        <w:t>变更及解除本合同。</w:t>
      </w:r>
    </w:p>
    <w:p w14:paraId="79F6836D">
      <w:pPr>
        <w:tabs>
          <w:tab w:val="left" w:pos="0"/>
        </w:tabs>
        <w:spacing w:line="360" w:lineRule="auto"/>
        <w:jc w:val="left"/>
        <w:rPr>
          <w:rFonts w:hint="eastAsia" w:ascii="宋体" w:hAnsi="宋体" w:cs="宋体"/>
          <w:b w:val="0"/>
          <w:bCs/>
          <w:color w:val="000000" w:themeColor="text1"/>
          <w:sz w:val="24"/>
          <w:szCs w:val="24"/>
          <w:highlight w:val="none"/>
          <w:lang w:val="zh-CN" w:eastAsia="zh-TW"/>
          <w14:textFill>
            <w14:solidFill>
              <w14:schemeClr w14:val="tx1"/>
            </w14:solidFill>
          </w14:textFill>
        </w:rPr>
      </w:pPr>
      <w:r>
        <w:rPr>
          <w:rFonts w:hint="eastAsia" w:ascii="宋体" w:hAnsi="宋体" w:cs="宋体"/>
          <w:b w:val="0"/>
          <w:bCs/>
          <w:color w:val="000000" w:themeColor="text1"/>
          <w:sz w:val="24"/>
          <w:szCs w:val="24"/>
          <w:highlight w:val="none"/>
          <w:lang w:val="zh-CN" w:eastAsia="zh-TW"/>
          <w14:textFill>
            <w14:solidFill>
              <w14:schemeClr w14:val="tx1"/>
            </w14:solidFill>
          </w14:textFill>
        </w:rPr>
        <w:t>2.有下列情形之一，合同一方可以解除合同：</w:t>
      </w:r>
    </w:p>
    <w:p w14:paraId="451DF3A8">
      <w:pPr>
        <w:tabs>
          <w:tab w:val="left" w:pos="0"/>
        </w:tabs>
        <w:spacing w:line="360" w:lineRule="auto"/>
        <w:jc w:val="left"/>
        <w:rPr>
          <w:rFonts w:hint="eastAsia" w:ascii="宋体" w:hAnsi="宋体" w:cs="宋体"/>
          <w:b w:val="0"/>
          <w:bCs/>
          <w:color w:val="000000" w:themeColor="text1"/>
          <w:sz w:val="24"/>
          <w:szCs w:val="24"/>
          <w:highlight w:val="none"/>
          <w:lang w:val="zh-CN" w:eastAsia="zh-TW"/>
          <w14:textFill>
            <w14:solidFill>
              <w14:schemeClr w14:val="tx1"/>
            </w14:solidFill>
          </w14:textFill>
        </w:rPr>
      </w:pPr>
      <w:r>
        <w:rPr>
          <w:rFonts w:hint="eastAsia" w:ascii="宋体" w:hAnsi="宋体" w:cs="宋体"/>
          <w:b w:val="0"/>
          <w:bCs/>
          <w:color w:val="000000" w:themeColor="text1"/>
          <w:sz w:val="24"/>
          <w:szCs w:val="24"/>
          <w:highlight w:val="none"/>
          <w:lang w:val="zh-CN" w:eastAsia="zh-TW"/>
          <w14:textFill>
            <w14:solidFill>
              <w14:schemeClr w14:val="tx1"/>
            </w14:solidFill>
          </w14:textFill>
        </w:rPr>
        <w:t>2.1因不可抗力致使不能实现合同目的，未受不可抗力影响一方有权解除合同。</w:t>
      </w:r>
    </w:p>
    <w:p w14:paraId="72E93DEF">
      <w:pPr>
        <w:tabs>
          <w:tab w:val="left" w:pos="0"/>
        </w:tabs>
        <w:spacing w:line="360" w:lineRule="auto"/>
        <w:jc w:val="left"/>
        <w:rPr>
          <w:rFonts w:hint="eastAsia" w:ascii="宋体" w:hAnsi="宋体" w:cs="宋体"/>
          <w:b w:val="0"/>
          <w:bCs/>
          <w:color w:val="000000" w:themeColor="text1"/>
          <w:sz w:val="24"/>
          <w:szCs w:val="24"/>
          <w:highlight w:val="none"/>
          <w:lang w:val="zh-CN" w:eastAsia="zh-TW"/>
          <w14:textFill>
            <w14:solidFill>
              <w14:schemeClr w14:val="tx1"/>
            </w14:solidFill>
          </w14:textFill>
        </w:rPr>
      </w:pPr>
      <w:r>
        <w:rPr>
          <w:rFonts w:hint="eastAsia" w:ascii="宋体" w:hAnsi="宋体" w:cs="宋体"/>
          <w:b w:val="0"/>
          <w:bCs/>
          <w:color w:val="000000" w:themeColor="text1"/>
          <w:sz w:val="24"/>
          <w:szCs w:val="24"/>
          <w:highlight w:val="none"/>
          <w:lang w:val="zh-CN" w:eastAsia="zh-TW"/>
          <w14:textFill>
            <w14:solidFill>
              <w14:schemeClr w14:val="tx1"/>
            </w14:solidFill>
          </w14:textFill>
        </w:rPr>
        <w:t>2.2因合同一方违约导致合同不能履行，另一方有权解除合同。</w:t>
      </w:r>
    </w:p>
    <w:p w14:paraId="2D274A15">
      <w:pPr>
        <w:tabs>
          <w:tab w:val="left" w:pos="0"/>
        </w:tabs>
        <w:spacing w:line="360" w:lineRule="auto"/>
        <w:jc w:val="left"/>
        <w:rPr>
          <w:rFonts w:hint="eastAsia" w:ascii="宋体" w:hAnsi="宋体" w:cs="宋体"/>
          <w:b w:val="0"/>
          <w:bCs/>
          <w:color w:val="000000" w:themeColor="text1"/>
          <w:sz w:val="24"/>
          <w:szCs w:val="24"/>
          <w:highlight w:val="none"/>
          <w:lang w:val="zh-CN" w:eastAsia="zh-TW"/>
          <w14:textFill>
            <w14:solidFill>
              <w14:schemeClr w14:val="tx1"/>
            </w14:solidFill>
          </w14:textFill>
        </w:rPr>
      </w:pPr>
      <w:r>
        <w:rPr>
          <w:rFonts w:hint="eastAsia" w:ascii="宋体" w:hAnsi="宋体" w:cs="宋体"/>
          <w:b w:val="0"/>
          <w:bCs/>
          <w:color w:val="000000" w:themeColor="text1"/>
          <w:sz w:val="24"/>
          <w:szCs w:val="24"/>
          <w:highlight w:val="none"/>
          <w:lang w:val="zh-CN" w:eastAsia="zh-TW"/>
          <w14:textFill>
            <w14:solidFill>
              <w14:schemeClr w14:val="tx1"/>
            </w14:solidFill>
          </w14:textFill>
        </w:rPr>
        <w:t>3.有权解除合同的一方，应当在违约事实或不可抗力发生之后及时书面通知对方提出解除合同，合同在书面通知到达对方时解除。</w:t>
      </w:r>
    </w:p>
    <w:p w14:paraId="193EF711">
      <w:pPr>
        <w:tabs>
          <w:tab w:val="left" w:pos="0"/>
        </w:tabs>
        <w:spacing w:line="360" w:lineRule="auto"/>
        <w:jc w:val="left"/>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4.如乙方出现破产或丧失履行合同的能力，拒不配合验收与审计或其他甲方有权解除合同等情形的，甲方有权在任何时候以书面形式通知乙方终止合同并追究乙方违约责任，要求乙方返还已收到的合同款项。该终止合同将不损害或影响甲方已经采取或将要采取任何补救措施的权利。 </w:t>
      </w:r>
    </w:p>
    <w:p w14:paraId="4304A2D1">
      <w:pPr>
        <w:tabs>
          <w:tab w:val="left" w:pos="0"/>
        </w:tabs>
        <w:spacing w:line="360" w:lineRule="auto"/>
        <w:jc w:val="left"/>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5.如乙方出现违约行为，且甲方依据约定解除本合同的部分或全部内容的，甲方可以依其认为适当的条件和方法购买与未提供服务类似的服务，乙方应承担购买类似服务所超出的此部分费用。</w:t>
      </w:r>
    </w:p>
    <w:p w14:paraId="785B41AD">
      <w:pPr>
        <w:tabs>
          <w:tab w:val="left" w:pos="0"/>
        </w:tabs>
        <w:spacing w:line="360" w:lineRule="auto"/>
        <w:jc w:val="left"/>
        <w:rPr>
          <w:rFonts w:ascii="宋体" w:hAnsi="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6.甲方根据本合同约定有权解除合同的，解除合同的通知自送达本合同首部填写的乙方地址后生效；若乙方拒绝签收或显示查无此人而导致解除合同的通知未能被乙方实际签收的，解除合同的通知自退回之日视为送达。</w:t>
      </w:r>
    </w:p>
    <w:p w14:paraId="1306D28B">
      <w:pPr>
        <w:spacing w:line="360" w:lineRule="auto"/>
        <w:jc w:val="left"/>
        <w:rPr>
          <w:rFonts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十、</w:t>
      </w:r>
      <w:r>
        <w:rPr>
          <w:rFonts w:hint="eastAsia" w:ascii="宋体" w:hAnsi="宋体"/>
          <w:b w:val="0"/>
          <w:bCs/>
          <w:color w:val="000000" w:themeColor="text1"/>
          <w:sz w:val="24"/>
          <w:highlight w:val="none"/>
          <w:lang w:eastAsia="zh-CN"/>
          <w14:textFill>
            <w14:solidFill>
              <w14:schemeClr w14:val="tx1"/>
            </w14:solidFill>
          </w14:textFill>
        </w:rPr>
        <w:t>其他</w:t>
      </w:r>
    </w:p>
    <w:p w14:paraId="40113CBF">
      <w:pPr>
        <w:spacing w:line="360" w:lineRule="auto"/>
        <w:jc w:val="left"/>
        <w:rPr>
          <w:rFonts w:ascii="宋体" w:hAnsi="宋体"/>
          <w:b w:val="0"/>
          <w:bCs/>
          <w:color w:val="000000" w:themeColor="text1"/>
          <w:sz w:val="24"/>
          <w:highlight w:val="none"/>
          <w14:textFill>
            <w14:solidFill>
              <w14:schemeClr w14:val="tx1"/>
            </w14:solidFill>
          </w14:textFill>
        </w:rPr>
      </w:pPr>
      <w:r>
        <w:rPr>
          <w:rFonts w:ascii="宋体" w:hAnsi="宋体"/>
          <w:b w:val="0"/>
          <w:bCs/>
          <w:color w:val="000000" w:themeColor="text1"/>
          <w:sz w:val="24"/>
          <w:highlight w:val="none"/>
          <w14:textFill>
            <w14:solidFill>
              <w14:schemeClr w14:val="tx1"/>
            </w14:solidFill>
          </w14:textFill>
        </w:rPr>
        <w:t>1</w:t>
      </w:r>
      <w:r>
        <w:rPr>
          <w:rFonts w:hint="eastAsia" w:ascii="宋体" w:hAnsi="宋体"/>
          <w:b w:val="0"/>
          <w:bCs/>
          <w:color w:val="000000" w:themeColor="text1"/>
          <w:sz w:val="24"/>
          <w:highlight w:val="none"/>
          <w14:textFill>
            <w14:solidFill>
              <w14:schemeClr w14:val="tx1"/>
            </w14:solidFill>
          </w14:textFill>
        </w:rPr>
        <w:t>.乙方除应为相关人员提供必要的劳动保护条件并支付员工工资和缴纳正常的社会保险外，还应为其办理作业时的人身安全保险和意外伤害险，乙方在合同期限内发生的一切安全责任事故均由乙方自行负责（保险种类由乙方自行选择）。</w:t>
      </w:r>
    </w:p>
    <w:p w14:paraId="1135DEE5">
      <w:pPr>
        <w:spacing w:line="360" w:lineRule="auto"/>
        <w:jc w:val="left"/>
        <w:rPr>
          <w:rFonts w:ascii="宋体" w:hAnsi="宋体"/>
          <w:b w:val="0"/>
          <w:bCs/>
          <w:color w:val="000000" w:themeColor="text1"/>
          <w:sz w:val="24"/>
          <w:highlight w:val="none"/>
          <w14:textFill>
            <w14:solidFill>
              <w14:schemeClr w14:val="tx1"/>
            </w14:solidFill>
          </w14:textFill>
        </w:rPr>
      </w:pPr>
      <w:r>
        <w:rPr>
          <w:rFonts w:ascii="宋体" w:hAnsi="宋体"/>
          <w:b w:val="0"/>
          <w:bCs/>
          <w:color w:val="000000" w:themeColor="text1"/>
          <w:sz w:val="24"/>
          <w:highlight w:val="none"/>
          <w14:textFill>
            <w14:solidFill>
              <w14:schemeClr w14:val="tx1"/>
            </w14:solidFill>
          </w14:textFill>
        </w:rPr>
        <w:t>2</w:t>
      </w:r>
      <w:r>
        <w:rPr>
          <w:rFonts w:hint="eastAsia" w:ascii="宋体" w:hAnsi="宋体"/>
          <w:b w:val="0"/>
          <w:bCs/>
          <w:color w:val="000000" w:themeColor="text1"/>
          <w:sz w:val="24"/>
          <w:highlight w:val="none"/>
          <w14:textFill>
            <w14:solidFill>
              <w14:schemeClr w14:val="tx1"/>
            </w14:solidFill>
          </w14:textFill>
        </w:rPr>
        <w:t>.乙方应做好职工安全生产教育，并配备一定的劳动保护必需品以供职工使用。</w:t>
      </w:r>
    </w:p>
    <w:p w14:paraId="7F4218DD">
      <w:pPr>
        <w:spacing w:line="360" w:lineRule="auto"/>
        <w:rPr>
          <w:rFonts w:hint="eastAsia"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3.安全责任</w:t>
      </w:r>
      <w:r>
        <w:rPr>
          <w:rFonts w:hint="eastAsia" w:ascii="宋体" w:hAnsi="宋体"/>
          <w:b w:val="0"/>
          <w:bCs/>
          <w:color w:val="000000" w:themeColor="text1"/>
          <w:sz w:val="24"/>
          <w:highlight w:val="none"/>
          <w:lang w:eastAsia="zh-CN"/>
          <w14:textFill>
            <w14:solidFill>
              <w14:schemeClr w14:val="tx1"/>
            </w14:solidFill>
          </w14:textFill>
        </w:rPr>
        <w:t>：</w:t>
      </w:r>
      <w:r>
        <w:rPr>
          <w:rFonts w:hint="eastAsia" w:ascii="宋体" w:hAnsi="宋体" w:cs="宋体"/>
          <w:b w:val="0"/>
          <w:bCs/>
          <w:color w:val="000000" w:themeColor="text1"/>
          <w:sz w:val="24"/>
          <w:szCs w:val="24"/>
          <w:highlight w:val="none"/>
          <w14:textFill>
            <w14:solidFill>
              <w14:schemeClr w14:val="tx1"/>
            </w14:solidFill>
          </w14:textFill>
        </w:rPr>
        <w:t>乙方在执行合同规定的任务过程中，应严格执行国家安全生产有关法律法规规定，做到文明工作、安全生产，采取必要的安全防范措施，合同期内若发生安全事故由乙方承担，与甲方无关。因乙方履职不合格而发生的任何质量、安全事故，均由乙方承担责任，给甲方造成损失的，乙方应予以赔偿。</w:t>
      </w:r>
    </w:p>
    <w:p w14:paraId="2129D6BD">
      <w:pPr>
        <w:spacing w:line="360" w:lineRule="auto"/>
        <w:jc w:val="left"/>
        <w:rPr>
          <w:rFonts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4.甲乙双方因合同发生争议，应在采购代理机构的主持下进行调解协商，协商不成的，任何一方可以向甲方所在地人民法院起诉。甲方因处理乙方违约或乙方追究甲方违约但不成立而产生的费用由乙方承担，该费用包括但不限于诉讼费、保全费、鉴定费、执行费、律师费、差旅费等。</w:t>
      </w:r>
    </w:p>
    <w:p w14:paraId="141316CA">
      <w:pPr>
        <w:spacing w:line="360" w:lineRule="auto"/>
        <w:jc w:val="left"/>
        <w:rPr>
          <w:rFonts w:hint="eastAsia"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5.本合同之附件均为合同有效组成部分，与本合同具有同等法律效力。</w:t>
      </w:r>
    </w:p>
    <w:p w14:paraId="1FA8C14A">
      <w:pPr>
        <w:spacing w:line="360" w:lineRule="auto"/>
        <w:jc w:val="left"/>
        <w:rPr>
          <w:rFonts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十</w:t>
      </w:r>
      <w:r>
        <w:rPr>
          <w:rFonts w:hint="eastAsia" w:ascii="宋体" w:hAnsi="宋体"/>
          <w:b w:val="0"/>
          <w:bCs/>
          <w:color w:val="000000" w:themeColor="text1"/>
          <w:sz w:val="24"/>
          <w:highlight w:val="none"/>
          <w:lang w:eastAsia="zh-CN"/>
          <w14:textFill>
            <w14:solidFill>
              <w14:schemeClr w14:val="tx1"/>
            </w14:solidFill>
          </w14:textFill>
        </w:rPr>
        <w:t>一</w:t>
      </w:r>
      <w:r>
        <w:rPr>
          <w:rFonts w:hint="eastAsia" w:ascii="宋体" w:hAnsi="宋体"/>
          <w:b w:val="0"/>
          <w:bCs/>
          <w:color w:val="000000" w:themeColor="text1"/>
          <w:sz w:val="24"/>
          <w:highlight w:val="none"/>
          <w14:textFill>
            <w14:solidFill>
              <w14:schemeClr w14:val="tx1"/>
            </w14:solidFill>
          </w14:textFill>
        </w:rPr>
        <w:t>、附则</w:t>
      </w:r>
    </w:p>
    <w:p w14:paraId="3A8D19B3">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1.合同份数：本合同</w:t>
      </w:r>
      <w:r>
        <w:rPr>
          <w:rFonts w:hint="eastAsia" w:ascii="宋体" w:hAnsi="宋体"/>
          <w:color w:val="000000" w:themeColor="text1"/>
          <w:sz w:val="24"/>
          <w:highlight w:val="none"/>
          <w:lang w:eastAsia="zh-CN"/>
          <w14:textFill>
            <w14:solidFill>
              <w14:schemeClr w14:val="tx1"/>
            </w14:solidFill>
          </w14:textFill>
        </w:rPr>
        <w:t>一式</w:t>
      </w:r>
      <w:r>
        <w:rPr>
          <w:rFonts w:hint="eastAsia" w:ascii="宋体" w:hAnsi="宋体"/>
          <w:color w:val="000000" w:themeColor="text1"/>
          <w:sz w:val="24"/>
          <w:highlight w:val="none"/>
          <w:lang w:val="en-US" w:eastAsia="zh-CN"/>
          <w14:textFill>
            <w14:solidFill>
              <w14:schemeClr w14:val="tx1"/>
            </w14:solidFill>
          </w14:textFill>
        </w:rPr>
        <w:t>伍</w:t>
      </w:r>
      <w:r>
        <w:rPr>
          <w:rFonts w:hint="eastAsia" w:ascii="宋体" w:hAnsi="宋体"/>
          <w:color w:val="000000" w:themeColor="text1"/>
          <w:sz w:val="24"/>
          <w:highlight w:val="none"/>
          <w:lang w:eastAsia="zh-CN"/>
          <w14:textFill>
            <w14:solidFill>
              <w14:schemeClr w14:val="tx1"/>
            </w14:solidFill>
          </w14:textFill>
        </w:rPr>
        <w:t>份</w:t>
      </w:r>
      <w:r>
        <w:rPr>
          <w:rFonts w:hint="eastAsia" w:ascii="宋体" w:hAnsi="宋体"/>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lang w:val="zh-CN"/>
          <w14:textFill>
            <w14:solidFill>
              <w14:schemeClr w14:val="tx1"/>
            </w14:solidFill>
          </w14:textFill>
        </w:rPr>
        <w:t>甲方贰份，乙方壹份，采购代理机构壹份，政府采购管理部门壹份</w:t>
      </w:r>
      <w:r>
        <w:rPr>
          <w:rFonts w:hint="eastAsia" w:ascii="宋体" w:hAnsi="宋体"/>
          <w:color w:val="000000" w:themeColor="text1"/>
          <w:sz w:val="24"/>
          <w:highlight w:val="none"/>
          <w14:textFill>
            <w14:solidFill>
              <w14:schemeClr w14:val="tx1"/>
            </w14:solidFill>
          </w14:textFill>
        </w:rPr>
        <w:t>，各份具有同等法律效力。</w:t>
      </w:r>
    </w:p>
    <w:p w14:paraId="0A080349">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2.本合同文件使用中文书写、解释和说明。</w:t>
      </w:r>
    </w:p>
    <w:p w14:paraId="14371AE1">
      <w:pPr>
        <w:spacing w:line="360" w:lineRule="auto"/>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3.本合同履行过程中产生的纪要、协议以及</w:t>
      </w:r>
      <w:r>
        <w:rPr>
          <w:rFonts w:hint="eastAsia" w:ascii="宋体" w:hAnsi="宋体"/>
          <w:color w:val="000000" w:themeColor="text1"/>
          <w:sz w:val="24"/>
          <w:highlight w:val="none"/>
          <w:lang w:val="en-US" w:eastAsia="zh-CN"/>
          <w14:textFill>
            <w14:solidFill>
              <w14:schemeClr w14:val="tx1"/>
            </w14:solidFill>
          </w14:textFill>
        </w:rPr>
        <w:t>中标</w:t>
      </w:r>
      <w:r>
        <w:rPr>
          <w:rFonts w:hint="eastAsia" w:ascii="宋体" w:hAnsi="宋体"/>
          <w:color w:val="000000" w:themeColor="text1"/>
          <w:sz w:val="24"/>
          <w:highlight w:val="none"/>
          <w14:textFill>
            <w14:solidFill>
              <w14:schemeClr w14:val="tx1"/>
            </w14:solidFill>
          </w14:textFill>
        </w:rPr>
        <w:t>通知书</w:t>
      </w:r>
      <w:r>
        <w:rPr>
          <w:rFonts w:hint="eastAsia" w:ascii="宋体" w:hAnsi="宋体"/>
          <w:color w:val="000000" w:themeColor="text1"/>
          <w:sz w:val="24"/>
          <w:highlight w:val="none"/>
          <w:lang w:eastAsia="zh-CN"/>
          <w14:textFill>
            <w14:solidFill>
              <w14:schemeClr w14:val="tx1"/>
            </w14:solidFill>
          </w14:textFill>
        </w:rPr>
        <w:t>、投标</w:t>
      </w:r>
      <w:r>
        <w:rPr>
          <w:rFonts w:hint="eastAsia" w:ascii="宋体" w:hAnsi="宋体"/>
          <w:color w:val="000000" w:themeColor="text1"/>
          <w:sz w:val="24"/>
          <w:highlight w:val="none"/>
          <w14:textFill>
            <w14:solidFill>
              <w14:schemeClr w14:val="tx1"/>
            </w14:solidFill>
          </w14:textFill>
        </w:rPr>
        <w:t>文件和采购文件为本合同的附件，与合同具有同等法律效力。</w:t>
      </w:r>
    </w:p>
    <w:p w14:paraId="6C0A0902">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4.未尽事宜：</w:t>
      </w:r>
      <w:r>
        <w:rPr>
          <w:rFonts w:hint="eastAsia" w:ascii="宋体" w:hAnsi="宋体" w:cs="宋体"/>
          <w:color w:val="000000" w:themeColor="text1"/>
          <w:sz w:val="24"/>
          <w:szCs w:val="24"/>
          <w:highlight w:val="none"/>
          <w14:textFill>
            <w14:solidFill>
              <w14:schemeClr w14:val="tx1"/>
            </w14:solidFill>
          </w14:textFill>
        </w:rPr>
        <w:t>本合同未尽事宜应按《中华人民共和国民法典》《中华人民共和国政府采购法》以及其他相关法律、法规之规定解释。双方在不违背本合同和采购文件的原则下协商解决，协商结果以书面形式盖章记录，作为本合同的附件，与本合同具有同等法律效力，但需向采购代理机构提交贰份备存</w:t>
      </w:r>
      <w:r>
        <w:rPr>
          <w:rFonts w:hint="eastAsia" w:ascii="宋体" w:hAnsi="宋体"/>
          <w:color w:val="000000" w:themeColor="text1"/>
          <w:sz w:val="24"/>
          <w:highlight w:val="none"/>
          <w14:textFill>
            <w14:solidFill>
              <w14:schemeClr w14:val="tx1"/>
            </w14:solidFill>
          </w14:textFill>
        </w:rPr>
        <w:t>。</w:t>
      </w:r>
    </w:p>
    <w:p w14:paraId="3F7C18B3">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5.本合同首部载明的地址为甲乙双方认可的相关文件、法律文书送达地址，任何一方如更换地址的，应于更换后3日内书面通知另一方，未通知的一方自行承担法院送达不能等不利后果。</w:t>
      </w:r>
    </w:p>
    <w:p w14:paraId="3913DEBD">
      <w:pPr>
        <w:pStyle w:val="253"/>
        <w:rPr>
          <w:rFonts w:ascii="宋体" w:hAnsi="宋体" w:cs="宋体"/>
          <w:color w:val="000000" w:themeColor="text1"/>
          <w:sz w:val="24"/>
          <w:szCs w:val="24"/>
          <w:highlight w:val="none"/>
          <w14:textFill>
            <w14:solidFill>
              <w14:schemeClr w14:val="tx1"/>
            </w14:solidFill>
          </w14:textFill>
        </w:rPr>
      </w:pPr>
    </w:p>
    <w:p w14:paraId="74E69631">
      <w:pPr>
        <w:pStyle w:val="39"/>
        <w:keepNext w:val="0"/>
        <w:keepLines w:val="0"/>
        <w:pageBreakBefore w:val="0"/>
        <w:widowControl w:val="0"/>
        <w:spacing w:line="400" w:lineRule="exact"/>
        <w:ind w:left="0" w:firstLine="48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甲方（盖章）：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乙方（盖章）：</w:t>
      </w:r>
    </w:p>
    <w:p w14:paraId="3D0B3776">
      <w:pPr>
        <w:pStyle w:val="39"/>
        <w:keepNext w:val="0"/>
        <w:keepLines w:val="0"/>
        <w:pageBreakBefore w:val="0"/>
        <w:widowControl w:val="0"/>
        <w:spacing w:line="400" w:lineRule="exact"/>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5746AB6F">
      <w:pPr>
        <w:pStyle w:val="39"/>
        <w:keepNext w:val="0"/>
        <w:keepLines w:val="0"/>
        <w:pageBreakBefore w:val="0"/>
        <w:widowControl w:val="0"/>
        <w:spacing w:line="400" w:lineRule="exact"/>
        <w:ind w:left="0"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法定（授权）代表人（签字）：       法定（授权）代表人（签字）：</w:t>
      </w:r>
    </w:p>
    <w:p w14:paraId="23A2D6F6">
      <w:pPr>
        <w:pStyle w:val="39"/>
        <w:keepNext w:val="0"/>
        <w:keepLines w:val="0"/>
        <w:pageBreakBefore w:val="0"/>
        <w:widowControl w:val="0"/>
        <w:spacing w:line="400" w:lineRule="exact"/>
        <w:ind w:left="0"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4E85302">
      <w:pPr>
        <w:pStyle w:val="39"/>
        <w:keepNext w:val="0"/>
        <w:keepLines w:val="0"/>
        <w:pageBreakBefore w:val="0"/>
        <w:widowControl w:val="0"/>
        <w:spacing w:line="400" w:lineRule="exact"/>
        <w:ind w:left="0"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    年    月    日           日期：    年    月     日</w:t>
      </w:r>
    </w:p>
    <w:p w14:paraId="7D206D61">
      <w:pPr>
        <w:keepNext w:val="0"/>
        <w:keepLines w:val="0"/>
        <w:pageBreakBefore w:val="0"/>
        <w:widowControl w:val="0"/>
        <w:spacing w:line="360" w:lineRule="auto"/>
        <w:jc w:val="center"/>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br w:type="page" w:clear="all"/>
      </w:r>
      <w:r>
        <w:rPr>
          <w:rFonts w:hint="eastAsia" w:ascii="宋体" w:hAnsi="宋体"/>
          <w:color w:val="000000" w:themeColor="text1"/>
          <w:sz w:val="44"/>
          <w:szCs w:val="44"/>
          <w:highlight w:val="none"/>
          <w14:textFill>
            <w14:solidFill>
              <w14:schemeClr w14:val="tx1"/>
            </w14:solidFill>
          </w14:textFill>
        </w:rPr>
        <w:t xml:space="preserve"> 第六章 评标方法、评分标准</w:t>
      </w:r>
    </w:p>
    <w:p w14:paraId="69762B48">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一、评标方法：</w:t>
      </w:r>
    </w:p>
    <w:p w14:paraId="4FD2BFA7">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1、本次招标评标采用综合评分法，即投标文件满足招标文件全部实质性要求，且按照评审因素的量化指标评审得分最高的投标人为中标候选人。</w:t>
      </w:r>
    </w:p>
    <w:p w14:paraId="0763DDFC">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2、评标委员会各成员独立对每个进入打分程序的有效投标人的标书技术部分以打分的形式进行评审和评价。对评委的评分（除价格分外）进行统计汇总，直接算术平均计算得分（计算结果均四舍五入保留两位小数）。</w:t>
      </w:r>
    </w:p>
    <w:p w14:paraId="5D32E12C">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二、综合评分标准：</w:t>
      </w:r>
    </w:p>
    <w:p w14:paraId="3E8CEEB9">
      <w:pPr>
        <w:pStyle w:val="227"/>
        <w:keepNext w:val="0"/>
        <w:keepLines w:val="0"/>
        <w:pageBreakBefore w:val="0"/>
        <w:widowControl w:val="0"/>
        <w:spacing w:line="360" w:lineRule="auto"/>
        <w:rPr>
          <w:rFonts w:hAnsi="宋体" w:eastAsia="宋体"/>
          <w:b/>
          <w:color w:val="000000" w:themeColor="text1"/>
          <w:sz w:val="24"/>
          <w:szCs w:val="24"/>
          <w:highlight w:val="none"/>
          <w14:textFill>
            <w14:solidFill>
              <w14:schemeClr w14:val="tx1"/>
            </w14:solidFill>
          </w14:textFill>
        </w:rPr>
      </w:pPr>
      <w:r>
        <w:rPr>
          <w:rFonts w:hint="eastAsia" w:hAnsi="宋体" w:eastAsia="宋体"/>
          <w:b/>
          <w:color w:val="000000" w:themeColor="text1"/>
          <w:sz w:val="24"/>
          <w:szCs w:val="24"/>
          <w:highlight w:val="none"/>
          <w14:textFill>
            <w14:solidFill>
              <w14:schemeClr w14:val="tx1"/>
            </w14:solidFill>
          </w14:textFill>
        </w:rPr>
        <w:t>（一）价格基准分：</w:t>
      </w:r>
      <w:r>
        <w:rPr>
          <w:rFonts w:hint="eastAsia" w:hAnsi="宋体" w:eastAsia="宋体"/>
          <w:b/>
          <w:color w:val="000000" w:themeColor="text1"/>
          <w:sz w:val="24"/>
          <w:szCs w:val="24"/>
          <w:highlight w:val="none"/>
          <w:lang w:val="en-US" w:eastAsia="zh-CN"/>
          <w14:textFill>
            <w14:solidFill>
              <w14:schemeClr w14:val="tx1"/>
            </w14:solidFill>
          </w14:textFill>
        </w:rPr>
        <w:t>10</w:t>
      </w:r>
      <w:r>
        <w:rPr>
          <w:rFonts w:hint="eastAsia" w:hAnsi="宋体" w:eastAsia="宋体"/>
          <w:b/>
          <w:color w:val="000000" w:themeColor="text1"/>
          <w:sz w:val="24"/>
          <w:szCs w:val="24"/>
          <w:highlight w:val="none"/>
          <w14:textFill>
            <w14:solidFill>
              <w14:schemeClr w14:val="tx1"/>
            </w14:solidFill>
          </w14:textFill>
        </w:rPr>
        <w:t>分</w:t>
      </w:r>
    </w:p>
    <w:p w14:paraId="5912CA67">
      <w:pPr>
        <w:pStyle w:val="227"/>
        <w:keepNext w:val="0"/>
        <w:keepLines w:val="0"/>
        <w:pageBreakBefore w:val="0"/>
        <w:widowControl w:val="0"/>
        <w:spacing w:line="360" w:lineRule="auto"/>
        <w:ind w:firstLine="480"/>
        <w:rPr>
          <w:rFonts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价格分采用低价优先法计算，即满足采购文件要求且投标价格最低的投标报价为评标基准价，其价格分为满分。</w:t>
      </w:r>
    </w:p>
    <w:p w14:paraId="2D1F0E9A">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第一步：投标报价不超过</w:t>
      </w:r>
      <w:r>
        <w:rPr>
          <w:rFonts w:hint="eastAsia" w:ascii="宋体" w:hAnsi="宋体"/>
          <w:color w:val="000000" w:themeColor="text1"/>
          <w:sz w:val="24"/>
          <w:highlight w:val="none"/>
          <w:lang w:val="en-US" w:eastAsia="zh-CN"/>
          <w14:textFill>
            <w14:solidFill>
              <w14:schemeClr w14:val="tx1"/>
            </w14:solidFill>
          </w14:textFill>
        </w:rPr>
        <w:t>最高限价</w:t>
      </w:r>
      <w:r>
        <w:rPr>
          <w:rFonts w:hint="eastAsia" w:ascii="宋体" w:hAnsi="宋体"/>
          <w:color w:val="000000" w:themeColor="text1"/>
          <w:sz w:val="24"/>
          <w:highlight w:val="none"/>
          <w14:textFill>
            <w14:solidFill>
              <w14:schemeClr w14:val="tx1"/>
            </w14:solidFill>
          </w14:textFill>
        </w:rPr>
        <w:t>的，为有效投标报价。超出此范围的投标报价为无效投标报价。无效投标报价的投标文件不进行评审，也不得标。</w:t>
      </w:r>
    </w:p>
    <w:p w14:paraId="726BDE71">
      <w:pPr>
        <w:pStyle w:val="227"/>
        <w:spacing w:line="360" w:lineRule="auto"/>
        <w:ind w:firstLine="480"/>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第二步：在所有有效报价中满足采购文件实质性要求，且价格最低的报价为评标基准价，其价格分为</w:t>
      </w:r>
      <w:r>
        <w:rPr>
          <w:rFonts w:hint="eastAsia" w:hAnsi="宋体" w:eastAsia="宋体"/>
          <w:color w:val="000000" w:themeColor="text1"/>
          <w:sz w:val="24"/>
          <w:szCs w:val="24"/>
          <w:highlight w:val="none"/>
          <w:lang w:val="en-US" w:eastAsia="zh-CN"/>
          <w14:textFill>
            <w14:solidFill>
              <w14:schemeClr w14:val="tx1"/>
            </w14:solidFill>
          </w14:textFill>
        </w:rPr>
        <w:t>10</w:t>
      </w:r>
      <w:r>
        <w:rPr>
          <w:rFonts w:hint="eastAsia" w:hAnsi="宋体" w:eastAsia="宋体"/>
          <w:color w:val="000000" w:themeColor="text1"/>
          <w:sz w:val="24"/>
          <w:szCs w:val="24"/>
          <w:highlight w:val="none"/>
          <w14:textFill>
            <w14:solidFill>
              <w14:schemeClr w14:val="tx1"/>
            </w14:solidFill>
          </w14:textFill>
        </w:rPr>
        <w:t>分，其他供应商的价格分按照下列公式计算（计算结果四舍五入保留两位小数）：</w:t>
      </w:r>
    </w:p>
    <w:p w14:paraId="05486702">
      <w:pPr>
        <w:spacing w:line="360" w:lineRule="auto"/>
        <w:ind w:firstLine="48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投标报价得分＝（基准报价/投标报价）×</w:t>
      </w:r>
      <w:r>
        <w:rPr>
          <w:rFonts w:hint="eastAsia" w:ascii="宋体" w:hAnsi="宋体"/>
          <w:color w:val="000000" w:themeColor="text1"/>
          <w:sz w:val="24"/>
          <w:highlight w:val="none"/>
          <w:u w:val="single"/>
          <w:lang w:val="en-US" w:eastAsia="zh-CN"/>
          <w14:textFill>
            <w14:solidFill>
              <w14:schemeClr w14:val="tx1"/>
            </w14:solidFill>
          </w14:textFill>
        </w:rPr>
        <w:t>10</w:t>
      </w:r>
      <w:r>
        <w:rPr>
          <w:rFonts w:hint="eastAsia" w:ascii="宋体" w:hAnsi="宋体"/>
          <w:color w:val="000000" w:themeColor="text1"/>
          <w:sz w:val="24"/>
          <w:highlight w:val="none"/>
          <w:u w:val="single"/>
          <w14:textFill>
            <w14:solidFill>
              <w14:schemeClr w14:val="tx1"/>
            </w14:solidFill>
          </w14:textFill>
        </w:rPr>
        <w:t>%×100</w:t>
      </w:r>
    </w:p>
    <w:p w14:paraId="3161C5AC">
      <w:pPr>
        <w:pStyle w:val="227"/>
        <w:keepNext w:val="0"/>
        <w:keepLines w:val="0"/>
        <w:pageBreakBefore w:val="0"/>
        <w:widowControl w:val="0"/>
        <w:suppressLineNumbers w:val="0"/>
        <w:spacing w:before="0" w:after="0" w:line="360" w:lineRule="auto"/>
        <w:jc w:val="left"/>
        <w:rPr>
          <w:rFonts w:hint="eastAsia" w:hAnsi="宋体" w:eastAsia="宋体"/>
          <w:b/>
          <w:bCs/>
          <w:color w:val="000000" w:themeColor="text1"/>
          <w:sz w:val="24"/>
          <w:szCs w:val="24"/>
          <w:highlight w:val="none"/>
          <w14:textFill>
            <w14:solidFill>
              <w14:schemeClr w14:val="tx1"/>
            </w14:solidFill>
          </w14:textFill>
        </w:rPr>
      </w:pPr>
      <w:r>
        <w:rPr>
          <w:rFonts w:hint="eastAsia" w:hAnsi="宋体" w:eastAsia="宋体"/>
          <w:b/>
          <w:bCs/>
          <w:color w:val="000000" w:themeColor="text1"/>
          <w:sz w:val="24"/>
          <w:szCs w:val="24"/>
          <w:highlight w:val="none"/>
          <w14:textFill>
            <w14:solidFill>
              <w14:schemeClr w14:val="tx1"/>
            </w14:solidFill>
          </w14:textFill>
        </w:rPr>
        <w:t>（二）技术方案</w:t>
      </w:r>
      <w:r>
        <w:rPr>
          <w:rFonts w:hint="eastAsia" w:hAnsi="宋体" w:eastAsia="宋体"/>
          <w:b/>
          <w:bCs/>
          <w:color w:val="000000" w:themeColor="text1"/>
          <w:sz w:val="24"/>
          <w:szCs w:val="24"/>
          <w:highlight w:val="none"/>
          <w:lang w:val="en-US" w:eastAsia="zh-CN"/>
          <w14:textFill>
            <w14:solidFill>
              <w14:schemeClr w14:val="tx1"/>
            </w14:solidFill>
          </w14:textFill>
        </w:rPr>
        <w:t>比较</w:t>
      </w:r>
      <w:r>
        <w:rPr>
          <w:rFonts w:hint="eastAsia" w:hAnsi="宋体" w:eastAsia="宋体"/>
          <w:b/>
          <w:bCs/>
          <w:color w:val="000000" w:themeColor="text1"/>
          <w:sz w:val="24"/>
          <w:szCs w:val="24"/>
          <w:highlight w:val="none"/>
          <w14:textFill>
            <w14:solidFill>
              <w14:schemeClr w14:val="tx1"/>
            </w14:solidFill>
          </w14:textFill>
        </w:rPr>
        <w:t>（</w:t>
      </w:r>
      <w:r>
        <w:rPr>
          <w:rFonts w:hint="eastAsia" w:hAnsi="宋体" w:eastAsia="宋体"/>
          <w:b/>
          <w:bCs/>
          <w:color w:val="000000" w:themeColor="text1"/>
          <w:sz w:val="24"/>
          <w:szCs w:val="24"/>
          <w:highlight w:val="none"/>
          <w:lang w:val="en-US" w:eastAsia="zh-CN"/>
          <w14:textFill>
            <w14:solidFill>
              <w14:schemeClr w14:val="tx1"/>
            </w14:solidFill>
          </w14:textFill>
        </w:rPr>
        <w:t>52</w:t>
      </w:r>
      <w:r>
        <w:rPr>
          <w:rFonts w:hint="eastAsia" w:hAnsi="宋体" w:eastAsia="宋体"/>
          <w:b/>
          <w:bCs/>
          <w:color w:val="000000" w:themeColor="text1"/>
          <w:sz w:val="24"/>
          <w:szCs w:val="24"/>
          <w:highlight w:val="none"/>
          <w14:textFill>
            <w14:solidFill>
              <w14:schemeClr w14:val="tx1"/>
            </w14:solidFill>
          </w14:textFill>
        </w:rPr>
        <w:t>分）</w:t>
      </w:r>
    </w:p>
    <w:p w14:paraId="56E280D4">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lang w:eastAsia="zh-CN"/>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1、服务方案</w:t>
      </w:r>
      <w:r>
        <w:rPr>
          <w:rFonts w:hint="eastAsia" w:hAnsi="宋体" w:eastAsia="宋体"/>
          <w:color w:val="000000" w:themeColor="text1"/>
          <w:sz w:val="24"/>
          <w:szCs w:val="24"/>
          <w:highlight w:val="none"/>
          <w:lang w:eastAsia="zh-CN"/>
          <w14:textFill>
            <w14:solidFill>
              <w14:schemeClr w14:val="tx1"/>
            </w14:solidFill>
          </w14:textFill>
        </w:rPr>
        <w:t>：</w:t>
      </w:r>
      <w:r>
        <w:rPr>
          <w:rFonts w:hint="eastAsia" w:hAnsi="宋体" w:eastAsia="宋体"/>
          <w:color w:val="000000" w:themeColor="text1"/>
          <w:sz w:val="24"/>
          <w:szCs w:val="24"/>
          <w:highlight w:val="none"/>
          <w:lang w:val="en-US" w:eastAsia="zh-CN"/>
          <w14:textFill>
            <w14:solidFill>
              <w14:schemeClr w14:val="tx1"/>
            </w14:solidFill>
          </w14:textFill>
        </w:rPr>
        <w:t>8分</w:t>
      </w:r>
    </w:p>
    <w:p w14:paraId="2BED742A">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工作方案完整详尽，管理责任清晰</w:t>
      </w:r>
      <w:r>
        <w:rPr>
          <w:rFonts w:hint="eastAsia" w:hAnsi="宋体" w:eastAsia="宋体"/>
          <w:color w:val="000000" w:themeColor="text1"/>
          <w:sz w:val="24"/>
          <w:szCs w:val="24"/>
          <w:highlight w:val="none"/>
          <w:lang w:eastAsia="zh-CN"/>
          <w14:textFill>
            <w14:solidFill>
              <w14:schemeClr w14:val="tx1"/>
            </w14:solidFill>
          </w14:textFill>
        </w:rPr>
        <w:t>，</w:t>
      </w:r>
      <w:r>
        <w:rPr>
          <w:rFonts w:hint="eastAsia" w:hAnsi="宋体" w:eastAsia="宋体"/>
          <w:color w:val="000000" w:themeColor="text1"/>
          <w:sz w:val="24"/>
          <w:szCs w:val="24"/>
          <w:highlight w:val="none"/>
          <w14:textFill>
            <w14:solidFill>
              <w14:schemeClr w14:val="tx1"/>
            </w14:solidFill>
          </w14:textFill>
        </w:rPr>
        <w:t>分工明确科学</w:t>
      </w:r>
      <w:r>
        <w:rPr>
          <w:rFonts w:hint="eastAsia" w:hAnsi="宋体" w:eastAsia="宋体"/>
          <w:color w:val="000000" w:themeColor="text1"/>
          <w:sz w:val="24"/>
          <w:szCs w:val="24"/>
          <w:highlight w:val="none"/>
          <w:lang w:eastAsia="zh-CN"/>
          <w14:textFill>
            <w14:solidFill>
              <w14:schemeClr w14:val="tx1"/>
            </w14:solidFill>
          </w14:textFill>
        </w:rPr>
        <w:t>，</w:t>
      </w:r>
      <w:r>
        <w:rPr>
          <w:rFonts w:hint="eastAsia" w:hAnsi="宋体" w:eastAsia="宋体"/>
          <w:color w:val="000000" w:themeColor="text1"/>
          <w:sz w:val="24"/>
          <w:szCs w:val="24"/>
          <w:highlight w:val="none"/>
          <w14:textFill>
            <w14:solidFill>
              <w14:schemeClr w14:val="tx1"/>
            </w14:solidFill>
          </w14:textFill>
        </w:rPr>
        <w:t>完全符合采购要求得</w:t>
      </w:r>
      <w:r>
        <w:rPr>
          <w:rFonts w:hint="eastAsia" w:hAnsi="宋体" w:eastAsia="宋体"/>
          <w:color w:val="000000" w:themeColor="text1"/>
          <w:sz w:val="24"/>
          <w:szCs w:val="24"/>
          <w:highlight w:val="none"/>
          <w:lang w:val="en-US" w:eastAsia="zh-CN"/>
          <w14:textFill>
            <w14:solidFill>
              <w14:schemeClr w14:val="tx1"/>
            </w14:solidFill>
          </w14:textFill>
        </w:rPr>
        <w:t>8</w:t>
      </w:r>
      <w:r>
        <w:rPr>
          <w:rFonts w:hint="eastAsia" w:hAnsi="宋体" w:eastAsia="宋体"/>
          <w:color w:val="000000" w:themeColor="text1"/>
          <w:sz w:val="24"/>
          <w:szCs w:val="24"/>
          <w:highlight w:val="none"/>
          <w14:textFill>
            <w14:solidFill>
              <w14:schemeClr w14:val="tx1"/>
            </w14:solidFill>
          </w14:textFill>
        </w:rPr>
        <w:t>分；</w:t>
      </w:r>
    </w:p>
    <w:p w14:paraId="437A8B8C">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lang w:val="en-US" w:eastAsia="zh-CN"/>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工作方案基本完整，但管理责任简单</w:t>
      </w:r>
      <w:r>
        <w:rPr>
          <w:rFonts w:hint="eastAsia" w:hAnsi="宋体" w:eastAsia="宋体"/>
          <w:color w:val="000000" w:themeColor="text1"/>
          <w:sz w:val="24"/>
          <w:szCs w:val="24"/>
          <w:highlight w:val="none"/>
          <w:lang w:eastAsia="zh-CN"/>
          <w14:textFill>
            <w14:solidFill>
              <w14:schemeClr w14:val="tx1"/>
            </w14:solidFill>
          </w14:textFill>
        </w:rPr>
        <w:t>，</w:t>
      </w:r>
      <w:r>
        <w:rPr>
          <w:rFonts w:hint="eastAsia" w:hAnsi="宋体" w:eastAsia="宋体"/>
          <w:color w:val="000000" w:themeColor="text1"/>
          <w:sz w:val="24"/>
          <w:szCs w:val="24"/>
          <w:highlight w:val="none"/>
          <w14:textFill>
            <w14:solidFill>
              <w14:schemeClr w14:val="tx1"/>
            </w14:solidFill>
          </w14:textFill>
        </w:rPr>
        <w:t>分工基本满足要求得</w:t>
      </w:r>
      <w:r>
        <w:rPr>
          <w:rFonts w:hint="eastAsia" w:hAnsi="宋体" w:eastAsia="宋体"/>
          <w:color w:val="000000" w:themeColor="text1"/>
          <w:sz w:val="24"/>
          <w:szCs w:val="24"/>
          <w:highlight w:val="none"/>
          <w:lang w:val="en-US" w:eastAsia="zh-CN"/>
          <w14:textFill>
            <w14:solidFill>
              <w14:schemeClr w14:val="tx1"/>
            </w14:solidFill>
          </w14:textFill>
        </w:rPr>
        <w:t>5</w:t>
      </w:r>
      <w:r>
        <w:rPr>
          <w:rFonts w:hint="eastAsia" w:hAnsi="宋体" w:eastAsia="宋体"/>
          <w:color w:val="000000" w:themeColor="text1"/>
          <w:sz w:val="24"/>
          <w:szCs w:val="24"/>
          <w:highlight w:val="none"/>
          <w14:textFill>
            <w14:solidFill>
              <w14:schemeClr w14:val="tx1"/>
            </w14:solidFill>
          </w14:textFill>
        </w:rPr>
        <w:t>分</w:t>
      </w:r>
      <w:r>
        <w:rPr>
          <w:rFonts w:hint="eastAsia" w:hAnsi="宋体" w:eastAsia="宋体"/>
          <w:color w:val="000000" w:themeColor="text1"/>
          <w:sz w:val="24"/>
          <w:szCs w:val="24"/>
          <w:highlight w:val="none"/>
          <w:lang w:val="en-US" w:eastAsia="zh-CN"/>
          <w14:textFill>
            <w14:solidFill>
              <w14:schemeClr w14:val="tx1"/>
            </w14:solidFill>
          </w14:textFill>
        </w:rPr>
        <w:t>；</w:t>
      </w:r>
    </w:p>
    <w:p w14:paraId="5CDA641C">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lang w:eastAsia="zh-CN"/>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工作方案不够完整不够详细，管理责任不清晰得</w:t>
      </w:r>
      <w:r>
        <w:rPr>
          <w:rFonts w:hint="eastAsia" w:hAnsi="宋体" w:eastAsia="宋体"/>
          <w:color w:val="000000" w:themeColor="text1"/>
          <w:sz w:val="24"/>
          <w:szCs w:val="24"/>
          <w:highlight w:val="none"/>
          <w:lang w:val="en-US" w:eastAsia="zh-CN"/>
          <w14:textFill>
            <w14:solidFill>
              <w14:schemeClr w14:val="tx1"/>
            </w14:solidFill>
          </w14:textFill>
        </w:rPr>
        <w:t>2</w:t>
      </w:r>
      <w:r>
        <w:rPr>
          <w:rFonts w:hint="eastAsia" w:hAnsi="宋体" w:eastAsia="宋体"/>
          <w:color w:val="000000" w:themeColor="text1"/>
          <w:sz w:val="24"/>
          <w:szCs w:val="24"/>
          <w:highlight w:val="none"/>
          <w14:textFill>
            <w14:solidFill>
              <w14:schemeClr w14:val="tx1"/>
            </w14:solidFill>
          </w14:textFill>
        </w:rPr>
        <w:t>分</w:t>
      </w:r>
      <w:r>
        <w:rPr>
          <w:rFonts w:hint="eastAsia" w:hAnsi="宋体" w:eastAsia="宋体"/>
          <w:color w:val="000000" w:themeColor="text1"/>
          <w:sz w:val="24"/>
          <w:szCs w:val="24"/>
          <w:highlight w:val="none"/>
          <w:lang w:val="en-US" w:eastAsia="zh-CN"/>
          <w14:textFill>
            <w14:solidFill>
              <w14:schemeClr w14:val="tx1"/>
            </w14:solidFill>
          </w14:textFill>
        </w:rPr>
        <w:t>；</w:t>
      </w:r>
    </w:p>
    <w:p w14:paraId="5F1DC30D">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未提供方案不得分。</w:t>
      </w:r>
    </w:p>
    <w:p w14:paraId="10AD5F9B">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lang w:eastAsia="zh-CN"/>
          <w14:textFill>
            <w14:solidFill>
              <w14:schemeClr w14:val="tx1"/>
            </w14:solidFill>
          </w14:textFill>
        </w:rPr>
      </w:pPr>
      <w:r>
        <w:rPr>
          <w:rFonts w:hint="eastAsia" w:hAnsi="宋体" w:eastAsia="宋体"/>
          <w:color w:val="000000" w:themeColor="text1"/>
          <w:sz w:val="24"/>
          <w:szCs w:val="24"/>
          <w:highlight w:val="none"/>
          <w:lang w:val="en-US" w:eastAsia="zh-CN"/>
          <w14:textFill>
            <w14:solidFill>
              <w14:schemeClr w14:val="tx1"/>
            </w14:solidFill>
          </w14:textFill>
        </w:rPr>
        <w:t>2、</w:t>
      </w:r>
      <w:r>
        <w:rPr>
          <w:rFonts w:hint="eastAsia" w:hAnsi="宋体" w:eastAsia="宋体"/>
          <w:color w:val="000000" w:themeColor="text1"/>
          <w:sz w:val="24"/>
          <w:szCs w:val="24"/>
          <w:highlight w:val="none"/>
          <w14:textFill>
            <w14:solidFill>
              <w14:schemeClr w14:val="tx1"/>
            </w14:solidFill>
          </w14:textFill>
        </w:rPr>
        <w:t>操作流程比较（提供回收、交接、洗涤、消毒等操作流程和质控标准）</w:t>
      </w:r>
      <w:r>
        <w:rPr>
          <w:rFonts w:hint="eastAsia" w:hAnsi="宋体" w:eastAsia="宋体"/>
          <w:color w:val="000000" w:themeColor="text1"/>
          <w:sz w:val="24"/>
          <w:szCs w:val="24"/>
          <w:highlight w:val="none"/>
          <w:lang w:eastAsia="zh-CN"/>
          <w14:textFill>
            <w14:solidFill>
              <w14:schemeClr w14:val="tx1"/>
            </w14:solidFill>
          </w14:textFill>
        </w:rPr>
        <w:t>：</w:t>
      </w:r>
      <w:r>
        <w:rPr>
          <w:rFonts w:hint="eastAsia" w:hAnsi="宋体" w:eastAsia="宋体"/>
          <w:color w:val="000000" w:themeColor="text1"/>
          <w:sz w:val="24"/>
          <w:szCs w:val="24"/>
          <w:highlight w:val="none"/>
          <w:lang w:val="en-US" w:eastAsia="zh-CN"/>
          <w14:textFill>
            <w14:solidFill>
              <w14:schemeClr w14:val="tx1"/>
            </w14:solidFill>
          </w14:textFill>
        </w:rPr>
        <w:t>8分</w:t>
      </w:r>
    </w:p>
    <w:p w14:paraId="3ABAC074">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操作规范内容详尽科学，完全符合质控标准得</w:t>
      </w:r>
      <w:r>
        <w:rPr>
          <w:rFonts w:hint="eastAsia" w:hAnsi="宋体" w:eastAsia="宋体"/>
          <w:color w:val="000000" w:themeColor="text1"/>
          <w:sz w:val="24"/>
          <w:szCs w:val="24"/>
          <w:highlight w:val="none"/>
          <w:lang w:val="en-US" w:eastAsia="zh-CN"/>
          <w14:textFill>
            <w14:solidFill>
              <w14:schemeClr w14:val="tx1"/>
            </w14:solidFill>
          </w14:textFill>
        </w:rPr>
        <w:t>8</w:t>
      </w:r>
      <w:r>
        <w:rPr>
          <w:rFonts w:hint="eastAsia" w:hAnsi="宋体" w:eastAsia="宋体"/>
          <w:color w:val="000000" w:themeColor="text1"/>
          <w:sz w:val="24"/>
          <w:szCs w:val="24"/>
          <w:highlight w:val="none"/>
          <w14:textFill>
            <w14:solidFill>
              <w14:schemeClr w14:val="tx1"/>
            </w14:solidFill>
          </w14:textFill>
        </w:rPr>
        <w:t>分；</w:t>
      </w:r>
    </w:p>
    <w:p w14:paraId="41E23B4B">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操作规范内容基本满足要求，基本符合质控标准得</w:t>
      </w:r>
      <w:r>
        <w:rPr>
          <w:rFonts w:hint="eastAsia" w:hAnsi="宋体" w:eastAsia="宋体"/>
          <w:color w:val="000000" w:themeColor="text1"/>
          <w:sz w:val="24"/>
          <w:szCs w:val="24"/>
          <w:highlight w:val="none"/>
          <w:lang w:val="en-US" w:eastAsia="zh-CN"/>
          <w14:textFill>
            <w14:solidFill>
              <w14:schemeClr w14:val="tx1"/>
            </w14:solidFill>
          </w14:textFill>
        </w:rPr>
        <w:t>5</w:t>
      </w:r>
      <w:r>
        <w:rPr>
          <w:rFonts w:hint="eastAsia" w:hAnsi="宋体" w:eastAsia="宋体"/>
          <w:color w:val="000000" w:themeColor="text1"/>
          <w:sz w:val="24"/>
          <w:szCs w:val="24"/>
          <w:highlight w:val="none"/>
          <w14:textFill>
            <w14:solidFill>
              <w14:schemeClr w14:val="tx1"/>
            </w14:solidFill>
          </w14:textFill>
        </w:rPr>
        <w:t>分；</w:t>
      </w:r>
    </w:p>
    <w:p w14:paraId="32825E91">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操作规范未阐述或不完全符合质控标准得</w:t>
      </w:r>
      <w:r>
        <w:rPr>
          <w:rFonts w:hint="eastAsia" w:hAnsi="宋体" w:eastAsia="宋体"/>
          <w:color w:val="000000" w:themeColor="text1"/>
          <w:sz w:val="24"/>
          <w:szCs w:val="24"/>
          <w:highlight w:val="none"/>
          <w:lang w:val="en-US" w:eastAsia="zh-CN"/>
          <w14:textFill>
            <w14:solidFill>
              <w14:schemeClr w14:val="tx1"/>
            </w14:solidFill>
          </w14:textFill>
        </w:rPr>
        <w:t>2</w:t>
      </w:r>
      <w:r>
        <w:rPr>
          <w:rFonts w:hint="eastAsia" w:hAnsi="宋体" w:eastAsia="宋体"/>
          <w:color w:val="000000" w:themeColor="text1"/>
          <w:sz w:val="24"/>
          <w:szCs w:val="24"/>
          <w:highlight w:val="none"/>
          <w14:textFill>
            <w14:solidFill>
              <w14:schemeClr w14:val="tx1"/>
            </w14:solidFill>
          </w14:textFill>
        </w:rPr>
        <w:t>分；</w:t>
      </w:r>
    </w:p>
    <w:p w14:paraId="4DA800FD">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未提供方案不得分。</w:t>
      </w:r>
    </w:p>
    <w:p w14:paraId="5AA70042">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lang w:val="en-US" w:eastAsia="zh-CN"/>
          <w14:textFill>
            <w14:solidFill>
              <w14:schemeClr w14:val="tx1"/>
            </w14:solidFill>
          </w14:textFill>
        </w:rPr>
        <w:t>3、</w:t>
      </w:r>
      <w:r>
        <w:rPr>
          <w:rFonts w:hint="eastAsia" w:hAnsi="宋体" w:eastAsia="宋体"/>
          <w:color w:val="000000" w:themeColor="text1"/>
          <w:sz w:val="24"/>
          <w:szCs w:val="24"/>
          <w:highlight w:val="none"/>
          <w14:textFill>
            <w14:solidFill>
              <w14:schemeClr w14:val="tx1"/>
            </w14:solidFill>
          </w14:textFill>
        </w:rPr>
        <w:t>人员安全培训、质量安全控制措施</w:t>
      </w:r>
      <w:r>
        <w:rPr>
          <w:rFonts w:hint="eastAsia" w:hAnsi="宋体" w:eastAsia="宋体"/>
          <w:color w:val="000000" w:themeColor="text1"/>
          <w:sz w:val="24"/>
          <w:szCs w:val="24"/>
          <w:highlight w:val="none"/>
          <w:lang w:eastAsia="zh-CN"/>
          <w14:textFill>
            <w14:solidFill>
              <w14:schemeClr w14:val="tx1"/>
            </w14:solidFill>
          </w14:textFill>
        </w:rPr>
        <w:t>：</w:t>
      </w:r>
      <w:r>
        <w:rPr>
          <w:rFonts w:hint="eastAsia" w:hAnsi="宋体" w:eastAsia="宋体"/>
          <w:color w:val="000000" w:themeColor="text1"/>
          <w:sz w:val="24"/>
          <w:szCs w:val="24"/>
          <w:highlight w:val="none"/>
          <w:lang w:val="en-US" w:eastAsia="zh-CN"/>
          <w14:textFill>
            <w14:solidFill>
              <w14:schemeClr w14:val="tx1"/>
            </w14:solidFill>
          </w14:textFill>
        </w:rPr>
        <w:t>8分</w:t>
      </w:r>
    </w:p>
    <w:p w14:paraId="7B1B4AC8">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培训方案完善且有针对性，有详细的年度安全培训计划，可行性强得</w:t>
      </w:r>
      <w:r>
        <w:rPr>
          <w:rFonts w:hint="eastAsia" w:hAnsi="宋体" w:eastAsia="宋体"/>
          <w:color w:val="000000" w:themeColor="text1"/>
          <w:sz w:val="24"/>
          <w:szCs w:val="24"/>
          <w:highlight w:val="none"/>
          <w:lang w:val="en-US" w:eastAsia="zh-CN"/>
          <w14:textFill>
            <w14:solidFill>
              <w14:schemeClr w14:val="tx1"/>
            </w14:solidFill>
          </w14:textFill>
        </w:rPr>
        <w:t>8</w:t>
      </w:r>
      <w:r>
        <w:rPr>
          <w:rFonts w:hint="eastAsia" w:hAnsi="宋体" w:eastAsia="宋体"/>
          <w:color w:val="000000" w:themeColor="text1"/>
          <w:sz w:val="24"/>
          <w:szCs w:val="24"/>
          <w:highlight w:val="none"/>
          <w14:textFill>
            <w14:solidFill>
              <w14:schemeClr w14:val="tx1"/>
            </w14:solidFill>
          </w14:textFill>
        </w:rPr>
        <w:t>分；</w:t>
      </w:r>
    </w:p>
    <w:p w14:paraId="70CA41B0">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培训方案较有针对性，较详细，可行性较强得</w:t>
      </w:r>
      <w:r>
        <w:rPr>
          <w:rFonts w:hint="eastAsia" w:hAnsi="宋体" w:eastAsia="宋体"/>
          <w:color w:val="000000" w:themeColor="text1"/>
          <w:sz w:val="24"/>
          <w:szCs w:val="24"/>
          <w:highlight w:val="none"/>
          <w:lang w:val="en-US" w:eastAsia="zh-CN"/>
          <w14:textFill>
            <w14:solidFill>
              <w14:schemeClr w14:val="tx1"/>
            </w14:solidFill>
          </w14:textFill>
        </w:rPr>
        <w:t>5</w:t>
      </w:r>
      <w:r>
        <w:rPr>
          <w:rFonts w:hint="eastAsia" w:hAnsi="宋体" w:eastAsia="宋体"/>
          <w:color w:val="000000" w:themeColor="text1"/>
          <w:sz w:val="24"/>
          <w:szCs w:val="24"/>
          <w:highlight w:val="none"/>
          <w14:textFill>
            <w14:solidFill>
              <w14:schemeClr w14:val="tx1"/>
            </w14:solidFill>
          </w14:textFill>
        </w:rPr>
        <w:t>分；</w:t>
      </w:r>
    </w:p>
    <w:p w14:paraId="37B8D6D0">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培训方案简单，针对性、可行性一般得2分；</w:t>
      </w:r>
    </w:p>
    <w:p w14:paraId="1DFE70DD">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未提供方案不得分。</w:t>
      </w:r>
    </w:p>
    <w:p w14:paraId="7A4F91F4">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lang w:val="en-US" w:eastAsia="zh-CN"/>
          <w14:textFill>
            <w14:solidFill>
              <w14:schemeClr w14:val="tx1"/>
            </w14:solidFill>
          </w14:textFill>
        </w:rPr>
        <w:t>4、</w:t>
      </w:r>
      <w:r>
        <w:rPr>
          <w:rFonts w:hint="eastAsia" w:hAnsi="宋体" w:eastAsia="宋体"/>
          <w:color w:val="000000" w:themeColor="text1"/>
          <w:sz w:val="24"/>
          <w:szCs w:val="24"/>
          <w:highlight w:val="none"/>
          <w14:textFill>
            <w14:solidFill>
              <w14:schemeClr w14:val="tx1"/>
            </w14:solidFill>
          </w14:textFill>
        </w:rPr>
        <w:t>安全防范措施</w:t>
      </w:r>
      <w:r>
        <w:rPr>
          <w:rFonts w:hint="eastAsia" w:hAnsi="宋体" w:eastAsia="宋体"/>
          <w:color w:val="000000" w:themeColor="text1"/>
          <w:sz w:val="24"/>
          <w:szCs w:val="24"/>
          <w:highlight w:val="none"/>
          <w:lang w:eastAsia="zh-CN"/>
          <w14:textFill>
            <w14:solidFill>
              <w14:schemeClr w14:val="tx1"/>
            </w14:solidFill>
          </w14:textFill>
        </w:rPr>
        <w:t>：</w:t>
      </w:r>
      <w:r>
        <w:rPr>
          <w:rFonts w:hint="eastAsia" w:hAnsi="宋体" w:eastAsia="宋体"/>
          <w:color w:val="000000" w:themeColor="text1"/>
          <w:sz w:val="24"/>
          <w:szCs w:val="24"/>
          <w:highlight w:val="none"/>
          <w:lang w:val="en-US" w:eastAsia="zh-CN"/>
          <w14:textFill>
            <w14:solidFill>
              <w14:schemeClr w14:val="tx1"/>
            </w14:solidFill>
          </w14:textFill>
        </w:rPr>
        <w:t>8分</w:t>
      </w:r>
    </w:p>
    <w:p w14:paraId="0467CA26">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安全隐患分析合理，防范措施科学可行，操作性强</w:t>
      </w:r>
      <w:r>
        <w:rPr>
          <w:rFonts w:hint="eastAsia" w:hAnsi="宋体" w:eastAsia="宋体"/>
          <w:color w:val="000000" w:themeColor="text1"/>
          <w:sz w:val="24"/>
          <w:szCs w:val="24"/>
          <w:highlight w:val="none"/>
          <w:lang w:val="en-US" w:eastAsia="zh-CN"/>
          <w14:textFill>
            <w14:solidFill>
              <w14:schemeClr w14:val="tx1"/>
            </w14:solidFill>
          </w14:textFill>
        </w:rPr>
        <w:t>8</w:t>
      </w:r>
      <w:r>
        <w:rPr>
          <w:rFonts w:hint="eastAsia" w:hAnsi="宋体" w:eastAsia="宋体"/>
          <w:color w:val="000000" w:themeColor="text1"/>
          <w:sz w:val="24"/>
          <w:szCs w:val="24"/>
          <w:highlight w:val="none"/>
          <w14:textFill>
            <w14:solidFill>
              <w14:schemeClr w14:val="tx1"/>
            </w14:solidFill>
          </w14:textFill>
        </w:rPr>
        <w:t>分；</w:t>
      </w:r>
    </w:p>
    <w:p w14:paraId="32514758">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安全隐患分析较合理，防范措施较科学可行得</w:t>
      </w:r>
      <w:r>
        <w:rPr>
          <w:rFonts w:hint="eastAsia" w:hAnsi="宋体" w:eastAsia="宋体"/>
          <w:color w:val="000000" w:themeColor="text1"/>
          <w:sz w:val="24"/>
          <w:szCs w:val="24"/>
          <w:highlight w:val="none"/>
          <w:lang w:val="en-US" w:eastAsia="zh-CN"/>
          <w14:textFill>
            <w14:solidFill>
              <w14:schemeClr w14:val="tx1"/>
            </w14:solidFill>
          </w14:textFill>
        </w:rPr>
        <w:t>5</w:t>
      </w:r>
      <w:r>
        <w:rPr>
          <w:rFonts w:hint="eastAsia" w:hAnsi="宋体" w:eastAsia="宋体"/>
          <w:color w:val="000000" w:themeColor="text1"/>
          <w:sz w:val="24"/>
          <w:szCs w:val="24"/>
          <w:highlight w:val="none"/>
          <w14:textFill>
            <w14:solidFill>
              <w14:schemeClr w14:val="tx1"/>
            </w14:solidFill>
          </w14:textFill>
        </w:rPr>
        <w:t>分；</w:t>
      </w:r>
    </w:p>
    <w:p w14:paraId="61E70EE7">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安全隐患分析简单，防范措施科学性、可行性一般得</w:t>
      </w:r>
      <w:r>
        <w:rPr>
          <w:rFonts w:hint="eastAsia" w:hAnsi="宋体" w:eastAsia="宋体"/>
          <w:color w:val="000000" w:themeColor="text1"/>
          <w:sz w:val="24"/>
          <w:szCs w:val="24"/>
          <w:highlight w:val="none"/>
          <w:lang w:val="en-US" w:eastAsia="zh-CN"/>
          <w14:textFill>
            <w14:solidFill>
              <w14:schemeClr w14:val="tx1"/>
            </w14:solidFill>
          </w14:textFill>
        </w:rPr>
        <w:t>2</w:t>
      </w:r>
      <w:r>
        <w:rPr>
          <w:rFonts w:hint="eastAsia" w:hAnsi="宋体" w:eastAsia="宋体"/>
          <w:color w:val="000000" w:themeColor="text1"/>
          <w:sz w:val="24"/>
          <w:szCs w:val="24"/>
          <w:highlight w:val="none"/>
          <w14:textFill>
            <w14:solidFill>
              <w14:schemeClr w14:val="tx1"/>
            </w14:solidFill>
          </w14:textFill>
        </w:rPr>
        <w:t>分；</w:t>
      </w:r>
    </w:p>
    <w:p w14:paraId="7368C119">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未提供方案不得分。</w:t>
      </w:r>
    </w:p>
    <w:p w14:paraId="5483C92A">
      <w:pPr>
        <w:pStyle w:val="227"/>
        <w:keepNext w:val="0"/>
        <w:keepLines w:val="0"/>
        <w:pageBreakBefore w:val="0"/>
        <w:widowControl w:val="0"/>
        <w:numPr>
          <w:ilvl w:val="0"/>
          <w:numId w:val="0"/>
        </w:numPr>
        <w:suppressLineNumbers w:val="0"/>
        <w:spacing w:before="0" w:after="0" w:line="360" w:lineRule="auto"/>
        <w:jc w:val="left"/>
        <w:rPr>
          <w:rFonts w:hint="eastAsia" w:hAnsi="宋体" w:eastAsia="宋体"/>
          <w:color w:val="000000" w:themeColor="text1"/>
          <w:sz w:val="24"/>
          <w:szCs w:val="24"/>
          <w:highlight w:val="none"/>
          <w:lang w:val="en-US" w:eastAsia="zh-CN"/>
          <w14:textFill>
            <w14:solidFill>
              <w14:schemeClr w14:val="tx1"/>
            </w14:solidFill>
          </w14:textFill>
        </w:rPr>
      </w:pPr>
      <w:r>
        <w:rPr>
          <w:rFonts w:hint="eastAsia" w:hAnsi="宋体" w:eastAsia="宋体"/>
          <w:color w:val="000000" w:themeColor="text1"/>
          <w:sz w:val="24"/>
          <w:szCs w:val="24"/>
          <w:highlight w:val="none"/>
          <w:lang w:val="en-US" w:eastAsia="zh-CN"/>
          <w14:textFill>
            <w14:solidFill>
              <w14:schemeClr w14:val="tx1"/>
            </w14:solidFill>
          </w14:textFill>
        </w:rPr>
        <w:t>5、</w:t>
      </w:r>
      <w:r>
        <w:rPr>
          <w:rFonts w:hint="eastAsia" w:hAnsi="宋体" w:eastAsia="宋体"/>
          <w:color w:val="000000" w:themeColor="text1"/>
          <w:sz w:val="24"/>
          <w:szCs w:val="24"/>
          <w:highlight w:val="none"/>
          <w14:textFill>
            <w14:solidFill>
              <w14:schemeClr w14:val="tx1"/>
            </w14:solidFill>
          </w14:textFill>
        </w:rPr>
        <w:t>管理架构及考核管理办法</w:t>
      </w:r>
      <w:r>
        <w:rPr>
          <w:rFonts w:hint="eastAsia" w:hAnsi="宋体" w:eastAsia="宋体"/>
          <w:color w:val="000000" w:themeColor="text1"/>
          <w:sz w:val="24"/>
          <w:szCs w:val="24"/>
          <w:highlight w:val="none"/>
          <w:lang w:eastAsia="zh-CN"/>
          <w14:textFill>
            <w14:solidFill>
              <w14:schemeClr w14:val="tx1"/>
            </w14:solidFill>
          </w14:textFill>
        </w:rPr>
        <w:t>：</w:t>
      </w:r>
      <w:r>
        <w:rPr>
          <w:rFonts w:hint="eastAsia" w:hAnsi="宋体" w:eastAsia="宋体"/>
          <w:color w:val="000000" w:themeColor="text1"/>
          <w:sz w:val="24"/>
          <w:szCs w:val="24"/>
          <w:highlight w:val="none"/>
          <w:lang w:val="en-US" w:eastAsia="zh-CN"/>
          <w14:textFill>
            <w14:solidFill>
              <w14:schemeClr w14:val="tx1"/>
            </w14:solidFill>
          </w14:textFill>
        </w:rPr>
        <w:t>7分</w:t>
      </w:r>
    </w:p>
    <w:p w14:paraId="228A10AD">
      <w:pPr>
        <w:pStyle w:val="227"/>
        <w:keepNext w:val="0"/>
        <w:keepLines w:val="0"/>
        <w:pageBreakBefore w:val="0"/>
        <w:widowControl w:val="0"/>
        <w:numPr>
          <w:ilvl w:val="0"/>
          <w:numId w:val="0"/>
        </w:numPr>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内部管理架构全面科学，运作及考核制度标准合理高效，操作性强得</w:t>
      </w:r>
      <w:r>
        <w:rPr>
          <w:rFonts w:hint="eastAsia" w:hAnsi="宋体" w:eastAsia="宋体"/>
          <w:color w:val="000000" w:themeColor="text1"/>
          <w:sz w:val="24"/>
          <w:szCs w:val="24"/>
          <w:highlight w:val="none"/>
          <w:lang w:val="en-US" w:eastAsia="zh-CN"/>
          <w14:textFill>
            <w14:solidFill>
              <w14:schemeClr w14:val="tx1"/>
            </w14:solidFill>
          </w14:textFill>
        </w:rPr>
        <w:t>7</w:t>
      </w:r>
      <w:r>
        <w:rPr>
          <w:rFonts w:hint="eastAsia" w:hAnsi="宋体" w:eastAsia="宋体"/>
          <w:color w:val="000000" w:themeColor="text1"/>
          <w:sz w:val="24"/>
          <w:szCs w:val="24"/>
          <w:highlight w:val="none"/>
          <w14:textFill>
            <w14:solidFill>
              <w14:schemeClr w14:val="tx1"/>
            </w14:solidFill>
          </w14:textFill>
        </w:rPr>
        <w:t>分；</w:t>
      </w:r>
    </w:p>
    <w:p w14:paraId="7167A689">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内部管理架构较全面，考核制度及标准较合理，有一定操作性得</w:t>
      </w:r>
      <w:r>
        <w:rPr>
          <w:rFonts w:hint="eastAsia" w:hAnsi="宋体" w:eastAsia="宋体"/>
          <w:color w:val="000000" w:themeColor="text1"/>
          <w:sz w:val="24"/>
          <w:szCs w:val="24"/>
          <w:highlight w:val="none"/>
          <w:lang w:val="en-US" w:eastAsia="zh-CN"/>
          <w14:textFill>
            <w14:solidFill>
              <w14:schemeClr w14:val="tx1"/>
            </w14:solidFill>
          </w14:textFill>
        </w:rPr>
        <w:t>4</w:t>
      </w:r>
      <w:r>
        <w:rPr>
          <w:rFonts w:hint="eastAsia" w:hAnsi="宋体" w:eastAsia="宋体"/>
          <w:color w:val="000000" w:themeColor="text1"/>
          <w:sz w:val="24"/>
          <w:szCs w:val="24"/>
          <w:highlight w:val="none"/>
          <w14:textFill>
            <w14:solidFill>
              <w14:schemeClr w14:val="tx1"/>
            </w14:solidFill>
          </w14:textFill>
        </w:rPr>
        <w:t>分；</w:t>
      </w:r>
    </w:p>
    <w:p w14:paraId="220C3ECA">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内部管理架构过于简单，运作制度及标准基本合理得</w:t>
      </w:r>
      <w:r>
        <w:rPr>
          <w:rFonts w:hint="eastAsia" w:hAnsi="宋体" w:eastAsia="宋体"/>
          <w:color w:val="000000" w:themeColor="text1"/>
          <w:sz w:val="24"/>
          <w:szCs w:val="24"/>
          <w:highlight w:val="none"/>
          <w:lang w:val="en-US" w:eastAsia="zh-CN"/>
          <w14:textFill>
            <w14:solidFill>
              <w14:schemeClr w14:val="tx1"/>
            </w14:solidFill>
          </w14:textFill>
        </w:rPr>
        <w:t>2</w:t>
      </w:r>
      <w:r>
        <w:rPr>
          <w:rFonts w:hint="eastAsia" w:hAnsi="宋体" w:eastAsia="宋体"/>
          <w:color w:val="000000" w:themeColor="text1"/>
          <w:sz w:val="24"/>
          <w:szCs w:val="24"/>
          <w:highlight w:val="none"/>
          <w14:textFill>
            <w14:solidFill>
              <w14:schemeClr w14:val="tx1"/>
            </w14:solidFill>
          </w14:textFill>
        </w:rPr>
        <w:t>分；</w:t>
      </w:r>
    </w:p>
    <w:p w14:paraId="3321CC46">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未提供方案不得分。</w:t>
      </w:r>
    </w:p>
    <w:p w14:paraId="39BCB3C5">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lang w:val="en-US" w:eastAsia="zh-CN"/>
          <w14:textFill>
            <w14:solidFill>
              <w14:schemeClr w14:val="tx1"/>
            </w14:solidFill>
          </w14:textFill>
        </w:rPr>
        <w:t>6、</w:t>
      </w:r>
      <w:r>
        <w:rPr>
          <w:rFonts w:hint="eastAsia" w:hAnsi="宋体" w:eastAsia="宋体"/>
          <w:color w:val="000000" w:themeColor="text1"/>
          <w:sz w:val="24"/>
          <w:szCs w:val="24"/>
          <w:highlight w:val="none"/>
          <w14:textFill>
            <w14:solidFill>
              <w14:schemeClr w14:val="tx1"/>
            </w14:solidFill>
          </w14:textFill>
        </w:rPr>
        <w:t>应急措施预案</w:t>
      </w:r>
      <w:r>
        <w:rPr>
          <w:rFonts w:hint="eastAsia" w:hAnsi="宋体" w:eastAsia="宋体"/>
          <w:color w:val="000000" w:themeColor="text1"/>
          <w:sz w:val="24"/>
          <w:szCs w:val="24"/>
          <w:highlight w:val="none"/>
          <w:lang w:eastAsia="zh-CN"/>
          <w14:textFill>
            <w14:solidFill>
              <w14:schemeClr w14:val="tx1"/>
            </w14:solidFill>
          </w14:textFill>
        </w:rPr>
        <w:t>：</w:t>
      </w:r>
      <w:r>
        <w:rPr>
          <w:rFonts w:hint="eastAsia" w:hAnsi="宋体" w:eastAsia="宋体"/>
          <w:color w:val="000000" w:themeColor="text1"/>
          <w:sz w:val="24"/>
          <w:szCs w:val="24"/>
          <w:highlight w:val="none"/>
          <w:lang w:val="en-US" w:eastAsia="zh-CN"/>
          <w14:textFill>
            <w14:solidFill>
              <w14:schemeClr w14:val="tx1"/>
            </w14:solidFill>
          </w14:textFill>
        </w:rPr>
        <w:t>7分</w:t>
      </w:r>
    </w:p>
    <w:p w14:paraId="4393671F">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预案科学、合理，保障制度健全、规范，具有可操作性和监督性得</w:t>
      </w:r>
      <w:r>
        <w:rPr>
          <w:rFonts w:hint="eastAsia" w:hAnsi="宋体" w:eastAsia="宋体"/>
          <w:color w:val="000000" w:themeColor="text1"/>
          <w:sz w:val="24"/>
          <w:szCs w:val="24"/>
          <w:highlight w:val="none"/>
          <w:lang w:val="en-US" w:eastAsia="zh-CN"/>
          <w14:textFill>
            <w14:solidFill>
              <w14:schemeClr w14:val="tx1"/>
            </w14:solidFill>
          </w14:textFill>
        </w:rPr>
        <w:t>7</w:t>
      </w:r>
      <w:r>
        <w:rPr>
          <w:rFonts w:hint="eastAsia" w:hAnsi="宋体" w:eastAsia="宋体"/>
          <w:color w:val="000000" w:themeColor="text1"/>
          <w:sz w:val="24"/>
          <w:szCs w:val="24"/>
          <w:highlight w:val="none"/>
          <w14:textFill>
            <w14:solidFill>
              <w14:schemeClr w14:val="tx1"/>
            </w14:solidFill>
          </w14:textFill>
        </w:rPr>
        <w:t>分；</w:t>
      </w:r>
    </w:p>
    <w:p w14:paraId="1287404F">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服务保障及突发事件的应急预案较健全，操作性较强得</w:t>
      </w:r>
      <w:r>
        <w:rPr>
          <w:rFonts w:hint="eastAsia" w:hAnsi="宋体" w:eastAsia="宋体"/>
          <w:color w:val="000000" w:themeColor="text1"/>
          <w:sz w:val="24"/>
          <w:szCs w:val="24"/>
          <w:highlight w:val="none"/>
          <w:lang w:val="en-US" w:eastAsia="zh-CN"/>
          <w14:textFill>
            <w14:solidFill>
              <w14:schemeClr w14:val="tx1"/>
            </w14:solidFill>
          </w14:textFill>
        </w:rPr>
        <w:t>4</w:t>
      </w:r>
      <w:r>
        <w:rPr>
          <w:rFonts w:hint="eastAsia" w:hAnsi="宋体" w:eastAsia="宋体"/>
          <w:color w:val="000000" w:themeColor="text1"/>
          <w:sz w:val="24"/>
          <w:szCs w:val="24"/>
          <w:highlight w:val="none"/>
          <w14:textFill>
            <w14:solidFill>
              <w14:schemeClr w14:val="tx1"/>
            </w14:solidFill>
          </w14:textFill>
        </w:rPr>
        <w:t>分；</w:t>
      </w:r>
    </w:p>
    <w:p w14:paraId="6DA836F8">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服务保障及突发事件的应急预案内容简略，操作性、可行性一般得</w:t>
      </w:r>
      <w:r>
        <w:rPr>
          <w:rFonts w:hint="eastAsia" w:hAnsi="宋体" w:eastAsia="宋体"/>
          <w:color w:val="000000" w:themeColor="text1"/>
          <w:sz w:val="24"/>
          <w:szCs w:val="24"/>
          <w:highlight w:val="none"/>
          <w:lang w:val="en-US" w:eastAsia="zh-CN"/>
          <w14:textFill>
            <w14:solidFill>
              <w14:schemeClr w14:val="tx1"/>
            </w14:solidFill>
          </w14:textFill>
        </w:rPr>
        <w:t>2</w:t>
      </w:r>
      <w:r>
        <w:rPr>
          <w:rFonts w:hint="eastAsia" w:hAnsi="宋体" w:eastAsia="宋体"/>
          <w:color w:val="000000" w:themeColor="text1"/>
          <w:sz w:val="24"/>
          <w:szCs w:val="24"/>
          <w:highlight w:val="none"/>
          <w14:textFill>
            <w14:solidFill>
              <w14:schemeClr w14:val="tx1"/>
            </w14:solidFill>
          </w14:textFill>
        </w:rPr>
        <w:t>分；</w:t>
      </w:r>
    </w:p>
    <w:p w14:paraId="7672000A">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未提供方案不得分。</w:t>
      </w:r>
    </w:p>
    <w:p w14:paraId="27AB7A7B">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lang w:eastAsia="zh-CN"/>
          <w14:textFill>
            <w14:solidFill>
              <w14:schemeClr w14:val="tx1"/>
            </w14:solidFill>
          </w14:textFill>
        </w:rPr>
      </w:pPr>
      <w:r>
        <w:rPr>
          <w:rFonts w:hint="eastAsia" w:hAnsi="宋体" w:eastAsia="宋体"/>
          <w:color w:val="000000" w:themeColor="text1"/>
          <w:sz w:val="24"/>
          <w:szCs w:val="24"/>
          <w:highlight w:val="none"/>
          <w:lang w:val="en-US" w:eastAsia="zh-CN"/>
          <w14:textFill>
            <w14:solidFill>
              <w14:schemeClr w14:val="tx1"/>
            </w14:solidFill>
          </w14:textFill>
        </w:rPr>
        <w:t>7、</w:t>
      </w:r>
      <w:r>
        <w:rPr>
          <w:rFonts w:hint="eastAsia" w:hAnsi="宋体" w:eastAsia="宋体"/>
          <w:color w:val="000000" w:themeColor="text1"/>
          <w:sz w:val="24"/>
          <w:szCs w:val="24"/>
          <w:highlight w:val="none"/>
          <w14:textFill>
            <w14:solidFill>
              <w14:schemeClr w14:val="tx1"/>
            </w14:solidFill>
          </w14:textFill>
        </w:rPr>
        <w:t>洗涤场所情况</w:t>
      </w:r>
      <w:r>
        <w:rPr>
          <w:rFonts w:hint="eastAsia" w:hAnsi="宋体" w:eastAsia="宋体"/>
          <w:color w:val="000000" w:themeColor="text1"/>
          <w:sz w:val="24"/>
          <w:szCs w:val="24"/>
          <w:highlight w:val="none"/>
          <w:lang w:eastAsia="zh-CN"/>
          <w14:textFill>
            <w14:solidFill>
              <w14:schemeClr w14:val="tx1"/>
            </w14:solidFill>
          </w14:textFill>
        </w:rPr>
        <w:t>：6</w:t>
      </w:r>
      <w:r>
        <w:rPr>
          <w:rFonts w:hint="eastAsia" w:hAnsi="宋体" w:eastAsia="宋体"/>
          <w:color w:val="000000" w:themeColor="text1"/>
          <w:sz w:val="24"/>
          <w:szCs w:val="24"/>
          <w:highlight w:val="none"/>
          <w14:textFill>
            <w14:solidFill>
              <w14:schemeClr w14:val="tx1"/>
            </w14:solidFill>
          </w14:textFill>
        </w:rPr>
        <w:t>分</w:t>
      </w:r>
    </w:p>
    <w:p w14:paraId="63241C9E">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投标</w:t>
      </w:r>
      <w:r>
        <w:rPr>
          <w:rFonts w:hint="eastAsia" w:hAnsi="宋体" w:eastAsia="宋体"/>
          <w:color w:val="000000" w:themeColor="text1"/>
          <w:sz w:val="24"/>
          <w:szCs w:val="24"/>
          <w:highlight w:val="none"/>
          <w:lang w:val="en-US" w:eastAsia="zh-CN"/>
          <w14:textFill>
            <w14:solidFill>
              <w14:schemeClr w14:val="tx1"/>
            </w14:solidFill>
          </w14:textFill>
        </w:rPr>
        <w:t>单位的</w:t>
      </w:r>
      <w:r>
        <w:rPr>
          <w:rFonts w:hint="eastAsia" w:hAnsi="宋体" w:eastAsia="宋体"/>
          <w:color w:val="000000" w:themeColor="text1"/>
          <w:sz w:val="24"/>
          <w:szCs w:val="24"/>
          <w:highlight w:val="none"/>
          <w14:textFill>
            <w14:solidFill>
              <w14:schemeClr w14:val="tx1"/>
            </w14:solidFill>
          </w14:textFill>
        </w:rPr>
        <w:t>洗涤场所布局符合《医用织物洗涤消毒技术规范》WS/T508要求，针对医院有特殊洗涤要求的，拥有全封闭的手术辅料区、单独婴幼儿洗涤隔离间、专门的传染类洗涤物理隔离间的得</w:t>
      </w:r>
      <w:r>
        <w:rPr>
          <w:rFonts w:hint="eastAsia" w:hAnsi="宋体" w:eastAsia="宋体"/>
          <w:color w:val="000000" w:themeColor="text1"/>
          <w:sz w:val="24"/>
          <w:szCs w:val="24"/>
          <w:highlight w:val="none"/>
          <w:lang w:eastAsia="zh-CN"/>
          <w14:textFill>
            <w14:solidFill>
              <w14:schemeClr w14:val="tx1"/>
            </w14:solidFill>
          </w14:textFill>
        </w:rPr>
        <w:t>6</w:t>
      </w:r>
      <w:r>
        <w:rPr>
          <w:rFonts w:hint="eastAsia" w:hAnsi="宋体" w:eastAsia="宋体"/>
          <w:color w:val="000000" w:themeColor="text1"/>
          <w:sz w:val="24"/>
          <w:szCs w:val="24"/>
          <w:highlight w:val="none"/>
          <w14:textFill>
            <w14:solidFill>
              <w14:schemeClr w14:val="tx1"/>
            </w14:solidFill>
          </w14:textFill>
        </w:rPr>
        <w:t>分</w:t>
      </w:r>
      <w:r>
        <w:rPr>
          <w:rFonts w:hint="eastAsia" w:hAnsi="宋体" w:eastAsia="宋体"/>
          <w:color w:val="000000" w:themeColor="text1"/>
          <w:sz w:val="24"/>
          <w:szCs w:val="24"/>
          <w:highlight w:val="none"/>
          <w:lang w:eastAsia="zh-CN"/>
          <w14:textFill>
            <w14:solidFill>
              <w14:schemeClr w14:val="tx1"/>
            </w14:solidFill>
          </w14:textFill>
        </w:rPr>
        <w:t>（</w:t>
      </w:r>
      <w:r>
        <w:rPr>
          <w:rFonts w:hint="eastAsia" w:hAnsi="宋体" w:eastAsia="宋体"/>
          <w:color w:val="000000" w:themeColor="text1"/>
          <w:sz w:val="24"/>
          <w:szCs w:val="24"/>
          <w:highlight w:val="none"/>
          <w:lang w:val="en-US" w:eastAsia="zh-CN"/>
          <w14:textFill>
            <w14:solidFill>
              <w14:schemeClr w14:val="tx1"/>
            </w14:solidFill>
          </w14:textFill>
        </w:rPr>
        <w:t>投标文件中</w:t>
      </w:r>
      <w:r>
        <w:rPr>
          <w:rFonts w:hint="eastAsia" w:hAnsi="宋体" w:eastAsia="宋体"/>
          <w:color w:val="000000" w:themeColor="text1"/>
          <w:sz w:val="24"/>
          <w:szCs w:val="24"/>
          <w:highlight w:val="none"/>
          <w14:textFill>
            <w14:solidFill>
              <w14:schemeClr w14:val="tx1"/>
            </w14:solidFill>
          </w14:textFill>
        </w:rPr>
        <w:t>需提供</w:t>
      </w:r>
      <w:r>
        <w:rPr>
          <w:rFonts w:hint="eastAsia" w:hAnsi="宋体" w:eastAsia="宋体"/>
          <w:color w:val="000000" w:themeColor="text1"/>
          <w:sz w:val="24"/>
          <w:szCs w:val="24"/>
          <w:highlight w:val="none"/>
          <w:lang w:val="en-US" w:eastAsia="zh-CN"/>
          <w14:textFill>
            <w14:solidFill>
              <w14:schemeClr w14:val="tx1"/>
            </w14:solidFill>
          </w14:textFill>
        </w:rPr>
        <w:t>各分区的</w:t>
      </w:r>
      <w:r>
        <w:rPr>
          <w:rFonts w:hint="eastAsia" w:hAnsi="宋体" w:eastAsia="宋体"/>
          <w:color w:val="000000" w:themeColor="text1"/>
          <w:sz w:val="24"/>
          <w:szCs w:val="24"/>
          <w:highlight w:val="none"/>
          <w14:textFill>
            <w14:solidFill>
              <w14:schemeClr w14:val="tx1"/>
            </w14:solidFill>
          </w14:textFill>
        </w:rPr>
        <w:t>相关平面布置图、区域佐证图片或其他相关证明材料</w:t>
      </w:r>
      <w:r>
        <w:rPr>
          <w:rFonts w:hint="eastAsia" w:hAnsi="宋体" w:eastAsia="宋体"/>
          <w:color w:val="000000" w:themeColor="text1"/>
          <w:sz w:val="24"/>
          <w:szCs w:val="24"/>
          <w:highlight w:val="none"/>
          <w:lang w:eastAsia="zh-CN"/>
          <w14:textFill>
            <w14:solidFill>
              <w14:schemeClr w14:val="tx1"/>
            </w14:solidFill>
          </w14:textFill>
        </w:rPr>
        <w:t>，</w:t>
      </w:r>
      <w:r>
        <w:rPr>
          <w:rFonts w:hint="eastAsia" w:hAnsi="宋体" w:eastAsia="宋体"/>
          <w:color w:val="000000" w:themeColor="text1"/>
          <w:sz w:val="24"/>
          <w:szCs w:val="24"/>
          <w:highlight w:val="none"/>
          <w14:textFill>
            <w14:solidFill>
              <w14:schemeClr w14:val="tx1"/>
            </w14:solidFill>
          </w14:textFill>
        </w:rPr>
        <w:t>未提供</w:t>
      </w:r>
      <w:r>
        <w:rPr>
          <w:rFonts w:hint="eastAsia" w:hAnsi="宋体" w:eastAsia="宋体"/>
          <w:color w:val="000000" w:themeColor="text1"/>
          <w:sz w:val="24"/>
          <w:szCs w:val="24"/>
          <w:highlight w:val="none"/>
          <w:lang w:val="en-US" w:eastAsia="zh-CN"/>
          <w14:textFill>
            <w14:solidFill>
              <w14:schemeClr w14:val="tx1"/>
            </w14:solidFill>
          </w14:textFill>
        </w:rPr>
        <w:t>的</w:t>
      </w:r>
      <w:r>
        <w:rPr>
          <w:rFonts w:hint="eastAsia" w:hAnsi="宋体" w:eastAsia="宋体"/>
          <w:color w:val="000000" w:themeColor="text1"/>
          <w:sz w:val="24"/>
          <w:szCs w:val="24"/>
          <w:highlight w:val="none"/>
          <w14:textFill>
            <w14:solidFill>
              <w14:schemeClr w14:val="tx1"/>
            </w14:solidFill>
          </w14:textFill>
        </w:rPr>
        <w:t>不得分</w:t>
      </w:r>
      <w:r>
        <w:rPr>
          <w:rFonts w:hint="eastAsia" w:hAnsi="宋体" w:eastAsia="宋体"/>
          <w:color w:val="000000" w:themeColor="text1"/>
          <w:sz w:val="24"/>
          <w:szCs w:val="24"/>
          <w:highlight w:val="none"/>
          <w:lang w:eastAsia="zh-CN"/>
          <w14:textFill>
            <w14:solidFill>
              <w14:schemeClr w14:val="tx1"/>
            </w14:solidFill>
          </w14:textFill>
        </w:rPr>
        <w:t>）</w:t>
      </w:r>
      <w:r>
        <w:rPr>
          <w:rFonts w:hint="eastAsia" w:hAnsi="宋体" w:eastAsia="宋体"/>
          <w:color w:val="000000" w:themeColor="text1"/>
          <w:sz w:val="24"/>
          <w:szCs w:val="24"/>
          <w:highlight w:val="none"/>
          <w14:textFill>
            <w14:solidFill>
              <w14:schemeClr w14:val="tx1"/>
            </w14:solidFill>
          </w14:textFill>
        </w:rPr>
        <w:t>。</w:t>
      </w:r>
    </w:p>
    <w:p w14:paraId="3611D731">
      <w:pPr>
        <w:pStyle w:val="227"/>
        <w:keepNext w:val="0"/>
        <w:keepLines w:val="0"/>
        <w:pageBreakBefore w:val="0"/>
        <w:widowControl w:val="0"/>
        <w:suppressLineNumbers w:val="0"/>
        <w:spacing w:before="0" w:after="0" w:line="360" w:lineRule="auto"/>
        <w:jc w:val="left"/>
        <w:rPr>
          <w:rFonts w:hint="eastAsia" w:hAnsi="宋体" w:eastAsia="宋体"/>
          <w:b/>
          <w:bCs/>
          <w:color w:val="000000" w:themeColor="text1"/>
          <w:sz w:val="24"/>
          <w:szCs w:val="24"/>
          <w:highlight w:val="none"/>
          <w14:textFill>
            <w14:solidFill>
              <w14:schemeClr w14:val="tx1"/>
            </w14:solidFill>
          </w14:textFill>
        </w:rPr>
      </w:pPr>
      <w:r>
        <w:rPr>
          <w:rFonts w:hint="eastAsia" w:hAnsi="宋体" w:eastAsia="宋体"/>
          <w:b/>
          <w:bCs/>
          <w:color w:val="000000" w:themeColor="text1"/>
          <w:sz w:val="24"/>
          <w:szCs w:val="24"/>
          <w:highlight w:val="none"/>
          <w:lang w:eastAsia="zh-CN"/>
          <w14:textFill>
            <w14:solidFill>
              <w14:schemeClr w14:val="tx1"/>
            </w14:solidFill>
          </w14:textFill>
        </w:rPr>
        <w:t>（</w:t>
      </w:r>
      <w:r>
        <w:rPr>
          <w:rFonts w:hint="eastAsia" w:hAnsi="宋体" w:eastAsia="宋体"/>
          <w:b/>
          <w:bCs/>
          <w:color w:val="000000" w:themeColor="text1"/>
          <w:sz w:val="24"/>
          <w:szCs w:val="24"/>
          <w:highlight w:val="none"/>
          <w:lang w:val="en-US" w:eastAsia="zh-CN"/>
          <w14:textFill>
            <w14:solidFill>
              <w14:schemeClr w14:val="tx1"/>
            </w14:solidFill>
          </w14:textFill>
        </w:rPr>
        <w:t>三</w:t>
      </w:r>
      <w:r>
        <w:rPr>
          <w:rFonts w:hint="eastAsia" w:hAnsi="宋体" w:eastAsia="宋体"/>
          <w:b/>
          <w:bCs/>
          <w:color w:val="000000" w:themeColor="text1"/>
          <w:sz w:val="24"/>
          <w:szCs w:val="24"/>
          <w:highlight w:val="none"/>
          <w:lang w:eastAsia="zh-CN"/>
          <w14:textFill>
            <w14:solidFill>
              <w14:schemeClr w14:val="tx1"/>
            </w14:solidFill>
          </w14:textFill>
        </w:rPr>
        <w:t>）</w:t>
      </w:r>
      <w:r>
        <w:rPr>
          <w:rFonts w:hint="eastAsia" w:hAnsi="宋体" w:eastAsia="宋体"/>
          <w:b/>
          <w:bCs/>
          <w:color w:val="000000" w:themeColor="text1"/>
          <w:sz w:val="24"/>
          <w:szCs w:val="24"/>
          <w:highlight w:val="none"/>
          <w14:textFill>
            <w14:solidFill>
              <w14:schemeClr w14:val="tx1"/>
            </w14:solidFill>
          </w14:textFill>
        </w:rPr>
        <w:t>针对本项目配备的人员及设备情况（</w:t>
      </w:r>
      <w:r>
        <w:rPr>
          <w:rFonts w:hint="eastAsia" w:hAnsi="宋体" w:eastAsia="宋体"/>
          <w:b/>
          <w:bCs/>
          <w:color w:val="000000" w:themeColor="text1"/>
          <w:sz w:val="24"/>
          <w:szCs w:val="24"/>
          <w:highlight w:val="none"/>
          <w:lang w:val="en-US" w:eastAsia="zh-CN"/>
          <w14:textFill>
            <w14:solidFill>
              <w14:schemeClr w14:val="tx1"/>
            </w14:solidFill>
          </w14:textFill>
        </w:rPr>
        <w:t>26</w:t>
      </w:r>
      <w:r>
        <w:rPr>
          <w:rFonts w:hint="eastAsia" w:hAnsi="宋体" w:eastAsia="宋体"/>
          <w:b/>
          <w:bCs/>
          <w:color w:val="000000" w:themeColor="text1"/>
          <w:sz w:val="24"/>
          <w:szCs w:val="24"/>
          <w:highlight w:val="none"/>
          <w14:textFill>
            <w14:solidFill>
              <w14:schemeClr w14:val="tx1"/>
            </w14:solidFill>
          </w14:textFill>
        </w:rPr>
        <w:t>分）</w:t>
      </w:r>
    </w:p>
    <w:p w14:paraId="5297AA3A">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lang w:val="en-US" w:eastAsia="zh-CN"/>
          <w14:textFill>
            <w14:solidFill>
              <w14:schemeClr w14:val="tx1"/>
            </w14:solidFill>
          </w14:textFill>
        </w:rPr>
        <w:t xml:space="preserve"> 1、项目负责人具备洗衣师资格证书的得2分（投标文件中提供证书及投标单位为其缴纳的近期社保证明复印件，否则不得分）。</w:t>
      </w:r>
    </w:p>
    <w:p w14:paraId="13DFA272">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lang w:val="en-US" w:eastAsia="zh-CN"/>
          <w14:textFill>
            <w14:solidFill>
              <w14:schemeClr w14:val="tx1"/>
            </w14:solidFill>
          </w14:textFill>
        </w:rPr>
        <w:t>2</w:t>
      </w:r>
      <w:r>
        <w:rPr>
          <w:rFonts w:hint="eastAsia" w:hAnsi="宋体" w:eastAsia="宋体"/>
          <w:color w:val="000000" w:themeColor="text1"/>
          <w:sz w:val="24"/>
          <w:szCs w:val="24"/>
          <w:highlight w:val="none"/>
          <w14:textFill>
            <w14:solidFill>
              <w14:schemeClr w14:val="tx1"/>
            </w14:solidFill>
          </w14:textFill>
        </w:rPr>
        <w:t>、</w:t>
      </w:r>
      <w:r>
        <w:rPr>
          <w:rFonts w:hint="eastAsia" w:hAnsi="宋体" w:eastAsia="宋体"/>
          <w:color w:val="000000" w:themeColor="text1"/>
          <w:sz w:val="24"/>
          <w:szCs w:val="24"/>
          <w:highlight w:val="none"/>
          <w:lang w:val="en-US" w:eastAsia="zh-CN"/>
          <w14:textFill>
            <w14:solidFill>
              <w14:schemeClr w14:val="tx1"/>
            </w14:solidFill>
          </w14:textFill>
        </w:rPr>
        <w:t>服务团队</w:t>
      </w:r>
      <w:r>
        <w:rPr>
          <w:rFonts w:hint="eastAsia" w:hAnsi="宋体" w:eastAsia="宋体"/>
          <w:color w:val="000000" w:themeColor="text1"/>
          <w:sz w:val="24"/>
          <w:szCs w:val="24"/>
          <w:highlight w:val="none"/>
          <w14:textFill>
            <w14:solidFill>
              <w14:schemeClr w14:val="tx1"/>
            </w14:solidFill>
          </w14:textFill>
        </w:rPr>
        <w:t>人员</w:t>
      </w:r>
      <w:r>
        <w:rPr>
          <w:rFonts w:hint="eastAsia" w:hAnsi="宋体" w:eastAsia="宋体"/>
          <w:color w:val="000000" w:themeColor="text1"/>
          <w:sz w:val="24"/>
          <w:szCs w:val="24"/>
          <w:highlight w:val="none"/>
          <w:lang w:eastAsia="zh-CN"/>
          <w14:textFill>
            <w14:solidFill>
              <w14:schemeClr w14:val="tx1"/>
            </w14:solidFill>
          </w14:textFill>
        </w:rPr>
        <w:t>（</w:t>
      </w:r>
      <w:r>
        <w:rPr>
          <w:rFonts w:hint="eastAsia" w:hAnsi="宋体" w:eastAsia="宋体"/>
          <w:color w:val="000000" w:themeColor="text1"/>
          <w:sz w:val="24"/>
          <w:szCs w:val="24"/>
          <w:highlight w:val="none"/>
          <w:lang w:val="en-US" w:eastAsia="zh-CN"/>
          <w14:textFill>
            <w14:solidFill>
              <w14:schemeClr w14:val="tx1"/>
            </w14:solidFill>
          </w14:textFill>
        </w:rPr>
        <w:t>项目负责人除外）</w:t>
      </w:r>
      <w:r>
        <w:rPr>
          <w:rFonts w:hint="eastAsia" w:hAnsi="宋体" w:eastAsia="宋体"/>
          <w:color w:val="000000" w:themeColor="text1"/>
          <w:sz w:val="24"/>
          <w:szCs w:val="24"/>
          <w:highlight w:val="none"/>
          <w14:textFill>
            <w14:solidFill>
              <w14:schemeClr w14:val="tx1"/>
            </w14:solidFill>
          </w14:textFill>
        </w:rPr>
        <w:t>具备洗衣师资格证</w:t>
      </w:r>
      <w:r>
        <w:rPr>
          <w:rFonts w:hint="eastAsia" w:hAnsi="宋体" w:eastAsia="宋体"/>
          <w:color w:val="000000" w:themeColor="text1"/>
          <w:sz w:val="24"/>
          <w:szCs w:val="24"/>
          <w:highlight w:val="none"/>
          <w:lang w:val="en-US" w:eastAsia="zh-CN"/>
          <w14:textFill>
            <w14:solidFill>
              <w14:schemeClr w14:val="tx1"/>
            </w14:solidFill>
          </w14:textFill>
        </w:rPr>
        <w:t>的，</w:t>
      </w:r>
      <w:r>
        <w:rPr>
          <w:rFonts w:hint="eastAsia" w:hAnsi="宋体" w:eastAsia="宋体"/>
          <w:color w:val="000000" w:themeColor="text1"/>
          <w:sz w:val="24"/>
          <w:szCs w:val="24"/>
          <w:highlight w:val="none"/>
          <w14:textFill>
            <w14:solidFill>
              <w14:schemeClr w14:val="tx1"/>
            </w14:solidFill>
          </w14:textFill>
        </w:rPr>
        <w:t>每</w:t>
      </w:r>
      <w:r>
        <w:rPr>
          <w:rFonts w:hint="eastAsia" w:hAnsi="宋体" w:eastAsia="宋体"/>
          <w:color w:val="000000" w:themeColor="text1"/>
          <w:sz w:val="24"/>
          <w:szCs w:val="24"/>
          <w:highlight w:val="none"/>
          <w:lang w:val="en-US" w:eastAsia="zh-CN"/>
          <w14:textFill>
            <w14:solidFill>
              <w14:schemeClr w14:val="tx1"/>
            </w14:solidFill>
          </w14:textFill>
        </w:rPr>
        <w:t>有一人</w:t>
      </w:r>
      <w:r>
        <w:rPr>
          <w:rFonts w:hint="eastAsia" w:hAnsi="宋体" w:eastAsia="宋体"/>
          <w:color w:val="000000" w:themeColor="text1"/>
          <w:sz w:val="24"/>
          <w:szCs w:val="24"/>
          <w:highlight w:val="none"/>
          <w14:textFill>
            <w14:solidFill>
              <w14:schemeClr w14:val="tx1"/>
            </w14:solidFill>
          </w14:textFill>
        </w:rPr>
        <w:t>得2分，最高得</w:t>
      </w:r>
      <w:r>
        <w:rPr>
          <w:rFonts w:hint="eastAsia" w:hAnsi="宋体" w:eastAsia="宋体"/>
          <w:color w:val="000000" w:themeColor="text1"/>
          <w:sz w:val="24"/>
          <w:szCs w:val="24"/>
          <w:highlight w:val="none"/>
          <w:lang w:val="en-US" w:eastAsia="zh-CN"/>
          <w14:textFill>
            <w14:solidFill>
              <w14:schemeClr w14:val="tx1"/>
            </w14:solidFill>
          </w14:textFill>
        </w:rPr>
        <w:t>8</w:t>
      </w:r>
      <w:r>
        <w:rPr>
          <w:rFonts w:hint="eastAsia" w:hAnsi="宋体" w:eastAsia="宋体"/>
          <w:color w:val="000000" w:themeColor="text1"/>
          <w:sz w:val="24"/>
          <w:szCs w:val="24"/>
          <w:highlight w:val="none"/>
          <w14:textFill>
            <w14:solidFill>
              <w14:schemeClr w14:val="tx1"/>
            </w14:solidFill>
          </w14:textFill>
        </w:rPr>
        <w:t>分（</w:t>
      </w:r>
      <w:r>
        <w:rPr>
          <w:rFonts w:hint="eastAsia" w:hAnsi="宋体" w:eastAsia="宋体"/>
          <w:color w:val="000000" w:themeColor="text1"/>
          <w:sz w:val="24"/>
          <w:szCs w:val="24"/>
          <w:highlight w:val="none"/>
          <w:lang w:val="en-US" w:eastAsia="zh-CN"/>
          <w14:textFill>
            <w14:solidFill>
              <w14:schemeClr w14:val="tx1"/>
            </w14:solidFill>
          </w14:textFill>
        </w:rPr>
        <w:t>投标</w:t>
      </w:r>
      <w:r>
        <w:rPr>
          <w:rFonts w:hint="eastAsia" w:hAnsi="宋体" w:eastAsia="宋体"/>
          <w:color w:val="000000" w:themeColor="text1"/>
          <w:sz w:val="24"/>
          <w:szCs w:val="24"/>
          <w:highlight w:val="none"/>
          <w14:textFill>
            <w14:solidFill>
              <w14:schemeClr w14:val="tx1"/>
            </w14:solidFill>
          </w14:textFill>
        </w:rPr>
        <w:t>文件中</w:t>
      </w:r>
      <w:r>
        <w:rPr>
          <w:rFonts w:hint="eastAsia" w:hAnsi="宋体" w:eastAsia="宋体"/>
          <w:color w:val="000000" w:themeColor="text1"/>
          <w:sz w:val="24"/>
          <w:szCs w:val="24"/>
          <w:highlight w:val="none"/>
          <w:lang w:val="en-US" w:eastAsia="zh-CN"/>
          <w14:textFill>
            <w14:solidFill>
              <w14:schemeClr w14:val="tx1"/>
            </w14:solidFill>
          </w14:textFill>
        </w:rPr>
        <w:t>需</w:t>
      </w:r>
      <w:r>
        <w:rPr>
          <w:rFonts w:hint="eastAsia" w:hAnsi="宋体" w:eastAsia="宋体"/>
          <w:color w:val="000000" w:themeColor="text1"/>
          <w:sz w:val="24"/>
          <w:szCs w:val="24"/>
          <w:highlight w:val="none"/>
          <w14:textFill>
            <w14:solidFill>
              <w14:schemeClr w14:val="tx1"/>
            </w14:solidFill>
          </w14:textFill>
        </w:rPr>
        <w:t>提供</w:t>
      </w:r>
      <w:r>
        <w:rPr>
          <w:rFonts w:hint="eastAsia" w:hAnsi="宋体" w:eastAsia="宋体"/>
          <w:color w:val="000000" w:themeColor="text1"/>
          <w:sz w:val="24"/>
          <w:szCs w:val="24"/>
          <w:highlight w:val="none"/>
          <w:lang w:val="en-US" w:eastAsia="zh-CN"/>
          <w14:textFill>
            <w14:solidFill>
              <w14:schemeClr w14:val="tx1"/>
            </w14:solidFill>
          </w14:textFill>
        </w:rPr>
        <w:t>对应</w:t>
      </w:r>
      <w:r>
        <w:rPr>
          <w:rFonts w:hint="eastAsia" w:hAnsi="宋体" w:eastAsia="宋体"/>
          <w:color w:val="000000" w:themeColor="text1"/>
          <w:sz w:val="24"/>
          <w:szCs w:val="24"/>
          <w:highlight w:val="none"/>
          <w14:textFill>
            <w14:solidFill>
              <w14:schemeClr w14:val="tx1"/>
            </w14:solidFill>
          </w14:textFill>
        </w:rPr>
        <w:t>人员</w:t>
      </w:r>
      <w:r>
        <w:rPr>
          <w:rFonts w:hint="eastAsia" w:hAnsi="宋体" w:eastAsia="宋体"/>
          <w:color w:val="000000" w:themeColor="text1"/>
          <w:sz w:val="24"/>
          <w:szCs w:val="24"/>
          <w:highlight w:val="none"/>
          <w:lang w:val="en-US" w:eastAsia="zh-CN"/>
          <w14:textFill>
            <w14:solidFill>
              <w14:schemeClr w14:val="tx1"/>
            </w14:solidFill>
          </w14:textFill>
        </w:rPr>
        <w:t>的</w:t>
      </w:r>
      <w:r>
        <w:rPr>
          <w:rFonts w:hint="eastAsia" w:hAnsi="宋体" w:eastAsia="宋体"/>
          <w:color w:val="000000" w:themeColor="text1"/>
          <w:sz w:val="24"/>
          <w:szCs w:val="24"/>
          <w:highlight w:val="none"/>
          <w14:textFill>
            <w14:solidFill>
              <w14:schemeClr w14:val="tx1"/>
            </w14:solidFill>
          </w14:textFill>
        </w:rPr>
        <w:t>证书及</w:t>
      </w:r>
      <w:r>
        <w:rPr>
          <w:rFonts w:hint="eastAsia" w:hAnsi="宋体" w:eastAsia="宋体"/>
          <w:color w:val="000000" w:themeColor="text1"/>
          <w:sz w:val="24"/>
          <w:szCs w:val="24"/>
          <w:highlight w:val="none"/>
          <w:lang w:val="en-US" w:eastAsia="zh-CN"/>
          <w14:textFill>
            <w14:solidFill>
              <w14:schemeClr w14:val="tx1"/>
            </w14:solidFill>
          </w14:textFill>
        </w:rPr>
        <w:t>投标</w:t>
      </w:r>
      <w:r>
        <w:rPr>
          <w:rFonts w:hint="eastAsia" w:hAnsi="宋体" w:eastAsia="宋体"/>
          <w:color w:val="000000" w:themeColor="text1"/>
          <w:sz w:val="24"/>
          <w:szCs w:val="24"/>
          <w:highlight w:val="none"/>
          <w14:textFill>
            <w14:solidFill>
              <w14:schemeClr w14:val="tx1"/>
            </w14:solidFill>
          </w14:textFill>
        </w:rPr>
        <w:t>单位为其缴纳的</w:t>
      </w:r>
      <w:r>
        <w:rPr>
          <w:rFonts w:hint="eastAsia" w:hAnsi="宋体" w:eastAsia="宋体"/>
          <w:color w:val="000000" w:themeColor="text1"/>
          <w:sz w:val="24"/>
          <w:szCs w:val="24"/>
          <w:highlight w:val="none"/>
          <w:lang w:val="en-US" w:eastAsia="zh-CN"/>
          <w14:textFill>
            <w14:solidFill>
              <w14:schemeClr w14:val="tx1"/>
            </w14:solidFill>
          </w14:textFill>
        </w:rPr>
        <w:t>近期</w:t>
      </w:r>
      <w:r>
        <w:rPr>
          <w:rFonts w:hint="eastAsia" w:hAnsi="宋体" w:eastAsia="宋体"/>
          <w:color w:val="000000" w:themeColor="text1"/>
          <w:sz w:val="24"/>
          <w:szCs w:val="24"/>
          <w:highlight w:val="none"/>
          <w14:textFill>
            <w14:solidFill>
              <w14:schemeClr w14:val="tx1"/>
            </w14:solidFill>
          </w14:textFill>
        </w:rPr>
        <w:t>社保证明复印件，</w:t>
      </w:r>
      <w:r>
        <w:rPr>
          <w:rFonts w:hint="eastAsia" w:hAnsi="宋体" w:eastAsia="宋体"/>
          <w:color w:val="000000" w:themeColor="text1"/>
          <w:sz w:val="24"/>
          <w:szCs w:val="24"/>
          <w:highlight w:val="none"/>
          <w:lang w:val="en-US" w:eastAsia="zh-CN"/>
          <w14:textFill>
            <w14:solidFill>
              <w14:schemeClr w14:val="tx1"/>
            </w14:solidFill>
          </w14:textFill>
        </w:rPr>
        <w:t>未提供或提供不齐全的不得分</w:t>
      </w:r>
      <w:r>
        <w:rPr>
          <w:rFonts w:hint="eastAsia" w:hAnsi="宋体" w:eastAsia="宋体"/>
          <w:color w:val="000000" w:themeColor="text1"/>
          <w:sz w:val="24"/>
          <w:szCs w:val="24"/>
          <w:highlight w:val="none"/>
          <w14:textFill>
            <w14:solidFill>
              <w14:schemeClr w14:val="tx1"/>
            </w14:solidFill>
          </w14:textFill>
        </w:rPr>
        <w:t>）。</w:t>
      </w:r>
    </w:p>
    <w:p w14:paraId="1753551E">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lang w:eastAsia="zh-CN"/>
          <w14:textFill>
            <w14:solidFill>
              <w14:schemeClr w14:val="tx1"/>
            </w14:solidFill>
          </w14:textFill>
        </w:rPr>
      </w:pPr>
      <w:r>
        <w:rPr>
          <w:rFonts w:hint="eastAsia" w:hAnsi="宋体" w:eastAsia="宋体"/>
          <w:color w:val="000000" w:themeColor="text1"/>
          <w:sz w:val="24"/>
          <w:szCs w:val="24"/>
          <w:highlight w:val="none"/>
          <w:lang w:val="en-US" w:eastAsia="zh-CN"/>
          <w14:textFill>
            <w14:solidFill>
              <w14:schemeClr w14:val="tx1"/>
            </w14:solidFill>
          </w14:textFill>
        </w:rPr>
        <w:t>3</w:t>
      </w:r>
      <w:r>
        <w:rPr>
          <w:rFonts w:hint="eastAsia" w:hAnsi="宋体" w:eastAsia="宋体"/>
          <w:color w:val="000000" w:themeColor="text1"/>
          <w:sz w:val="24"/>
          <w:szCs w:val="24"/>
          <w:highlight w:val="none"/>
          <w14:textFill>
            <w14:solidFill>
              <w14:schemeClr w14:val="tx1"/>
            </w14:solidFill>
          </w14:textFill>
        </w:rPr>
        <w:t>、</w:t>
      </w:r>
      <w:r>
        <w:rPr>
          <w:rFonts w:hint="eastAsia" w:hAnsi="宋体" w:eastAsia="宋体"/>
          <w:color w:val="000000" w:themeColor="text1"/>
          <w:sz w:val="24"/>
          <w:szCs w:val="24"/>
          <w:highlight w:val="none"/>
          <w:lang w:val="en-US" w:eastAsia="zh-CN"/>
          <w14:textFill>
            <w14:solidFill>
              <w14:schemeClr w14:val="tx1"/>
            </w14:solidFill>
          </w14:textFill>
        </w:rPr>
        <w:t>投标</w:t>
      </w:r>
      <w:r>
        <w:rPr>
          <w:rFonts w:hint="eastAsia" w:hAnsi="宋体" w:eastAsia="宋体"/>
          <w:color w:val="000000" w:themeColor="text1"/>
          <w:sz w:val="24"/>
          <w:szCs w:val="24"/>
          <w:highlight w:val="none"/>
          <w14:textFill>
            <w14:solidFill>
              <w14:schemeClr w14:val="tx1"/>
            </w14:solidFill>
          </w14:textFill>
        </w:rPr>
        <w:t>单位具备运输车辆的，每</w:t>
      </w:r>
      <w:r>
        <w:rPr>
          <w:rFonts w:hint="eastAsia" w:hAnsi="宋体" w:eastAsia="宋体"/>
          <w:color w:val="000000" w:themeColor="text1"/>
          <w:sz w:val="24"/>
          <w:szCs w:val="24"/>
          <w:highlight w:val="none"/>
          <w:lang w:val="en-US" w:eastAsia="zh-CN"/>
          <w14:textFill>
            <w14:solidFill>
              <w14:schemeClr w14:val="tx1"/>
            </w14:solidFill>
          </w14:textFill>
        </w:rPr>
        <w:t>有</w:t>
      </w:r>
      <w:r>
        <w:rPr>
          <w:rFonts w:hint="eastAsia" w:hAnsi="宋体" w:eastAsia="宋体"/>
          <w:color w:val="000000" w:themeColor="text1"/>
          <w:sz w:val="24"/>
          <w:szCs w:val="24"/>
          <w:highlight w:val="none"/>
          <w14:textFill>
            <w14:solidFill>
              <w14:schemeClr w14:val="tx1"/>
            </w14:solidFill>
          </w14:textFill>
        </w:rPr>
        <w:t>1辆得1分，最高得</w:t>
      </w:r>
      <w:r>
        <w:rPr>
          <w:rFonts w:hint="eastAsia" w:hAnsi="宋体" w:eastAsia="宋体"/>
          <w:color w:val="000000" w:themeColor="text1"/>
          <w:sz w:val="24"/>
          <w:szCs w:val="24"/>
          <w:highlight w:val="none"/>
          <w:lang w:val="en-US" w:eastAsia="zh-CN"/>
          <w14:textFill>
            <w14:solidFill>
              <w14:schemeClr w14:val="tx1"/>
            </w14:solidFill>
          </w14:textFill>
        </w:rPr>
        <w:t>2</w:t>
      </w:r>
      <w:r>
        <w:rPr>
          <w:rFonts w:hint="eastAsia" w:hAnsi="宋体" w:eastAsia="宋体"/>
          <w:color w:val="000000" w:themeColor="text1"/>
          <w:sz w:val="24"/>
          <w:szCs w:val="24"/>
          <w:highlight w:val="none"/>
          <w14:textFill>
            <w14:solidFill>
              <w14:schemeClr w14:val="tx1"/>
            </w14:solidFill>
          </w14:textFill>
        </w:rPr>
        <w:t>分（投标文件中设备</w:t>
      </w:r>
      <w:r>
        <w:rPr>
          <w:rFonts w:hint="eastAsia" w:hAnsi="宋体" w:eastAsia="宋体"/>
          <w:color w:val="000000" w:themeColor="text1"/>
          <w:sz w:val="24"/>
          <w:szCs w:val="24"/>
          <w:highlight w:val="none"/>
          <w:lang w:val="en-US" w:eastAsia="zh-CN"/>
          <w14:textFill>
            <w14:solidFill>
              <w14:schemeClr w14:val="tx1"/>
            </w14:solidFill>
          </w14:textFill>
        </w:rPr>
        <w:t>需</w:t>
      </w:r>
      <w:r>
        <w:rPr>
          <w:rFonts w:hint="eastAsia" w:hAnsi="宋体" w:eastAsia="宋体"/>
          <w:color w:val="000000" w:themeColor="text1"/>
          <w:sz w:val="24"/>
          <w:szCs w:val="24"/>
          <w:highlight w:val="none"/>
          <w14:textFill>
            <w14:solidFill>
              <w14:schemeClr w14:val="tx1"/>
            </w14:solidFill>
          </w14:textFill>
        </w:rPr>
        <w:t>提供完整的发票凭证复印件；车辆自有</w:t>
      </w:r>
      <w:r>
        <w:rPr>
          <w:rFonts w:hint="eastAsia" w:hAnsi="宋体" w:eastAsia="宋体"/>
          <w:color w:val="000000" w:themeColor="text1"/>
          <w:sz w:val="24"/>
          <w:szCs w:val="24"/>
          <w:highlight w:val="none"/>
          <w:lang w:val="en-US" w:eastAsia="zh-CN"/>
          <w14:textFill>
            <w14:solidFill>
              <w14:schemeClr w14:val="tx1"/>
            </w14:solidFill>
          </w14:textFill>
        </w:rPr>
        <w:t>的</w:t>
      </w:r>
      <w:r>
        <w:rPr>
          <w:rFonts w:hint="eastAsia" w:hAnsi="宋体" w:eastAsia="宋体"/>
          <w:color w:val="000000" w:themeColor="text1"/>
          <w:sz w:val="24"/>
          <w:szCs w:val="24"/>
          <w:highlight w:val="none"/>
          <w14:textFill>
            <w14:solidFill>
              <w14:schemeClr w14:val="tx1"/>
            </w14:solidFill>
          </w14:textFill>
        </w:rPr>
        <w:t>需提供行驶证复印件；车辆租赁</w:t>
      </w:r>
      <w:r>
        <w:rPr>
          <w:rFonts w:hint="eastAsia" w:hAnsi="宋体" w:eastAsia="宋体"/>
          <w:color w:val="000000" w:themeColor="text1"/>
          <w:sz w:val="24"/>
          <w:szCs w:val="24"/>
          <w:highlight w:val="none"/>
          <w:lang w:val="en-US" w:eastAsia="zh-CN"/>
          <w14:textFill>
            <w14:solidFill>
              <w14:schemeClr w14:val="tx1"/>
            </w14:solidFill>
          </w14:textFill>
        </w:rPr>
        <w:t>的需</w:t>
      </w:r>
      <w:r>
        <w:rPr>
          <w:rFonts w:hint="eastAsia" w:hAnsi="宋体" w:eastAsia="宋体"/>
          <w:color w:val="000000" w:themeColor="text1"/>
          <w:sz w:val="24"/>
          <w:szCs w:val="24"/>
          <w:highlight w:val="none"/>
          <w14:textFill>
            <w14:solidFill>
              <w14:schemeClr w14:val="tx1"/>
            </w14:solidFill>
          </w14:textFill>
        </w:rPr>
        <w:t>提供车辆租赁/承包合同复印件，</w:t>
      </w:r>
      <w:r>
        <w:rPr>
          <w:rFonts w:hint="eastAsia" w:hAnsi="宋体" w:eastAsia="宋体"/>
          <w:color w:val="000000" w:themeColor="text1"/>
          <w:sz w:val="24"/>
          <w:szCs w:val="24"/>
          <w:highlight w:val="none"/>
          <w:lang w:val="en-US" w:eastAsia="zh-CN"/>
          <w14:textFill>
            <w14:solidFill>
              <w14:schemeClr w14:val="tx1"/>
            </w14:solidFill>
          </w14:textFill>
        </w:rPr>
        <w:t>未提供或提供不齐全的不得分</w:t>
      </w:r>
      <w:r>
        <w:rPr>
          <w:rFonts w:hint="eastAsia" w:hAnsi="宋体" w:eastAsia="宋体"/>
          <w:color w:val="000000" w:themeColor="text1"/>
          <w:sz w:val="24"/>
          <w:szCs w:val="24"/>
          <w:highlight w:val="none"/>
          <w14:textFill>
            <w14:solidFill>
              <w14:schemeClr w14:val="tx1"/>
            </w14:solidFill>
          </w14:textFill>
        </w:rPr>
        <w:t>）</w:t>
      </w:r>
      <w:r>
        <w:rPr>
          <w:rFonts w:hint="eastAsia" w:hAnsi="宋体" w:eastAsia="宋体"/>
          <w:color w:val="000000" w:themeColor="text1"/>
          <w:sz w:val="24"/>
          <w:szCs w:val="24"/>
          <w:highlight w:val="none"/>
          <w:lang w:eastAsia="zh-CN"/>
          <w14:textFill>
            <w14:solidFill>
              <w14:schemeClr w14:val="tx1"/>
            </w14:solidFill>
          </w14:textFill>
        </w:rPr>
        <w:t>。</w:t>
      </w:r>
    </w:p>
    <w:p w14:paraId="52F76876">
      <w:pPr>
        <w:pStyle w:val="227"/>
        <w:keepNext w:val="0"/>
        <w:keepLines w:val="0"/>
        <w:pageBreakBefore w:val="0"/>
        <w:widowControl w:val="0"/>
        <w:suppressLineNumbers w:val="0"/>
        <w:spacing w:before="0" w:after="0" w:line="360" w:lineRule="auto"/>
        <w:jc w:val="left"/>
        <w:rPr>
          <w:rFonts w:hint="default" w:hAnsi="宋体" w:eastAsia="宋体"/>
          <w:color w:val="000000" w:themeColor="text1"/>
          <w:sz w:val="24"/>
          <w:szCs w:val="24"/>
          <w:highlight w:val="none"/>
          <w:lang w:val="en-US" w:eastAsia="zh-CN"/>
          <w14:textFill>
            <w14:solidFill>
              <w14:schemeClr w14:val="tx1"/>
            </w14:solidFill>
          </w14:textFill>
        </w:rPr>
      </w:pPr>
      <w:r>
        <w:rPr>
          <w:rFonts w:hint="eastAsia" w:hAnsi="宋体" w:eastAsia="宋体"/>
          <w:color w:val="000000" w:themeColor="text1"/>
          <w:sz w:val="24"/>
          <w:szCs w:val="24"/>
          <w:highlight w:val="none"/>
          <w:lang w:val="en-US" w:eastAsia="zh-CN"/>
          <w14:textFill>
            <w14:solidFill>
              <w14:schemeClr w14:val="tx1"/>
            </w14:solidFill>
          </w14:textFill>
        </w:rPr>
        <w:t>4、投入洗涤设备：14分</w:t>
      </w:r>
    </w:p>
    <w:p w14:paraId="30DF437C">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lang w:val="en-US" w:eastAsia="zh-CN"/>
          <w14:textFill>
            <w14:solidFill>
              <w14:schemeClr w14:val="tx1"/>
            </w14:solidFill>
          </w14:textFill>
        </w:rPr>
      </w:pPr>
      <w:r>
        <w:rPr>
          <w:rFonts w:hint="eastAsia" w:hAnsi="宋体" w:eastAsia="宋体"/>
          <w:color w:val="000000" w:themeColor="text1"/>
          <w:sz w:val="24"/>
          <w:szCs w:val="24"/>
          <w:highlight w:val="none"/>
          <w:lang w:val="en-US" w:eastAsia="zh-CN"/>
          <w14:textFill>
            <w14:solidFill>
              <w14:schemeClr w14:val="tx1"/>
            </w14:solidFill>
          </w14:textFill>
        </w:rPr>
        <w:t>4.1</w:t>
      </w:r>
      <w:r>
        <w:rPr>
          <w:rFonts w:hint="eastAsia" w:hAnsi="宋体" w:eastAsia="宋体"/>
          <w:color w:val="000000" w:themeColor="text1"/>
          <w:sz w:val="24"/>
          <w:szCs w:val="24"/>
          <w:highlight w:val="none"/>
          <w14:textFill>
            <w14:solidFill>
              <w14:schemeClr w14:val="tx1"/>
            </w14:solidFill>
          </w14:textFill>
        </w:rPr>
        <w:t>具备隧道式大型洗涤机组的得</w:t>
      </w:r>
      <w:r>
        <w:rPr>
          <w:rFonts w:hint="eastAsia" w:hAnsi="宋体" w:eastAsia="宋体"/>
          <w:color w:val="000000" w:themeColor="text1"/>
          <w:sz w:val="24"/>
          <w:szCs w:val="24"/>
          <w:highlight w:val="none"/>
          <w:lang w:val="en-US" w:eastAsia="zh-CN"/>
          <w14:textFill>
            <w14:solidFill>
              <w14:schemeClr w14:val="tx1"/>
            </w14:solidFill>
          </w14:textFill>
        </w:rPr>
        <w:t>6</w:t>
      </w:r>
      <w:r>
        <w:rPr>
          <w:rFonts w:hint="eastAsia" w:hAnsi="宋体" w:eastAsia="宋体"/>
          <w:color w:val="000000" w:themeColor="text1"/>
          <w:sz w:val="24"/>
          <w:szCs w:val="24"/>
          <w:highlight w:val="none"/>
          <w14:textFill>
            <w14:solidFill>
              <w14:schemeClr w14:val="tx1"/>
            </w14:solidFill>
          </w14:textFill>
        </w:rPr>
        <w:t>分</w:t>
      </w:r>
      <w:r>
        <w:rPr>
          <w:rFonts w:hint="eastAsia" w:hAnsi="宋体" w:eastAsia="宋体"/>
          <w:color w:val="000000" w:themeColor="text1"/>
          <w:sz w:val="24"/>
          <w:szCs w:val="24"/>
          <w:highlight w:val="none"/>
          <w:lang w:val="en-US" w:eastAsia="zh-CN"/>
          <w14:textFill>
            <w14:solidFill>
              <w14:schemeClr w14:val="tx1"/>
            </w14:solidFill>
          </w14:textFill>
        </w:rPr>
        <w:t>；</w:t>
      </w:r>
    </w:p>
    <w:p w14:paraId="3DE493E3">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lang w:val="en-US" w:eastAsia="zh-CN"/>
          <w14:textFill>
            <w14:solidFill>
              <w14:schemeClr w14:val="tx1"/>
            </w14:solidFill>
          </w14:textFill>
        </w:rPr>
      </w:pPr>
      <w:r>
        <w:rPr>
          <w:rFonts w:hint="eastAsia" w:hAnsi="宋体" w:eastAsia="宋体"/>
          <w:color w:val="000000" w:themeColor="text1"/>
          <w:sz w:val="24"/>
          <w:szCs w:val="24"/>
          <w:highlight w:val="none"/>
          <w:lang w:val="en-US" w:eastAsia="zh-CN"/>
          <w14:textFill>
            <w14:solidFill>
              <w14:schemeClr w14:val="tx1"/>
            </w14:solidFill>
          </w14:textFill>
        </w:rPr>
        <w:t>4.2</w:t>
      </w:r>
      <w:r>
        <w:rPr>
          <w:rFonts w:hint="eastAsia" w:hAnsi="宋体" w:eastAsia="宋体"/>
          <w:color w:val="000000" w:themeColor="text1"/>
          <w:sz w:val="24"/>
          <w:szCs w:val="24"/>
          <w:highlight w:val="none"/>
          <w14:textFill>
            <w14:solidFill>
              <w14:schemeClr w14:val="tx1"/>
            </w14:solidFill>
          </w14:textFill>
        </w:rPr>
        <w:t>具备全套卫生隔离式洗涤机的，每</w:t>
      </w:r>
      <w:r>
        <w:rPr>
          <w:rFonts w:hint="eastAsia" w:hAnsi="宋体" w:eastAsia="宋体"/>
          <w:color w:val="000000" w:themeColor="text1"/>
          <w:sz w:val="24"/>
          <w:szCs w:val="24"/>
          <w:highlight w:val="none"/>
          <w:lang w:val="en-US" w:eastAsia="zh-CN"/>
          <w14:textFill>
            <w14:solidFill>
              <w14:schemeClr w14:val="tx1"/>
            </w14:solidFill>
          </w14:textFill>
        </w:rPr>
        <w:t>有</w:t>
      </w:r>
      <w:r>
        <w:rPr>
          <w:rFonts w:hint="eastAsia" w:hAnsi="宋体" w:eastAsia="宋体"/>
          <w:color w:val="000000" w:themeColor="text1"/>
          <w:sz w:val="24"/>
          <w:szCs w:val="24"/>
          <w:highlight w:val="none"/>
          <w14:textFill>
            <w14:solidFill>
              <w14:schemeClr w14:val="tx1"/>
            </w14:solidFill>
          </w14:textFill>
        </w:rPr>
        <w:t>1台得</w:t>
      </w:r>
      <w:r>
        <w:rPr>
          <w:rFonts w:hint="eastAsia" w:hAnsi="宋体" w:eastAsia="宋体"/>
          <w:color w:val="000000" w:themeColor="text1"/>
          <w:sz w:val="24"/>
          <w:szCs w:val="24"/>
          <w:highlight w:val="none"/>
          <w:lang w:val="en-US" w:eastAsia="zh-CN"/>
          <w14:textFill>
            <w14:solidFill>
              <w14:schemeClr w14:val="tx1"/>
            </w14:solidFill>
          </w14:textFill>
        </w:rPr>
        <w:t>1</w:t>
      </w:r>
      <w:r>
        <w:rPr>
          <w:rFonts w:hint="eastAsia" w:hAnsi="宋体" w:eastAsia="宋体"/>
          <w:color w:val="000000" w:themeColor="text1"/>
          <w:sz w:val="24"/>
          <w:szCs w:val="24"/>
          <w:highlight w:val="none"/>
          <w14:textFill>
            <w14:solidFill>
              <w14:schemeClr w14:val="tx1"/>
            </w14:solidFill>
          </w14:textFill>
        </w:rPr>
        <w:t>分，最高得</w:t>
      </w:r>
      <w:r>
        <w:rPr>
          <w:rFonts w:hint="eastAsia" w:hAnsi="宋体" w:eastAsia="宋体"/>
          <w:color w:val="000000" w:themeColor="text1"/>
          <w:sz w:val="24"/>
          <w:szCs w:val="24"/>
          <w:highlight w:val="none"/>
          <w:lang w:val="en-US" w:eastAsia="zh-CN"/>
          <w14:textFill>
            <w14:solidFill>
              <w14:schemeClr w14:val="tx1"/>
            </w14:solidFill>
          </w14:textFill>
        </w:rPr>
        <w:t>4</w:t>
      </w:r>
      <w:r>
        <w:rPr>
          <w:rFonts w:hint="eastAsia" w:hAnsi="宋体" w:eastAsia="宋体"/>
          <w:color w:val="000000" w:themeColor="text1"/>
          <w:sz w:val="24"/>
          <w:szCs w:val="24"/>
          <w:highlight w:val="none"/>
          <w14:textFill>
            <w14:solidFill>
              <w14:schemeClr w14:val="tx1"/>
            </w14:solidFill>
          </w14:textFill>
        </w:rPr>
        <w:t>分</w:t>
      </w:r>
      <w:r>
        <w:rPr>
          <w:rFonts w:hint="eastAsia" w:hAnsi="宋体" w:eastAsia="宋体"/>
          <w:color w:val="000000" w:themeColor="text1"/>
          <w:sz w:val="24"/>
          <w:szCs w:val="24"/>
          <w:highlight w:val="none"/>
          <w:lang w:val="en-US" w:eastAsia="zh-CN"/>
          <w14:textFill>
            <w14:solidFill>
              <w14:schemeClr w14:val="tx1"/>
            </w14:solidFill>
          </w14:textFill>
        </w:rPr>
        <w:t>；</w:t>
      </w:r>
    </w:p>
    <w:p w14:paraId="5BC6FFA8">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lang w:val="en-US" w:eastAsia="zh-CN"/>
          <w14:textFill>
            <w14:solidFill>
              <w14:schemeClr w14:val="tx1"/>
            </w14:solidFill>
          </w14:textFill>
        </w:rPr>
      </w:pPr>
      <w:r>
        <w:rPr>
          <w:rFonts w:hint="eastAsia" w:hAnsi="宋体" w:eastAsia="宋体"/>
          <w:color w:val="000000" w:themeColor="text1"/>
          <w:sz w:val="24"/>
          <w:szCs w:val="24"/>
          <w:highlight w:val="none"/>
          <w:lang w:val="en-US" w:eastAsia="zh-CN"/>
          <w14:textFill>
            <w14:solidFill>
              <w14:schemeClr w14:val="tx1"/>
            </w14:solidFill>
          </w14:textFill>
        </w:rPr>
        <w:t>4.3</w:t>
      </w:r>
      <w:r>
        <w:rPr>
          <w:rFonts w:hint="eastAsia" w:hAnsi="宋体" w:eastAsia="宋体"/>
          <w:color w:val="000000" w:themeColor="text1"/>
          <w:sz w:val="24"/>
          <w:szCs w:val="24"/>
          <w:highlight w:val="none"/>
          <w14:textFill>
            <w14:solidFill>
              <w14:schemeClr w14:val="tx1"/>
            </w14:solidFill>
          </w14:textFill>
        </w:rPr>
        <w:t>具备</w:t>
      </w:r>
      <w:r>
        <w:rPr>
          <w:rFonts w:hint="eastAsia" w:hAnsi="宋体" w:eastAsia="宋体"/>
          <w:color w:val="000000" w:themeColor="text1"/>
          <w:sz w:val="24"/>
          <w:szCs w:val="24"/>
          <w:highlight w:val="none"/>
          <w:lang w:val="en-US" w:eastAsia="zh-CN"/>
          <w14:textFill>
            <w14:solidFill>
              <w14:schemeClr w14:val="tx1"/>
            </w14:solidFill>
          </w14:textFill>
        </w:rPr>
        <w:t>其他</w:t>
      </w:r>
      <w:r>
        <w:rPr>
          <w:rFonts w:hint="eastAsia" w:hAnsi="宋体" w:eastAsia="宋体"/>
          <w:color w:val="000000" w:themeColor="text1"/>
          <w:sz w:val="24"/>
          <w:szCs w:val="24"/>
          <w:highlight w:val="none"/>
          <w14:textFill>
            <w14:solidFill>
              <w14:schemeClr w14:val="tx1"/>
            </w14:solidFill>
          </w14:textFill>
        </w:rPr>
        <w:t>大型洗涤设备的（≥100KG），每</w:t>
      </w:r>
      <w:r>
        <w:rPr>
          <w:rFonts w:hint="eastAsia" w:hAnsi="宋体" w:eastAsia="宋体"/>
          <w:color w:val="000000" w:themeColor="text1"/>
          <w:sz w:val="24"/>
          <w:szCs w:val="24"/>
          <w:highlight w:val="none"/>
          <w:lang w:val="en-US" w:eastAsia="zh-CN"/>
          <w14:textFill>
            <w14:solidFill>
              <w14:schemeClr w14:val="tx1"/>
            </w14:solidFill>
          </w14:textFill>
        </w:rPr>
        <w:t>有</w:t>
      </w:r>
      <w:r>
        <w:rPr>
          <w:rFonts w:hint="eastAsia" w:hAnsi="宋体" w:eastAsia="宋体"/>
          <w:color w:val="000000" w:themeColor="text1"/>
          <w:sz w:val="24"/>
          <w:szCs w:val="24"/>
          <w:highlight w:val="none"/>
          <w14:textFill>
            <w14:solidFill>
              <w14:schemeClr w14:val="tx1"/>
            </w14:solidFill>
          </w14:textFill>
        </w:rPr>
        <w:t>1台得1分，最高得4分</w:t>
      </w:r>
      <w:r>
        <w:rPr>
          <w:rFonts w:hint="eastAsia" w:hAnsi="宋体" w:eastAsia="宋体"/>
          <w:color w:val="000000" w:themeColor="text1"/>
          <w:sz w:val="24"/>
          <w:szCs w:val="24"/>
          <w:highlight w:val="none"/>
          <w:lang w:val="en-US" w:eastAsia="zh-CN"/>
          <w14:textFill>
            <w14:solidFill>
              <w14:schemeClr w14:val="tx1"/>
            </w14:solidFill>
          </w14:textFill>
        </w:rPr>
        <w:t>；</w:t>
      </w:r>
    </w:p>
    <w:p w14:paraId="2F9E8071">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lang w:eastAsia="zh-CN"/>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（投标文件中</w:t>
      </w:r>
      <w:r>
        <w:rPr>
          <w:rFonts w:hint="eastAsia" w:hAnsi="宋体" w:eastAsia="宋体"/>
          <w:color w:val="000000" w:themeColor="text1"/>
          <w:sz w:val="24"/>
          <w:szCs w:val="24"/>
          <w:highlight w:val="none"/>
          <w:lang w:val="en-US" w:eastAsia="zh-CN"/>
          <w14:textFill>
            <w14:solidFill>
              <w14:schemeClr w14:val="tx1"/>
            </w14:solidFill>
          </w14:textFill>
        </w:rPr>
        <w:t>需</w:t>
      </w:r>
      <w:r>
        <w:rPr>
          <w:rFonts w:hint="eastAsia" w:hAnsi="宋体" w:eastAsia="宋体"/>
          <w:color w:val="000000" w:themeColor="text1"/>
          <w:sz w:val="24"/>
          <w:szCs w:val="24"/>
          <w:highlight w:val="none"/>
          <w14:textFill>
            <w14:solidFill>
              <w14:schemeClr w14:val="tx1"/>
            </w14:solidFill>
          </w14:textFill>
        </w:rPr>
        <w:t>提供</w:t>
      </w:r>
      <w:r>
        <w:rPr>
          <w:rFonts w:hint="eastAsia" w:hAnsi="宋体" w:eastAsia="宋体"/>
          <w:color w:val="000000" w:themeColor="text1"/>
          <w:sz w:val="24"/>
          <w:szCs w:val="24"/>
          <w:highlight w:val="none"/>
          <w:lang w:val="en-US" w:eastAsia="zh-CN"/>
          <w14:textFill>
            <w14:solidFill>
              <w14:schemeClr w14:val="tx1"/>
            </w14:solidFill>
          </w14:textFill>
        </w:rPr>
        <w:t>洗涤设备的购买</w:t>
      </w:r>
      <w:r>
        <w:rPr>
          <w:rFonts w:hint="eastAsia" w:hAnsi="宋体" w:eastAsia="宋体"/>
          <w:color w:val="000000" w:themeColor="text1"/>
          <w:sz w:val="24"/>
          <w:szCs w:val="24"/>
          <w:highlight w:val="none"/>
          <w14:textFill>
            <w14:solidFill>
              <w14:schemeClr w14:val="tx1"/>
            </w14:solidFill>
          </w14:textFill>
        </w:rPr>
        <w:t>发票</w:t>
      </w:r>
      <w:r>
        <w:rPr>
          <w:rFonts w:hint="eastAsia" w:hAnsi="宋体" w:eastAsia="宋体"/>
          <w:color w:val="000000" w:themeColor="text1"/>
          <w:sz w:val="24"/>
          <w:szCs w:val="24"/>
          <w:highlight w:val="none"/>
          <w:lang w:val="en-US" w:eastAsia="zh-CN"/>
          <w14:textFill>
            <w14:solidFill>
              <w14:schemeClr w14:val="tx1"/>
            </w14:solidFill>
          </w14:textFill>
        </w:rPr>
        <w:t>/</w:t>
      </w:r>
      <w:r>
        <w:rPr>
          <w:rFonts w:hint="eastAsia" w:hAnsi="宋体" w:eastAsia="宋体"/>
          <w:color w:val="000000" w:themeColor="text1"/>
          <w:sz w:val="24"/>
          <w:szCs w:val="24"/>
          <w:highlight w:val="none"/>
          <w14:textFill>
            <w14:solidFill>
              <w14:schemeClr w14:val="tx1"/>
            </w14:solidFill>
          </w14:textFill>
        </w:rPr>
        <w:t>凭证复印件，</w:t>
      </w:r>
      <w:r>
        <w:rPr>
          <w:rFonts w:hint="eastAsia" w:hAnsi="宋体" w:eastAsia="宋体"/>
          <w:color w:val="000000" w:themeColor="text1"/>
          <w:sz w:val="24"/>
          <w:szCs w:val="24"/>
          <w:highlight w:val="none"/>
          <w:lang w:val="en-US" w:eastAsia="zh-CN"/>
          <w14:textFill>
            <w14:solidFill>
              <w14:schemeClr w14:val="tx1"/>
            </w14:solidFill>
          </w14:textFill>
        </w:rPr>
        <w:t>未提供或提供不齐全的不得分</w:t>
      </w:r>
      <w:r>
        <w:rPr>
          <w:rFonts w:hint="eastAsia" w:hAnsi="宋体" w:eastAsia="宋体"/>
          <w:color w:val="000000" w:themeColor="text1"/>
          <w:sz w:val="24"/>
          <w:szCs w:val="24"/>
          <w:highlight w:val="none"/>
          <w14:textFill>
            <w14:solidFill>
              <w14:schemeClr w14:val="tx1"/>
            </w14:solidFill>
          </w14:textFill>
        </w:rPr>
        <w:t>）</w:t>
      </w:r>
      <w:r>
        <w:rPr>
          <w:rFonts w:hint="eastAsia" w:hAnsi="宋体" w:eastAsia="宋体"/>
          <w:color w:val="000000" w:themeColor="text1"/>
          <w:sz w:val="24"/>
          <w:szCs w:val="24"/>
          <w:highlight w:val="none"/>
          <w:lang w:eastAsia="zh-CN"/>
          <w14:textFill>
            <w14:solidFill>
              <w14:schemeClr w14:val="tx1"/>
            </w14:solidFill>
          </w14:textFill>
        </w:rPr>
        <w:t>。</w:t>
      </w:r>
    </w:p>
    <w:p w14:paraId="0163CB33">
      <w:pPr>
        <w:pStyle w:val="227"/>
        <w:keepNext w:val="0"/>
        <w:keepLines w:val="0"/>
        <w:pageBreakBefore w:val="0"/>
        <w:widowControl w:val="0"/>
        <w:suppressLineNumbers w:val="0"/>
        <w:spacing w:before="0" w:after="0" w:line="360" w:lineRule="auto"/>
        <w:jc w:val="left"/>
        <w:rPr>
          <w:rFonts w:hint="eastAsia" w:hAnsi="宋体" w:eastAsia="宋体"/>
          <w:b/>
          <w:bCs/>
          <w:color w:val="000000" w:themeColor="text1"/>
          <w:sz w:val="24"/>
          <w:szCs w:val="24"/>
          <w:highlight w:val="none"/>
          <w14:textFill>
            <w14:solidFill>
              <w14:schemeClr w14:val="tx1"/>
            </w14:solidFill>
          </w14:textFill>
        </w:rPr>
      </w:pPr>
      <w:r>
        <w:rPr>
          <w:rFonts w:hint="eastAsia" w:hAnsi="宋体" w:eastAsia="宋体"/>
          <w:b/>
          <w:bCs/>
          <w:color w:val="000000" w:themeColor="text1"/>
          <w:sz w:val="24"/>
          <w:szCs w:val="24"/>
          <w:highlight w:val="none"/>
          <w14:textFill>
            <w14:solidFill>
              <w14:schemeClr w14:val="tx1"/>
            </w14:solidFill>
          </w14:textFill>
        </w:rPr>
        <w:t>（四）综合履约能力（1</w:t>
      </w:r>
      <w:r>
        <w:rPr>
          <w:rFonts w:hint="eastAsia" w:hAnsi="宋体" w:eastAsia="宋体"/>
          <w:b/>
          <w:bCs/>
          <w:color w:val="000000" w:themeColor="text1"/>
          <w:sz w:val="24"/>
          <w:szCs w:val="24"/>
          <w:highlight w:val="none"/>
          <w:lang w:val="en-US" w:eastAsia="zh-CN"/>
          <w14:textFill>
            <w14:solidFill>
              <w14:schemeClr w14:val="tx1"/>
            </w14:solidFill>
          </w14:textFill>
        </w:rPr>
        <w:t>2</w:t>
      </w:r>
      <w:r>
        <w:rPr>
          <w:rFonts w:hint="eastAsia" w:hAnsi="宋体" w:eastAsia="宋体"/>
          <w:b/>
          <w:bCs/>
          <w:color w:val="000000" w:themeColor="text1"/>
          <w:sz w:val="24"/>
          <w:szCs w:val="24"/>
          <w:highlight w:val="none"/>
          <w14:textFill>
            <w14:solidFill>
              <w14:schemeClr w14:val="tx1"/>
            </w14:solidFill>
          </w14:textFill>
        </w:rPr>
        <w:t>分）</w:t>
      </w:r>
    </w:p>
    <w:p w14:paraId="628B92C8">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1、</w:t>
      </w:r>
      <w:r>
        <w:rPr>
          <w:rFonts w:hint="eastAsia" w:hAnsi="宋体" w:eastAsia="宋体"/>
          <w:color w:val="000000" w:themeColor="text1"/>
          <w:sz w:val="24"/>
          <w:szCs w:val="24"/>
          <w:highlight w:val="none"/>
          <w:lang w:val="en-US" w:eastAsia="zh-CN"/>
          <w14:textFill>
            <w14:solidFill>
              <w14:schemeClr w14:val="tx1"/>
            </w14:solidFill>
          </w14:textFill>
        </w:rPr>
        <w:t>投标</w:t>
      </w:r>
      <w:r>
        <w:rPr>
          <w:rFonts w:hint="eastAsia" w:hAnsi="宋体" w:eastAsia="宋体"/>
          <w:color w:val="000000" w:themeColor="text1"/>
          <w:sz w:val="24"/>
          <w:szCs w:val="24"/>
          <w:highlight w:val="none"/>
          <w14:textFill>
            <w14:solidFill>
              <w14:schemeClr w14:val="tx1"/>
            </w14:solidFill>
          </w14:textFill>
        </w:rPr>
        <w:t>单位</w:t>
      </w:r>
      <w:r>
        <w:rPr>
          <w:rFonts w:hint="eastAsia" w:hAnsi="宋体" w:eastAsia="宋体"/>
          <w:color w:val="000000" w:themeColor="text1"/>
          <w:sz w:val="24"/>
          <w:szCs w:val="24"/>
          <w:highlight w:val="none"/>
          <w:lang w:val="en-US" w:eastAsia="zh-CN"/>
          <w14:textFill>
            <w14:solidFill>
              <w14:schemeClr w14:val="tx1"/>
            </w14:solidFill>
          </w14:textFill>
        </w:rPr>
        <w:t>具有</w:t>
      </w:r>
      <w:r>
        <w:rPr>
          <w:rFonts w:hint="eastAsia" w:hAnsi="宋体" w:eastAsia="宋体"/>
          <w:color w:val="000000" w:themeColor="text1"/>
          <w:sz w:val="24"/>
          <w:szCs w:val="24"/>
          <w:highlight w:val="none"/>
          <w14:textFill>
            <w14:solidFill>
              <w14:schemeClr w14:val="tx1"/>
            </w14:solidFill>
          </w14:textFill>
        </w:rPr>
        <w:t>有效期内的质量管理体系认证</w:t>
      </w:r>
      <w:r>
        <w:rPr>
          <w:rFonts w:hint="eastAsia" w:hAnsi="宋体" w:eastAsia="宋体"/>
          <w:color w:val="000000" w:themeColor="text1"/>
          <w:sz w:val="24"/>
          <w:szCs w:val="24"/>
          <w:highlight w:val="none"/>
          <w:lang w:eastAsia="zh-CN"/>
          <w14:textFill>
            <w14:solidFill>
              <w14:schemeClr w14:val="tx1"/>
            </w14:solidFill>
          </w14:textFill>
        </w:rPr>
        <w:t>、</w:t>
      </w:r>
      <w:r>
        <w:rPr>
          <w:rFonts w:hint="eastAsia" w:hAnsi="宋体" w:eastAsia="宋体"/>
          <w:color w:val="000000" w:themeColor="text1"/>
          <w:sz w:val="24"/>
          <w:szCs w:val="24"/>
          <w:highlight w:val="none"/>
          <w14:textFill>
            <w14:solidFill>
              <w14:schemeClr w14:val="tx1"/>
            </w14:solidFill>
          </w14:textFill>
        </w:rPr>
        <w:t>环境管理体系认证</w:t>
      </w:r>
      <w:r>
        <w:rPr>
          <w:rFonts w:hint="eastAsia" w:hAnsi="宋体" w:eastAsia="宋体"/>
          <w:color w:val="000000" w:themeColor="text1"/>
          <w:sz w:val="24"/>
          <w:szCs w:val="24"/>
          <w:highlight w:val="none"/>
          <w:lang w:val="en-US" w:eastAsia="zh-CN"/>
          <w14:textFill>
            <w14:solidFill>
              <w14:schemeClr w14:val="tx1"/>
            </w14:solidFill>
          </w14:textFill>
        </w:rPr>
        <w:t>和</w:t>
      </w:r>
      <w:r>
        <w:rPr>
          <w:rFonts w:hint="eastAsia" w:hAnsi="宋体" w:eastAsia="宋体"/>
          <w:color w:val="000000" w:themeColor="text1"/>
          <w:sz w:val="24"/>
          <w:szCs w:val="24"/>
          <w:highlight w:val="none"/>
          <w14:textFill>
            <w14:solidFill>
              <w14:schemeClr w14:val="tx1"/>
            </w14:solidFill>
          </w14:textFill>
        </w:rPr>
        <w:t>职业健康管理体系认证证书</w:t>
      </w:r>
      <w:r>
        <w:rPr>
          <w:rFonts w:hint="eastAsia" w:hAnsi="宋体" w:eastAsia="宋体"/>
          <w:color w:val="000000" w:themeColor="text1"/>
          <w:sz w:val="24"/>
          <w:szCs w:val="24"/>
          <w:highlight w:val="none"/>
          <w:lang w:eastAsia="zh-CN"/>
          <w14:textFill>
            <w14:solidFill>
              <w14:schemeClr w14:val="tx1"/>
            </w14:solidFill>
          </w14:textFill>
        </w:rPr>
        <w:t>，</w:t>
      </w:r>
      <w:r>
        <w:rPr>
          <w:rFonts w:hint="eastAsia" w:hAnsi="宋体" w:eastAsia="宋体"/>
          <w:color w:val="000000" w:themeColor="text1"/>
          <w:sz w:val="24"/>
          <w:szCs w:val="24"/>
          <w:highlight w:val="none"/>
          <w14:textFill>
            <w14:solidFill>
              <w14:schemeClr w14:val="tx1"/>
            </w14:solidFill>
          </w14:textFill>
        </w:rPr>
        <w:t>每提供1个得</w:t>
      </w:r>
      <w:r>
        <w:rPr>
          <w:rFonts w:hint="eastAsia" w:hAnsi="宋体" w:eastAsia="宋体"/>
          <w:color w:val="000000" w:themeColor="text1"/>
          <w:sz w:val="24"/>
          <w:szCs w:val="24"/>
          <w:highlight w:val="none"/>
          <w:lang w:val="en-US" w:eastAsia="zh-CN"/>
          <w14:textFill>
            <w14:solidFill>
              <w14:schemeClr w14:val="tx1"/>
            </w14:solidFill>
          </w14:textFill>
        </w:rPr>
        <w:t>2</w:t>
      </w:r>
      <w:r>
        <w:rPr>
          <w:rFonts w:hint="eastAsia" w:hAnsi="宋体" w:eastAsia="宋体"/>
          <w:color w:val="000000" w:themeColor="text1"/>
          <w:sz w:val="24"/>
          <w:szCs w:val="24"/>
          <w:highlight w:val="none"/>
          <w14:textFill>
            <w14:solidFill>
              <w14:schemeClr w14:val="tx1"/>
            </w14:solidFill>
          </w14:textFill>
        </w:rPr>
        <w:t>分，最高</w:t>
      </w:r>
      <w:r>
        <w:rPr>
          <w:rFonts w:hint="eastAsia" w:hAnsi="宋体" w:eastAsia="宋体"/>
          <w:color w:val="000000" w:themeColor="text1"/>
          <w:sz w:val="24"/>
          <w:szCs w:val="24"/>
          <w:highlight w:val="none"/>
          <w:lang w:val="en-US" w:eastAsia="zh-CN"/>
          <w14:textFill>
            <w14:solidFill>
              <w14:schemeClr w14:val="tx1"/>
            </w14:solidFill>
          </w14:textFill>
        </w:rPr>
        <w:t>6</w:t>
      </w:r>
      <w:r>
        <w:rPr>
          <w:rFonts w:hint="eastAsia" w:hAnsi="宋体" w:eastAsia="宋体"/>
          <w:color w:val="000000" w:themeColor="text1"/>
          <w:sz w:val="24"/>
          <w:szCs w:val="24"/>
          <w:highlight w:val="none"/>
          <w14:textFill>
            <w14:solidFill>
              <w14:schemeClr w14:val="tx1"/>
            </w14:solidFill>
          </w14:textFill>
        </w:rPr>
        <w:t>分</w:t>
      </w:r>
      <w:r>
        <w:rPr>
          <w:rFonts w:hint="eastAsia" w:hAnsi="宋体" w:eastAsia="宋体"/>
          <w:color w:val="000000" w:themeColor="text1"/>
          <w:sz w:val="24"/>
          <w:szCs w:val="24"/>
          <w:highlight w:val="none"/>
          <w:lang w:eastAsia="zh-CN"/>
          <w14:textFill>
            <w14:solidFill>
              <w14:schemeClr w14:val="tx1"/>
            </w14:solidFill>
          </w14:textFill>
        </w:rPr>
        <w:t>（</w:t>
      </w:r>
      <w:r>
        <w:rPr>
          <w:rFonts w:hint="eastAsia" w:hAnsi="宋体" w:eastAsia="宋体"/>
          <w:color w:val="000000" w:themeColor="text1"/>
          <w:sz w:val="24"/>
          <w:szCs w:val="24"/>
          <w:highlight w:val="none"/>
          <w:lang w:val="en-US" w:eastAsia="zh-CN"/>
          <w14:textFill>
            <w14:solidFill>
              <w14:schemeClr w14:val="tx1"/>
            </w14:solidFill>
          </w14:textFill>
        </w:rPr>
        <w:t>投标</w:t>
      </w:r>
      <w:r>
        <w:rPr>
          <w:rFonts w:hint="eastAsia" w:hAnsi="宋体" w:eastAsia="宋体"/>
          <w:color w:val="000000" w:themeColor="text1"/>
          <w:sz w:val="24"/>
          <w:szCs w:val="24"/>
          <w:highlight w:val="none"/>
          <w14:textFill>
            <w14:solidFill>
              <w14:schemeClr w14:val="tx1"/>
            </w14:solidFill>
          </w14:textFill>
        </w:rPr>
        <w:t>文件中</w:t>
      </w:r>
      <w:r>
        <w:rPr>
          <w:rFonts w:hint="eastAsia" w:hAnsi="宋体" w:eastAsia="宋体"/>
          <w:color w:val="000000" w:themeColor="text1"/>
          <w:sz w:val="24"/>
          <w:szCs w:val="24"/>
          <w:highlight w:val="none"/>
          <w:lang w:val="en-US" w:eastAsia="zh-CN"/>
          <w14:textFill>
            <w14:solidFill>
              <w14:schemeClr w14:val="tx1"/>
            </w14:solidFill>
          </w14:textFill>
        </w:rPr>
        <w:t>需</w:t>
      </w:r>
      <w:r>
        <w:rPr>
          <w:rFonts w:hint="eastAsia" w:hAnsi="宋体" w:eastAsia="宋体"/>
          <w:color w:val="000000" w:themeColor="text1"/>
          <w:sz w:val="24"/>
          <w:szCs w:val="24"/>
          <w:highlight w:val="none"/>
          <w14:textFill>
            <w14:solidFill>
              <w14:schemeClr w14:val="tx1"/>
            </w14:solidFill>
          </w14:textFill>
        </w:rPr>
        <w:t>提供证书复印件及在中国国家认证认可监督管理委员会官网查询截图，</w:t>
      </w:r>
      <w:r>
        <w:rPr>
          <w:rFonts w:hint="eastAsia" w:hAnsi="宋体" w:eastAsia="宋体"/>
          <w:color w:val="000000" w:themeColor="text1"/>
          <w:sz w:val="24"/>
          <w:szCs w:val="24"/>
          <w:highlight w:val="none"/>
          <w:lang w:val="en-US" w:eastAsia="zh-CN"/>
          <w14:textFill>
            <w14:solidFill>
              <w14:schemeClr w14:val="tx1"/>
            </w14:solidFill>
          </w14:textFill>
        </w:rPr>
        <w:t>未提供或提供不齐全的不得分）</w:t>
      </w:r>
      <w:r>
        <w:rPr>
          <w:rFonts w:hint="eastAsia" w:hAnsi="宋体" w:eastAsia="宋体"/>
          <w:color w:val="000000" w:themeColor="text1"/>
          <w:sz w:val="24"/>
          <w:szCs w:val="24"/>
          <w:highlight w:val="none"/>
          <w14:textFill>
            <w14:solidFill>
              <w14:schemeClr w14:val="tx1"/>
            </w14:solidFill>
          </w14:textFill>
        </w:rPr>
        <w:t>。</w:t>
      </w:r>
    </w:p>
    <w:p w14:paraId="51C1962D">
      <w:pPr>
        <w:pStyle w:val="227"/>
        <w:keepNext w:val="0"/>
        <w:keepLines w:val="0"/>
        <w:pageBreakBefore w:val="0"/>
        <w:widowControl w:val="0"/>
        <w:suppressLineNumbers w:val="0"/>
        <w:spacing w:before="0" w:after="0" w:line="360" w:lineRule="auto"/>
        <w:jc w:val="left"/>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lang w:val="en-US" w:eastAsia="zh-CN"/>
          <w14:textFill>
            <w14:solidFill>
              <w14:schemeClr w14:val="tx1"/>
            </w14:solidFill>
          </w14:textFill>
        </w:rPr>
        <w:t>2</w:t>
      </w:r>
      <w:r>
        <w:rPr>
          <w:rFonts w:hint="eastAsia" w:hAnsi="宋体" w:eastAsia="宋体"/>
          <w:color w:val="000000" w:themeColor="text1"/>
          <w:sz w:val="24"/>
          <w:szCs w:val="24"/>
          <w:highlight w:val="none"/>
          <w14:textFill>
            <w14:solidFill>
              <w14:schemeClr w14:val="tx1"/>
            </w14:solidFill>
          </w14:textFill>
        </w:rPr>
        <w:t>、</w:t>
      </w:r>
      <w:r>
        <w:rPr>
          <w:rFonts w:hint="eastAsia" w:hAnsi="宋体" w:eastAsia="宋体"/>
          <w:color w:val="000000" w:themeColor="text1"/>
          <w:sz w:val="24"/>
          <w:szCs w:val="24"/>
          <w:highlight w:val="none"/>
          <w:lang w:val="en-US" w:eastAsia="zh-CN"/>
          <w14:textFill>
            <w14:solidFill>
              <w14:schemeClr w14:val="tx1"/>
            </w14:solidFill>
          </w14:textFill>
        </w:rPr>
        <w:t>投标</w:t>
      </w:r>
      <w:r>
        <w:rPr>
          <w:rFonts w:hint="eastAsia" w:hAnsi="宋体" w:eastAsia="宋体"/>
          <w:color w:val="000000" w:themeColor="text1"/>
          <w:sz w:val="24"/>
          <w:szCs w:val="24"/>
          <w:highlight w:val="none"/>
          <w14:textFill>
            <w14:solidFill>
              <w14:schemeClr w14:val="tx1"/>
            </w14:solidFill>
          </w14:textFill>
        </w:rPr>
        <w:t>单位</w:t>
      </w:r>
      <w:r>
        <w:rPr>
          <w:rFonts w:hint="eastAsia" w:hAnsi="宋体" w:eastAsia="宋体"/>
          <w:color w:val="000000" w:themeColor="text1"/>
          <w:sz w:val="24"/>
          <w:szCs w:val="24"/>
          <w:highlight w:val="none"/>
          <w:lang w:val="en-US" w:eastAsia="zh-CN"/>
          <w14:textFill>
            <w14:solidFill>
              <w14:schemeClr w14:val="tx1"/>
            </w14:solidFill>
          </w14:textFill>
        </w:rPr>
        <w:t>自</w:t>
      </w:r>
      <w:r>
        <w:rPr>
          <w:rFonts w:hint="eastAsia" w:hAnsi="宋体" w:eastAsia="宋体"/>
          <w:color w:val="000000" w:themeColor="text1"/>
          <w:sz w:val="24"/>
          <w:szCs w:val="24"/>
          <w:highlight w:val="none"/>
          <w14:textFill>
            <w14:solidFill>
              <w14:schemeClr w14:val="tx1"/>
            </w14:solidFill>
          </w14:textFill>
        </w:rPr>
        <w:t>202</w:t>
      </w:r>
      <w:r>
        <w:rPr>
          <w:rFonts w:hint="eastAsia" w:hAnsi="宋体" w:eastAsia="宋体"/>
          <w:color w:val="000000" w:themeColor="text1"/>
          <w:sz w:val="24"/>
          <w:szCs w:val="24"/>
          <w:highlight w:val="none"/>
          <w:lang w:val="en-US" w:eastAsia="zh-CN"/>
          <w14:textFill>
            <w14:solidFill>
              <w14:schemeClr w14:val="tx1"/>
            </w14:solidFill>
          </w14:textFill>
        </w:rPr>
        <w:t>3</w:t>
      </w:r>
      <w:r>
        <w:rPr>
          <w:rFonts w:hint="eastAsia" w:hAnsi="宋体" w:eastAsia="宋体"/>
          <w:color w:val="000000" w:themeColor="text1"/>
          <w:sz w:val="24"/>
          <w:szCs w:val="24"/>
          <w:highlight w:val="none"/>
          <w14:textFill>
            <w14:solidFill>
              <w14:schemeClr w14:val="tx1"/>
            </w14:solidFill>
          </w14:textFill>
        </w:rPr>
        <w:t>年</w:t>
      </w:r>
      <w:r>
        <w:rPr>
          <w:rFonts w:hint="eastAsia" w:hAnsi="宋体" w:eastAsia="宋体"/>
          <w:color w:val="000000" w:themeColor="text1"/>
          <w:sz w:val="24"/>
          <w:szCs w:val="24"/>
          <w:highlight w:val="none"/>
          <w:lang w:val="en-US" w:eastAsia="zh-CN"/>
          <w14:textFill>
            <w14:solidFill>
              <w14:schemeClr w14:val="tx1"/>
            </w14:solidFill>
          </w14:textFill>
        </w:rPr>
        <w:t>1</w:t>
      </w:r>
      <w:r>
        <w:rPr>
          <w:rFonts w:hint="eastAsia" w:hAnsi="宋体" w:eastAsia="宋体"/>
          <w:color w:val="000000" w:themeColor="text1"/>
          <w:sz w:val="24"/>
          <w:szCs w:val="24"/>
          <w:highlight w:val="none"/>
          <w14:textFill>
            <w14:solidFill>
              <w14:schemeClr w14:val="tx1"/>
            </w14:solidFill>
          </w14:textFill>
        </w:rPr>
        <w:t>月1日至今类似项目业绩情况：每提供1份得</w:t>
      </w:r>
      <w:r>
        <w:rPr>
          <w:rFonts w:hint="eastAsia" w:hAnsi="宋体" w:eastAsia="宋体"/>
          <w:color w:val="000000" w:themeColor="text1"/>
          <w:sz w:val="24"/>
          <w:szCs w:val="24"/>
          <w:highlight w:val="none"/>
          <w:lang w:eastAsia="zh-CN"/>
          <w14:textFill>
            <w14:solidFill>
              <w14:schemeClr w14:val="tx1"/>
            </w14:solidFill>
          </w14:textFill>
        </w:rPr>
        <w:t>2</w:t>
      </w:r>
      <w:r>
        <w:rPr>
          <w:rFonts w:hint="eastAsia" w:hAnsi="宋体" w:eastAsia="宋体"/>
          <w:color w:val="000000" w:themeColor="text1"/>
          <w:sz w:val="24"/>
          <w:szCs w:val="24"/>
          <w:highlight w:val="none"/>
          <w14:textFill>
            <w14:solidFill>
              <w14:schemeClr w14:val="tx1"/>
            </w14:solidFill>
          </w14:textFill>
        </w:rPr>
        <w:t>分，最高</w:t>
      </w:r>
      <w:r>
        <w:rPr>
          <w:rFonts w:hint="eastAsia" w:hAnsi="宋体" w:eastAsia="宋体"/>
          <w:color w:val="000000" w:themeColor="text1"/>
          <w:sz w:val="24"/>
          <w:szCs w:val="24"/>
          <w:highlight w:val="none"/>
          <w:lang w:val="en-US" w:eastAsia="zh-CN"/>
          <w14:textFill>
            <w14:solidFill>
              <w14:schemeClr w14:val="tx1"/>
            </w14:solidFill>
          </w14:textFill>
        </w:rPr>
        <w:t>6</w:t>
      </w:r>
      <w:r>
        <w:rPr>
          <w:rFonts w:hint="eastAsia" w:hAnsi="宋体" w:eastAsia="宋体"/>
          <w:color w:val="000000" w:themeColor="text1"/>
          <w:sz w:val="24"/>
          <w:szCs w:val="24"/>
          <w:highlight w:val="none"/>
          <w14:textFill>
            <w14:solidFill>
              <w14:schemeClr w14:val="tx1"/>
            </w14:solidFill>
          </w14:textFill>
        </w:rPr>
        <w:t>分</w:t>
      </w:r>
      <w:r>
        <w:rPr>
          <w:rFonts w:hint="eastAsia" w:hAnsi="宋体" w:eastAsia="宋体"/>
          <w:color w:val="000000" w:themeColor="text1"/>
          <w:sz w:val="24"/>
          <w:szCs w:val="24"/>
          <w:highlight w:val="none"/>
          <w:lang w:eastAsia="zh-CN"/>
          <w14:textFill>
            <w14:solidFill>
              <w14:schemeClr w14:val="tx1"/>
            </w14:solidFill>
          </w14:textFill>
        </w:rPr>
        <w:t>（</w:t>
      </w:r>
      <w:r>
        <w:rPr>
          <w:rFonts w:hint="eastAsia" w:hAnsi="宋体" w:eastAsia="宋体"/>
          <w:color w:val="000000" w:themeColor="text1"/>
          <w:sz w:val="24"/>
          <w:szCs w:val="24"/>
          <w:highlight w:val="none"/>
          <w:lang w:val="en-US" w:eastAsia="zh-CN"/>
          <w14:textFill>
            <w14:solidFill>
              <w14:schemeClr w14:val="tx1"/>
            </w14:solidFill>
          </w14:textFill>
        </w:rPr>
        <w:t>投标</w:t>
      </w:r>
      <w:r>
        <w:rPr>
          <w:rFonts w:hint="eastAsia" w:hAnsi="宋体" w:eastAsia="宋体"/>
          <w:color w:val="000000" w:themeColor="text1"/>
          <w:sz w:val="24"/>
          <w:szCs w:val="24"/>
          <w:highlight w:val="none"/>
          <w14:textFill>
            <w14:solidFill>
              <w14:schemeClr w14:val="tx1"/>
            </w14:solidFill>
          </w14:textFill>
        </w:rPr>
        <w:t>文件中提供合同复印件</w:t>
      </w:r>
      <w:r>
        <w:rPr>
          <w:rFonts w:hint="eastAsia" w:hAnsi="宋体" w:eastAsia="宋体"/>
          <w:color w:val="000000" w:themeColor="text1"/>
          <w:sz w:val="24"/>
          <w:szCs w:val="24"/>
          <w:highlight w:val="none"/>
          <w:lang w:val="en-US" w:eastAsia="zh-CN"/>
          <w14:textFill>
            <w14:solidFill>
              <w14:schemeClr w14:val="tx1"/>
            </w14:solidFill>
          </w14:textFill>
        </w:rPr>
        <w:t>及对应服务期内任一期的发票复印件</w:t>
      </w:r>
      <w:r>
        <w:rPr>
          <w:rFonts w:hint="eastAsia" w:hAnsi="宋体" w:eastAsia="宋体"/>
          <w:color w:val="000000" w:themeColor="text1"/>
          <w:sz w:val="24"/>
          <w:szCs w:val="24"/>
          <w:highlight w:val="none"/>
          <w14:textFill>
            <w14:solidFill>
              <w14:schemeClr w14:val="tx1"/>
            </w14:solidFill>
          </w14:textFill>
        </w:rPr>
        <w:t>，</w:t>
      </w:r>
      <w:r>
        <w:rPr>
          <w:rFonts w:hint="eastAsia" w:hAnsi="宋体" w:eastAsia="宋体"/>
          <w:color w:val="000000" w:themeColor="text1"/>
          <w:sz w:val="24"/>
          <w:szCs w:val="24"/>
          <w:highlight w:val="none"/>
          <w:lang w:val="en-US" w:eastAsia="zh-CN"/>
          <w14:textFill>
            <w14:solidFill>
              <w14:schemeClr w14:val="tx1"/>
            </w14:solidFill>
          </w14:textFill>
        </w:rPr>
        <w:t>未提供或提供不齐全的不得分</w:t>
      </w:r>
      <w:r>
        <w:rPr>
          <w:rFonts w:hint="eastAsia" w:hAnsi="宋体" w:eastAsia="宋体"/>
          <w:color w:val="000000" w:themeColor="text1"/>
          <w:sz w:val="24"/>
          <w:szCs w:val="24"/>
          <w:highlight w:val="none"/>
          <w:lang w:eastAsia="zh-CN"/>
          <w14:textFill>
            <w14:solidFill>
              <w14:schemeClr w14:val="tx1"/>
            </w14:solidFill>
          </w14:textFill>
        </w:rPr>
        <w:t>）。</w:t>
      </w:r>
    </w:p>
    <w:p w14:paraId="09D71FF0">
      <w:pPr>
        <w:spacing w:line="360" w:lineRule="auto"/>
        <w:contextualSpacing/>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（全文完）</w:t>
      </w:r>
    </w:p>
    <w:sectPr>
      <w:headerReference r:id="rId5" w:type="default"/>
      <w:footerReference r:id="rId6" w:type="default"/>
      <w:footerReference r:id="rId7" w:type="even"/>
      <w:pgSz w:w="11906" w:h="16838"/>
      <w:pgMar w:top="1440" w:right="1800" w:bottom="1440" w:left="1800" w:header="907"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楷体_GB2312">
    <w:altName w:val="楷体"/>
    <w:panose1 w:val="02010609060101010101"/>
    <w:charset w:val="00"/>
    <w:family w:val="auto"/>
    <w:pitch w:val="default"/>
    <w:sig w:usb0="00000000" w:usb1="00000000" w:usb2="00000000" w:usb3="00000000" w:csb0="00000000" w:csb1="00000000"/>
  </w:font>
  <w:font w:name="方正大黑简体">
    <w:altName w:val="黑体"/>
    <w:panose1 w:val="020B05030202020202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60101010101"/>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FCDCB">
    <w:pPr>
      <w:pStyle w:val="2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96545" cy="146050"/>
              <wp:effectExtent l="0" t="0" r="0" b="0"/>
              <wp:wrapNone/>
              <wp:docPr id="3" name="文本框 6"/>
              <wp:cNvGraphicFramePr/>
              <a:graphic xmlns:a="http://schemas.openxmlformats.org/drawingml/2006/main">
                <a:graphicData uri="http://schemas.microsoft.com/office/word/2010/wordprocessingShape">
                  <wps:wsp>
                    <wps:cNvSpPr txBox="1"/>
                    <wps:spPr bwMode="auto">
                      <a:xfrm>
                        <a:off x="0" y="0"/>
                        <a:ext cx="296545"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0511E">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6" o:spid="_x0000_s1026" o:spt="202" type="#_x0000_t202" style="position:absolute;left:0pt;margin-top:0pt;height:11.5pt;width:23.35pt;mso-position-horizontal:center;mso-position-horizontal-relative:margin;z-index:251659264;mso-width-relative:page;mso-height-relative:page;" filled="f" stroked="f" coordsize="21600,21600" o:gfxdata="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36amS0wAAAAMBAAAPAAAAAAAAAAEAIAAAACIAAABkcnMvZG93bnJl&#10;di54bWxQSwECFAAUAAAACACHTuJA8GllWjsCAABjBAAADgAAAAAAAAABACAAAAAiAQAAZHJzL2Uy&#10;b0RvYy54bWxQSwUGAAAAAAYABgBZAQAAzwUAAAAA&#10;">
              <v:fill on="f" focussize="0,0"/>
              <v:stroke on="f" weight="0.5pt"/>
              <v:imagedata o:title=""/>
              <o:lock v:ext="edit" aspectratio="f"/>
              <v:textbox inset="0mm,0mm,0mm,0mm">
                <w:txbxContent>
                  <w:p w14:paraId="7E80511E">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7DCA3">
    <w:pPr>
      <w:pStyle w:val="210"/>
      <w:framePr w:wrap="around" w:vAnchor="text" w:hAnchor="margin" w:xAlign="center" w:y="1"/>
      <w:rPr>
        <w:rStyle w:val="222"/>
      </w:rPr>
    </w:pPr>
    <w:r>
      <w:rPr>
        <w:rStyle w:val="222"/>
      </w:rPr>
      <w:fldChar w:fldCharType="begin"/>
    </w:r>
    <w:r>
      <w:rPr>
        <w:rStyle w:val="222"/>
      </w:rPr>
      <w:instrText xml:space="preserve">PAGE  </w:instrText>
    </w:r>
    <w:r>
      <w:rPr>
        <w:rStyle w:val="222"/>
      </w:rPr>
      <w:fldChar w:fldCharType="separate"/>
    </w:r>
    <w:r>
      <w:rPr>
        <w:rStyle w:val="222"/>
      </w:rPr>
      <w:t>- 5 -</w:t>
    </w:r>
    <w:r>
      <w:rPr>
        <w:rStyle w:val="222"/>
      </w:rPr>
      <w:fldChar w:fldCharType="end"/>
    </w:r>
  </w:p>
  <w:p w14:paraId="573606DC">
    <w:pPr>
      <w:pStyle w:val="210"/>
      <w:jc w:val="center"/>
    </w:pPr>
  </w:p>
  <w:p w14:paraId="44354954">
    <w:pPr>
      <w:pStyle w:val="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FC273">
    <w:pPr>
      <w:pStyle w:val="210"/>
      <w:framePr w:wrap="around" w:vAnchor="text" w:hAnchor="margin" w:xAlign="center" w:y="1"/>
      <w:rPr>
        <w:rStyle w:val="222"/>
      </w:rPr>
    </w:pPr>
    <w:r>
      <w:rPr>
        <w:rStyle w:val="222"/>
      </w:rPr>
      <w:fldChar w:fldCharType="begin"/>
    </w:r>
    <w:r>
      <w:rPr>
        <w:rStyle w:val="222"/>
      </w:rPr>
      <w:instrText xml:space="preserve">PAGE  </w:instrText>
    </w:r>
    <w:r>
      <w:rPr>
        <w:rStyle w:val="222"/>
      </w:rPr>
      <w:fldChar w:fldCharType="separate"/>
    </w:r>
    <w:r>
      <w:rPr>
        <w:rStyle w:val="222"/>
      </w:rPr>
      <w:t>- 7 -</w:t>
    </w:r>
    <w:r>
      <w:rPr>
        <w:rStyle w:val="222"/>
      </w:rPr>
      <w:fldChar w:fldCharType="end"/>
    </w:r>
  </w:p>
  <w:p w14:paraId="6F2BB828">
    <w:pPr>
      <w:pStyle w:val="2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10D16">
    <w:pPr>
      <w:pStyle w:val="27"/>
      <w:pBdr>
        <w:bottom w:val="single" w:color="auto" w:sz="4" w:space="1"/>
      </w:pBdr>
      <w:tabs>
        <w:tab w:val="center" w:pos="4153"/>
        <w:tab w:val="right" w:pos="8306"/>
        <w:tab w:val="clear" w:pos="7143"/>
        <w:tab w:val="clear" w:pos="14287"/>
      </w:tabs>
      <w:jc w:val="both"/>
      <w:rPr>
        <w:rFonts w:eastAsia="华文中宋"/>
        <w:u w:val="single"/>
      </w:rPr>
    </w:pPr>
    <w:r>
      <w:rPr>
        <w:rFonts w:hint="eastAsia" w:ascii="华文中宋" w:hAnsi="华文中宋" w:eastAsia="华文中宋"/>
        <w:b/>
        <w:sz w:val="24"/>
        <w:szCs w:val="24"/>
      </w:rPr>
      <w:t xml:space="preserve">政府采购文件                        </w:t>
    </w:r>
    <w:r>
      <w:rPr>
        <w:rFonts w:hint="eastAsia" w:ascii="华文中宋" w:hAnsi="华文中宋" w:eastAsia="华文中宋"/>
        <w:b/>
        <w:sz w:val="24"/>
        <w:szCs w:val="24"/>
        <w:lang w:val="en-US" w:eastAsia="zh-CN"/>
      </w:rPr>
      <w:t xml:space="preserve">  </w:t>
    </w:r>
    <w:r>
      <w:rPr>
        <w:rFonts w:hint="eastAsia" w:ascii="华文中宋" w:hAnsi="华文中宋" w:eastAsia="华文中宋"/>
        <w:b/>
        <w:sz w:val="24"/>
        <w:szCs w:val="24"/>
      </w:rPr>
      <w:t xml:space="preserve">          </w:t>
    </w:r>
    <w:r>
      <w:fldChar w:fldCharType="begin"/>
    </w:r>
    <w:r>
      <w:instrText xml:space="preserve"> INCLUDEPICTURE "H:\\WeChat\\WeChat Files\\szzhaigh\\FileStorage\\File\\Library\\Containers\\com.tencent.xinWeChat\\Data\\Library\\Application Support\\com.tencent.xinWeChat\\2.0b4.0.9\\ec1d17667713161eee012a9e091ef06f\\Message\\MessageTemp\\65f3152aa35b35ce8663459579bf4d6c\\Documents\\WeChat Files\\michael__huang\\Documents\\WeChat Files\\wxid_9g01qrxxlobz21\\FileStorage\\Administrator\\Documents\\WeChat Files\\zhu363494\\FileStorage\\Microsoft\\Windows\\Microsoft\\Windows\\Microsoft\\Windows\\Microsoft\\Windows\\Microsoft\\Windows\\Temporary%20Internet%20Files\\ksohtml\\wpsAEAB.tmp.png" \* MERGEFORMAT </w:instrText>
    </w:r>
    <w:r>
      <w:fldChar w:fldCharType="separate"/>
    </w:r>
    <w:r>
      <w:drawing>
        <wp:inline distT="0" distB="0" distL="0" distR="0">
          <wp:extent cx="1729105" cy="258445"/>
          <wp:effectExtent l="0" t="0" r="4445" b="8255"/>
          <wp:docPr id="1" name="图片 1" descr="wpsA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AEAB"/>
                  <pic:cNvPicPr>
                    <a:picLocks noChangeAspect="1"/>
                  </pic:cNvPicPr>
                </pic:nvPicPr>
                <pic:blipFill>
                  <a:blip r:embed="rId1"/>
                  <a:stretch>
                    <a:fillRect/>
                  </a:stretch>
                </pic:blipFill>
                <pic:spPr>
                  <a:xfrm>
                    <a:off x="0" y="0"/>
                    <a:ext cx="1729105" cy="258445"/>
                  </a:xfrm>
                  <a:prstGeom prst="rect">
                    <a:avLst/>
                  </a:prstGeom>
                  <a:noFill/>
                  <a:ln>
                    <a:noFill/>
                  </a:ln>
                </pic:spPr>
              </pic:pic>
            </a:graphicData>
          </a:graphic>
        </wp:inline>
      </w:drawing>
    </w:r>
    <w:r>
      <w:fldChar w:fldCharType="end"/>
    </w:r>
  </w:p>
  <w:p w14:paraId="66CFC33C">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E1022">
    <w:pPr>
      <w:pStyle w:val="213"/>
      <w:pBdr>
        <w:bottom w:val="single" w:color="000000" w:sz="4" w:space="0"/>
      </w:pBdr>
    </w:pPr>
    <w:r>
      <w:rPr>
        <w:rFonts w:hint="eastAsia" w:ascii="华文中宋" w:hAnsi="华文中宋" w:eastAsia="华文中宋"/>
        <w:b/>
        <w:bCs/>
        <w:sz w:val="24"/>
        <w:szCs w:val="24"/>
      </w:rPr>
      <w:t xml:space="preserve">政府采购文件                                  </w:t>
    </w:r>
    <w:r>
      <w:fldChar w:fldCharType="begin"/>
    </w:r>
    <w:r>
      <w:instrText xml:space="preserve"> INCLUDEPICTURE "../../../Documents/WeChat%20Files/wxid_9g01qrxxlobz21/FileStorage/Administrator/Documents/WeChat%20Files/zhu363494/FileStorage/Microsoft/Windows/Microsoft/Windows/Microsoft/Windows/Microsoft/Windows/Microsoft/Windows/Temporary%2520Internet%2520Files/ksohtml/wpsAEAB.tmp.png" \* MERGEFORMAT </w:instrText>
    </w:r>
    <w:r>
      <w:fldChar w:fldCharType="separate"/>
    </w:r>
    <w:r>
      <w:drawing>
        <wp:inline distT="0" distB="0" distL="0" distR="0">
          <wp:extent cx="1732915" cy="258445"/>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stretch>
                    <a:fillRect/>
                  </a:stretch>
                </pic:blipFill>
                <pic:spPr>
                  <a:xfrm>
                    <a:off x="0" y="0"/>
                    <a:ext cx="1733320" cy="258538"/>
                  </a:xfrm>
                  <a:prstGeom prst="rect">
                    <a:avLst/>
                  </a:prstGeom>
                  <a:noFill/>
                  <a:ln>
                    <a:noFill/>
                  </a:ln>
                </pic:spPr>
              </pic:pic>
            </a:graphicData>
          </a:graphic>
        </wp:inline>
      </w:drawing>
    </w:r>
    <w:r>
      <w:fldChar w:fldCharType="end"/>
    </w:r>
    <w:r>
      <w:rPr>
        <w:rFonts w:hint="eastAsia" w:ascii="华文中宋" w:hAnsi="华文中宋" w:eastAsia="华文中宋"/>
        <w:b/>
        <w:bCs/>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tabs>
          <w:tab w:val="left" w:pos="312"/>
        </w:tabs>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373B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2"/>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3">
    <w:name w:val="heading 1"/>
    <w:basedOn w:val="1"/>
    <w:next w:val="1"/>
    <w:link w:val="47"/>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8"/>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49"/>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50"/>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51"/>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52"/>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53"/>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54"/>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55"/>
    <w:unhideWhenUsed/>
    <w:qFormat/>
    <w:uiPriority w:val="9"/>
    <w:pPr>
      <w:keepNext/>
      <w:keepLines/>
      <w:spacing w:before="320" w:after="200"/>
      <w:outlineLvl w:val="8"/>
    </w:pPr>
    <w:rPr>
      <w:rFonts w:ascii="Arial" w:hAnsi="Arial" w:eastAsia="Arial" w:cs="Arial"/>
      <w:i/>
      <w:iCs/>
      <w:sz w:val="21"/>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next w:val="1"/>
    <w:qFormat/>
    <w:uiPriority w:val="0"/>
    <w:pPr>
      <w:spacing w:line="360" w:lineRule="auto"/>
      <w:ind w:firstLine="420"/>
    </w:pPr>
    <w:rPr>
      <w:rFonts w:ascii="Times New Roman" w:hAnsi="Times New Roman" w:eastAsia="宋体" w:cs="Times New Roman"/>
      <w:sz w:val="24"/>
      <w:szCs w:val="24"/>
    </w:rPr>
  </w:style>
  <w:style w:type="paragraph" w:styleId="12">
    <w:name w:val="toc 7"/>
    <w:basedOn w:val="3"/>
    <w:next w:val="1"/>
    <w:unhideWhenUsed/>
    <w:qFormat/>
    <w:uiPriority w:val="39"/>
    <w:pPr>
      <w:spacing w:after="57"/>
      <w:ind w:left="1701" w:right="0" w:firstLine="0"/>
    </w:pPr>
  </w:style>
  <w:style w:type="paragraph" w:styleId="13">
    <w:name w:val="Normal Indent"/>
    <w:basedOn w:val="1"/>
    <w:next w:val="1"/>
    <w:qFormat/>
    <w:uiPriority w:val="0"/>
    <w:pPr>
      <w:ind w:left="420" w:firstLine="4772"/>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basedOn w:val="1"/>
    <w:semiHidden/>
    <w:unhideWhenUsed/>
    <w:qFormat/>
    <w:uiPriority w:val="99"/>
    <w:pPr>
      <w:jc w:val="left"/>
    </w:pPr>
  </w:style>
  <w:style w:type="paragraph" w:styleId="16">
    <w:name w:val="Body Text"/>
    <w:basedOn w:val="1"/>
    <w:next w:val="17"/>
    <w:semiHidden/>
    <w:qFormat/>
    <w:uiPriority w:val="0"/>
    <w:rPr>
      <w:rFonts w:ascii="宋体" w:hAnsi="宋体" w:eastAsia="宋体" w:cs="宋体"/>
      <w:sz w:val="23"/>
      <w:szCs w:val="23"/>
    </w:rPr>
  </w:style>
  <w:style w:type="paragraph" w:customStyle="1" w:styleId="17">
    <w:name w:val="Default"/>
    <w:next w:val="1"/>
    <w:qFormat/>
    <w:uiPriority w:val="0"/>
    <w:pPr>
      <w:widowControl w:val="0"/>
      <w:spacing w:line="360" w:lineRule="auto"/>
      <w:jc w:val="both"/>
    </w:pPr>
    <w:rPr>
      <w:rFonts w:hint="default" w:ascii="宋体" w:hAnsi="Times New Roman" w:eastAsia="宋体" w:cs="宋体"/>
      <w:color w:val="000000"/>
      <w:sz w:val="24"/>
      <w:szCs w:val="24"/>
      <w:lang w:val="en-US" w:eastAsia="zh-CN" w:bidi="ar-SA"/>
    </w:rPr>
  </w:style>
  <w:style w:type="paragraph" w:styleId="18">
    <w:name w:val="Body Text Indent"/>
    <w:basedOn w:val="1"/>
    <w:next w:val="1"/>
    <w:unhideWhenUsed/>
    <w:qFormat/>
    <w:uiPriority w:val="99"/>
    <w:pPr>
      <w:spacing w:after="120"/>
      <w:ind w:left="420"/>
    </w:pPr>
  </w:style>
  <w:style w:type="paragraph" w:styleId="19">
    <w:name w:val="List 2"/>
    <w:basedOn w:val="3"/>
    <w:next w:val="12"/>
    <w:qFormat/>
    <w:uiPriority w:val="0"/>
    <w:pPr>
      <w:spacing w:before="0" w:after="0" w:line="240" w:lineRule="auto"/>
      <w:ind w:left="100" w:firstLine="3640"/>
    </w:pPr>
    <w:rPr>
      <w:rFonts w:ascii="Times New Roman" w:hAnsi="Times New Roman" w:cs="Times New Roman"/>
    </w:rPr>
  </w:style>
  <w:style w:type="paragraph" w:styleId="20">
    <w:name w:val="toc 5"/>
    <w:basedOn w:val="1"/>
    <w:next w:val="1"/>
    <w:unhideWhenUsed/>
    <w:qFormat/>
    <w:uiPriority w:val="39"/>
    <w:pPr>
      <w:spacing w:after="57"/>
      <w:ind w:left="1134" w:right="0" w:firstLine="0"/>
    </w:pPr>
  </w:style>
  <w:style w:type="paragraph" w:styleId="21">
    <w:name w:val="toc 3"/>
    <w:basedOn w:val="1"/>
    <w:next w:val="1"/>
    <w:unhideWhenUsed/>
    <w:qFormat/>
    <w:uiPriority w:val="39"/>
    <w:pPr>
      <w:spacing w:after="57"/>
      <w:ind w:left="567" w:right="0" w:firstLine="0"/>
    </w:pPr>
  </w:style>
  <w:style w:type="paragraph" w:styleId="22">
    <w:name w:val="Plain Text"/>
    <w:basedOn w:val="1"/>
    <w:qFormat/>
    <w:uiPriority w:val="0"/>
    <w:rPr>
      <w:rFonts w:ascii="宋体" w:hAnsi="Courier New" w:eastAsia="楷体_GB2312"/>
      <w:sz w:val="26"/>
    </w:rPr>
  </w:style>
  <w:style w:type="paragraph" w:styleId="23">
    <w:name w:val="toc 8"/>
    <w:basedOn w:val="1"/>
    <w:next w:val="1"/>
    <w:unhideWhenUsed/>
    <w:qFormat/>
    <w:uiPriority w:val="39"/>
    <w:pPr>
      <w:spacing w:after="57"/>
      <w:ind w:left="1984" w:right="0" w:firstLine="0"/>
    </w:pPr>
  </w:style>
  <w:style w:type="paragraph" w:styleId="24">
    <w:name w:val="endnote text"/>
    <w:basedOn w:val="1"/>
    <w:link w:val="193"/>
    <w:semiHidden/>
    <w:unhideWhenUsed/>
    <w:qFormat/>
    <w:uiPriority w:val="99"/>
    <w:pPr>
      <w:spacing w:after="0" w:line="240" w:lineRule="auto"/>
    </w:pPr>
    <w:rPr>
      <w:sz w:val="20"/>
    </w:rPr>
  </w:style>
  <w:style w:type="paragraph" w:styleId="25">
    <w:name w:val="footer"/>
    <w:basedOn w:val="1"/>
    <w:link w:val="66"/>
    <w:unhideWhenUsed/>
    <w:qFormat/>
    <w:uiPriority w:val="99"/>
    <w:pPr>
      <w:tabs>
        <w:tab w:val="center" w:pos="7143"/>
        <w:tab w:val="right" w:pos="14287"/>
      </w:tabs>
      <w:spacing w:after="0" w:line="240" w:lineRule="auto"/>
    </w:pPr>
  </w:style>
  <w:style w:type="paragraph" w:styleId="26">
    <w:name w:val="envelope return"/>
    <w:basedOn w:val="1"/>
    <w:qFormat/>
    <w:uiPriority w:val="0"/>
    <w:rPr>
      <w:rFonts w:ascii="Arial" w:hAnsi="Arial" w:eastAsia="楷体_GB2312"/>
      <w:sz w:val="26"/>
    </w:rPr>
  </w:style>
  <w:style w:type="paragraph" w:styleId="27">
    <w:name w:val="header"/>
    <w:basedOn w:val="1"/>
    <w:link w:val="64"/>
    <w:unhideWhenUsed/>
    <w:qFormat/>
    <w:uiPriority w:val="99"/>
    <w:pPr>
      <w:tabs>
        <w:tab w:val="center" w:pos="7143"/>
        <w:tab w:val="right" w:pos="14287"/>
      </w:tabs>
      <w:spacing w:after="0" w:line="240" w:lineRule="auto"/>
    </w:pPr>
  </w:style>
  <w:style w:type="paragraph" w:styleId="28">
    <w:name w:val="toc 1"/>
    <w:basedOn w:val="1"/>
    <w:next w:val="1"/>
    <w:unhideWhenUsed/>
    <w:qFormat/>
    <w:uiPriority w:val="39"/>
    <w:pPr>
      <w:spacing w:after="57"/>
      <w:ind w:left="0" w:right="0" w:firstLine="0"/>
    </w:pPr>
  </w:style>
  <w:style w:type="paragraph" w:styleId="29">
    <w:name w:val="toc 4"/>
    <w:basedOn w:val="1"/>
    <w:next w:val="1"/>
    <w:unhideWhenUsed/>
    <w:qFormat/>
    <w:uiPriority w:val="39"/>
    <w:pPr>
      <w:spacing w:after="57"/>
      <w:ind w:left="850" w:right="0" w:firstLine="0"/>
    </w:pPr>
  </w:style>
  <w:style w:type="paragraph" w:styleId="30">
    <w:name w:val="Subtitle"/>
    <w:basedOn w:val="1"/>
    <w:next w:val="1"/>
    <w:link w:val="59"/>
    <w:qFormat/>
    <w:uiPriority w:val="11"/>
    <w:pPr>
      <w:spacing w:before="200" w:after="200"/>
    </w:pPr>
    <w:rPr>
      <w:sz w:val="24"/>
      <w:szCs w:val="24"/>
    </w:rPr>
  </w:style>
  <w:style w:type="paragraph" w:styleId="31">
    <w:name w:val="footnote text"/>
    <w:basedOn w:val="1"/>
    <w:link w:val="192"/>
    <w:semiHidden/>
    <w:unhideWhenUsed/>
    <w:qFormat/>
    <w:uiPriority w:val="99"/>
    <w:pPr>
      <w:spacing w:after="40" w:line="240" w:lineRule="auto"/>
    </w:pPr>
    <w:rPr>
      <w:sz w:val="18"/>
    </w:rPr>
  </w:style>
  <w:style w:type="paragraph" w:styleId="32">
    <w:name w:val="toc 6"/>
    <w:basedOn w:val="1"/>
    <w:next w:val="1"/>
    <w:unhideWhenUsed/>
    <w:qFormat/>
    <w:uiPriority w:val="39"/>
    <w:pPr>
      <w:spacing w:after="57"/>
      <w:ind w:left="1417" w:right="0" w:firstLine="0"/>
    </w:pPr>
  </w:style>
  <w:style w:type="paragraph" w:styleId="33">
    <w:name w:val="table of figures"/>
    <w:basedOn w:val="1"/>
    <w:next w:val="1"/>
    <w:unhideWhenUsed/>
    <w:qFormat/>
    <w:uiPriority w:val="99"/>
    <w:pPr>
      <w:spacing w:after="0" w:afterAutospacing="0"/>
    </w:pPr>
  </w:style>
  <w:style w:type="paragraph" w:styleId="34">
    <w:name w:val="toc 2"/>
    <w:basedOn w:val="1"/>
    <w:next w:val="1"/>
    <w:unhideWhenUsed/>
    <w:qFormat/>
    <w:uiPriority w:val="39"/>
    <w:pPr>
      <w:spacing w:after="57"/>
      <w:ind w:left="283" w:right="0" w:firstLine="0"/>
    </w:pPr>
  </w:style>
  <w:style w:type="paragraph" w:styleId="35">
    <w:name w:val="toc 9"/>
    <w:basedOn w:val="1"/>
    <w:next w:val="1"/>
    <w:unhideWhenUsed/>
    <w:qFormat/>
    <w:uiPriority w:val="39"/>
    <w:pPr>
      <w:spacing w:after="57"/>
      <w:ind w:left="2268" w:right="0" w:firstLine="0"/>
    </w:pPr>
  </w:style>
  <w:style w:type="paragraph" w:styleId="36">
    <w:name w:val="Body Text 2"/>
    <w:basedOn w:val="1"/>
    <w:qFormat/>
    <w:uiPriority w:val="0"/>
    <w:pPr>
      <w:spacing w:after="120" w:line="480" w:lineRule="auto"/>
    </w:pPr>
  </w:style>
  <w:style w:type="paragraph" w:styleId="37">
    <w:name w:val="Normal (Web)"/>
    <w:basedOn w:val="1"/>
    <w:next w:val="19"/>
    <w:qFormat/>
    <w:uiPriority w:val="0"/>
    <w:pPr>
      <w:spacing w:before="60" w:after="60" w:line="312" w:lineRule="auto"/>
      <w:ind w:left="15" w:right="15" w:firstLine="4608"/>
    </w:pPr>
    <w:rPr>
      <w:rFonts w:ascii="Times New Roman" w:hAnsi="Times New Roman" w:cs="Times New Roman"/>
    </w:rPr>
  </w:style>
  <w:style w:type="paragraph" w:styleId="38">
    <w:name w:val="Title"/>
    <w:basedOn w:val="1"/>
    <w:next w:val="1"/>
    <w:link w:val="58"/>
    <w:qFormat/>
    <w:uiPriority w:val="10"/>
    <w:pPr>
      <w:spacing w:before="300" w:after="200"/>
      <w:contextualSpacing/>
    </w:pPr>
    <w:rPr>
      <w:sz w:val="48"/>
      <w:szCs w:val="48"/>
    </w:rPr>
  </w:style>
  <w:style w:type="paragraph" w:styleId="39">
    <w:name w:val="Body Text First Indent 2"/>
    <w:basedOn w:val="18"/>
    <w:unhideWhenUsed/>
    <w:qFormat/>
    <w:uiPriority w:val="99"/>
    <w:pPr>
      <w:ind w:firstLine="420"/>
    </w:pPr>
  </w:style>
  <w:style w:type="table" w:styleId="41">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3">
    <w:name w:val="endnote reference"/>
    <w:semiHidden/>
    <w:unhideWhenUsed/>
    <w:qFormat/>
    <w:uiPriority w:val="99"/>
    <w:rPr>
      <w:vertAlign w:val="superscript"/>
    </w:rPr>
  </w:style>
  <w:style w:type="character" w:styleId="44">
    <w:name w:val="Hyperlink"/>
    <w:unhideWhenUsed/>
    <w:qFormat/>
    <w:uiPriority w:val="99"/>
    <w:rPr>
      <w:color w:val="0000FF" w:themeColor="hyperlink"/>
      <w:u w:val="single"/>
      <w14:textFill>
        <w14:solidFill>
          <w14:schemeClr w14:val="hlink"/>
        </w14:solidFill>
      </w14:textFill>
    </w:rPr>
  </w:style>
  <w:style w:type="character" w:styleId="45">
    <w:name w:val="footnote reference"/>
    <w:unhideWhenUsed/>
    <w:qFormat/>
    <w:uiPriority w:val="99"/>
    <w:rPr>
      <w:vertAlign w:val="superscript"/>
    </w:rPr>
  </w:style>
  <w:style w:type="paragraph" w:customStyle="1" w:styleId="46">
    <w:name w:val="段"/>
    <w:next w:val="1"/>
    <w:qFormat/>
    <w:uiPriority w:val="0"/>
    <w:pPr>
      <w:ind w:firstLine="200"/>
      <w:jc w:val="both"/>
    </w:pPr>
    <w:rPr>
      <w:rFonts w:hint="default" w:ascii="宋体" w:hAnsi="Times New Roman" w:eastAsia="宋体" w:cs="Times New Roman"/>
      <w:sz w:val="21"/>
      <w:lang w:val="en-US" w:eastAsia="zh-CN" w:bidi="ar-SA"/>
    </w:rPr>
  </w:style>
  <w:style w:type="character" w:customStyle="1" w:styleId="47">
    <w:name w:val="Heading 1 Char"/>
    <w:link w:val="3"/>
    <w:qFormat/>
    <w:uiPriority w:val="9"/>
    <w:rPr>
      <w:rFonts w:ascii="Arial" w:hAnsi="Arial" w:eastAsia="Arial" w:cs="Arial"/>
      <w:sz w:val="40"/>
      <w:szCs w:val="40"/>
    </w:rPr>
  </w:style>
  <w:style w:type="character" w:customStyle="1" w:styleId="48">
    <w:name w:val="Heading 2 Char"/>
    <w:link w:val="4"/>
    <w:qFormat/>
    <w:uiPriority w:val="9"/>
    <w:rPr>
      <w:rFonts w:ascii="Arial" w:hAnsi="Arial" w:eastAsia="Arial" w:cs="Arial"/>
      <w:sz w:val="34"/>
    </w:rPr>
  </w:style>
  <w:style w:type="character" w:customStyle="1" w:styleId="49">
    <w:name w:val="Heading 3 Char"/>
    <w:link w:val="5"/>
    <w:qFormat/>
    <w:uiPriority w:val="9"/>
    <w:rPr>
      <w:rFonts w:ascii="Arial" w:hAnsi="Arial" w:eastAsia="Arial" w:cs="Arial"/>
      <w:sz w:val="30"/>
      <w:szCs w:val="30"/>
    </w:rPr>
  </w:style>
  <w:style w:type="character" w:customStyle="1" w:styleId="50">
    <w:name w:val="Heading 4 Char"/>
    <w:link w:val="6"/>
    <w:qFormat/>
    <w:uiPriority w:val="9"/>
    <w:rPr>
      <w:rFonts w:ascii="Arial" w:hAnsi="Arial" w:eastAsia="Arial" w:cs="Arial"/>
      <w:b/>
      <w:bCs/>
      <w:sz w:val="26"/>
      <w:szCs w:val="26"/>
    </w:rPr>
  </w:style>
  <w:style w:type="character" w:customStyle="1" w:styleId="51">
    <w:name w:val="Heading 5 Char"/>
    <w:link w:val="7"/>
    <w:qFormat/>
    <w:uiPriority w:val="9"/>
    <w:rPr>
      <w:rFonts w:ascii="Arial" w:hAnsi="Arial" w:eastAsia="Arial" w:cs="Arial"/>
      <w:b/>
      <w:bCs/>
      <w:sz w:val="24"/>
      <w:szCs w:val="24"/>
    </w:rPr>
  </w:style>
  <w:style w:type="character" w:customStyle="1" w:styleId="52">
    <w:name w:val="Heading 6 Char"/>
    <w:link w:val="8"/>
    <w:qFormat/>
    <w:uiPriority w:val="9"/>
    <w:rPr>
      <w:rFonts w:ascii="Arial" w:hAnsi="Arial" w:eastAsia="Arial" w:cs="Arial"/>
      <w:b/>
      <w:bCs/>
      <w:sz w:val="22"/>
      <w:szCs w:val="22"/>
    </w:rPr>
  </w:style>
  <w:style w:type="character" w:customStyle="1" w:styleId="53">
    <w:name w:val="Heading 7 Char"/>
    <w:link w:val="9"/>
    <w:qFormat/>
    <w:uiPriority w:val="9"/>
    <w:rPr>
      <w:rFonts w:ascii="Arial" w:hAnsi="Arial" w:eastAsia="Arial" w:cs="Arial"/>
      <w:b/>
      <w:bCs/>
      <w:i/>
      <w:iCs/>
      <w:sz w:val="22"/>
      <w:szCs w:val="22"/>
    </w:rPr>
  </w:style>
  <w:style w:type="character" w:customStyle="1" w:styleId="54">
    <w:name w:val="Heading 8 Char"/>
    <w:link w:val="10"/>
    <w:qFormat/>
    <w:uiPriority w:val="9"/>
    <w:rPr>
      <w:rFonts w:ascii="Arial" w:hAnsi="Arial" w:eastAsia="Arial" w:cs="Arial"/>
      <w:i/>
      <w:iCs/>
      <w:sz w:val="22"/>
      <w:szCs w:val="22"/>
    </w:rPr>
  </w:style>
  <w:style w:type="character" w:customStyle="1" w:styleId="55">
    <w:name w:val="Heading 9 Char"/>
    <w:link w:val="11"/>
    <w:qFormat/>
    <w:uiPriority w:val="9"/>
    <w:rPr>
      <w:rFonts w:ascii="Arial" w:hAnsi="Arial" w:eastAsia="Arial" w:cs="Arial"/>
      <w:i/>
      <w:iCs/>
      <w:sz w:val="21"/>
      <w:szCs w:val="21"/>
    </w:rPr>
  </w:style>
  <w:style w:type="paragraph" w:styleId="56">
    <w:name w:val="List Paragraph"/>
    <w:basedOn w:val="1"/>
    <w:qFormat/>
    <w:uiPriority w:val="34"/>
    <w:pPr>
      <w:ind w:left="720"/>
      <w:contextualSpacing/>
    </w:pPr>
  </w:style>
  <w:style w:type="paragraph" w:styleId="57">
    <w:name w:val="No Spacing"/>
    <w:qFormat/>
    <w:uiPriority w:val="1"/>
    <w:pPr>
      <w:spacing w:before="0" w:after="0" w:line="240" w:lineRule="auto"/>
    </w:pPr>
    <w:rPr>
      <w:rFonts w:hint="default" w:ascii="Times New Roman" w:hAnsi="Times New Roman" w:eastAsia="宋体" w:cs="Times New Roman"/>
    </w:rPr>
  </w:style>
  <w:style w:type="character" w:customStyle="1" w:styleId="58">
    <w:name w:val="Title Char"/>
    <w:link w:val="38"/>
    <w:qFormat/>
    <w:uiPriority w:val="10"/>
    <w:rPr>
      <w:sz w:val="48"/>
      <w:szCs w:val="48"/>
    </w:rPr>
  </w:style>
  <w:style w:type="character" w:customStyle="1" w:styleId="59">
    <w:name w:val="Subtitle Char"/>
    <w:link w:val="30"/>
    <w:qFormat/>
    <w:uiPriority w:val="11"/>
    <w:rPr>
      <w:sz w:val="24"/>
      <w:szCs w:val="24"/>
    </w:rPr>
  </w:style>
  <w:style w:type="paragraph" w:styleId="60">
    <w:name w:val="Quote"/>
    <w:basedOn w:val="1"/>
    <w:next w:val="1"/>
    <w:link w:val="61"/>
    <w:qFormat/>
    <w:uiPriority w:val="29"/>
    <w:pPr>
      <w:ind w:left="720" w:right="720"/>
    </w:pPr>
    <w:rPr>
      <w:i/>
    </w:rPr>
  </w:style>
  <w:style w:type="character" w:customStyle="1" w:styleId="61">
    <w:name w:val="Quote Char"/>
    <w:link w:val="60"/>
    <w:qFormat/>
    <w:uiPriority w:val="29"/>
    <w:rPr>
      <w:i/>
    </w:rPr>
  </w:style>
  <w:style w:type="paragraph" w:styleId="62">
    <w:name w:val="Intense Quote"/>
    <w:basedOn w:val="1"/>
    <w:next w:val="1"/>
    <w:link w:val="6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3">
    <w:name w:val="Intense Quote Char"/>
    <w:link w:val="62"/>
    <w:qFormat/>
    <w:uiPriority w:val="30"/>
    <w:rPr>
      <w:i/>
    </w:rPr>
  </w:style>
  <w:style w:type="character" w:customStyle="1" w:styleId="64">
    <w:name w:val="Header Char"/>
    <w:link w:val="27"/>
    <w:qFormat/>
    <w:uiPriority w:val="99"/>
  </w:style>
  <w:style w:type="character" w:customStyle="1" w:styleId="65">
    <w:name w:val="Footer Char"/>
    <w:link w:val="25"/>
    <w:qFormat/>
    <w:uiPriority w:val="99"/>
  </w:style>
  <w:style w:type="character" w:customStyle="1" w:styleId="66">
    <w:name w:val="Caption Char"/>
    <w:link w:val="25"/>
    <w:qFormat/>
    <w:uiPriority w:val="99"/>
  </w:style>
  <w:style w:type="table" w:customStyle="1" w:styleId="67">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8">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9">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0">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1">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2">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3">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4">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5">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6">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7">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8">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9">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0">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2">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9">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5">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6">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7">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8">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9">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0">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1">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2">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3">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4">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5">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6">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7">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8">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9">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0">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1">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2">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3">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4">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5">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6">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7">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8">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9">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0">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1">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2">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3">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4">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5">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6">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7">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8">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9">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0">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1">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2">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3">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4">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5">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6">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7">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8">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9">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0">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1">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2">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3">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4">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5">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6">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7">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8">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9">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0">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1">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2">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3">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4">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5">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6">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7">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8">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9">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0">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1">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2">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3">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4">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5">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6">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7">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8">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9">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0">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1">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2">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3">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4">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5">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6">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7">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8">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9">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0">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1">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2">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3">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4">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5">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6">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7">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8">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9">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0">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1">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2">
    <w:name w:val="Footnote Text Char"/>
    <w:link w:val="31"/>
    <w:qFormat/>
    <w:uiPriority w:val="99"/>
    <w:rPr>
      <w:sz w:val="18"/>
    </w:rPr>
  </w:style>
  <w:style w:type="character" w:customStyle="1" w:styleId="193">
    <w:name w:val="Endnote Text Char"/>
    <w:link w:val="24"/>
    <w:qFormat/>
    <w:uiPriority w:val="99"/>
    <w:rPr>
      <w:sz w:val="20"/>
    </w:rPr>
  </w:style>
  <w:style w:type="paragraph" w:customStyle="1" w:styleId="194">
    <w:name w:val="TOC Heading"/>
    <w:unhideWhenUsed/>
    <w:qFormat/>
    <w:uiPriority w:val="39"/>
    <w:rPr>
      <w:rFonts w:hint="default" w:ascii="Times New Roman" w:hAnsi="Times New Roman" w:eastAsia="宋体" w:cs="Times New Roman"/>
    </w:rPr>
  </w:style>
  <w:style w:type="paragraph" w:customStyle="1" w:styleId="195">
    <w:name w:val="标题 31"/>
    <w:basedOn w:val="1"/>
    <w:next w:val="1"/>
    <w:qFormat/>
    <w:uiPriority w:val="0"/>
    <w:pPr>
      <w:keepNext/>
      <w:keepLines/>
      <w:tabs>
        <w:tab w:val="left" w:pos="709"/>
      </w:tabs>
      <w:spacing w:before="260" w:after="260" w:line="413" w:lineRule="auto"/>
      <w:ind w:left="709" w:hanging="709"/>
      <w:outlineLvl w:val="2"/>
    </w:pPr>
    <w:rPr>
      <w:rFonts w:ascii="Arial" w:hAnsi="Arial"/>
      <w:b/>
      <w:bCs/>
      <w:sz w:val="32"/>
      <w:szCs w:val="32"/>
    </w:rPr>
  </w:style>
  <w:style w:type="character" w:customStyle="1" w:styleId="196">
    <w:name w:val="默认段落字体1"/>
    <w:link w:val="1"/>
    <w:unhideWhenUsed/>
    <w:qFormat/>
    <w:uiPriority w:val="1"/>
  </w:style>
  <w:style w:type="table" w:customStyle="1" w:styleId="197">
    <w:name w:val="普通表格1"/>
    <w:unhideWhenUsed/>
    <w:qFormat/>
    <w:uiPriority w:val="99"/>
  </w:style>
  <w:style w:type="paragraph" w:customStyle="1" w:styleId="198">
    <w:name w:val="正文文本缩进11"/>
    <w:basedOn w:val="1"/>
    <w:link w:val="199"/>
    <w:unhideWhenUsed/>
    <w:qFormat/>
    <w:uiPriority w:val="99"/>
    <w:pPr>
      <w:spacing w:after="120"/>
      <w:ind w:left="420"/>
    </w:pPr>
  </w:style>
  <w:style w:type="character" w:customStyle="1" w:styleId="199">
    <w:name w:val="正文文本缩进 字符"/>
    <w:link w:val="198"/>
    <w:semiHidden/>
    <w:qFormat/>
    <w:uiPriority w:val="99"/>
  </w:style>
  <w:style w:type="paragraph" w:customStyle="1" w:styleId="200">
    <w:name w:val="正文缩进11"/>
    <w:basedOn w:val="1"/>
    <w:next w:val="1"/>
    <w:unhideWhenUsed/>
    <w:qFormat/>
    <w:uiPriority w:val="99"/>
    <w:pPr>
      <w:ind w:firstLine="420"/>
      <w:jc w:val="left"/>
    </w:pPr>
    <w:rPr>
      <w:rFonts w:ascii="Times New Roman" w:hAnsi="Times New Roman" w:eastAsia="楷体_GB2312" w:cs="Times New Roman"/>
      <w:sz w:val="24"/>
      <w:szCs w:val="24"/>
    </w:rPr>
  </w:style>
  <w:style w:type="paragraph" w:customStyle="1" w:styleId="201">
    <w:name w:val="批注文字1"/>
    <w:basedOn w:val="1"/>
    <w:link w:val="202"/>
    <w:unhideWhenUsed/>
    <w:qFormat/>
    <w:uiPriority w:val="99"/>
    <w:pPr>
      <w:jc w:val="left"/>
    </w:pPr>
  </w:style>
  <w:style w:type="character" w:customStyle="1" w:styleId="202">
    <w:name w:val="批注文字 字符"/>
    <w:link w:val="201"/>
    <w:semiHidden/>
    <w:qFormat/>
    <w:uiPriority w:val="99"/>
    <w:rPr>
      <w:sz w:val="21"/>
      <w:szCs w:val="22"/>
    </w:rPr>
  </w:style>
  <w:style w:type="paragraph" w:customStyle="1" w:styleId="203">
    <w:name w:val="正文文本1"/>
    <w:basedOn w:val="1"/>
    <w:next w:val="17"/>
    <w:qFormat/>
    <w:uiPriority w:val="0"/>
    <w:pPr>
      <w:jc w:val="center"/>
    </w:pPr>
    <w:rPr>
      <w:rFonts w:ascii="方正大黑简体" w:eastAsia="方正大黑简体"/>
      <w:position w:val="6"/>
      <w:sz w:val="30"/>
    </w:rPr>
  </w:style>
  <w:style w:type="paragraph" w:customStyle="1" w:styleId="204">
    <w:name w:val="文本块11"/>
    <w:basedOn w:val="1"/>
    <w:unhideWhenUsed/>
    <w:qFormat/>
    <w:uiPriority w:val="99"/>
    <w:pPr>
      <w:spacing w:after="120"/>
      <w:ind w:left="1440" w:right="1440"/>
    </w:pPr>
  </w:style>
  <w:style w:type="paragraph" w:customStyle="1" w:styleId="205">
    <w:name w:val="日期1"/>
    <w:basedOn w:val="1"/>
    <w:next w:val="1"/>
    <w:link w:val="206"/>
    <w:unhideWhenUsed/>
    <w:qFormat/>
    <w:uiPriority w:val="99"/>
    <w:pPr>
      <w:ind w:left="100"/>
    </w:pPr>
  </w:style>
  <w:style w:type="character" w:customStyle="1" w:styleId="206">
    <w:name w:val="日期 字符"/>
    <w:link w:val="205"/>
    <w:semiHidden/>
    <w:qFormat/>
    <w:uiPriority w:val="99"/>
    <w:rPr>
      <w:sz w:val="21"/>
      <w:szCs w:val="22"/>
    </w:rPr>
  </w:style>
  <w:style w:type="paragraph" w:customStyle="1" w:styleId="207">
    <w:name w:val="正文文本缩进 21"/>
    <w:basedOn w:val="1"/>
    <w:qFormat/>
    <w:uiPriority w:val="0"/>
    <w:pPr>
      <w:spacing w:after="120" w:line="480" w:lineRule="auto"/>
      <w:ind w:left="420"/>
    </w:pPr>
  </w:style>
  <w:style w:type="paragraph" w:customStyle="1" w:styleId="208">
    <w:name w:val="批注框文本1"/>
    <w:basedOn w:val="1"/>
    <w:link w:val="209"/>
    <w:unhideWhenUsed/>
    <w:qFormat/>
    <w:uiPriority w:val="99"/>
    <w:rPr>
      <w:sz w:val="18"/>
      <w:szCs w:val="18"/>
    </w:rPr>
  </w:style>
  <w:style w:type="character" w:customStyle="1" w:styleId="209">
    <w:name w:val="批注框文本 字符"/>
    <w:link w:val="208"/>
    <w:semiHidden/>
    <w:qFormat/>
    <w:uiPriority w:val="99"/>
    <w:rPr>
      <w:sz w:val="18"/>
      <w:szCs w:val="18"/>
    </w:rPr>
  </w:style>
  <w:style w:type="paragraph" w:customStyle="1" w:styleId="210">
    <w:name w:val="页脚1"/>
    <w:basedOn w:val="1"/>
    <w:link w:val="211"/>
    <w:unhideWhenUsed/>
    <w:qFormat/>
    <w:uiPriority w:val="99"/>
    <w:pPr>
      <w:tabs>
        <w:tab w:val="center" w:pos="4153"/>
        <w:tab w:val="right" w:pos="8306"/>
      </w:tabs>
      <w:jc w:val="left"/>
    </w:pPr>
    <w:rPr>
      <w:sz w:val="18"/>
      <w:szCs w:val="18"/>
    </w:rPr>
  </w:style>
  <w:style w:type="character" w:customStyle="1" w:styleId="211">
    <w:name w:val="页脚 字符"/>
    <w:link w:val="210"/>
    <w:qFormat/>
    <w:uiPriority w:val="99"/>
    <w:rPr>
      <w:sz w:val="18"/>
      <w:szCs w:val="18"/>
    </w:rPr>
  </w:style>
  <w:style w:type="paragraph" w:customStyle="1" w:styleId="212">
    <w:name w:val="寄信人地址1"/>
    <w:basedOn w:val="1"/>
    <w:qFormat/>
    <w:uiPriority w:val="0"/>
    <w:rPr>
      <w:rFonts w:ascii="Arial" w:hAnsi="Arial" w:eastAsia="楷体_GB2312"/>
      <w:sz w:val="26"/>
    </w:rPr>
  </w:style>
  <w:style w:type="paragraph" w:customStyle="1" w:styleId="213">
    <w:name w:val="页眉1"/>
    <w:basedOn w:val="1"/>
    <w:link w:val="214"/>
    <w:unhideWhenUsed/>
    <w:qFormat/>
    <w:uiPriority w:val="99"/>
    <w:pPr>
      <w:tabs>
        <w:tab w:val="center" w:pos="4153"/>
        <w:tab w:val="right" w:pos="8306"/>
      </w:tabs>
      <w:jc w:val="center"/>
    </w:pPr>
    <w:rPr>
      <w:sz w:val="18"/>
      <w:szCs w:val="18"/>
    </w:rPr>
  </w:style>
  <w:style w:type="character" w:customStyle="1" w:styleId="214">
    <w:name w:val="页眉 字符"/>
    <w:link w:val="213"/>
    <w:qFormat/>
    <w:uiPriority w:val="99"/>
    <w:rPr>
      <w:sz w:val="18"/>
      <w:szCs w:val="18"/>
    </w:rPr>
  </w:style>
  <w:style w:type="paragraph" w:customStyle="1" w:styleId="215">
    <w:name w:val="正文文本缩进 311"/>
    <w:basedOn w:val="1"/>
    <w:link w:val="216"/>
    <w:unhideWhenUsed/>
    <w:qFormat/>
    <w:uiPriority w:val="99"/>
    <w:pPr>
      <w:spacing w:before="100" w:beforeAutospacing="1" w:after="100" w:afterAutospacing="1"/>
      <w:ind w:left="420"/>
    </w:pPr>
    <w:rPr>
      <w:rFonts w:ascii="Times New Roman" w:hAnsi="Times New Roman" w:eastAsia="宋体" w:cs="Times New Roman"/>
      <w:sz w:val="16"/>
      <w:szCs w:val="16"/>
    </w:rPr>
  </w:style>
  <w:style w:type="character" w:customStyle="1" w:styleId="216">
    <w:name w:val="正文文本缩进 3 字符"/>
    <w:link w:val="215"/>
    <w:qFormat/>
    <w:uiPriority w:val="99"/>
    <w:rPr>
      <w:rFonts w:ascii="Times New Roman" w:hAnsi="Times New Roman" w:eastAsia="宋体" w:cs="Times New Roman"/>
      <w:sz w:val="16"/>
      <w:szCs w:val="16"/>
    </w:rPr>
  </w:style>
  <w:style w:type="paragraph" w:customStyle="1" w:styleId="217">
    <w:name w:val="批注主题1"/>
    <w:basedOn w:val="201"/>
    <w:next w:val="201"/>
    <w:link w:val="218"/>
    <w:unhideWhenUsed/>
    <w:qFormat/>
    <w:uiPriority w:val="99"/>
    <w:rPr>
      <w:b/>
      <w:bCs/>
    </w:rPr>
  </w:style>
  <w:style w:type="character" w:customStyle="1" w:styleId="218">
    <w:name w:val="批注主题 字符"/>
    <w:link w:val="217"/>
    <w:semiHidden/>
    <w:qFormat/>
    <w:uiPriority w:val="99"/>
    <w:rPr>
      <w:b/>
      <w:bCs/>
      <w:sz w:val="21"/>
      <w:szCs w:val="22"/>
    </w:rPr>
  </w:style>
  <w:style w:type="paragraph" w:customStyle="1" w:styleId="219">
    <w:name w:val="正文首行缩进 211"/>
    <w:basedOn w:val="198"/>
    <w:next w:val="1"/>
    <w:link w:val="220"/>
    <w:unhideWhenUsed/>
    <w:qFormat/>
    <w:uiPriority w:val="99"/>
    <w:pPr>
      <w:spacing w:before="100" w:beforeAutospacing="1"/>
      <w:ind w:firstLine="420"/>
    </w:pPr>
    <w:rPr>
      <w:rFonts w:ascii="Calibri" w:hAnsi="Calibri" w:eastAsia="宋体" w:cs="宋体"/>
      <w:sz w:val="20"/>
      <w:szCs w:val="20"/>
    </w:rPr>
  </w:style>
  <w:style w:type="character" w:customStyle="1" w:styleId="220">
    <w:name w:val="正文文本首行缩进 2 字符"/>
    <w:link w:val="219"/>
    <w:qFormat/>
    <w:uiPriority w:val="99"/>
    <w:rPr>
      <w:rFonts w:ascii="Calibri" w:hAnsi="Calibri" w:eastAsia="宋体" w:cs="宋体"/>
      <w:sz w:val="20"/>
      <w:szCs w:val="20"/>
    </w:rPr>
  </w:style>
  <w:style w:type="table" w:customStyle="1" w:styleId="221">
    <w:name w:val="网格型1"/>
    <w:basedOn w:val="197"/>
    <w:unhideWhenUsed/>
    <w:qFormat/>
    <w:uiPriority w:val="99"/>
    <w:pPr>
      <w:widowControl w:val="0"/>
      <w:jc w:val="both"/>
    </w:pPr>
  </w:style>
  <w:style w:type="character" w:customStyle="1" w:styleId="222">
    <w:name w:val="页码1"/>
    <w:link w:val="1"/>
    <w:unhideWhenUsed/>
    <w:qFormat/>
    <w:uiPriority w:val="99"/>
  </w:style>
  <w:style w:type="character" w:customStyle="1" w:styleId="223">
    <w:name w:val="超链接1"/>
    <w:link w:val="1"/>
    <w:qFormat/>
    <w:uiPriority w:val="99"/>
    <w:rPr>
      <w:color w:val="333333"/>
      <w:u w:val="none"/>
    </w:rPr>
  </w:style>
  <w:style w:type="character" w:customStyle="1" w:styleId="224">
    <w:name w:val="批注引用1"/>
    <w:link w:val="1"/>
    <w:unhideWhenUsed/>
    <w:qFormat/>
    <w:uiPriority w:val="99"/>
    <w:rPr>
      <w:sz w:val="21"/>
      <w:szCs w:val="21"/>
    </w:rPr>
  </w:style>
  <w:style w:type="paragraph" w:customStyle="1" w:styleId="225">
    <w:name w:val="首行缩进"/>
    <w:basedOn w:val="1"/>
    <w:qFormat/>
    <w:uiPriority w:val="99"/>
    <w:pPr>
      <w:ind w:firstLine="480"/>
    </w:pPr>
    <w:rPr>
      <w:lang w:val="zh-CN"/>
    </w:rPr>
  </w:style>
  <w:style w:type="paragraph" w:customStyle="1" w:styleId="226">
    <w:name w:val="目录 51"/>
    <w:basedOn w:val="1"/>
    <w:next w:val="1"/>
    <w:qFormat/>
    <w:uiPriority w:val="0"/>
    <w:pPr>
      <w:widowControl/>
      <w:spacing w:before="100" w:beforeAutospacing="1" w:after="100" w:afterAutospacing="1"/>
      <w:ind w:left="1275"/>
    </w:pPr>
    <w:rPr>
      <w:rFonts w:ascii="Times New Roman" w:hAnsi="Times New Roman" w:eastAsia="宋体" w:cs="Times New Roman"/>
      <w:szCs w:val="21"/>
    </w:rPr>
  </w:style>
  <w:style w:type="paragraph" w:customStyle="1" w:styleId="227">
    <w:name w:val="纯文本1"/>
    <w:basedOn w:val="1"/>
    <w:qFormat/>
    <w:uiPriority w:val="0"/>
    <w:rPr>
      <w:rFonts w:ascii="宋体" w:hAnsi="Courier New" w:eastAsia="楷体_GB2312" w:cs="宋体"/>
      <w:sz w:val="28"/>
      <w:szCs w:val="28"/>
    </w:rPr>
  </w:style>
  <w:style w:type="paragraph" w:customStyle="1" w:styleId="228">
    <w:name w:val="纯文本111"/>
    <w:basedOn w:val="1"/>
    <w:qFormat/>
    <w:uiPriority w:val="0"/>
    <w:rPr>
      <w:rFonts w:ascii="宋体" w:hAnsi="Courier New" w:eastAsia="楷体_GB2312" w:cs="宋体"/>
      <w:sz w:val="28"/>
      <w:szCs w:val="28"/>
    </w:rPr>
  </w:style>
  <w:style w:type="paragraph" w:customStyle="1" w:styleId="229">
    <w:name w:val="Normal1"/>
    <w:qFormat/>
    <w:uiPriority w:val="0"/>
    <w:pPr>
      <w:jc w:val="both"/>
    </w:pPr>
    <w:rPr>
      <w:rFonts w:hint="default" w:ascii="等线" w:hAnsi="等线" w:eastAsia="宋体" w:cs="宋体"/>
      <w:sz w:val="21"/>
      <w:szCs w:val="21"/>
      <w:lang w:val="en-US" w:eastAsia="zh-CN" w:bidi="ar-SA"/>
    </w:rPr>
  </w:style>
  <w:style w:type="paragraph" w:customStyle="1" w:styleId="230">
    <w:name w:val="纯文本2"/>
    <w:basedOn w:val="1"/>
    <w:qFormat/>
    <w:uiPriority w:val="0"/>
    <w:rPr>
      <w:rFonts w:ascii="宋体" w:hAnsi="Courier New" w:eastAsia="楷体_GB2312"/>
      <w:sz w:val="26"/>
    </w:rPr>
  </w:style>
  <w:style w:type="paragraph" w:customStyle="1" w:styleId="231">
    <w:name w:val="Plain Text1"/>
    <w:basedOn w:val="1"/>
    <w:qFormat/>
    <w:uiPriority w:val="0"/>
    <w:pPr>
      <w:widowControl w:val="0"/>
      <w:jc w:val="both"/>
    </w:pPr>
    <w:rPr>
      <w:rFonts w:ascii="宋体" w:hAnsi="Courier New" w:eastAsia="楷体_GB2312"/>
      <w:sz w:val="26"/>
    </w:rPr>
  </w:style>
  <w:style w:type="paragraph" w:customStyle="1" w:styleId="232">
    <w:name w:val="纯文本5"/>
    <w:basedOn w:val="1"/>
    <w:qFormat/>
    <w:uiPriority w:val="0"/>
    <w:pPr>
      <w:widowControl w:val="0"/>
      <w:jc w:val="both"/>
    </w:pPr>
    <w:rPr>
      <w:rFonts w:ascii="宋体" w:hAnsi="Courier New" w:eastAsia="楷体_GB2312"/>
      <w:sz w:val="26"/>
    </w:rPr>
  </w:style>
  <w:style w:type="character" w:customStyle="1" w:styleId="233">
    <w:name w:val="font81"/>
    <w:link w:val="1"/>
    <w:qFormat/>
    <w:uiPriority w:val="0"/>
    <w:rPr>
      <w:rFonts w:hint="eastAsia" w:ascii="宋体" w:hAnsi="宋体" w:eastAsia="宋体" w:cs="宋体"/>
      <w:b/>
      <w:color w:val="FF0000"/>
      <w:sz w:val="22"/>
      <w:szCs w:val="22"/>
      <w:u w:val="none"/>
    </w:rPr>
  </w:style>
  <w:style w:type="character" w:customStyle="1" w:styleId="234">
    <w:name w:val="font71"/>
    <w:link w:val="1"/>
    <w:qFormat/>
    <w:uiPriority w:val="0"/>
    <w:rPr>
      <w:rFonts w:hint="eastAsia" w:ascii="宋体" w:hAnsi="宋体" w:eastAsia="宋体" w:cs="宋体"/>
      <w:color w:val="000000"/>
      <w:sz w:val="20"/>
      <w:szCs w:val="20"/>
      <w:u w:val="none"/>
    </w:rPr>
  </w:style>
  <w:style w:type="character" w:customStyle="1" w:styleId="235">
    <w:name w:val="font61"/>
    <w:link w:val="1"/>
    <w:qFormat/>
    <w:uiPriority w:val="0"/>
    <w:rPr>
      <w:rFonts w:ascii="Times New Roman" w:hAnsi="Times New Roman" w:cs="Times New Roman"/>
      <w:color w:val="000000"/>
      <w:sz w:val="20"/>
      <w:szCs w:val="20"/>
      <w:u w:val="none"/>
    </w:rPr>
  </w:style>
  <w:style w:type="paragraph" w:customStyle="1" w:styleId="236">
    <w:name w:val="纯文本3"/>
    <w:basedOn w:val="1"/>
    <w:qFormat/>
    <w:uiPriority w:val="0"/>
    <w:rPr>
      <w:rFonts w:ascii="宋体" w:hAnsi="Courier New" w:eastAsia="楷体_GB2312"/>
      <w:sz w:val="26"/>
      <w:szCs w:val="20"/>
    </w:rPr>
  </w:style>
  <w:style w:type="character" w:customStyle="1" w:styleId="237">
    <w:name w:val="font11"/>
    <w:link w:val="1"/>
    <w:qFormat/>
    <w:uiPriority w:val="0"/>
    <w:rPr>
      <w:rFonts w:hint="eastAsia" w:ascii="宋体" w:hAnsi="宋体" w:eastAsia="宋体" w:cs="宋体"/>
      <w:color w:val="000000"/>
      <w:sz w:val="24"/>
      <w:szCs w:val="24"/>
      <w:u w:val="none"/>
    </w:rPr>
  </w:style>
  <w:style w:type="character" w:customStyle="1" w:styleId="238">
    <w:name w:val="font41"/>
    <w:link w:val="1"/>
    <w:qFormat/>
    <w:uiPriority w:val="0"/>
    <w:rPr>
      <w:rFonts w:ascii="Times New Roman" w:hAnsi="Times New Roman" w:cs="Times New Roman"/>
      <w:color w:val="000000"/>
      <w:sz w:val="21"/>
      <w:szCs w:val="21"/>
      <w:u w:val="none"/>
    </w:rPr>
  </w:style>
  <w:style w:type="character" w:customStyle="1" w:styleId="239">
    <w:name w:val="font51"/>
    <w:link w:val="1"/>
    <w:qFormat/>
    <w:uiPriority w:val="0"/>
    <w:rPr>
      <w:rFonts w:hint="eastAsia" w:ascii="宋体" w:hAnsi="宋体" w:eastAsia="宋体" w:cs="宋体"/>
      <w:color w:val="000000"/>
      <w:sz w:val="21"/>
      <w:szCs w:val="21"/>
      <w:u w:val="none"/>
    </w:rPr>
  </w:style>
  <w:style w:type="character" w:customStyle="1" w:styleId="240">
    <w:name w:val="font21"/>
    <w:link w:val="1"/>
    <w:qFormat/>
    <w:uiPriority w:val="0"/>
    <w:rPr>
      <w:rFonts w:ascii="Calibri" w:hAnsi="Calibri" w:cs="Calibri"/>
      <w:color w:val="000000"/>
      <w:sz w:val="24"/>
      <w:szCs w:val="24"/>
      <w:u w:val="none"/>
    </w:rPr>
  </w:style>
  <w:style w:type="character" w:customStyle="1" w:styleId="241">
    <w:name w:val="font31"/>
    <w:link w:val="1"/>
    <w:qFormat/>
    <w:uiPriority w:val="0"/>
    <w:rPr>
      <w:rFonts w:ascii="等线" w:hAnsi="等线" w:eastAsia="等线" w:cs="等线"/>
      <w:color w:val="000000"/>
      <w:sz w:val="21"/>
      <w:szCs w:val="21"/>
      <w:u w:val="none"/>
    </w:rPr>
  </w:style>
  <w:style w:type="character" w:customStyle="1" w:styleId="242">
    <w:name w:val="fontstyle01"/>
    <w:link w:val="1"/>
    <w:qFormat/>
    <w:uiPriority w:val="0"/>
    <w:rPr>
      <w:rFonts w:hint="eastAsia" w:ascii="微软雅黑" w:hAnsi="微软雅黑" w:eastAsia="微软雅黑"/>
      <w:color w:val="000000"/>
      <w:sz w:val="48"/>
      <w:szCs w:val="48"/>
    </w:rPr>
  </w:style>
  <w:style w:type="paragraph" w:customStyle="1" w:styleId="243">
    <w:name w:val="正文文本缩进 31"/>
    <w:basedOn w:val="1"/>
    <w:qFormat/>
    <w:uiPriority w:val="0"/>
    <w:pPr>
      <w:ind w:left="420"/>
    </w:pPr>
    <w:rPr>
      <w:sz w:val="16"/>
      <w:szCs w:val="20"/>
    </w:rPr>
  </w:style>
  <w:style w:type="paragraph" w:customStyle="1" w:styleId="244">
    <w:name w:val="正文文本缩进1"/>
    <w:basedOn w:val="1"/>
    <w:qFormat/>
    <w:uiPriority w:val="0"/>
    <w:pPr>
      <w:spacing w:after="120"/>
      <w:ind w:left="420"/>
    </w:pPr>
  </w:style>
  <w:style w:type="paragraph" w:customStyle="1" w:styleId="245">
    <w:name w:val="正文首行缩进 21"/>
    <w:basedOn w:val="244"/>
    <w:unhideWhenUsed/>
    <w:qFormat/>
    <w:uiPriority w:val="99"/>
    <w:pPr>
      <w:ind w:firstLine="420"/>
    </w:pPr>
  </w:style>
  <w:style w:type="paragraph" w:customStyle="1" w:styleId="246">
    <w:name w:val="正文缩进1"/>
    <w:basedOn w:val="1"/>
    <w:next w:val="1"/>
    <w:qFormat/>
    <w:uiPriority w:val="0"/>
    <w:pPr>
      <w:ind w:firstLine="420"/>
      <w:jc w:val="left"/>
    </w:pPr>
    <w:rPr>
      <w:rFonts w:eastAsia="楷体_GB2312"/>
      <w:sz w:val="24"/>
      <w:szCs w:val="20"/>
    </w:rPr>
  </w:style>
  <w:style w:type="paragraph" w:customStyle="1" w:styleId="247">
    <w:name w:val="无间隔1"/>
    <w:basedOn w:val="1"/>
    <w:qFormat/>
    <w:uiPriority w:val="0"/>
    <w:pPr>
      <w:spacing w:line="400" w:lineRule="exact"/>
    </w:pPr>
    <w:rPr>
      <w:sz w:val="24"/>
    </w:rPr>
  </w:style>
  <w:style w:type="paragraph" w:customStyle="1" w:styleId="248">
    <w:name w:val="正文文本11"/>
    <w:basedOn w:val="1"/>
    <w:unhideWhenUsed/>
    <w:qFormat/>
    <w:uiPriority w:val="0"/>
    <w:pPr>
      <w:spacing w:after="120"/>
    </w:pPr>
    <w:rPr>
      <w:sz w:val="20"/>
    </w:rPr>
  </w:style>
  <w:style w:type="paragraph" w:customStyle="1" w:styleId="249">
    <w:name w:val="正文首行缩进1"/>
    <w:basedOn w:val="248"/>
    <w:qFormat/>
    <w:uiPriority w:val="0"/>
    <w:pPr>
      <w:ind w:firstLine="420"/>
      <w:jc w:val="both"/>
    </w:pPr>
  </w:style>
  <w:style w:type="paragraph" w:customStyle="1" w:styleId="250">
    <w:name w:val="脚注文本1"/>
    <w:basedOn w:val="251"/>
    <w:next w:val="252"/>
    <w:qFormat/>
    <w:uiPriority w:val="0"/>
    <w:pPr>
      <w:tabs>
        <w:tab w:val="left" w:pos="200"/>
      </w:tabs>
      <w:spacing w:line="312" w:lineRule="atLeast"/>
      <w:jc w:val="left"/>
    </w:pPr>
    <w:rPr>
      <w:sz w:val="18"/>
      <w:szCs w:val="20"/>
    </w:rPr>
  </w:style>
  <w:style w:type="paragraph" w:customStyle="1" w:styleId="251">
    <w:name w:val="标题 11"/>
    <w:basedOn w:val="1"/>
    <w:next w:val="1"/>
    <w:qFormat/>
    <w:uiPriority w:val="0"/>
    <w:pPr>
      <w:keepNext/>
      <w:tabs>
        <w:tab w:val="left" w:pos="200"/>
      </w:tabs>
      <w:jc w:val="center"/>
      <w:outlineLvl w:val="0"/>
    </w:pPr>
    <w:rPr>
      <w:rFonts w:ascii="宋体" w:hAnsi="宋体"/>
      <w:b/>
      <w:sz w:val="36"/>
      <w:szCs w:val="20"/>
    </w:rPr>
  </w:style>
  <w:style w:type="paragraph" w:customStyle="1" w:styleId="252">
    <w:name w:val="文本块1"/>
    <w:basedOn w:val="251"/>
    <w:next w:val="1"/>
    <w:qFormat/>
    <w:uiPriority w:val="0"/>
    <w:pPr>
      <w:spacing w:line="360" w:lineRule="auto"/>
      <w:ind w:left="630" w:right="-609" w:firstLine="420"/>
    </w:pPr>
    <w:rPr>
      <w:rFonts w:hint="eastAsia" w:ascii="仿宋_GB2312" w:eastAsia="仿宋_GB2312"/>
      <w:szCs w:val="20"/>
    </w:rPr>
  </w:style>
  <w:style w:type="paragraph" w:customStyle="1" w:styleId="253">
    <w:name w:val="[Normal]"/>
    <w:qFormat/>
    <w:uiPriority w:val="0"/>
    <w:rPr>
      <w:rFonts w:hint="default" w:ascii="宋体" w:hAnsi="宋体" w:eastAsia="宋体" w:cs="Times New Roman"/>
      <w:sz w:val="24"/>
      <w:szCs w:val="22"/>
      <w:lang w:val="zh-CN" w:eastAsia="zh-CN" w:bidi="ar-SA"/>
    </w:rPr>
  </w:style>
  <w:style w:type="paragraph" w:customStyle="1" w:styleId="254">
    <w:name w:val="纯文本11"/>
    <w:basedOn w:val="1"/>
    <w:qFormat/>
    <w:uiPriority w:val="0"/>
    <w:rPr>
      <w:rFonts w:ascii="宋体" w:hAnsi="Courier New" w:eastAsia="楷体_GB2312"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60d88433-d7f9-4b1c-97d4-c1418439eb35</errorID>
      <errorWord>法律、法规</errorWord>
      <group>L1_Word</group>
      <groupName>字词问题</groupName>
      <ability>L2_Typo</ability>
      <abilityName>字词错误</abilityName>
      <candidateList>
        <item>法律法规</item>
      </candidateList>
      <explain/>
      <paraID> C728535</paraID>
      <start>3</start>
      <end>8</end>
      <status>unmodified</status>
      <modifiedWord/>
      <trackRevisions>false</trackRevisions>
    </reviewItem>
    <reviewItem>
      <errorID>398267f3-f21d-47b5-9ca4-2133237b6e2f</errorID>
      <errorWord>1、</errorWord>
      <group>L1_Format</group>
      <groupName>格式问题</groupName>
      <ability>L2_Ordinal</ability>
      <abilityName>序号格式</abilityName>
      <candidateList>
        <item>1.</item>
      </candidateList>
      <explain>当前序号格式不规范，建议修改为规范格式[1.]。</explain>
      <paraID>3A21CE0C</paraID>
      <start>0</start>
      <end>2</end>
      <status>unmodified</status>
      <modifiedWord/>
      <trackRevisions>false</trackRevisions>
    </reviewItem>
    <reviewItem>
      <errorID>ae7fe9f2-8363-4769-bfa8-a94d4e43b631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1C69071E</paraID>
      <start>0</start>
      <end>2</end>
      <status>unmodified</status>
      <modifiedWord/>
      <trackRevisions>false</trackRevisions>
    </reviewItem>
    <reviewItem>
      <errorID>8b1c3cfb-acbc-4d37-873b-0a672c690340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3889C126</paraID>
      <start>0</start>
      <end>2</end>
      <status>unmodified</status>
      <modifiedWord/>
      <trackRevisions>false</trackRevisions>
    </reviewItem>
    <reviewItem>
      <errorID>1ab7dfc5-9e40-4c19-b6f3-56d58630a398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10DF906D</paraID>
      <start>0</start>
      <end>2</end>
      <status>unmodified</status>
      <modifiedWord/>
      <trackRevisions>false</trackRevisions>
    </reviewItem>
    <reviewItem>
      <errorID>8ff6002e-04ad-4147-a38f-8bc6b9f521ba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5B50BB3D</paraID>
      <start>0</start>
      <end>2</end>
      <status>unmodified</status>
      <modifiedWord/>
      <trackRevisions>false</trackRevisions>
    </reviewItem>
    <reviewItem>
      <errorID>85382651-d2a3-4fd6-8eb2-72e5546705bc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55641270</paraID>
      <start>0</start>
      <end>2</end>
      <status>unmodified</status>
      <modifiedWord/>
      <trackRevisions>false</trackRevisions>
    </reviewItem>
    <reviewItem>
      <errorID>ffea7e99-5463-4520-8d8c-b46fcb2d3ebd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7B3EA325</paraID>
      <start>0</start>
      <end>2</end>
      <status>unmodified</status>
      <modifiedWord/>
      <trackRevisions>false</trackRevisions>
    </reviewItem>
    <reviewItem>
      <errorID>96aa0486-a310-4cd5-bdfe-dd6d941ae237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630EA6D</paraID>
      <start>0</start>
      <end>2</end>
      <status>unmodified</status>
      <modifiedWord/>
      <trackRevisions>false</trackRevisions>
    </reviewItem>
    <reviewItem>
      <errorID>96338407-c610-4a76-8bb2-617548df4522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5CECB960</paraID>
      <start>0</start>
      <end>2</end>
      <status>unmodified</status>
      <modifiedWord/>
      <trackRevisions>false</trackRevisions>
    </reviewItem>
    <reviewItem>
      <errorID>da31e31d-fd20-41fd-9e53-b4e871a0438e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65742D98</paraID>
      <start>0</start>
      <end>2</end>
      <status>unmodified</status>
      <modifiedWord/>
      <trackRevisions>false</trackRevisions>
    </reviewItem>
    <reviewItem>
      <errorID>f0d2cb93-f38c-49f8-9414-dce115452f65</errorID>
      <errorWord>上午00:00</errorWord>
      <group>L1_Knowledge</group>
      <groupName>知识性问题</groupName>
      <ability>L2_Time</ability>
      <abilityName>日期时间</abilityName>
      <candidateList/>
      <explain>时间与前缀不匹配，可能的时间前缀有“下午、晚上、凌晨、午夜”。</explain>
      <paraID>65742D98</paraID>
      <start>25</start>
      <end>32</end>
      <status>unmodified</status>
      <modifiedWord/>
      <trackRevisions>false</trackRevisions>
    </reviewItem>
    <reviewItem>
      <errorID>567164a7-63f9-48c1-9704-2e59811cfc06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1E6BF73A</paraID>
      <start>0</start>
      <end>2</end>
      <status>unmodified</status>
      <modifiedWord/>
      <trackRevisions>false</trackRevisions>
    </reviewItem>
    <reviewItem>
      <errorID>6c2b82e1-c5f3-404e-bb83-7b3d5ae7ca31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743E797E</paraID>
      <start>0</start>
      <end>2</end>
      <status>unmodified</status>
      <modifiedWord/>
      <trackRevisions>false</trackRevisions>
    </reviewItem>
    <reviewItem>
      <errorID>e226ab3a-371f-4d59-a205-f322642d254a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1ECA55BF</paraID>
      <start>0</start>
      <end>2</end>
      <status>unmodified</status>
      <modifiedWord/>
      <trackRevisions>false</trackRevisions>
    </reviewItem>
    <reviewItem>
      <errorID>8e6cd6d3-17b8-4f8a-9a8b-2aa1857793e8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4061E631</paraID>
      <start>0</start>
      <end>2</end>
      <status>unmodified</status>
      <modifiedWord/>
      <trackRevisions>false</trackRevisions>
    </reviewItem>
    <reviewItem>
      <errorID>6c177e1c-d104-4159-93a5-5d9d338c9341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6C76F646</paraID>
      <start>0</start>
      <end>2</end>
      <status>unmodified</status>
      <modifiedWord/>
      <trackRevisions>false</trackRevisions>
    </reviewItem>
    <reviewItem>
      <errorID>4f707665-8850-411d-9a3c-4a1b1df1e2c2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11D5C204</paraID>
      <start>0</start>
      <end>2</end>
      <status>unmodified</status>
      <modifiedWord/>
      <trackRevisions>false</trackRevisions>
    </reviewItem>
    <reviewItem>
      <errorID>2662d982-79d4-4623-9df1-e977a0773f0c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4776C024</paraID>
      <start>0</start>
      <end>2</end>
      <status>unmodified</status>
      <modifiedWord/>
      <trackRevisions>false</trackRevisions>
    </reviewItem>
    <reviewItem>
      <errorID>88d92d19-9c15-4196-905c-1dd5673b28e2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710E491</paraID>
      <start>0</start>
      <end>2</end>
      <status>unmodified</status>
      <modifiedWord/>
      <trackRevisions>false</trackRevisions>
    </reviewItem>
    <reviewItem>
      <errorID>8ad3db20-75c6-423c-a9dd-53e14de44d30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78A15D20</paraID>
      <start>0</start>
      <end>2</end>
      <status>unmodified</status>
      <modifiedWord/>
      <trackRevisions>false</trackRevisions>
    </reviewItem>
    <reviewItem>
      <errorID>846fc9eb-7052-433a-b652-19df67f59124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52181D7</paraID>
      <start>0</start>
      <end>2</end>
      <status>unmodified</status>
      <modifiedWord/>
      <trackRevisions>false</trackRevisions>
    </reviewItem>
    <reviewItem>
      <errorID>c59bc243-f463-457d-b9bc-595c863f64cf</errorID>
      <errorWord>“.</errorWord>
      <group>L1_Punc</group>
      <groupName>标点问题</groupName>
      <ability>L2_Punc</ability>
      <abilityName>标点符号检查</abilityName>
      <candidateList>
        <item>“</item>
      </candidateList>
      <explain/>
      <paraID>3084078F</paraID>
      <start>64</start>
      <end>66</end>
      <status>unmodified</status>
      <modifiedWord/>
      <trackRevisions>false</trackRevisions>
    </reviewItem>
    <reviewItem>
      <errorID>758c5086-6b70-4a9e-a0dc-5c5f08a43d05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2EA04AB6</paraID>
      <start>0</start>
      <end>2</end>
      <status>unmodified</status>
      <modifiedWord/>
      <trackRevisions>false</trackRevisions>
    </reviewItem>
    <reviewItem>
      <errorID>e9988d33-0376-4a1f-a416-c4fae845e328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7919FAE4</paraID>
      <start>0</start>
      <end>2</end>
      <status>unmodified</status>
      <modifiedWord/>
      <trackRevisions>false</trackRevisions>
    </reviewItem>
    <reviewItem>
      <errorID>29e4506d-1f8b-4088-a561-42eb8f8b90e2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1144886C</paraID>
      <start>0</start>
      <end>2</end>
      <status>unmodified</status>
      <modifiedWord/>
      <trackRevisions>false</trackRevisions>
    </reviewItem>
    <reviewItem>
      <errorID>9da9fd6a-1bfb-4abe-b33f-98ac1620db35</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33BC63C5</paraID>
      <start>3</start>
      <end>7</end>
      <status>unmodified</status>
      <modifiedWord/>
      <trackRevisions>false</trackRevisions>
    </reviewItem>
    <reviewItem>
      <errorID>14374acd-c084-452c-9504-9b77334f4b7a</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69BD9938</paraID>
      <start>52</start>
      <end>56</end>
      <status>unmodified</status>
      <modifiedWord/>
      <trackRevisions>false</trackRevisions>
    </reviewItem>
    <reviewItem>
      <errorID>1a7f0f59-19a7-427f-a5bb-2660c16a0188</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7D5C7156</paraID>
      <start>62</start>
      <end>66</end>
      <status>unmodified</status>
      <modifiedWord/>
      <trackRevisions>false</trackRevisions>
    </reviewItem>
    <reviewItem>
      <errorID>7beb7786-fe75-4439-b58f-956df0745733</errorID>
      <errorWord>须</errorWord>
      <group>L1_Word</group>
      <groupName>字词问题</groupName>
      <ability>L2_Typo</ability>
      <abilityName>字词错误</abilityName>
      <candidateList>
        <item>需</item>
      </candidateList>
      <explain>存在发音相同字词的误用。</explain>
      <paraID>70AA7203</paraID>
      <start>13</start>
      <end>14</end>
      <status>unmodified</status>
      <modifiedWord/>
      <trackRevisions>false</trackRevisions>
    </reviewItem>
    <reviewItem>
      <errorID>5a5e6368-f3f2-4254-aaf0-fd5fc60d2206</errorID>
      <errorWord>“.</errorWord>
      <group>L1_Punc</group>
      <groupName>标点问题</groupName>
      <ability>L2_Punc</ability>
      <abilityName>标点符号检查</abilityName>
      <candidateList>
        <item>“</item>
      </candidateList>
      <explain/>
      <paraID>573B584F</paraID>
      <start>52</start>
      <end>54</end>
      <status>unmodified</status>
      <modifiedWord/>
      <trackRevisions>false</trackRevisions>
    </reviewItem>
    <reviewItem>
      <errorID>741acd90-6be7-4100-8e39-f56b696ef636</errorID>
      <errorWord>通讯畅通</errorWord>
      <group>L1_Word</group>
      <groupName>字词问题</groupName>
      <ability>L2_Typo</ability>
      <abilityName>字词错误</abilityName>
      <candidateList>
        <item>通信畅通</item>
      </candidateList>
      <explain/>
      <paraID>2EB90686</paraID>
      <start>102</start>
      <end>106</end>
      <status>unmodified</status>
      <modifiedWord/>
      <trackRevisions>false</trackRevisions>
    </reviewItem>
    <reviewItem>
      <errorID>ce59d48c-b3c3-48e2-904c-a678326b4cc6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63B2813F</paraID>
      <start>0</start>
      <end>3</end>
      <status>unmodified</status>
      <modifiedWord/>
      <trackRevisions>false</trackRevisions>
    </reviewItem>
    <reviewItem>
      <errorID>94e503a3-3ef8-43bb-bcdd-791454a97336</errorID>
      <errorWord>&lt;</errorWord>
      <group>L1_Format</group>
      <groupName>格式问题</groupName>
      <ability>L2_HalfPunc</ability>
      <abilityName>全半角检查</abilityName>
      <candidateList>
        <item>〈</item>
      </candidateList>
      <explain>文本全半角错误。</explain>
      <paraID>2F9454E1</paraID>
      <start>38</start>
      <end>39</end>
      <status>unmodified</status>
      <modifiedWord/>
      <trackRevisions>false</trackRevisions>
    </reviewItem>
    <reviewItem>
      <errorID>410ab4c8-14a5-4753-887b-4d2ff7e8dc83</errorID>
      <errorWord>&lt;</errorWord>
      <group>L1_Format</group>
      <groupName>格式问题</groupName>
      <ability>L2_HalfPunc</ability>
      <abilityName>全半角检查</abilityName>
      <candidateList>
        <item>〈</item>
      </candidateList>
      <explain>文本全半角错误。</explain>
      <paraID>3330E54A</paraID>
      <start>38</start>
      <end>39</end>
      <status>unmodified</status>
      <modifiedWord/>
      <trackRevisions>false</trackRevisions>
    </reviewItem>
    <reviewItem>
      <errorID>f00bef2c-b867-4865-b8c0-db93af3eeea6</errorID>
      <errorWord>&lt;</errorWord>
      <group>L1_Format</group>
      <groupName>格式问题</groupName>
      <ability>L2_HalfPunc</ability>
      <abilityName>全半角检查</abilityName>
      <candidateList>
        <item>〈</item>
      </candidateList>
      <explain>文本全半角错误。</explain>
      <paraID>731104C1</paraID>
      <start>27</start>
      <end>28</end>
      <status>unmodified</status>
      <modifiedWord/>
      <trackRevisions>false</trackRevisions>
    </reviewItem>
    <reviewItem>
      <errorID>c2e52caa-d9f1-4b7b-b89e-7c8f1c196235</errorID>
      <errorWord>法律、法规</errorWord>
      <group>L1_Word</group>
      <groupName>字词问题</groupName>
      <ability>L2_Typo</ability>
      <abilityName>字词错误</abilityName>
      <candidateList>
        <item>法律法规</item>
      </candidateList>
      <explain/>
      <paraID>360AAEEB</paraID>
      <start>6</start>
      <end>11</end>
      <status>unmodified</status>
      <modifiedWord/>
      <trackRevisions>false</trackRevisions>
    </reviewItem>
    <reviewItem>
      <errorID>3f72e91e-576e-47bb-af72-42abe7eb173c</errorID>
      <errorWord>》</errorWord>
      <group>L1_Word</group>
      <groupName>字词问题</groupName>
      <ability>L2_Typo</ability>
      <abilityName>字词错误</abilityName>
      <candidateList>
        <item>》和</item>
      </candidateList>
      <explain/>
      <paraID>2EF55C0E</paraID>
      <start>133</start>
      <end>134</end>
      <status>unmodified</status>
      <modifiedWord/>
      <trackRevisions>false</trackRevisions>
    </reviewItem>
    <reviewItem>
      <errorID>b002120b-f568-4b48-95e1-49bcae003da5</errorID>
      <errorWord>和</errorWord>
      <group>L1_Word</group>
      <groupName>字词问题</groupName>
      <ability>L2_Typo</ability>
      <abilityName>字词错误</abilityName>
      <candidateList>
        <item>和加</item>
      </candidateList>
      <explain/>
      <paraID>2EF55C0E</paraID>
      <start>230</start>
      <end>231</end>
      <status>unmodified</status>
      <modifiedWord/>
      <trackRevisions>false</trackRevisions>
    </reviewItem>
    <reviewItem>
      <errorID>c13e2999-78c1-4792-a759-224bfdecbe5a</errorID>
      <errorWord>供应商则</errorWord>
      <group>L1_Word</group>
      <groupName>字词问题</groupName>
      <ability>L2_Typo</ability>
      <abilityName>字词错误</abilityName>
      <candidateList>
        <item>供应商</item>
      </candidateList>
      <explain/>
      <paraID>524D9653</paraID>
      <start>12</start>
      <end>16</end>
      <status>unmodified</status>
      <modifiedWord/>
      <trackRevisions>false</trackRevisions>
    </reviewItem>
    <reviewItem>
      <errorID>a99fab13-7a98-40c0-b0fb-554b558d8f66</errorID>
      <errorWord>。】</errorWord>
      <group>L1_Punc</group>
      <groupName>标点问题</groupName>
      <ability>L2_Punc</ability>
      <abilityName>标点符号检查</abilityName>
      <candidateList>
        <item>】</item>
      </candidateList>
      <explain/>
      <paraID>524D9653</paraID>
      <start>94</start>
      <end>96</end>
      <status>unmodified</status>
      <modifiedWord/>
      <trackRevisions>false</trackRevisions>
    </reviewItem>
    <reviewItem>
      <errorID>108c3918-dab0-4f1c-bed6-47e57dae17af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7407338E</paraID>
      <start>0</start>
      <end>2</end>
      <status>unmodified</status>
      <modifiedWord/>
      <trackRevisions>false</trackRevisions>
    </reviewItem>
    <reviewItem>
      <errorID>374e9d79-31ee-4070-8a6a-8191dffb9bb3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382F5D5A</paraID>
      <start>1</start>
      <end>3</end>
      <status>unmodified</status>
      <modifiedWord/>
      <trackRevisions>false</trackRevisions>
    </reviewItem>
    <reviewItem>
      <errorID>e958845c-9f20-48cf-8602-8479d887dc8c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477DFB8C</paraID>
      <start>0</start>
      <end>2</end>
      <status>unmodified</status>
      <modifiedWord/>
      <trackRevisions>false</trackRevisions>
    </reviewItem>
    <reviewItem>
      <errorID>eb9ddf3b-3d5d-4cf1-9746-0482764ef232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7C926334</paraID>
      <start>4</start>
      <end>6</end>
      <status>unmodified</status>
      <modifiedWord/>
      <trackRevisions>false</trackRevisions>
    </reviewItem>
    <reviewItem>
      <errorID>9b8d0e22-e8c2-4a93-896a-77db2a551982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20101F22</paraID>
      <start>0</start>
      <end>2</end>
      <status>unmodified</status>
      <modifiedWord/>
      <trackRevisions>false</trackRevisions>
    </reviewItem>
    <reviewItem>
      <errorID>8e3ac14d-56eb-4b7e-b6bd-a3cfa72795b4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5BC95820</paraID>
      <start>0</start>
      <end>2</end>
      <status>unmodified</status>
      <modifiedWord/>
      <trackRevisions>false</trackRevisions>
    </reviewItem>
    <reviewItem>
      <errorID>e7d71086-32c5-40d5-969a-427900f1e5bb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E1C8082</paraID>
      <start>0</start>
      <end>2</end>
      <status>unmodified</status>
      <modifiedWord/>
      <trackRevisions>false</trackRevisions>
    </reviewItem>
    <reviewItem>
      <errorID>f93616c2-53a2-4f6d-8f32-439b9ac12106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6E2D72C7</paraID>
      <start>0</start>
      <end>2</end>
      <status>unmodified</status>
      <modifiedWord/>
      <trackRevisions>false</trackRevisions>
    </reviewItem>
    <reviewItem>
      <errorID>04391f9b-62be-4276-97f1-0db495b32f14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2A73A98D</paraID>
      <start>0</start>
      <end>2</end>
      <status>unmodified</status>
      <modifiedWord/>
      <trackRevisions>false</trackRevisions>
    </reviewItem>
    <reviewItem>
      <errorID>bd5d615d-f4cc-445b-a3cb-9dee1de8db65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58C0053F</paraID>
      <start>0</start>
      <end>2</end>
      <status>unmodified</status>
      <modifiedWord/>
      <trackRevisions>false</trackRevisions>
    </reviewItem>
    <reviewItem>
      <errorID>7934d8c0-85a8-4dc6-84a6-bac001cda872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74E3BC9E</paraID>
      <start>0</start>
      <end>2</end>
      <status>unmodified</status>
      <modifiedWord/>
      <trackRevisions>false</trackRevisions>
    </reviewItem>
    <reviewItem>
      <errorID>0ff601e5-d968-4d46-9e6c-454a89d07b8c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52D762C7</paraID>
      <start>0</start>
      <end>3</end>
      <status>unmodified</status>
      <modifiedWord/>
      <trackRevisions>false</trackRevisions>
    </reviewItem>
    <reviewItem>
      <errorID>75bc5391-57db-485f-869a-79c3532dc9e2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6960B655</paraID>
      <start>0</start>
      <end>3</end>
      <status>unmodified</status>
      <modifiedWord/>
      <trackRevisions>false</trackRevisions>
    </reviewItem>
    <reviewItem>
      <errorID>0228b9aa-a934-45a4-a7f2-5d23c3a2143b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D2939F9</paraID>
      <start>0</start>
      <end>2</end>
      <status>unmodified</status>
      <modifiedWord/>
      <trackRevisions>false</trackRevisions>
    </reviewItem>
    <reviewItem>
      <errorID>43c7b7b5-8c5e-4f0b-bbcc-a21e8cbc4540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48BA2ABF</paraID>
      <start>0</start>
      <end>2</end>
      <status>unmodified</status>
      <modifiedWord/>
      <trackRevisions>false</trackRevisions>
    </reviewItem>
    <reviewItem>
      <errorID>1aadd808-b5cd-4d05-b5cb-cd8e796d924a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3598A024</paraID>
      <start>0</start>
      <end>2</end>
      <status>unmodified</status>
      <modifiedWord/>
      <trackRevisions>false</trackRevisions>
    </reviewItem>
    <reviewItem>
      <errorID>25670235-6059-4fc2-8cc5-857558458143</errorID>
      <errorWord>格</errorWord>
      <group>L1_Word</group>
      <groupName>字词问题</groupName>
      <ability>L2_Typo</ability>
      <abilityName>字词错误</abilityName>
      <candidateList>
        <item>格由</item>
      </candidateList>
      <explain/>
      <paraID>48062B52</paraID>
      <start>46</start>
      <end>47</end>
      <status>unmodified</status>
      <modifiedWord/>
      <trackRevisions>false</trackRevisions>
    </reviewItem>
    <reviewItem>
      <errorID>1ff232fc-ab19-49cc-8f41-02b0f922ad65</errorID>
      <errorWord>,</errorWord>
      <group>L1_Format</group>
      <groupName>格式问题</groupName>
      <ability>L2_HalfPunc</ability>
      <abilityName>全半角检查</abilityName>
      <candidateList>
        <item>，</item>
      </candidateList>
      <explain>文本全半角错误。</explain>
      <paraID>538ACDF3</paraID>
      <start>143</start>
      <end>144</end>
      <status>modified</status>
      <modifiedWord>，</modifiedWord>
      <trackRevisions>false</trackRevisions>
    </reviewItem>
    <reviewItem>
      <errorID>7711d885-f6c5-4fe4-aeae-171b11c01ba1</errorID>
      <errorWord>，</errorWord>
      <group>L1_Word</group>
      <groupName>字词问题</groupName>
      <ability>L2_Typo</ability>
      <abilityName>字词错误</abilityName>
      <candidateList>
        <item>，并</item>
      </candidateList>
      <explain/>
      <paraID>538ACDF3</paraID>
      <start>177</start>
      <end>178</end>
      <status>unmodified</status>
      <modifiedWord/>
      <trackRevisions>false</trackRevisions>
    </reviewItem>
    <reviewItem>
      <errorID>92b5f056-8eb8-458f-b3fb-37b180825d82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75CAD96A</paraID>
      <start>0</start>
      <end>2</end>
      <status>unmodified</status>
      <modifiedWord/>
      <trackRevisions>false</trackRevisions>
    </reviewItem>
    <reviewItem>
      <errorID>4dc4dbfb-d143-4fc0-b0a1-6fdaed768f90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5D13A846</paraID>
      <start>1</start>
      <end>3</end>
      <status>unmodified</status>
      <modifiedWord/>
      <trackRevisions>false</trackRevisions>
    </reviewItem>
    <reviewItem>
      <errorID>7edd2b83-7cc7-4b8a-968e-d77095c46fe7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600702CC</paraID>
      <start>1</start>
      <end>3</end>
      <status>unmodified</status>
      <modifiedWord/>
      <trackRevisions>false</trackRevisions>
    </reviewItem>
    <reviewItem>
      <errorID>23075212-45cb-4814-8328-b1bd8063619e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308E0AC3</paraID>
      <start>1</start>
      <end>3</end>
      <status>unmodified</status>
      <modifiedWord/>
      <trackRevisions>false</trackRevisions>
    </reviewItem>
    <reviewItem>
      <errorID>8d61a485-9a33-4163-b567-6903b611a8aa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4129811D</paraID>
      <start>0</start>
      <end>2</end>
      <status>unmodified</status>
      <modifiedWord/>
      <trackRevisions>false</trackRevisions>
    </reviewItem>
    <reviewItem>
      <errorID>8716f6e5-e6f9-43fc-a029-0db77a00f710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662166FD</paraID>
      <start>0</start>
      <end>2</end>
      <status>unmodified</status>
      <modifiedWord/>
      <trackRevisions>false</trackRevisions>
    </reviewItem>
    <reviewItem>
      <errorID>c4a6f9cf-f158-49f0-bc30-a03958992532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729039F0</paraID>
      <start>0</start>
      <end>2</end>
      <status>unmodified</status>
      <modifiedWord/>
      <trackRevisions>false</trackRevisions>
    </reviewItem>
    <reviewItem>
      <errorID>8e7060e7-63a2-4149-b157-fb55d0ccb284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22158BEA</paraID>
      <start>1</start>
      <end>3</end>
      <status>unmodified</status>
      <modifiedWord/>
      <trackRevisions>false</trackRevisions>
    </reviewItem>
    <reviewItem>
      <errorID>022abc27-1624-4ab0-9d22-d0cf23e11a75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3B5865F3</paraID>
      <start>0</start>
      <end>3</end>
      <status>unmodified</status>
      <modifiedWord/>
      <trackRevisions>false</trackRevisions>
    </reviewItem>
    <reviewItem>
      <errorID>207cb857-6692-49b5-8ffa-9e4e2d85ce95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3E3E5D33</paraID>
      <start>0</start>
      <end>3</end>
      <status>unmodified</status>
      <modifiedWord/>
      <trackRevisions>false</trackRevisions>
    </reviewItem>
    <reviewItem>
      <errorID>0d934494-b19b-47ca-aaf3-2a53bf05e360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34A83AC6</paraID>
      <start>0</start>
      <end>2</end>
      <status>unmodified</status>
      <modifiedWord/>
      <trackRevisions>false</trackRevisions>
    </reviewItem>
    <reviewItem>
      <errorID>ba8c48ce-7900-4fe3-ada3-750a7ee01b06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5FFD5523</paraID>
      <start>0</start>
      <end>2</end>
      <status>unmodified</status>
      <modifiedWord/>
      <trackRevisions>false</trackRevisions>
    </reviewItem>
    <reviewItem>
      <errorID>991419fc-5bcb-4fb1-9b2d-276f4cb80c36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6791D579</paraID>
      <start>0</start>
      <end>2</end>
      <status>unmodified</status>
      <modifiedWord/>
      <trackRevisions>false</trackRevisions>
    </reviewItem>
    <reviewItem>
      <errorID>3e999ce1-6086-498b-b9f0-6029ca5560c7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264E5992</paraID>
      <start>0</start>
      <end>2</end>
      <status>unmodified</status>
      <modifiedWord/>
      <trackRevisions>false</trackRevisions>
    </reviewItem>
    <reviewItem>
      <errorID>8e935cd9-b4f7-4eb5-9345-ff2b5096f5b4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66186B36</paraID>
      <start>0</start>
      <end>2</end>
      <status>unmodified</status>
      <modifiedWord/>
      <trackRevisions>false</trackRevisions>
    </reviewItem>
    <reviewItem>
      <errorID>2d6e2119-1188-490a-9cf7-1eb3a0ee4485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6659EAA</paraID>
      <start>0</start>
      <end>2</end>
      <status>unmodified</status>
      <modifiedWord/>
      <trackRevisions>false</trackRevisions>
    </reviewItem>
    <reviewItem>
      <errorID>30d2eeb0-5627-4757-ab68-6bd28f7968e8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63758D0E</paraID>
      <start>0</start>
      <end>2</end>
      <status>unmodified</status>
      <modifiedWord/>
      <trackRevisions>false</trackRevisions>
    </reviewItem>
    <reviewItem>
      <errorID>061515e7-905a-4327-bd7a-06c1e8b12188</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63758D0E</paraID>
      <start>132</start>
      <end>135</end>
      <status>unmodified</status>
      <modifiedWord/>
      <trackRevisions>false</trackRevisions>
    </reviewItem>
    <reviewItem>
      <errorID>e6fd0759-9ffe-479c-a5b2-76385f3f3c14</errorID>
      <errorWord>分检</errorWord>
      <group>L1_Word</group>
      <groupName>字词问题</groupName>
      <ability>L2_Typo</ability>
      <abilityName>字词错误</abilityName>
      <candidateList>
        <item>分拣</item>
      </candidateList>
      <explain/>
      <paraID>63758D0E</paraID>
      <start>201</start>
      <end>203</end>
      <status>unmodified</status>
      <modifiedWord/>
      <trackRevisions>false</trackRevisions>
    </reviewItem>
    <reviewItem>
      <errorID>3b6e5961-d7cc-4300-bcb7-89f7fe761b13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6B352E86</paraID>
      <start>0</start>
      <end>2</end>
      <status>unmodified</status>
      <modifiedWord/>
      <trackRevisions>false</trackRevisions>
    </reviewItem>
    <reviewItem>
      <errorID>02aaa2f7-49fe-4667-9129-551941998e6e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307297D2</paraID>
      <start>0</start>
      <end>2</end>
      <status>unmodified</status>
      <modifiedWord/>
      <trackRevisions>false</trackRevisions>
    </reviewItem>
    <reviewItem>
      <errorID>0f08f03d-a9d1-46ec-95b9-881e7bbd9857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E01C0AB</paraID>
      <start>0</start>
      <end>2</end>
      <status>unmodified</status>
      <modifiedWord/>
      <trackRevisions>false</trackRevisions>
    </reviewItem>
    <reviewItem>
      <errorID>3c2fbf52-1c86-4e6e-806c-0b759a9a2508</errorID>
      <errorWord>钮扣</errorWord>
      <group>L1_Word</group>
      <groupName>字词问题</groupName>
      <ability>L2_Typo</ability>
      <abilityName>字词错误</abilityName>
      <candidateList>
        <item>纽扣</item>
      </candidateList>
      <explain>（～儿）〈名〉可以把衣服等扣起来的小形球状物或片状物。</explain>
      <paraID> E01C0AB</paraID>
      <start>46</start>
      <end>48</end>
      <status>unmodified</status>
      <modifiedWord/>
      <trackRevisions>false</trackRevisions>
    </reviewItem>
    <reviewItem>
      <errorID>8c20b25f-b926-43f0-8e58-b9062f5e05d2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5E4BAF7A</paraID>
      <start>0</start>
      <end>2</end>
      <status>unmodified</status>
      <modifiedWord/>
      <trackRevisions>false</trackRevisions>
    </reviewItem>
    <reviewItem>
      <errorID>1be0632d-f0f4-4841-bc51-f8d3f5d52b66</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5E4BAF7A</paraID>
      <start>3</start>
      <end>4</end>
      <status>unmodified</status>
      <modifiedWord/>
      <trackRevisions>false</trackRevisions>
    </reviewItem>
    <reviewItem>
      <errorID>7aa6d9c6-dc95-479c-ba0f-8baea50a1fb3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699D0593</paraID>
      <start>0</start>
      <end>2</end>
      <status>unmodified</status>
      <modifiedWord/>
      <trackRevisions>false</trackRevisions>
    </reviewItem>
    <reviewItem>
      <errorID>fc680de1-61f5-4777-b45d-347027dc8190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1ECFDC05</paraID>
      <start>0</start>
      <end>2</end>
      <status>unmodified</status>
      <modifiedWord/>
      <trackRevisions>false</trackRevisions>
    </reviewItem>
    <reviewItem>
      <errorID>77bef477-36d2-40ae-ae3d-53744dfd87e6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762D92F0</paraID>
      <start>0</start>
      <end>2</end>
      <status>unmodified</status>
      <modifiedWord/>
      <trackRevisions>false</trackRevisions>
    </reviewItem>
    <reviewItem>
      <errorID>19ba8e26-fcca-4190-9c5e-40058b47a660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7C23AECC</paraID>
      <start>0</start>
      <end>2</end>
      <status>unmodified</status>
      <modifiedWord/>
      <trackRevisions>false</trackRevisions>
    </reviewItem>
    <reviewItem>
      <errorID>8647d169-5d47-46c5-95f2-1a5d0a74793c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1D079521</paraID>
      <start>0</start>
      <end>2</end>
      <status>unmodified</status>
      <modifiedWord/>
      <trackRevisions>false</trackRevisions>
    </reviewItem>
    <reviewItem>
      <errorID>7f7fc6d7-3ba5-459b-8de5-67fb9a5e6e15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291FF67B</paraID>
      <start>0</start>
      <end>2</end>
      <status>unmodified</status>
      <modifiedWord/>
      <trackRevisions>false</trackRevisions>
    </reviewItem>
    <reviewItem>
      <errorID>bc54cd9b-2194-40f8-8c1e-276bdcf49091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25E2733F</paraID>
      <start>0</start>
      <end>2</end>
      <status>unmodified</status>
      <modifiedWord/>
      <trackRevisions>false</trackRevisions>
    </reviewItem>
    <reviewItem>
      <errorID>028d40c2-7edf-4bb1-8de2-819873507557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24215F53</paraID>
      <start>0</start>
      <end>2</end>
      <status>unmodified</status>
      <modifiedWord/>
      <trackRevisions>false</trackRevisions>
    </reviewItem>
    <reviewItem>
      <errorID>442b03e1-5341-419e-829b-f6c3c8320277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20FB20B6</paraID>
      <start>0</start>
      <end>2</end>
      <status>unmodified</status>
      <modifiedWord/>
      <trackRevisions>false</trackRevisions>
    </reviewItem>
    <reviewItem>
      <errorID>fb1cf245-e931-4a27-b63c-a8ca72fcbd68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6A71E15A</paraID>
      <start>0</start>
      <end>2</end>
      <status>unmodified</status>
      <modifiedWord/>
      <trackRevisions>false</trackRevisions>
    </reviewItem>
    <reviewItem>
      <errorID>aac312d5-c78a-4ac0-90b1-0b93994673ca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7FCCE806</paraID>
      <start>0</start>
      <end>2</end>
      <status>unmodified</status>
      <modifiedWord/>
      <trackRevisions>false</trackRevisions>
    </reviewItem>
    <reviewItem>
      <errorID>13f67940-0bd1-4e63-b182-8aba4b196c64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69B46E41</paraID>
      <start>0</start>
      <end>2</end>
      <status>unmodified</status>
      <modifiedWord/>
      <trackRevisions>false</trackRevisions>
    </reviewItem>
    <reviewItem>
      <errorID>3154fa70-1a15-417e-aae4-a43bdf8dbdff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50D0E103</paraID>
      <start>0</start>
      <end>2</end>
      <status>unmodified</status>
      <modifiedWord/>
      <trackRevisions>false</trackRevisions>
    </reviewItem>
    <reviewItem>
      <errorID>d80f8d68-df75-478f-b860-774e0878a4ff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67738654</paraID>
      <start>0</start>
      <end>2</end>
      <status>unmodified</status>
      <modifiedWord/>
      <trackRevisions>false</trackRevisions>
    </reviewItem>
    <reviewItem>
      <errorID>60fdb4f5-4819-456a-a56f-a45241d67df8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1C3F8B6A</paraID>
      <start>0</start>
      <end>2</end>
      <status>unmodified</status>
      <modifiedWord/>
      <trackRevisions>false</trackRevisions>
    </reviewItem>
    <reviewItem>
      <errorID>e41df42f-204d-4989-825f-d701ab3fed98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6CD4589A</paraID>
      <start>0</start>
      <end>2</end>
      <status>unmodified</status>
      <modifiedWord/>
      <trackRevisions>false</trackRevisions>
    </reviewItem>
    <reviewItem>
      <errorID>2574f1fc-d449-4867-a16d-4cdf3e4bb63f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773CB8E6</paraID>
      <start>0</start>
      <end>2</end>
      <status>unmodified</status>
      <modifiedWord/>
      <trackRevisions>false</trackRevisions>
    </reviewItem>
    <reviewItem>
      <errorID>f5d4b5a1-7e58-4d77-913b-66df3c98d4fc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12D40D4D</paraID>
      <start>0</start>
      <end>2</end>
      <status>unmodified</status>
      <modifiedWord/>
      <trackRevisions>false</trackRevisions>
    </reviewItem>
    <reviewItem>
      <errorID>67d6ce3e-cd3c-4216-b488-e7e1ad08f403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42493568</paraID>
      <start>0</start>
      <end>2</end>
      <status>unmodified</status>
      <modifiedWord/>
      <trackRevisions>false</trackRevisions>
    </reviewItem>
    <reviewItem>
      <errorID>b0416c61-e337-43dc-825a-2d4c34fb2dde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656E403B</paraID>
      <start>0</start>
      <end>2</end>
      <status>unmodified</status>
      <modifiedWord/>
      <trackRevisions>false</trackRevisions>
    </reviewItem>
    <reviewItem>
      <errorID>8e958c1f-7c01-4fbf-8e02-a0d23bb38145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390A851F</paraID>
      <start>0</start>
      <end>2</end>
      <status>unmodified</status>
      <modifiedWord/>
      <trackRevisions>false</trackRevisions>
    </reviewItem>
    <reviewItem>
      <errorID>6cb4395c-951e-4265-9259-74945ef2f257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EFC3F8</paraID>
      <start>0</start>
      <end>2</end>
      <status>unmodified</status>
      <modifiedWord/>
      <trackRevisions>false</trackRevisions>
    </reviewItem>
    <reviewItem>
      <errorID>2233ece5-663a-4957-93c5-74a404bd8f03</errorID>
      <errorWord>第49条</errorWord>
      <group>L1_Knowledge</group>
      <groupName>知识性问题</groupName>
      <ability>L2_Knowledge</ability>
      <abilityName>其他知识</abilityName>
      <candidateList>
        <item>第四十九条</item>
      </candidateList>
      <explain/>
      <paraID>67305806</paraID>
      <start>17</start>
      <end>21</end>
      <status>unmodified</status>
      <modifiedWord/>
      <trackRevisions>false</trackRevisions>
    </reviewItem>
    <reviewItem>
      <errorID>02666e6d-5005-4fc9-aa50-e64d60688f37</errorID>
      <errorWord>害</errorWord>
      <group>L1_Word</group>
      <groupName>字词问题</groupName>
      <ability>L2_Typo</ability>
      <abilityName>字词错误</abilityName>
      <candidateList>
        <item>害保</item>
      </candidateList>
      <explain/>
      <paraID> F2CE7F5</paraID>
      <start>61</start>
      <end>62</end>
      <status>unmodified</status>
      <modifiedWord/>
      <trackRevisions>false</trackRevisions>
    </reviewItem>
    <reviewItem>
      <errorID>6a15ad57-8e53-4795-ac17-de978cda9b34</errorID>
      <errorWord>法律、法规</errorWord>
      <group>L1_Word</group>
      <groupName>字词问题</groupName>
      <ability>L2_Typo</ability>
      <abilityName>字词错误</abilityName>
      <candidateList>
        <item>法律法规</item>
      </candidateList>
      <explain/>
      <paraID>39122FBB</paraID>
      <start>48</start>
      <end>53</end>
      <status>unmodified</status>
      <modifiedWord/>
      <trackRevisions>false</trackRevisions>
    </reviewItem>
    <reviewItem>
      <errorID>2801c790-ff41-4b44-9290-9e646c655df0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C8BDA6E</paraID>
      <start>0</start>
      <end>2</end>
      <status>unmodified</status>
      <modifiedWord/>
      <trackRevisions>false</trackRevisions>
    </reviewItem>
    <reviewItem>
      <errorID>a02b8179-7122-4032-aa08-a7f87047c1ca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35562F33</paraID>
      <start>0</start>
      <end>2</end>
      <status>unmodified</status>
      <modifiedWord/>
      <trackRevisions>false</trackRevisions>
    </reviewItem>
    <reviewItem>
      <errorID>6d32fead-08b8-4179-bfcb-89954033127a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7D14541E</paraID>
      <start>0</start>
      <end>2</end>
      <status>unmodified</status>
      <modifiedWord/>
      <trackRevisions>false</trackRevisions>
    </reviewItem>
    <reviewItem>
      <errorID>694b976d-6c0b-49f2-986c-8ca26dfe9009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3479B065</paraID>
      <start>0</start>
      <end>2</end>
      <status>unmodified</status>
      <modifiedWord/>
      <trackRevisions>false</trackRevisions>
    </reviewItem>
    <reviewItem>
      <errorID>ac802f13-ad6a-42dd-9277-41a1e6f056c0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2382EF0D</paraID>
      <start>0</start>
      <end>2</end>
      <status>unmodified</status>
      <modifiedWord/>
      <trackRevisions>false</trackRevisions>
    </reviewItem>
    <reviewItem>
      <errorID>4fbc8400-a47a-4b31-91bc-1dbb7cac7731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46161AF6</paraID>
      <start>0</start>
      <end>2</end>
      <status>unmodified</status>
      <modifiedWord/>
      <trackRevisions>false</trackRevisions>
    </reviewItem>
    <reviewItem>
      <errorID>7eee9998-0223-4739-8e76-238181dc3e61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8FBAF0F</paraID>
      <start>0</start>
      <end>2</end>
      <status>unmodified</status>
      <modifiedWord/>
      <trackRevisions>false</trackRevisions>
    </reviewItem>
    <reviewItem>
      <errorID>2a05ed4d-4ef1-4cda-800c-a7f01274f080</errorID>
      <errorWord>，</errorWord>
      <group>L1_Word</group>
      <groupName>字词问题</groupName>
      <ability>L2_Typo</ability>
      <abilityName>字词错误</abilityName>
      <candidateList>
        <item>，具</item>
      </candidateList>
      <explain/>
      <paraID>732695D5</paraID>
      <start>20</start>
      <end>21</end>
      <status>unmodified</status>
      <modifiedWord/>
      <trackRevisions>false</trackRevisions>
    </reviewItem>
    <reviewItem>
      <errorID>ba7833af-ffb7-435c-8ac4-98eda78ff6e5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2A6E94DB</paraID>
      <start>0</start>
      <end>2</end>
      <status>unmodified</status>
      <modifiedWord/>
      <trackRevisions>false</trackRevisions>
    </reviewItem>
    <reviewItem>
      <errorID>adf5e7a9-09a3-459a-9366-2b708372b6f5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30A53EBA</paraID>
      <start>0</start>
      <end>2</end>
      <status>unmodified</status>
      <modifiedWord/>
      <trackRevisions>false</trackRevisions>
    </reviewItem>
    <reviewItem>
      <errorID>8a6e9ffd-5c88-4cfe-b7cd-e49175450f4f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33A3BCE</paraID>
      <start>1</start>
      <end>3</end>
      <status>unmodified</status>
      <modifiedWord/>
      <trackRevisions>false</trackRevisions>
    </reviewItem>
    <reviewItem>
      <errorID>7c52bd6c-1fc0-4b0a-8905-ddee610f6287</errorID>
      <errorWord>（</errorWord>
      <group>L1_Word</group>
      <groupName>字词问题</groupName>
      <ability>L2_Typo</ability>
      <abilityName>字词错误</abilityName>
      <candidateList>
        <item>（在</item>
      </candidateList>
      <explain/>
      <paraID> 33A3BCE</paraID>
      <start>21</start>
      <end>22</end>
      <status>unmodified</status>
      <modifiedWord/>
      <trackRevisions>false</trackRevisions>
    </reviewItem>
    <reviewItem>
      <errorID>a95e130d-3cb3-4f09-870d-26a832678e66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51FB76BA</paraID>
      <start>0</start>
      <end>2</end>
      <status>unmodified</status>
      <modifiedWord/>
      <trackRevisions>false</trackRevisions>
    </reviewItem>
    <reviewItem>
      <errorID>edfdfaa5-bff0-4f58-b599-21780b8e9845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705A3B54</paraID>
      <start>0</start>
      <end>2</end>
      <status>unmodified</status>
      <modifiedWord/>
      <trackRevisions>false</trackRevisions>
    </reviewItem>
    <reviewItem>
      <errorID>76b4154c-340f-4a12-bdeb-8e1085576b32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88769F</paraID>
      <start>0</start>
      <end>2</end>
      <status>unmodified</status>
      <modifiedWord/>
      <trackRevisions>false</trackRevisions>
    </reviewItem>
    <reviewItem>
      <errorID>e7e9ff3b-15d8-46d6-83c6-5b15d5dec523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621A30B0</paraID>
      <start>0</start>
      <end>2</end>
      <status>unmodified</status>
      <modifiedWord/>
      <trackRevisions>false</trackRevisions>
    </reviewItem>
    <reviewItem>
      <errorID>2628b4d6-7979-4245-b4d4-9be1d5c714e8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14191DEF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67F89-FA23-4449-8AC0-A9ED4FDEFCE6}">
  <ds:schemaRefs/>
</ds:datastoreItem>
</file>

<file path=docProps/app.xml><?xml version="1.0" encoding="utf-8"?>
<Properties xmlns="http://schemas.openxmlformats.org/officeDocument/2006/extended-properties" xmlns:vt="http://schemas.openxmlformats.org/officeDocument/2006/docPropsVTypes">
  <Template>Nor</Template>
  <Company>Len</Company>
  <Pages>58</Pages>
  <Words>18842</Words>
  <Characters>20966</Characters>
  <TotalTime>0</TotalTime>
  <ScaleCrop>false</ScaleCrop>
  <LinksUpToDate>false</LinksUpToDate>
  <CharactersWithSpaces>21620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2023-11-01T00:28:00Z</dcterms:created>
  <dc:creator>苏州时代招投</dc:creator>
  <cp:lastModifiedBy>苏州时代招投标有限公司</cp:lastModifiedBy>
  <dcterms:modified xsi:type="dcterms:W3CDTF">2026-03-06T05:59:24Z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DD84A3A711DA429888B2D7B16C314FD9_13</vt:lpwstr>
  </property>
  <property fmtid="{D5CDD505-2E9C-101B-9397-08002B2CF9AE}" pid="4" name="KSOTemplateDocerSaveRecord">
    <vt:lpwstr>eyJoZGlkIjoiOTlhNDliM2I1ODI1ZDA2NDllOGVkY2I2ZTkwYjJiZTYiLCJ1c2VySWQiOiIzODU3NzkzMjgifQ==</vt:lpwstr>
  </property>
</Properties>
</file>