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3A115">
      <w:pPr>
        <w:pStyle w:val="5"/>
        <w:jc w:val="center"/>
        <w:rPr>
          <w:rFonts w:hint="eastAsia" w:ascii="宋体" w:eastAsia="宋体" w:cs="宋体"/>
          <w:b/>
          <w:bCs/>
          <w:color w:val="auto"/>
          <w:kern w:val="2"/>
          <w:sz w:val="32"/>
          <w:szCs w:val="32"/>
          <w:highlight w:val="none"/>
          <w:lang w:val="en-US" w:eastAsia="zh-CN" w:bidi="ar-SA"/>
        </w:rPr>
      </w:pPr>
      <w:r>
        <w:rPr>
          <w:rFonts w:hint="eastAsia" w:ascii="宋体" w:eastAsia="宋体" w:cs="宋体"/>
          <w:b/>
          <w:bCs/>
          <w:color w:val="auto"/>
          <w:kern w:val="2"/>
          <w:sz w:val="32"/>
          <w:szCs w:val="32"/>
          <w:highlight w:val="none"/>
          <w:lang w:val="en-US" w:eastAsia="zh-CN" w:bidi="ar-SA"/>
        </w:rPr>
        <w:t>江苏省公安厅采购第二批警犬犬种项目合同</w:t>
      </w:r>
    </w:p>
    <w:p w14:paraId="76E819C3">
      <w:pPr>
        <w:rPr>
          <w:rFonts w:hint="eastAsia"/>
          <w:color w:val="auto"/>
          <w:highlight w:val="none"/>
        </w:rPr>
      </w:pPr>
    </w:p>
    <w:p w14:paraId="6DAC6203">
      <w:pPr>
        <w:keepNext w:val="0"/>
        <w:keepLines w:val="0"/>
        <w:pageBreakBefore w:val="0"/>
        <w:widowControl w:val="0"/>
        <w:wordWrap/>
        <w:overflowPunct/>
        <w:topLinePunct w:val="0"/>
        <w:bidi w:val="0"/>
        <w:spacing w:line="400" w:lineRule="exact"/>
        <w:ind w:firstLine="480"/>
        <w:jc w:val="left"/>
        <w:rPr>
          <w:rFonts w:hint="eastAsia" w:ascii="宋体" w:eastAsia="宋体" w:cs="宋体"/>
          <w:color w:val="auto"/>
          <w:sz w:val="24"/>
          <w:szCs w:val="24"/>
          <w:highlight w:val="none"/>
        </w:rPr>
      </w:pPr>
      <w:r>
        <w:rPr>
          <w:rFonts w:hint="eastAsia" w:ascii="宋体" w:eastAsia="宋体" w:cs="宋体"/>
          <w:color w:val="auto"/>
          <w:sz w:val="24"/>
          <w:szCs w:val="24"/>
          <w:highlight w:val="none"/>
        </w:rPr>
        <w:t>根据《中华人民共和国民法典》及有关法律、法规的规定，甲乙双方在自愿、公平、诚实信用、等价有偿原则的基础上，经充分协商，就乙方向甲方提供</w:t>
      </w:r>
      <w:r>
        <w:rPr>
          <w:rFonts w:hint="eastAsia" w:ascii="宋体" w:cs="宋体"/>
          <w:bCs/>
          <w:color w:val="auto"/>
          <w:sz w:val="24"/>
          <w:szCs w:val="24"/>
          <w:highlight w:val="none"/>
          <w:u w:val="single"/>
          <w:lang w:eastAsia="zh-CN"/>
        </w:rPr>
        <w:t>江苏省公安厅采购第二批警犬犬种项目（</w:t>
      </w:r>
      <w:r>
        <w:rPr>
          <w:rFonts w:hint="eastAsia" w:ascii="宋体" w:cs="宋体"/>
          <w:bCs/>
          <w:color w:val="auto"/>
          <w:sz w:val="24"/>
          <w:szCs w:val="24"/>
          <w:highlight w:val="none"/>
          <w:u w:val="single"/>
          <w:lang w:val="en-US" w:eastAsia="zh-CN"/>
        </w:rPr>
        <w:t>分包：</w:t>
      </w:r>
      <w:r>
        <w:rPr>
          <w:rFonts w:ascii="宋体" w:cs="宋体"/>
          <w:bCs/>
          <w:color w:val="auto"/>
          <w:sz w:val="24"/>
          <w:szCs w:val="24"/>
          <w:highlight w:val="none"/>
          <w:u w:val="single"/>
          <w:lang w:val="en-US" w:eastAsia="zh-CN"/>
        </w:rPr>
        <w:t>二</w:t>
      </w:r>
      <w:r>
        <w:rPr>
          <w:rFonts w:hint="eastAsia" w:ascii="宋体" w:cs="宋体"/>
          <w:bCs/>
          <w:color w:val="auto"/>
          <w:sz w:val="24"/>
          <w:szCs w:val="24"/>
          <w:highlight w:val="none"/>
          <w:u w:val="single"/>
          <w:lang w:val="en-US" w:eastAsia="zh-CN"/>
        </w:rPr>
        <w:t xml:space="preserve"> ）</w:t>
      </w:r>
      <w:r>
        <w:rPr>
          <w:rFonts w:hint="eastAsia" w:ascii="宋体" w:eastAsia="宋体" w:cs="宋体"/>
          <w:bCs/>
          <w:color w:val="auto"/>
          <w:sz w:val="24"/>
          <w:szCs w:val="24"/>
          <w:highlight w:val="none"/>
        </w:rPr>
        <w:t>，</w:t>
      </w:r>
      <w:r>
        <w:rPr>
          <w:rFonts w:hint="eastAsia" w:ascii="宋体" w:eastAsia="宋体" w:cs="宋体"/>
          <w:color w:val="auto"/>
          <w:sz w:val="24"/>
          <w:szCs w:val="24"/>
          <w:highlight w:val="none"/>
        </w:rPr>
        <w:t>订立本合同。</w:t>
      </w:r>
    </w:p>
    <w:p w14:paraId="1747DDEF">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rPr>
      </w:pPr>
      <w:r>
        <w:rPr>
          <w:rFonts w:hint="eastAsia" w:ascii="宋体" w:eastAsia="宋体" w:cs="宋体"/>
          <w:color w:val="auto"/>
          <w:sz w:val="24"/>
          <w:szCs w:val="24"/>
          <w:highlight w:val="none"/>
        </w:rPr>
        <w:t>甲方：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江苏省公安厅</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 xml:space="preserve"> </w:t>
      </w:r>
    </w:p>
    <w:p w14:paraId="3E904C25">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u w:val="single"/>
        </w:rPr>
      </w:pPr>
      <w:r>
        <w:rPr>
          <w:rFonts w:hint="eastAsia" w:ascii="宋体" w:eastAsia="宋体" w:cs="宋体"/>
          <w:color w:val="auto"/>
          <w:sz w:val="24"/>
          <w:szCs w:val="24"/>
          <w:highlight w:val="none"/>
        </w:rPr>
        <w:t>乙方：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 xml:space="preserve">徐州初心宠物服务有限公司        </w:t>
      </w:r>
      <w:r>
        <w:rPr>
          <w:rFonts w:hint="eastAsia" w:ascii="宋体" w:eastAsia="宋体" w:cs="宋体"/>
          <w:color w:val="auto"/>
          <w:sz w:val="24"/>
          <w:szCs w:val="24"/>
          <w:highlight w:val="none"/>
          <w:u w:val="single"/>
        </w:rPr>
        <w:t xml:space="preserve">  </w:t>
      </w:r>
    </w:p>
    <w:p w14:paraId="5ED3763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一、产品名称、单价</w:t>
      </w:r>
    </w:p>
    <w:tbl>
      <w:tblPr>
        <w:tblStyle w:val="6"/>
        <w:tblW w:w="505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56"/>
        <w:gridCol w:w="1056"/>
        <w:gridCol w:w="2072"/>
        <w:gridCol w:w="848"/>
        <w:gridCol w:w="315"/>
        <w:gridCol w:w="5"/>
        <w:gridCol w:w="320"/>
        <w:gridCol w:w="1562"/>
        <w:gridCol w:w="1169"/>
      </w:tblGrid>
      <w:tr w14:paraId="5D88C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628" w:type="pct"/>
            <w:tcBorders>
              <w:top w:val="single" w:color="000000" w:sz="2" w:space="0"/>
              <w:left w:val="single" w:color="000000" w:sz="2" w:space="0"/>
              <w:bottom w:val="single" w:color="000000" w:sz="2" w:space="0"/>
              <w:right w:val="single" w:color="000000" w:sz="2" w:space="0"/>
            </w:tcBorders>
            <w:noWrap/>
            <w:vAlign w:val="center"/>
          </w:tcPr>
          <w:p w14:paraId="487407AB">
            <w:pPr>
              <w:jc w:val="center"/>
              <w:rPr>
                <w:rFonts w:ascii="Calibri" w:hAnsi="Calibri" w:eastAsia="宋体" w:cs="Times New Roman"/>
                <w:color w:val="auto"/>
                <w:highlight w:val="none"/>
                <w:lang w:val="en-US" w:eastAsia="zh-CN"/>
              </w:rPr>
            </w:pPr>
          </w:p>
          <w:p w14:paraId="1FC4959F">
            <w:pPr>
              <w:bidi w:val="0"/>
              <w:jc w:val="center"/>
              <w:rPr>
                <w:rFonts w:ascii="Calibri" w:hAnsi="Calibri" w:eastAsia="宋体" w:cs="Times New Roman"/>
                <w:color w:val="auto"/>
                <w:kern w:val="2"/>
                <w:sz w:val="21"/>
                <w:szCs w:val="22"/>
                <w:highlight w:val="none"/>
                <w:lang w:val="en-US" w:eastAsia="zh-CN" w:bidi="ar-SA"/>
              </w:rPr>
            </w:pPr>
            <w:r>
              <w:rPr>
                <w:rFonts w:hint="eastAsia" w:ascii="Calibri" w:hAnsi="Calibri" w:eastAsia="宋体" w:cs="Times New Roman"/>
                <w:color w:val="auto"/>
                <w:kern w:val="2"/>
                <w:sz w:val="21"/>
                <w:szCs w:val="22"/>
                <w:highlight w:val="none"/>
                <w:lang w:val="en-US" w:eastAsia="zh-CN" w:bidi="ar-SA"/>
              </w:rPr>
              <w:t>交付批次</w:t>
            </w:r>
          </w:p>
        </w:tc>
        <w:tc>
          <w:tcPr>
            <w:tcW w:w="628" w:type="pct"/>
            <w:tcBorders>
              <w:top w:val="single" w:color="000000" w:sz="2" w:space="0"/>
              <w:left w:val="single" w:color="000000" w:sz="2" w:space="0"/>
              <w:bottom w:val="single" w:color="000000" w:sz="2" w:space="0"/>
              <w:right w:val="single" w:color="000000" w:sz="2" w:space="0"/>
            </w:tcBorders>
            <w:noWrap/>
            <w:vAlign w:val="center"/>
          </w:tcPr>
          <w:p w14:paraId="549AF2E9">
            <w:pPr>
              <w:jc w:val="center"/>
              <w:rPr>
                <w:rFonts w:hint="eastAsia" w:ascii="Calibri" w:hAnsi="Calibri" w:eastAsia="宋体" w:cs="Times New Roman"/>
                <w:color w:val="auto"/>
                <w:highlight w:val="none"/>
              </w:rPr>
            </w:pPr>
          </w:p>
          <w:p w14:paraId="64D2AD40">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品种</w:t>
            </w:r>
          </w:p>
        </w:tc>
        <w:tc>
          <w:tcPr>
            <w:tcW w:w="1233" w:type="pct"/>
            <w:tcBorders>
              <w:top w:val="single" w:color="000000" w:sz="2" w:space="0"/>
              <w:left w:val="single" w:color="000000" w:sz="2" w:space="0"/>
              <w:bottom w:val="single" w:color="000000" w:sz="2" w:space="0"/>
              <w:right w:val="single" w:color="000000" w:sz="2" w:space="0"/>
            </w:tcBorders>
            <w:noWrap/>
            <w:vAlign w:val="center"/>
          </w:tcPr>
          <w:p w14:paraId="1AAA4C9A">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eastAsia="zh-CN"/>
              </w:rPr>
              <w:t xml:space="preserve"> </w:t>
            </w:r>
            <w:r>
              <w:rPr>
                <w:rFonts w:hint="eastAsia" w:ascii="Calibri" w:hAnsi="Calibri" w:eastAsia="宋体" w:cs="Times New Roman"/>
                <w:color w:val="auto"/>
                <w:highlight w:val="none"/>
                <w:lang w:val="en-US"/>
              </w:rPr>
              <w:t>性别、</w:t>
            </w:r>
          </w:p>
          <w:p w14:paraId="2485B2FA">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年龄</w:t>
            </w:r>
          </w:p>
        </w:tc>
        <w:tc>
          <w:tcPr>
            <w:tcW w:w="504" w:type="pct"/>
            <w:tcBorders>
              <w:top w:val="single" w:color="000000" w:sz="2" w:space="0"/>
              <w:left w:val="single" w:color="000000" w:sz="2" w:space="0"/>
              <w:bottom w:val="single" w:color="000000" w:sz="2" w:space="0"/>
              <w:right w:val="single" w:color="000000" w:sz="2" w:space="0"/>
            </w:tcBorders>
            <w:noWrap/>
            <w:vAlign w:val="center"/>
          </w:tcPr>
          <w:p w14:paraId="1C768BE2">
            <w:pPr>
              <w:jc w:val="center"/>
              <w:rPr>
                <w:rFonts w:hint="eastAsia" w:ascii="Calibri" w:hAnsi="Calibri" w:eastAsia="宋体" w:cs="Times New Roman"/>
                <w:color w:val="auto"/>
                <w:highlight w:val="none"/>
              </w:rPr>
            </w:pPr>
          </w:p>
          <w:p w14:paraId="3F00985B">
            <w:pPr>
              <w:jc w:val="center"/>
              <w:rPr>
                <w:rFonts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是否怀孕</w:t>
            </w:r>
          </w:p>
        </w:tc>
        <w:tc>
          <w:tcPr>
            <w:tcW w:w="190" w:type="pct"/>
            <w:gridSpan w:val="2"/>
            <w:tcBorders>
              <w:top w:val="single" w:color="000000" w:sz="2" w:space="0"/>
              <w:left w:val="single" w:color="000000" w:sz="2" w:space="0"/>
              <w:bottom w:val="single" w:color="000000" w:sz="2" w:space="0"/>
              <w:right w:val="single" w:color="auto" w:sz="4" w:space="0"/>
            </w:tcBorders>
            <w:noWrap/>
            <w:textDirection w:val="tbRlV"/>
          </w:tcPr>
          <w:p w14:paraId="628A59AB">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单位</w:t>
            </w:r>
          </w:p>
        </w:tc>
        <w:tc>
          <w:tcPr>
            <w:tcW w:w="190" w:type="pct"/>
            <w:tcBorders>
              <w:top w:val="single" w:color="000000" w:sz="2" w:space="0"/>
              <w:left w:val="single" w:color="auto" w:sz="4" w:space="0"/>
              <w:bottom w:val="single" w:color="000000" w:sz="2" w:space="0"/>
              <w:right w:val="single" w:color="000000" w:sz="2" w:space="0"/>
            </w:tcBorders>
            <w:noWrap/>
            <w:textDirection w:val="tbRlV"/>
          </w:tcPr>
          <w:p w14:paraId="4A2AAF99">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数量</w:t>
            </w:r>
          </w:p>
        </w:tc>
        <w:tc>
          <w:tcPr>
            <w:tcW w:w="929" w:type="pct"/>
            <w:tcBorders>
              <w:top w:val="single" w:color="000000" w:sz="2" w:space="0"/>
              <w:left w:val="single" w:color="000000" w:sz="2" w:space="0"/>
              <w:bottom w:val="single" w:color="000000" w:sz="2" w:space="0"/>
              <w:right w:val="single" w:color="000000" w:sz="2" w:space="0"/>
            </w:tcBorders>
            <w:noWrap/>
            <w:vAlign w:val="center"/>
          </w:tcPr>
          <w:p w14:paraId="4CFFCFEA">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单价（元</w:t>
            </w:r>
            <w:r>
              <w:rPr>
                <w:rFonts w:hint="eastAsia" w:ascii="Calibri" w:hAnsi="Calibri" w:eastAsia="宋体" w:cs="Times New Roman"/>
                <w:color w:val="auto"/>
                <w:highlight w:val="none"/>
                <w:lang w:val="en-US" w:eastAsia="zh-CN"/>
              </w:rPr>
              <w:t>/头</w:t>
            </w:r>
            <w:r>
              <w:rPr>
                <w:rFonts w:hint="eastAsia" w:ascii="Calibri" w:hAnsi="Calibri" w:eastAsia="宋体" w:cs="Times New Roman"/>
                <w:color w:val="auto"/>
                <w:highlight w:val="none"/>
                <w:lang w:val="en-US"/>
              </w:rPr>
              <w:t>）</w:t>
            </w:r>
          </w:p>
        </w:tc>
        <w:tc>
          <w:tcPr>
            <w:tcW w:w="695" w:type="pct"/>
            <w:tcBorders>
              <w:top w:val="single" w:color="000000" w:sz="2" w:space="0"/>
              <w:left w:val="single" w:color="000000" w:sz="2" w:space="0"/>
              <w:bottom w:val="single" w:color="000000" w:sz="2" w:space="0"/>
              <w:right w:val="single" w:color="000000" w:sz="2" w:space="0"/>
            </w:tcBorders>
            <w:noWrap/>
            <w:vAlign w:val="center"/>
          </w:tcPr>
          <w:p w14:paraId="05249807">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小计（元）</w:t>
            </w:r>
          </w:p>
        </w:tc>
      </w:tr>
      <w:tr w14:paraId="7BCF0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restart"/>
            <w:tcBorders>
              <w:top w:val="single" w:color="000000" w:sz="2" w:space="0"/>
              <w:left w:val="single" w:color="000000" w:sz="2" w:space="0"/>
              <w:bottom w:val="single" w:color="000000" w:sz="2" w:space="0"/>
              <w:right w:val="single" w:color="000000" w:sz="2" w:space="0"/>
              <w:tl2br w:val="nil"/>
              <w:tr2bl w:val="nil"/>
            </w:tcBorders>
            <w:noWrap/>
            <w:vAlign w:val="center"/>
          </w:tcPr>
          <w:p w14:paraId="115F9FAF">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第一次批次</w:t>
            </w:r>
          </w:p>
          <w:p w14:paraId="65445D3F">
            <w:pPr>
              <w:jc w:val="center"/>
              <w:rPr>
                <w:rFonts w:ascii="Calibri" w:hAnsi="Calibri" w:eastAsia="宋体" w:cs="Times New Roman"/>
                <w:color w:val="auto"/>
                <w:highlight w:val="none"/>
                <w:lang w:val="en-US"/>
              </w:rPr>
            </w:pPr>
          </w:p>
        </w:tc>
        <w:tc>
          <w:tcPr>
            <w:tcW w:w="628" w:type="pct"/>
            <w:tcBorders>
              <w:top w:val="single" w:color="000000" w:sz="2" w:space="0"/>
              <w:left w:val="single" w:color="000000" w:sz="2" w:space="0"/>
              <w:bottom w:val="single" w:color="000000" w:sz="2" w:space="0"/>
              <w:right w:val="single" w:color="000000" w:sz="2" w:space="0"/>
            </w:tcBorders>
            <w:noWrap/>
          </w:tcPr>
          <w:p w14:paraId="66387DC1">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34EE30DB">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0DD86315">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1206BAAC">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72953D74">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69F3455E">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48E880F8">
            <w:pPr>
              <w:jc w:val="center"/>
              <w:rPr>
                <w:rFonts w:ascii="Calibri" w:hAnsi="Calibri" w:eastAsia="宋体" w:cs="Times New Roman"/>
                <w:color w:val="auto"/>
                <w:highlight w:val="none"/>
              </w:rPr>
            </w:pPr>
            <w:r>
              <w:rPr>
                <w:rFonts w:ascii="Calibri" w:hAnsi="Calibri" w:eastAsia="宋体" w:cs="Times New Roman"/>
                <w:color w:val="auto"/>
                <w:highlight w:val="none"/>
              </w:rPr>
              <w:t>79600.00</w:t>
            </w:r>
          </w:p>
        </w:tc>
      </w:tr>
      <w:tr w14:paraId="55EE9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08E71991"/>
        </w:tc>
        <w:tc>
          <w:tcPr>
            <w:tcW w:w="628" w:type="pct"/>
            <w:tcBorders>
              <w:top w:val="single" w:color="000000" w:sz="2" w:space="0"/>
              <w:left w:val="single" w:color="000000" w:sz="2" w:space="0"/>
              <w:bottom w:val="single" w:color="000000" w:sz="2" w:space="0"/>
              <w:right w:val="single" w:color="000000" w:sz="2" w:space="0"/>
            </w:tcBorders>
            <w:noWrap/>
          </w:tcPr>
          <w:p w14:paraId="4A7E611A">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45B508D9">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08FFDC6B">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66A03050">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688EA07A">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742037DF">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5E293ACA">
            <w:pPr>
              <w:jc w:val="center"/>
              <w:rPr>
                <w:rFonts w:ascii="Calibri" w:hAnsi="Calibri" w:eastAsia="宋体" w:cs="Times New Roman"/>
                <w:color w:val="auto"/>
                <w:highlight w:val="none"/>
              </w:rPr>
            </w:pPr>
            <w:r>
              <w:rPr>
                <w:rFonts w:ascii="Calibri" w:hAnsi="Calibri" w:eastAsia="宋体" w:cs="Times New Roman"/>
                <w:color w:val="auto"/>
                <w:highlight w:val="none"/>
              </w:rPr>
              <w:t>79600.00</w:t>
            </w:r>
          </w:p>
        </w:tc>
      </w:tr>
      <w:tr w14:paraId="4523D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78F9B533"/>
        </w:tc>
        <w:tc>
          <w:tcPr>
            <w:tcW w:w="628" w:type="pct"/>
            <w:tcBorders>
              <w:top w:val="single" w:color="000000" w:sz="2" w:space="0"/>
              <w:left w:val="single" w:color="000000" w:sz="2" w:space="0"/>
              <w:bottom w:val="single" w:color="000000" w:sz="2" w:space="0"/>
              <w:right w:val="single" w:color="000000" w:sz="2" w:space="0"/>
            </w:tcBorders>
            <w:noWrap/>
          </w:tcPr>
          <w:p w14:paraId="259EAC95">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7E43E128">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1B45892F">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47DBC2BB">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5D21B59A">
            <w:pPr>
              <w:jc w:val="center"/>
              <w:rPr>
                <w:rFonts w:ascii="Calibri" w:hAnsi="Calibri" w:eastAsia="宋体" w:cs="Times New Roman"/>
                <w:color w:val="auto"/>
                <w:highlight w:val="none"/>
              </w:rPr>
            </w:pPr>
            <w:r>
              <w:rPr>
                <w:rFonts w:ascii="Calibri" w:hAnsi="Calibri" w:eastAsia="宋体" w:cs="Times New Roman"/>
                <w:color w:val="auto"/>
                <w:highlight w:val="none"/>
              </w:rPr>
              <w:t>3</w:t>
            </w:r>
          </w:p>
        </w:tc>
        <w:tc>
          <w:tcPr>
            <w:tcW w:w="929" w:type="pct"/>
            <w:tcBorders>
              <w:top w:val="single" w:color="000000" w:sz="2" w:space="0"/>
              <w:left w:val="single" w:color="000000" w:sz="2" w:space="0"/>
              <w:bottom w:val="single" w:color="000000" w:sz="2" w:space="0"/>
              <w:right w:val="single" w:color="000000" w:sz="2" w:space="0"/>
            </w:tcBorders>
            <w:noWrap/>
          </w:tcPr>
          <w:p w14:paraId="38C194C3">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70FC0A62">
            <w:pPr>
              <w:jc w:val="center"/>
              <w:rPr>
                <w:rFonts w:ascii="Calibri" w:hAnsi="Calibri" w:eastAsia="宋体" w:cs="Times New Roman"/>
                <w:color w:val="auto"/>
                <w:highlight w:val="none"/>
              </w:rPr>
            </w:pPr>
            <w:r>
              <w:rPr>
                <w:rFonts w:ascii="Calibri" w:hAnsi="Calibri" w:eastAsia="宋体" w:cs="Times New Roman"/>
                <w:color w:val="auto"/>
                <w:highlight w:val="none"/>
              </w:rPr>
              <w:t>119400.00</w:t>
            </w:r>
          </w:p>
        </w:tc>
      </w:tr>
      <w:tr w14:paraId="76B73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4CE91C92"/>
        </w:tc>
        <w:tc>
          <w:tcPr>
            <w:tcW w:w="628" w:type="pct"/>
            <w:tcBorders>
              <w:top w:val="single" w:color="000000" w:sz="2" w:space="0"/>
              <w:left w:val="single" w:color="000000" w:sz="2" w:space="0"/>
              <w:bottom w:val="single" w:color="000000" w:sz="2" w:space="0"/>
              <w:right w:val="single" w:color="000000" w:sz="2" w:space="0"/>
            </w:tcBorders>
            <w:noWrap/>
          </w:tcPr>
          <w:p w14:paraId="09122AF7">
            <w:pPr>
              <w:jc w:val="center"/>
              <w:rPr>
                <w:rFonts w:ascii="Calibri" w:hAnsi="Calibri" w:eastAsia="宋体" w:cs="Times New Roman"/>
                <w:color w:val="auto"/>
                <w:highlight w:val="none"/>
              </w:rPr>
            </w:pPr>
            <w:r>
              <w:rPr>
                <w:rFonts w:ascii="Calibri" w:hAnsi="Calibri" w:eastAsia="宋体" w:cs="Times New Roman"/>
                <w:color w:val="auto"/>
                <w:highlight w:val="none"/>
              </w:rPr>
              <w:t>拉布拉多犬</w:t>
            </w:r>
          </w:p>
        </w:tc>
        <w:tc>
          <w:tcPr>
            <w:tcW w:w="1233" w:type="pct"/>
            <w:tcBorders>
              <w:top w:val="single" w:color="000000" w:sz="2" w:space="0"/>
              <w:left w:val="single" w:color="000000" w:sz="2" w:space="0"/>
              <w:bottom w:val="single" w:color="000000" w:sz="2" w:space="0"/>
              <w:right w:val="single" w:color="000000" w:sz="2" w:space="0"/>
            </w:tcBorders>
            <w:noWrap/>
          </w:tcPr>
          <w:p w14:paraId="15531548">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2022F7F6">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44C32DE1">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464C69AE">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45FCFBB5">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c>
          <w:tcPr>
            <w:tcW w:w="695" w:type="pct"/>
            <w:tcBorders>
              <w:top w:val="single" w:color="000000" w:sz="2" w:space="0"/>
              <w:left w:val="single" w:color="000000" w:sz="2" w:space="0"/>
              <w:bottom w:val="single" w:color="000000" w:sz="2" w:space="0"/>
              <w:right w:val="single" w:color="000000" w:sz="2" w:space="0"/>
            </w:tcBorders>
            <w:noWrap/>
          </w:tcPr>
          <w:p w14:paraId="1C01AE20">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r>
      <w:tr w14:paraId="36751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44AB8B6A"/>
        </w:tc>
        <w:tc>
          <w:tcPr>
            <w:tcW w:w="628" w:type="pct"/>
            <w:tcBorders>
              <w:top w:val="single" w:color="000000" w:sz="2" w:space="0"/>
              <w:left w:val="single" w:color="000000" w:sz="2" w:space="0"/>
              <w:bottom w:val="single" w:color="000000" w:sz="2" w:space="0"/>
              <w:right w:val="single" w:color="000000" w:sz="2" w:space="0"/>
            </w:tcBorders>
            <w:noWrap/>
          </w:tcPr>
          <w:p w14:paraId="340ABDB8">
            <w:pPr>
              <w:jc w:val="center"/>
              <w:rPr>
                <w:rFonts w:ascii="Calibri" w:hAnsi="Calibri" w:eastAsia="宋体" w:cs="Times New Roman"/>
                <w:color w:val="auto"/>
                <w:highlight w:val="none"/>
              </w:rPr>
            </w:pPr>
            <w:r>
              <w:rPr>
                <w:rFonts w:ascii="Calibri" w:hAnsi="Calibri" w:eastAsia="宋体" w:cs="Times New Roman"/>
                <w:color w:val="auto"/>
                <w:highlight w:val="none"/>
              </w:rPr>
              <w:t>拉布拉多犬</w:t>
            </w:r>
          </w:p>
        </w:tc>
        <w:tc>
          <w:tcPr>
            <w:tcW w:w="1233" w:type="pct"/>
            <w:tcBorders>
              <w:top w:val="single" w:color="000000" w:sz="2" w:space="0"/>
              <w:left w:val="single" w:color="000000" w:sz="2" w:space="0"/>
              <w:bottom w:val="single" w:color="000000" w:sz="2" w:space="0"/>
              <w:right w:val="single" w:color="000000" w:sz="2" w:space="0"/>
            </w:tcBorders>
            <w:noWrap/>
          </w:tcPr>
          <w:p w14:paraId="39F8B404">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1508380">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77D051BB">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05978ED5">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351804BF">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c>
          <w:tcPr>
            <w:tcW w:w="695" w:type="pct"/>
            <w:tcBorders>
              <w:top w:val="single" w:color="000000" w:sz="2" w:space="0"/>
              <w:left w:val="single" w:color="000000" w:sz="2" w:space="0"/>
              <w:bottom w:val="single" w:color="000000" w:sz="2" w:space="0"/>
              <w:right w:val="single" w:color="000000" w:sz="2" w:space="0"/>
            </w:tcBorders>
            <w:noWrap/>
          </w:tcPr>
          <w:p w14:paraId="21CB82D3">
            <w:pPr>
              <w:jc w:val="center"/>
              <w:rPr>
                <w:rFonts w:ascii="Calibri" w:hAnsi="Calibri" w:eastAsia="宋体" w:cs="Times New Roman"/>
                <w:color w:val="auto"/>
                <w:highlight w:val="none"/>
              </w:rPr>
            </w:pPr>
            <w:r>
              <w:rPr>
                <w:rFonts w:ascii="Calibri" w:hAnsi="Calibri" w:eastAsia="宋体" w:cs="Times New Roman"/>
                <w:color w:val="auto"/>
                <w:highlight w:val="none"/>
              </w:rPr>
              <w:t>63600.00</w:t>
            </w:r>
          </w:p>
        </w:tc>
      </w:tr>
      <w:tr w14:paraId="5CBBF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0B413B0C"/>
        </w:tc>
        <w:tc>
          <w:tcPr>
            <w:tcW w:w="628" w:type="pct"/>
            <w:tcBorders>
              <w:top w:val="single" w:color="000000" w:sz="2" w:space="0"/>
              <w:left w:val="single" w:color="000000" w:sz="2" w:space="0"/>
              <w:bottom w:val="single" w:color="000000" w:sz="2" w:space="0"/>
              <w:right w:val="single" w:color="000000" w:sz="2" w:space="0"/>
            </w:tcBorders>
            <w:noWrap/>
          </w:tcPr>
          <w:p w14:paraId="219DE7BD">
            <w:pPr>
              <w:jc w:val="center"/>
              <w:rPr>
                <w:rFonts w:ascii="Calibri" w:hAnsi="Calibri" w:eastAsia="宋体" w:cs="Times New Roman"/>
                <w:color w:val="auto"/>
                <w:highlight w:val="none"/>
              </w:rPr>
            </w:pPr>
            <w:r>
              <w:rPr>
                <w:rFonts w:ascii="Calibri" w:hAnsi="Calibri" w:eastAsia="宋体" w:cs="Times New Roman"/>
                <w:color w:val="auto"/>
                <w:highlight w:val="none"/>
              </w:rPr>
              <w:t>拉布拉多犬</w:t>
            </w:r>
          </w:p>
        </w:tc>
        <w:tc>
          <w:tcPr>
            <w:tcW w:w="1233" w:type="pct"/>
            <w:tcBorders>
              <w:top w:val="single" w:color="000000" w:sz="2" w:space="0"/>
              <w:left w:val="single" w:color="000000" w:sz="2" w:space="0"/>
              <w:bottom w:val="single" w:color="000000" w:sz="2" w:space="0"/>
              <w:right w:val="single" w:color="000000" w:sz="2" w:space="0"/>
            </w:tcBorders>
            <w:noWrap/>
          </w:tcPr>
          <w:p w14:paraId="7E677A15">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7E7B1326">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275F9D32">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6187186F">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27D6C106">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c>
          <w:tcPr>
            <w:tcW w:w="695" w:type="pct"/>
            <w:tcBorders>
              <w:top w:val="single" w:color="000000" w:sz="2" w:space="0"/>
              <w:left w:val="single" w:color="000000" w:sz="2" w:space="0"/>
              <w:bottom w:val="single" w:color="000000" w:sz="2" w:space="0"/>
              <w:right w:val="single" w:color="000000" w:sz="2" w:space="0"/>
            </w:tcBorders>
            <w:noWrap/>
          </w:tcPr>
          <w:p w14:paraId="34323F98">
            <w:pPr>
              <w:jc w:val="center"/>
              <w:rPr>
                <w:rFonts w:ascii="Calibri" w:hAnsi="Calibri" w:eastAsia="宋体" w:cs="Times New Roman"/>
                <w:color w:val="auto"/>
                <w:highlight w:val="none"/>
              </w:rPr>
            </w:pPr>
            <w:r>
              <w:rPr>
                <w:rFonts w:ascii="Calibri" w:hAnsi="Calibri" w:eastAsia="宋体" w:cs="Times New Roman"/>
                <w:color w:val="auto"/>
                <w:highlight w:val="none"/>
              </w:rPr>
              <w:t>63600.00</w:t>
            </w:r>
          </w:p>
        </w:tc>
      </w:tr>
      <w:tr w14:paraId="12A9F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restart"/>
            <w:tcBorders>
              <w:top w:val="single" w:color="000000" w:sz="2" w:space="0"/>
              <w:left w:val="single" w:color="000000" w:sz="2" w:space="0"/>
              <w:bottom w:val="single" w:color="000000" w:sz="2" w:space="0"/>
              <w:right w:val="single" w:color="000000" w:sz="2" w:space="0"/>
              <w:tl2br w:val="nil"/>
              <w:tr2bl w:val="nil"/>
            </w:tcBorders>
            <w:noWrap/>
            <w:vAlign w:val="center"/>
          </w:tcPr>
          <w:p w14:paraId="39BC47DA">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第</w:t>
            </w:r>
            <w:r>
              <w:rPr>
                <w:rFonts w:ascii="Calibri" w:hAnsi="Calibri" w:eastAsia="宋体" w:cs="Times New Roman"/>
                <w:color w:val="auto"/>
                <w:highlight w:val="none"/>
                <w:lang w:val="en-US" w:eastAsia="zh-CN"/>
              </w:rPr>
              <w:t>二</w:t>
            </w:r>
            <w:r>
              <w:rPr>
                <w:rFonts w:hint="eastAsia" w:ascii="Calibri" w:hAnsi="Calibri" w:eastAsia="宋体" w:cs="Times New Roman"/>
                <w:color w:val="auto"/>
                <w:highlight w:val="none"/>
                <w:lang w:val="en-US" w:eastAsia="zh-CN"/>
              </w:rPr>
              <w:t>次批次</w:t>
            </w:r>
          </w:p>
          <w:p w14:paraId="75C69CB5">
            <w:pPr>
              <w:jc w:val="center"/>
              <w:rPr>
                <w:rFonts w:ascii="Calibri" w:hAnsi="Calibri" w:eastAsia="宋体" w:cs="Times New Roman"/>
                <w:color w:val="auto"/>
                <w:highlight w:val="none"/>
                <w:lang w:val="en-US"/>
              </w:rPr>
            </w:pPr>
          </w:p>
        </w:tc>
        <w:tc>
          <w:tcPr>
            <w:tcW w:w="628" w:type="pct"/>
            <w:tcBorders>
              <w:top w:val="single" w:color="000000" w:sz="2" w:space="0"/>
              <w:left w:val="single" w:color="000000" w:sz="2" w:space="0"/>
              <w:bottom w:val="single" w:color="000000" w:sz="2" w:space="0"/>
              <w:right w:val="single" w:color="000000" w:sz="2" w:space="0"/>
            </w:tcBorders>
            <w:noWrap/>
          </w:tcPr>
          <w:p w14:paraId="30A1EB11">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0DB0683B">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469BCDB3">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31E6B075">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3DECC4AD">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2FEAFD46">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4D9352B5">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r>
      <w:tr w14:paraId="44C8D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7C583A20"/>
        </w:tc>
        <w:tc>
          <w:tcPr>
            <w:tcW w:w="628" w:type="pct"/>
            <w:tcBorders>
              <w:top w:val="single" w:color="000000" w:sz="2" w:space="0"/>
              <w:left w:val="single" w:color="000000" w:sz="2" w:space="0"/>
              <w:bottom w:val="single" w:color="000000" w:sz="2" w:space="0"/>
              <w:right w:val="single" w:color="000000" w:sz="2" w:space="0"/>
            </w:tcBorders>
            <w:noWrap/>
          </w:tcPr>
          <w:p w14:paraId="6A0237A7">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4EEF3D82">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11AFE468">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76EC8D70">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1444F8A9">
            <w:pPr>
              <w:jc w:val="center"/>
              <w:rPr>
                <w:rFonts w:ascii="Calibri" w:hAnsi="Calibri" w:eastAsia="宋体" w:cs="Times New Roman"/>
                <w:color w:val="auto"/>
                <w:highlight w:val="none"/>
              </w:rPr>
            </w:pPr>
            <w:r>
              <w:rPr>
                <w:rFonts w:ascii="Calibri" w:hAnsi="Calibri" w:eastAsia="宋体" w:cs="Times New Roman"/>
                <w:color w:val="auto"/>
                <w:highlight w:val="none"/>
              </w:rPr>
              <w:t>3</w:t>
            </w:r>
          </w:p>
        </w:tc>
        <w:tc>
          <w:tcPr>
            <w:tcW w:w="929" w:type="pct"/>
            <w:tcBorders>
              <w:top w:val="single" w:color="000000" w:sz="2" w:space="0"/>
              <w:left w:val="single" w:color="000000" w:sz="2" w:space="0"/>
              <w:bottom w:val="single" w:color="000000" w:sz="2" w:space="0"/>
              <w:right w:val="single" w:color="000000" w:sz="2" w:space="0"/>
            </w:tcBorders>
            <w:noWrap/>
          </w:tcPr>
          <w:p w14:paraId="427CEF05">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3106FFD1">
            <w:pPr>
              <w:jc w:val="center"/>
              <w:rPr>
                <w:rFonts w:ascii="Calibri" w:hAnsi="Calibri" w:eastAsia="宋体" w:cs="Times New Roman"/>
                <w:color w:val="auto"/>
                <w:highlight w:val="none"/>
              </w:rPr>
            </w:pPr>
            <w:r>
              <w:rPr>
                <w:rFonts w:ascii="Calibri" w:hAnsi="Calibri" w:eastAsia="宋体" w:cs="Times New Roman"/>
                <w:color w:val="auto"/>
                <w:highlight w:val="none"/>
              </w:rPr>
              <w:t>119400.00</w:t>
            </w:r>
          </w:p>
        </w:tc>
      </w:tr>
      <w:tr w14:paraId="5681D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5FAB6406"/>
        </w:tc>
        <w:tc>
          <w:tcPr>
            <w:tcW w:w="628" w:type="pct"/>
            <w:tcBorders>
              <w:top w:val="single" w:color="000000" w:sz="2" w:space="0"/>
              <w:left w:val="single" w:color="000000" w:sz="2" w:space="0"/>
              <w:bottom w:val="single" w:color="000000" w:sz="2" w:space="0"/>
              <w:right w:val="single" w:color="000000" w:sz="2" w:space="0"/>
            </w:tcBorders>
            <w:noWrap/>
          </w:tcPr>
          <w:p w14:paraId="75A82D5E">
            <w:pPr>
              <w:jc w:val="center"/>
              <w:rPr>
                <w:rFonts w:ascii="Calibri" w:hAnsi="Calibri" w:eastAsia="宋体" w:cs="Times New Roman"/>
                <w:color w:val="auto"/>
                <w:highlight w:val="none"/>
              </w:rPr>
            </w:pPr>
            <w:r>
              <w:rPr>
                <w:rFonts w:ascii="Calibri" w:hAnsi="Calibri" w:eastAsia="宋体" w:cs="Times New Roman"/>
                <w:color w:val="auto"/>
                <w:highlight w:val="none"/>
                <w:lang w:val="en-US"/>
              </w:rPr>
              <w:t>马里努阿犬</w:t>
            </w:r>
          </w:p>
        </w:tc>
        <w:tc>
          <w:tcPr>
            <w:tcW w:w="1233" w:type="pct"/>
            <w:tcBorders>
              <w:top w:val="single" w:color="000000" w:sz="2" w:space="0"/>
              <w:left w:val="single" w:color="000000" w:sz="2" w:space="0"/>
              <w:bottom w:val="single" w:color="000000" w:sz="2" w:space="0"/>
              <w:right w:val="single" w:color="000000" w:sz="2" w:space="0"/>
            </w:tcBorders>
            <w:noWrap/>
          </w:tcPr>
          <w:p w14:paraId="4ABB07F2">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75A1EBF0">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210A5FB2">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3" w:type="pct"/>
            <w:gridSpan w:val="2"/>
            <w:tcBorders>
              <w:top w:val="single" w:color="000000" w:sz="2" w:space="0"/>
              <w:left w:val="single" w:color="000000" w:sz="2" w:space="0"/>
              <w:bottom w:val="single" w:color="000000" w:sz="2" w:space="0"/>
              <w:right w:val="single" w:color="000000" w:sz="2" w:space="0"/>
            </w:tcBorders>
            <w:noWrap/>
          </w:tcPr>
          <w:p w14:paraId="55A922A0">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57B636DE">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c>
          <w:tcPr>
            <w:tcW w:w="695" w:type="pct"/>
            <w:tcBorders>
              <w:top w:val="single" w:color="000000" w:sz="2" w:space="0"/>
              <w:left w:val="single" w:color="000000" w:sz="2" w:space="0"/>
              <w:bottom w:val="single" w:color="000000" w:sz="2" w:space="0"/>
              <w:right w:val="single" w:color="000000" w:sz="2" w:space="0"/>
            </w:tcBorders>
            <w:noWrap/>
          </w:tcPr>
          <w:p w14:paraId="2958537E">
            <w:pPr>
              <w:jc w:val="center"/>
              <w:rPr>
                <w:rFonts w:ascii="Calibri" w:hAnsi="Calibri" w:eastAsia="宋体" w:cs="Times New Roman"/>
                <w:color w:val="auto"/>
                <w:highlight w:val="none"/>
              </w:rPr>
            </w:pPr>
            <w:r>
              <w:rPr>
                <w:rFonts w:ascii="Calibri" w:hAnsi="Calibri" w:eastAsia="宋体" w:cs="Times New Roman"/>
                <w:color w:val="auto"/>
                <w:highlight w:val="none"/>
              </w:rPr>
              <w:t>39800.00</w:t>
            </w:r>
          </w:p>
        </w:tc>
      </w:tr>
      <w:tr w14:paraId="5ABD6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04E8D10E"/>
        </w:tc>
        <w:tc>
          <w:tcPr>
            <w:tcW w:w="628" w:type="pct"/>
            <w:tcBorders>
              <w:top w:val="single" w:color="000000" w:sz="2" w:space="0"/>
              <w:left w:val="single" w:color="000000" w:sz="2" w:space="0"/>
              <w:bottom w:val="single" w:color="000000" w:sz="2" w:space="0"/>
              <w:right w:val="single" w:color="000000" w:sz="2" w:space="0"/>
            </w:tcBorders>
            <w:noWrap/>
          </w:tcPr>
          <w:p w14:paraId="45100719">
            <w:pPr>
              <w:jc w:val="center"/>
              <w:rPr>
                <w:rFonts w:ascii="Calibri" w:hAnsi="Calibri" w:eastAsia="宋体" w:cs="Times New Roman"/>
                <w:color w:val="auto"/>
                <w:highlight w:val="none"/>
              </w:rPr>
            </w:pPr>
            <w:r>
              <w:rPr>
                <w:rFonts w:ascii="Calibri" w:hAnsi="Calibri" w:eastAsia="宋体" w:cs="Times New Roman"/>
                <w:color w:val="auto"/>
                <w:highlight w:val="none"/>
              </w:rPr>
              <w:t>拉布拉多犬</w:t>
            </w:r>
          </w:p>
        </w:tc>
        <w:tc>
          <w:tcPr>
            <w:tcW w:w="1233" w:type="pct"/>
            <w:tcBorders>
              <w:top w:val="single" w:color="000000" w:sz="2" w:space="0"/>
              <w:left w:val="single" w:color="000000" w:sz="2" w:space="0"/>
              <w:bottom w:val="single" w:color="000000" w:sz="2" w:space="0"/>
              <w:right w:val="single" w:color="000000" w:sz="2" w:space="0"/>
            </w:tcBorders>
            <w:noWrap/>
          </w:tcPr>
          <w:p w14:paraId="14B5EDC3">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62ECBDE">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35D632DE">
            <w:pPr>
              <w:jc w:val="center"/>
              <w:rPr>
                <w:rFonts w:ascii="Calibri" w:hAnsi="Calibri" w:eastAsia="宋体" w:cs="Times New Roman"/>
                <w:color w:val="auto"/>
                <w:highlight w:val="none"/>
              </w:rPr>
            </w:pPr>
          </w:p>
        </w:tc>
        <w:tc>
          <w:tcPr>
            <w:tcW w:w="193" w:type="pct"/>
            <w:gridSpan w:val="2"/>
            <w:tcBorders>
              <w:top w:val="single" w:color="000000" w:sz="2" w:space="0"/>
              <w:left w:val="single" w:color="000000" w:sz="2" w:space="0"/>
              <w:bottom w:val="single" w:color="000000" w:sz="2" w:space="0"/>
              <w:right w:val="single" w:color="000000" w:sz="2" w:space="0"/>
            </w:tcBorders>
            <w:noWrap/>
          </w:tcPr>
          <w:p w14:paraId="3ADB6006">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3D7CE2DB">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c>
          <w:tcPr>
            <w:tcW w:w="695" w:type="pct"/>
            <w:tcBorders>
              <w:top w:val="single" w:color="000000" w:sz="2" w:space="0"/>
              <w:left w:val="single" w:color="000000" w:sz="2" w:space="0"/>
              <w:bottom w:val="single" w:color="000000" w:sz="2" w:space="0"/>
              <w:right w:val="single" w:color="000000" w:sz="2" w:space="0"/>
            </w:tcBorders>
            <w:noWrap/>
          </w:tcPr>
          <w:p w14:paraId="21F4D059">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r>
      <w:tr w14:paraId="50DB5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459C96E1"/>
        </w:tc>
        <w:tc>
          <w:tcPr>
            <w:tcW w:w="628" w:type="pct"/>
            <w:tcBorders>
              <w:top w:val="single" w:color="000000" w:sz="2" w:space="0"/>
              <w:left w:val="single" w:color="000000" w:sz="2" w:space="0"/>
              <w:bottom w:val="single" w:color="000000" w:sz="2" w:space="0"/>
              <w:right w:val="single" w:color="000000" w:sz="2" w:space="0"/>
            </w:tcBorders>
            <w:noWrap/>
          </w:tcPr>
          <w:p w14:paraId="52478FDE">
            <w:pPr>
              <w:jc w:val="center"/>
              <w:rPr>
                <w:rFonts w:ascii="Calibri" w:hAnsi="Calibri" w:eastAsia="宋体" w:cs="Times New Roman"/>
                <w:color w:val="auto"/>
                <w:highlight w:val="none"/>
              </w:rPr>
            </w:pPr>
            <w:r>
              <w:rPr>
                <w:rFonts w:ascii="Calibri" w:hAnsi="Calibri" w:eastAsia="宋体" w:cs="Times New Roman"/>
                <w:color w:val="auto"/>
                <w:highlight w:val="none"/>
              </w:rPr>
              <w:t>拉布拉多犬</w:t>
            </w:r>
          </w:p>
        </w:tc>
        <w:tc>
          <w:tcPr>
            <w:tcW w:w="1233" w:type="pct"/>
            <w:tcBorders>
              <w:top w:val="single" w:color="000000" w:sz="2" w:space="0"/>
              <w:left w:val="single" w:color="000000" w:sz="2" w:space="0"/>
              <w:bottom w:val="single" w:color="000000" w:sz="2" w:space="0"/>
              <w:right w:val="single" w:color="000000" w:sz="2" w:space="0"/>
            </w:tcBorders>
            <w:noWrap/>
          </w:tcPr>
          <w:p w14:paraId="1500F277">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80E2D16">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304D840C">
            <w:pPr>
              <w:jc w:val="center"/>
              <w:rPr>
                <w:rFonts w:ascii="Calibri" w:hAnsi="Calibri" w:eastAsia="宋体" w:cs="Times New Roman"/>
                <w:color w:val="auto"/>
                <w:highlight w:val="none"/>
              </w:rPr>
            </w:pPr>
          </w:p>
        </w:tc>
        <w:tc>
          <w:tcPr>
            <w:tcW w:w="193" w:type="pct"/>
            <w:gridSpan w:val="2"/>
            <w:tcBorders>
              <w:top w:val="single" w:color="000000" w:sz="2" w:space="0"/>
              <w:left w:val="single" w:color="000000" w:sz="2" w:space="0"/>
              <w:bottom w:val="single" w:color="000000" w:sz="2" w:space="0"/>
              <w:right w:val="single" w:color="000000" w:sz="2" w:space="0"/>
            </w:tcBorders>
            <w:noWrap/>
          </w:tcPr>
          <w:p w14:paraId="626234D0">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26EDF92E">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c>
          <w:tcPr>
            <w:tcW w:w="695" w:type="pct"/>
            <w:tcBorders>
              <w:top w:val="single" w:color="000000" w:sz="2" w:space="0"/>
              <w:left w:val="single" w:color="000000" w:sz="2" w:space="0"/>
              <w:bottom w:val="single" w:color="000000" w:sz="2" w:space="0"/>
              <w:right w:val="single" w:color="000000" w:sz="2" w:space="0"/>
            </w:tcBorders>
            <w:noWrap/>
          </w:tcPr>
          <w:p w14:paraId="0F315B23">
            <w:pPr>
              <w:jc w:val="center"/>
              <w:rPr>
                <w:rFonts w:ascii="Calibri" w:hAnsi="Calibri" w:eastAsia="宋体" w:cs="Times New Roman"/>
                <w:color w:val="auto"/>
                <w:highlight w:val="none"/>
              </w:rPr>
            </w:pPr>
            <w:r>
              <w:rPr>
                <w:rFonts w:ascii="Calibri" w:hAnsi="Calibri" w:eastAsia="宋体" w:cs="Times New Roman"/>
                <w:color w:val="auto"/>
                <w:highlight w:val="none"/>
              </w:rPr>
              <w:t>31800.00</w:t>
            </w:r>
          </w:p>
        </w:tc>
      </w:tr>
    </w:tbl>
    <w:p w14:paraId="6EFBDDEA">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ascii="宋体" w:eastAsia="宋体" w:cs="宋体"/>
          <w:b/>
          <w:bCs/>
          <w:color w:val="auto"/>
          <w:sz w:val="24"/>
          <w:szCs w:val="24"/>
          <w:highlight w:val="none"/>
        </w:rPr>
      </w:pPr>
    </w:p>
    <w:p w14:paraId="37034A9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二、合同总金额</w:t>
      </w:r>
    </w:p>
    <w:p w14:paraId="1264B21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eastAsia="zh-CN"/>
        </w:rPr>
      </w:pPr>
      <w:r>
        <w:rPr>
          <w:rFonts w:hint="eastAsia" w:ascii="宋体" w:eastAsia="宋体" w:cs="宋体"/>
          <w:color w:val="auto"/>
          <w:sz w:val="24"/>
          <w:szCs w:val="24"/>
          <w:highlight w:val="none"/>
        </w:rPr>
        <w:t>2.1本合同金额为（大写）：</w:t>
      </w:r>
      <w:r>
        <w:rPr>
          <w:rFonts w:ascii="宋体" w:eastAsia="宋体" w:cs="宋体"/>
          <w:color w:val="auto"/>
          <w:sz w:val="24"/>
          <w:szCs w:val="24"/>
          <w:highlight w:val="none"/>
          <w:u w:val="single"/>
        </w:rPr>
        <w:t>柒拾万零贰佰</w:t>
      </w:r>
      <w:r>
        <w:rPr>
          <w:rFonts w:hint="eastAsia" w:ascii="宋体" w:eastAsia="宋体" w:cs="宋体"/>
          <w:color w:val="auto"/>
          <w:sz w:val="24"/>
          <w:szCs w:val="24"/>
          <w:highlight w:val="none"/>
        </w:rPr>
        <w:t>元（小写</w:t>
      </w:r>
      <w:r>
        <w:rPr>
          <w:rFonts w:ascii="宋体" w:eastAsia="宋体" w:cs="宋体"/>
          <w:color w:val="auto"/>
          <w:sz w:val="24"/>
          <w:szCs w:val="24"/>
          <w:highlight w:val="none"/>
          <w:u w:val="single"/>
        </w:rPr>
        <w:t xml:space="preserve"> 700200.00 </w:t>
      </w:r>
      <w:r>
        <w:rPr>
          <w:rFonts w:hint="eastAsia" w:ascii="宋体" w:eastAsia="宋体" w:cs="宋体"/>
          <w:color w:val="auto"/>
          <w:sz w:val="24"/>
          <w:szCs w:val="24"/>
          <w:highlight w:val="none"/>
        </w:rPr>
        <w:t>元）人民币</w:t>
      </w:r>
      <w:r>
        <w:rPr>
          <w:rFonts w:hint="eastAsia" w:ascii="宋体" w:eastAsia="宋体" w:cs="宋体"/>
          <w:color w:val="auto"/>
          <w:sz w:val="24"/>
          <w:szCs w:val="24"/>
          <w:highlight w:val="none"/>
          <w:lang w:eastAsia="zh-CN"/>
        </w:rPr>
        <w:t>，按实际成交单价和每批次</w:t>
      </w:r>
      <w:r>
        <w:rPr>
          <w:rFonts w:hint="eastAsia" w:ascii="宋体" w:eastAsia="宋体" w:cs="宋体"/>
          <w:color w:val="auto"/>
          <w:sz w:val="24"/>
          <w:szCs w:val="24"/>
          <w:highlight w:val="none"/>
          <w:lang w:val="en-US" w:eastAsia="zh-CN"/>
        </w:rPr>
        <w:t>实际交付数量</w:t>
      </w:r>
      <w:r>
        <w:rPr>
          <w:rFonts w:hint="eastAsia" w:ascii="宋体" w:eastAsia="宋体" w:cs="宋体"/>
          <w:color w:val="auto"/>
          <w:sz w:val="24"/>
          <w:szCs w:val="24"/>
          <w:highlight w:val="none"/>
          <w:lang w:eastAsia="zh-CN"/>
        </w:rPr>
        <w:t>据实结算（</w:t>
      </w:r>
      <w:r>
        <w:rPr>
          <w:rFonts w:hint="eastAsia" w:ascii="宋体" w:eastAsia="宋体" w:cs="宋体"/>
          <w:color w:val="auto"/>
          <w:sz w:val="24"/>
          <w:szCs w:val="24"/>
          <w:highlight w:val="none"/>
          <w:lang w:val="en-US" w:eastAsia="zh-CN"/>
        </w:rPr>
        <w:t>详见上表）</w:t>
      </w:r>
      <w:r>
        <w:rPr>
          <w:rFonts w:hint="eastAsia" w:ascii="宋体" w:eastAsia="宋体" w:cs="宋体"/>
          <w:color w:val="auto"/>
          <w:sz w:val="24"/>
          <w:szCs w:val="24"/>
          <w:highlight w:val="none"/>
          <w:lang w:eastAsia="zh-CN"/>
        </w:rPr>
        <w:t>。</w:t>
      </w:r>
    </w:p>
    <w:p w14:paraId="162DA249">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2.2本合同总金额包括乙方为甲方提供涉及此次采购所有服务（对种犬的包装、仓储、运输、保险以及乙方进行的验收、技术服务、质保期保障服务等的全部含税费用）。除非合同条款中另有规定且经双方协商一致，本合同总金额在合同实施期间不因市场变化或其他因素而变动，乙方无权要求甲方支付其他任何费用。</w:t>
      </w:r>
    </w:p>
    <w:p w14:paraId="6939433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2.3招标文件未列明，而乙方认为履行本合同必需的费用也包含在合同总金额中。</w:t>
      </w:r>
    </w:p>
    <w:p w14:paraId="264A5BDD">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三、技术资料</w:t>
      </w:r>
    </w:p>
    <w:p w14:paraId="47519B4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3.1乙方应按招标文件规定的时间向甲方提供使用货物(包含与货物相关的服务)的有关技术资料。</w:t>
      </w:r>
    </w:p>
    <w:p w14:paraId="0FBDA6D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3.2 没有甲方事先书面同意，乙方不得将由甲方提供的有关合同或任何合同条文、规格、计划、样品或资料提供给与履行本合同无关的任何其他人。即使向履行本合同有关的人员提供，也应注意保密并限于履行合同的必需范围。</w:t>
      </w:r>
    </w:p>
    <w:p w14:paraId="20CEA5FA">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四、质量要求及技术准备</w:t>
      </w:r>
    </w:p>
    <w:p w14:paraId="4578879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4.1乙方提供的</w:t>
      </w:r>
      <w:r>
        <w:rPr>
          <w:rFonts w:hint="eastAsia" w:ascii="宋体" w:eastAsia="宋体" w:cs="宋体"/>
          <w:color w:val="auto"/>
          <w:sz w:val="24"/>
          <w:szCs w:val="24"/>
          <w:highlight w:val="none"/>
          <w:lang w:val="en-US" w:eastAsia="zh-CN"/>
        </w:rPr>
        <w:t>犬只</w:t>
      </w:r>
      <w:r>
        <w:rPr>
          <w:rFonts w:hint="eastAsia" w:ascii="宋体" w:eastAsia="宋体" w:cs="宋体"/>
          <w:color w:val="auto"/>
          <w:sz w:val="24"/>
          <w:szCs w:val="24"/>
          <w:highlight w:val="none"/>
        </w:rPr>
        <w:t>必须符合国家颁布的质量标准和招标文件相关技术要求。</w:t>
      </w:r>
    </w:p>
    <w:p w14:paraId="39E27E8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w:t>
      </w:r>
      <w:r>
        <w:rPr>
          <w:rFonts w:hint="eastAsia" w:ascii="宋体" w:eastAsia="宋体" w:cs="宋体"/>
          <w:color w:val="auto"/>
          <w:sz w:val="24"/>
          <w:szCs w:val="24"/>
          <w:highlight w:val="none"/>
          <w:lang w:val="en-US" w:eastAsia="zh-CN"/>
        </w:rPr>
        <w:t>2乙方应</w:t>
      </w:r>
      <w:r>
        <w:rPr>
          <w:rFonts w:hint="eastAsia" w:ascii="宋体" w:eastAsia="宋体" w:cs="宋体"/>
          <w:color w:val="auto"/>
          <w:sz w:val="24"/>
          <w:szCs w:val="24"/>
          <w:highlight w:val="none"/>
        </w:rPr>
        <w:t>严格对犬源提供方以及种犬相关证书进行初步查验</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核查血统证书、健康证明等是否满足甲方招标文件要求）</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提供</w:t>
      </w:r>
      <w:r>
        <w:rPr>
          <w:rFonts w:hint="eastAsia" w:ascii="宋体" w:eastAsia="宋体" w:cs="宋体"/>
          <w:color w:val="auto"/>
          <w:sz w:val="24"/>
          <w:szCs w:val="24"/>
          <w:highlight w:val="none"/>
        </w:rPr>
        <w:t>所购种犬的血统证书、健康证明和芯片记录。</w:t>
      </w:r>
    </w:p>
    <w:p w14:paraId="4FE0591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3乙方负责本次采购的所有种犬运输前的一切检验检疫、运输、留置等事宜。</w:t>
      </w:r>
    </w:p>
    <w:p w14:paraId="1283C81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4.4乙方除应履行按期按量交付合格货物的义务外，还应当提供下列服务：①犬只交接后，犬只原训练（饲养）团队需在交货地与甲方提出的接收人员进行</w:t>
      </w:r>
      <w:r>
        <w:rPr>
          <w:rFonts w:hint="eastAsia" w:ascii="宋体" w:cs="宋体"/>
          <w:color w:val="auto"/>
          <w:sz w:val="24"/>
          <w:szCs w:val="24"/>
          <w:highlight w:val="none"/>
          <w:u w:val="single"/>
          <w:lang w:val="en-US" w:eastAsia="zh-CN"/>
        </w:rPr>
        <w:t xml:space="preserve">   </w:t>
      </w:r>
      <w:r>
        <w:rPr>
          <w:rFonts w:ascii="宋体" w:cs="宋体"/>
          <w:color w:val="auto"/>
          <w:sz w:val="24"/>
          <w:szCs w:val="24"/>
          <w:highlight w:val="none"/>
          <w:u w:val="single"/>
          <w:lang w:val="en-US" w:eastAsia="zh-CN"/>
        </w:rPr>
        <w:t>9</w:t>
      </w:r>
      <w:r>
        <w:rPr>
          <w:rFonts w:hint="eastAsia" w:ascii="宋体" w:eastAsia="宋体" w:cs="宋体"/>
          <w:color w:val="auto"/>
          <w:sz w:val="24"/>
          <w:szCs w:val="24"/>
          <w:highlight w:val="none"/>
        </w:rPr>
        <w:t>个月的交接训练和指</w:t>
      </w:r>
      <w:bookmarkStart w:id="1" w:name="_GoBack"/>
      <w:bookmarkEnd w:id="1"/>
      <w:r>
        <w:rPr>
          <w:rFonts w:hint="eastAsia" w:ascii="宋体" w:eastAsia="宋体" w:cs="宋体"/>
          <w:color w:val="auto"/>
          <w:sz w:val="24"/>
          <w:szCs w:val="24"/>
          <w:highlight w:val="none"/>
        </w:rPr>
        <w:t>导培训，以保证犬只交接后能够正常使用，期间交通、就餐等费用</w:t>
      </w:r>
      <w:r>
        <w:rPr>
          <w:rFonts w:hint="eastAsia" w:ascii="宋体" w:cs="宋体"/>
          <w:color w:val="auto"/>
          <w:sz w:val="24"/>
          <w:szCs w:val="24"/>
          <w:highlight w:val="none"/>
          <w:lang w:val="en-US" w:eastAsia="zh-CN"/>
        </w:rPr>
        <w:t>以及犬只</w:t>
      </w:r>
      <w:r>
        <w:rPr>
          <w:rFonts w:hint="eastAsia" w:ascii="宋体" w:eastAsia="宋体" w:cs="宋体"/>
          <w:color w:val="auto"/>
          <w:sz w:val="24"/>
          <w:szCs w:val="24"/>
          <w:highlight w:val="none"/>
        </w:rPr>
        <w:t>饲料费用由乙方负责，甲方可提供免费住宿；且在交接完成后的24个月内，每季度由原训练团队到交货地提供1个星期的复训服务（交通、就餐费用由乙方负责，甲方提供免费住宿）；②</w:t>
      </w:r>
      <w:r>
        <w:rPr>
          <w:rFonts w:hint="eastAsia" w:ascii="宋体" w:eastAsia="宋体" w:cs="宋体"/>
          <w:color w:val="auto"/>
          <w:sz w:val="24"/>
          <w:szCs w:val="24"/>
          <w:highlight w:val="none"/>
          <w:lang w:val="en-US" w:eastAsia="zh-CN"/>
        </w:rPr>
        <w:t>交接和验收犬只</w:t>
      </w:r>
      <w:r>
        <w:rPr>
          <w:rFonts w:hint="eastAsia" w:ascii="宋体" w:eastAsia="宋体" w:cs="宋体"/>
          <w:color w:val="auto"/>
          <w:sz w:val="24"/>
          <w:szCs w:val="24"/>
          <w:highlight w:val="none"/>
        </w:rPr>
        <w:t>所必须的工具；③对甲方人员的技术指导或培训；④提供使用说明、影音视频等资料。除合同另有规定外，以上服务的费用均已包含在合同价款中，甲方不再另行支付。</w:t>
      </w:r>
    </w:p>
    <w:p w14:paraId="05288E62">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五、合同履行期限、交货方式及交货地点</w:t>
      </w:r>
    </w:p>
    <w:p w14:paraId="40E4F7B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w:t>
      </w:r>
      <w:r>
        <w:rPr>
          <w:rFonts w:hint="eastAsia" w:ascii="宋体" w:eastAsia="宋体" w:cs="宋体"/>
          <w:color w:val="auto"/>
          <w:kern w:val="0"/>
          <w:sz w:val="24"/>
          <w:szCs w:val="24"/>
          <w:highlight w:val="none"/>
        </w:rPr>
        <w:t>.1合同履行期限</w:t>
      </w:r>
      <w:r>
        <w:rPr>
          <w:rFonts w:hint="eastAsia" w:ascii="宋体" w:eastAsia="宋体" w:cs="宋体"/>
          <w:color w:val="auto"/>
          <w:sz w:val="24"/>
          <w:szCs w:val="24"/>
          <w:highlight w:val="none"/>
        </w:rPr>
        <w:t>：</w:t>
      </w:r>
      <w:r>
        <w:rPr>
          <w:rFonts w:hint="eastAsia" w:ascii="宋体" w:eastAsia="宋体" w:cs="宋体"/>
          <w:color w:val="auto"/>
          <w:sz w:val="24"/>
          <w:szCs w:val="24"/>
          <w:highlight w:val="none"/>
          <w:lang w:eastAsia="zh-CN"/>
        </w:rPr>
        <w:t>犬只分两批次交货，第一批为合同签订之日起60天内，第二批为合同签订之日起100天内；送货前提前5个工作日和</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lang w:eastAsia="zh-CN"/>
        </w:rPr>
        <w:t>联系并送至指定地点。</w:t>
      </w:r>
    </w:p>
    <w:p w14:paraId="127B993F">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5.2交货地点：甲方指定地点</w:t>
      </w:r>
      <w:r>
        <w:rPr>
          <w:rFonts w:hint="eastAsia" w:ascii="宋体" w:eastAsia="宋体" w:cs="宋体"/>
          <w:color w:val="auto"/>
          <w:sz w:val="24"/>
          <w:szCs w:val="24"/>
          <w:highlight w:val="none"/>
          <w:lang w:eastAsia="zh-CN"/>
        </w:rPr>
        <w:t>（江苏省公安厅警犬基地（南京市六合区冶山街道英雄岭路1号）</w:t>
      </w:r>
      <w:r>
        <w:rPr>
          <w:rFonts w:hint="eastAsia" w:ascii="宋体" w:eastAsia="宋体" w:cs="宋体"/>
          <w:color w:val="auto"/>
          <w:sz w:val="24"/>
          <w:szCs w:val="24"/>
          <w:highlight w:val="none"/>
        </w:rPr>
        <w:t>。</w:t>
      </w:r>
    </w:p>
    <w:p w14:paraId="6168FBC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5.3交货方式：交货时甲乙双方均要有人在场负责清点移交。</w:t>
      </w:r>
    </w:p>
    <w:p w14:paraId="1AD1E19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5.4</w:t>
      </w:r>
      <w:r>
        <w:rPr>
          <w:rFonts w:hint="eastAsia" w:ascii="宋体" w:eastAsia="宋体" w:cs="宋体"/>
          <w:color w:val="auto"/>
          <w:sz w:val="24"/>
          <w:szCs w:val="24"/>
          <w:highlight w:val="none"/>
        </w:rPr>
        <w:t>运费及保险费用：运输所发生的所有费用由乙方承担。</w:t>
      </w:r>
    </w:p>
    <w:p w14:paraId="50894EF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5.5</w:t>
      </w:r>
      <w:r>
        <w:rPr>
          <w:rFonts w:hint="eastAsia" w:ascii="宋体" w:eastAsia="宋体" w:cs="宋体"/>
          <w:color w:val="auto"/>
          <w:sz w:val="24"/>
          <w:szCs w:val="24"/>
          <w:highlight w:val="none"/>
        </w:rPr>
        <w:t xml:space="preserve">运输途中货物损毁、灭失的风险：由乙方承担。 </w:t>
      </w:r>
    </w:p>
    <w:p w14:paraId="101AC348">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六、货款支付</w:t>
      </w:r>
    </w:p>
    <w:p w14:paraId="188A7F0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6.1付款方式：在合同签订且甲方收到履约保函后，乙方按照合同约定分两批次交货,甲方在发出供货通知的30天内，向乙方支付该批次犬只总金额的15%。每批次犬只经甲方验收合格后，凭乙方等额有效发票及</w:t>
      </w:r>
      <w:r>
        <w:rPr>
          <w:rFonts w:hint="eastAsia" w:ascii="宋体" w:eastAsia="宋体" w:cs="宋体"/>
          <w:color w:val="auto"/>
          <w:sz w:val="24"/>
          <w:szCs w:val="24"/>
          <w:highlight w:val="none"/>
          <w:lang w:eastAsia="zh-CN"/>
        </w:rPr>
        <w:t>甲方签署的验收合格报</w:t>
      </w:r>
      <w:r>
        <w:rPr>
          <w:rFonts w:hint="eastAsia" w:ascii="宋体" w:eastAsia="宋体" w:cs="宋体"/>
          <w:color w:val="auto"/>
          <w:sz w:val="24"/>
          <w:szCs w:val="24"/>
          <w:highlight w:val="none"/>
        </w:rPr>
        <w:t>告,甲方一次性向乙方支付该批次犬只总价的85%。</w:t>
      </w:r>
    </w:p>
    <w:p w14:paraId="28856B2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6.2每次甲方付款前，乙方需向甲方提供符合甲方要求的正规发票。</w:t>
      </w:r>
    </w:p>
    <w:p w14:paraId="310644B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6.3</w:t>
      </w:r>
      <w:r>
        <w:rPr>
          <w:rFonts w:hint="eastAsia" w:ascii="宋体" w:cs="宋体"/>
          <w:color w:val="auto"/>
          <w:sz w:val="24"/>
          <w:szCs w:val="24"/>
          <w:highlight w:val="none"/>
          <w:lang w:val="en-US" w:eastAsia="zh-CN"/>
        </w:rPr>
        <w:t>甲方应于收到乙方正规发票后30日内付款。如遇财政资金拨付延误的，以双方友好协商为准，且甲方不承担违约责任</w:t>
      </w:r>
      <w:r>
        <w:rPr>
          <w:rFonts w:hint="eastAsia" w:ascii="宋体" w:eastAsia="宋体" w:cs="宋体"/>
          <w:color w:val="auto"/>
          <w:sz w:val="24"/>
          <w:szCs w:val="24"/>
          <w:highlight w:val="none"/>
          <w:lang w:val="en-US" w:eastAsia="zh-CN"/>
        </w:rPr>
        <w:t>。</w:t>
      </w:r>
    </w:p>
    <w:p w14:paraId="156F4338">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en-US" w:eastAsia="zh-CN"/>
        </w:rPr>
      </w:pPr>
      <w:r>
        <w:rPr>
          <w:rFonts w:hint="eastAsia" w:ascii="宋体" w:eastAsia="宋体" w:cs="宋体"/>
          <w:b/>
          <w:bCs/>
          <w:color w:val="auto"/>
          <w:sz w:val="24"/>
          <w:szCs w:val="24"/>
          <w:highlight w:val="none"/>
        </w:rPr>
        <w:t>七、履约</w:t>
      </w:r>
      <w:r>
        <w:rPr>
          <w:rFonts w:hint="eastAsia" w:ascii="宋体" w:eastAsia="宋体" w:cs="宋体"/>
          <w:b/>
          <w:bCs/>
          <w:color w:val="auto"/>
          <w:sz w:val="24"/>
          <w:szCs w:val="24"/>
          <w:highlight w:val="none"/>
          <w:lang w:val="en-US" w:eastAsia="zh-CN"/>
        </w:rPr>
        <w:t>保函</w:t>
      </w:r>
    </w:p>
    <w:p w14:paraId="6394BA2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7.1本合同签订之日起7个工作日内，乙方应向甲方</w:t>
      </w:r>
      <w:r>
        <w:rPr>
          <w:rFonts w:hint="eastAsia" w:ascii="宋体" w:eastAsia="宋体" w:cs="宋体"/>
          <w:color w:val="auto"/>
          <w:sz w:val="24"/>
          <w:szCs w:val="24"/>
          <w:highlight w:val="none"/>
          <w:lang w:val="en-US" w:eastAsia="zh-CN"/>
        </w:rPr>
        <w:t>缴纳</w:t>
      </w:r>
      <w:r>
        <w:rPr>
          <w:rFonts w:hint="eastAsia" w:ascii="宋体" w:eastAsia="宋体" w:cs="宋体"/>
          <w:color w:val="auto"/>
          <w:sz w:val="24"/>
          <w:szCs w:val="24"/>
          <w:highlight w:val="none"/>
        </w:rPr>
        <w:t>合同总金额</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%的</w:t>
      </w:r>
      <w:r>
        <w:rPr>
          <w:rFonts w:hint="eastAsia" w:ascii="宋体" w:eastAsia="宋体" w:cs="宋体"/>
          <w:color w:val="auto"/>
          <w:sz w:val="24"/>
          <w:szCs w:val="24"/>
          <w:highlight w:val="none"/>
          <w:lang w:val="en-US" w:eastAsia="zh-CN"/>
        </w:rPr>
        <w:t>由</w:t>
      </w:r>
      <w:r>
        <w:rPr>
          <w:rFonts w:hint="eastAsia" w:ascii="宋体" w:eastAsia="宋体" w:cs="宋体"/>
          <w:color w:val="auto"/>
          <w:sz w:val="24"/>
          <w:szCs w:val="24"/>
          <w:highlight w:val="none"/>
        </w:rPr>
        <w:t>金融机构出具的独立</w:t>
      </w:r>
      <w:r>
        <w:rPr>
          <w:rFonts w:hint="eastAsia" w:ascii="宋体" w:eastAsia="宋体" w:cs="宋体"/>
          <w:color w:val="auto"/>
          <w:sz w:val="24"/>
          <w:szCs w:val="24"/>
          <w:highlight w:val="none"/>
          <w:lang w:val="en-US" w:eastAsia="zh-CN"/>
        </w:rPr>
        <w:t>履约</w:t>
      </w:r>
      <w:r>
        <w:rPr>
          <w:rFonts w:hint="eastAsia" w:ascii="宋体" w:eastAsia="宋体" w:cs="宋体"/>
          <w:color w:val="auto"/>
          <w:sz w:val="24"/>
          <w:szCs w:val="24"/>
          <w:highlight w:val="none"/>
        </w:rPr>
        <w:t>保函，该保函需载明：（1）见索即付；（2）收到甲方法定代表人或授权委托代理人签字确认并加盖公章的书面索赔通知后即应不争辩、不挑剔、不可撤销地向甲方支付索赔款，直至最高担保金额；（3）有效期为保函开具之日起至</w:t>
      </w:r>
      <w:r>
        <w:rPr>
          <w:rFonts w:hint="eastAsia" w:ascii="宋体" w:eastAsia="宋体" w:cs="宋体"/>
          <w:color w:val="auto"/>
          <w:sz w:val="24"/>
          <w:szCs w:val="24"/>
          <w:highlight w:val="none"/>
          <w:lang w:val="en-US" w:eastAsia="zh-CN"/>
        </w:rPr>
        <w:t>货物质保期满</w:t>
      </w:r>
      <w:r>
        <w:rPr>
          <w:rFonts w:hint="eastAsia" w:ascii="宋体" w:eastAsia="宋体" w:cs="宋体"/>
          <w:color w:val="auto"/>
          <w:sz w:val="24"/>
          <w:szCs w:val="24"/>
          <w:highlight w:val="none"/>
        </w:rPr>
        <w:t>为止；（4）担保金额为合同金额的</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%。如乙方提供的保函未载明前述内容的，甲方可以拒收该保函，并</w:t>
      </w:r>
      <w:r>
        <w:rPr>
          <w:rFonts w:hint="eastAsia" w:ascii="宋体" w:eastAsia="宋体" w:cs="宋体"/>
          <w:color w:val="auto"/>
          <w:sz w:val="24"/>
          <w:szCs w:val="24"/>
          <w:highlight w:val="none"/>
          <w:lang w:val="en-US" w:eastAsia="zh-CN"/>
        </w:rPr>
        <w:t>拒绝支付货款</w:t>
      </w:r>
      <w:r>
        <w:rPr>
          <w:rFonts w:hint="eastAsia" w:ascii="宋体" w:eastAsia="宋体" w:cs="宋体"/>
          <w:color w:val="auto"/>
          <w:sz w:val="24"/>
          <w:szCs w:val="24"/>
          <w:highlight w:val="none"/>
        </w:rPr>
        <w:t>。</w:t>
      </w:r>
    </w:p>
    <w:p w14:paraId="3FB31AC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7.2对于乙方应承担的违约责任/索赔金额，甲方有权向出具独立保函的金融机构主张索赔。</w:t>
      </w:r>
    </w:p>
    <w:p w14:paraId="2CBE8D07">
      <w:pPr>
        <w:keepNext w:val="0"/>
        <w:keepLines w:val="0"/>
        <w:pageBreakBefore w:val="0"/>
        <w:widowControl/>
        <w:kinsoku/>
        <w:wordWrap/>
        <w:overflowPunct/>
        <w:topLinePunct w:val="0"/>
        <w:autoSpaceDE/>
        <w:autoSpaceDN/>
        <w:bidi w:val="0"/>
        <w:spacing w:line="560" w:lineRule="exact"/>
        <w:ind w:firstLine="480" w:firstLineChars="200"/>
        <w:jc w:val="both"/>
        <w:rPr>
          <w:rFonts w:ascii="宋体" w:eastAsia="宋体" w:cs="宋体"/>
          <w:color w:val="auto"/>
          <w:sz w:val="24"/>
          <w:szCs w:val="24"/>
          <w:highlight w:val="none"/>
          <w:lang w:val="en-US" w:eastAsia="zh-CN"/>
        </w:rPr>
      </w:pPr>
      <w:r>
        <w:rPr>
          <w:rFonts w:hint="eastAsia" w:ascii="宋体" w:cs="宋体"/>
          <w:color w:val="auto"/>
          <w:sz w:val="24"/>
          <w:szCs w:val="24"/>
          <w:highlight w:val="none"/>
          <w:lang w:val="en-US" w:eastAsia="zh-CN"/>
        </w:rPr>
        <w:t>7.3履约保函在货物按合同要求完成交付并经甲方确认无重大履约问题后予以退还。</w:t>
      </w:r>
    </w:p>
    <w:p w14:paraId="13CD5E9C">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八、税费</w:t>
      </w:r>
    </w:p>
    <w:p w14:paraId="2D89359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8.1本合同执行中相关的一切税费均由乙方负担。</w:t>
      </w:r>
    </w:p>
    <w:p w14:paraId="66FEE4B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九、质量保证及售后服务</w:t>
      </w:r>
    </w:p>
    <w:p w14:paraId="162159B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w:t>
      </w:r>
      <w:r>
        <w:rPr>
          <w:rFonts w:hint="eastAsia" w:ascii="宋体" w:eastAsia="宋体" w:cs="宋体"/>
          <w:color w:val="auto"/>
          <w:sz w:val="24"/>
          <w:szCs w:val="24"/>
          <w:highlight w:val="none"/>
        </w:rPr>
        <w:t>1乙方保证种犬的质量和性能完全满足甲方要求；乙方提供的种犬与采购方条件不符，甲方有权拒收，退换所有费用由乙方承担。</w:t>
      </w:r>
    </w:p>
    <w:p w14:paraId="70834DC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种犬验收不合格的或者连续2个发情周期无法完成配种生产，由乙方在30工作日内免费无条件更换至合格犬只，有关更换、再行验收等行为，给甲方造成的损失等费用由乙方承担。同一犬种更换两次仍不能满足甲方需求的，甲方有权核减相关犬种的采购数量及经费，并要求乙方承担合同总价10%的违约金。</w:t>
      </w:r>
    </w:p>
    <w:p w14:paraId="03388AB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所购种犬在在运输、检验检疫期间发生的一切问题由乙方负责。</w:t>
      </w:r>
    </w:p>
    <w:p w14:paraId="21919E5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6849729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9.5</w:t>
      </w:r>
      <w:r>
        <w:rPr>
          <w:rFonts w:hint="eastAsia" w:ascii="宋体" w:eastAsia="宋体" w:cs="宋体"/>
          <w:color w:val="auto"/>
          <w:sz w:val="24"/>
          <w:szCs w:val="24"/>
          <w:highlight w:val="none"/>
        </w:rPr>
        <w:t>由于采购商品为警用种犬，乙方须提供犬只4个正常发情周期（约2年）的质保服务，</w:t>
      </w:r>
      <w:r>
        <w:rPr>
          <w:rFonts w:hint="eastAsia" w:ascii="宋体" w:cs="宋体"/>
          <w:color w:val="auto"/>
          <w:sz w:val="24"/>
          <w:szCs w:val="24"/>
          <w:highlight w:val="none"/>
          <w:lang w:val="en-US" w:eastAsia="zh-CN"/>
        </w:rPr>
        <w:t>即</w:t>
      </w:r>
      <w:r>
        <w:rPr>
          <w:rFonts w:hint="eastAsia" w:ascii="宋体" w:eastAsia="宋体" w:cs="宋体"/>
          <w:color w:val="auto"/>
          <w:sz w:val="24"/>
          <w:szCs w:val="24"/>
          <w:highlight w:val="none"/>
        </w:rPr>
        <w:t>质保期</w:t>
      </w:r>
      <w:r>
        <w:rPr>
          <w:rFonts w:hint="eastAsia" w:ascii="宋体" w:eastAsia="宋体" w:cs="宋体"/>
          <w:color w:val="auto"/>
          <w:sz w:val="24"/>
          <w:szCs w:val="24"/>
          <w:highlight w:val="none"/>
          <w:u w:val="single"/>
        </w:rPr>
        <w:t>2</w:t>
      </w:r>
      <w:r>
        <w:rPr>
          <w:rFonts w:hint="eastAsia" w:ascii="宋体" w:eastAsia="宋体" w:cs="宋体"/>
          <w:color w:val="auto"/>
          <w:sz w:val="24"/>
          <w:szCs w:val="24"/>
          <w:highlight w:val="none"/>
        </w:rPr>
        <w:t>年，验收合格之日起计算。</w:t>
      </w:r>
    </w:p>
    <w:p w14:paraId="062969D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质保期内，乙方接到</w:t>
      </w:r>
      <w:r>
        <w:rPr>
          <w:rFonts w:hint="eastAsia" w:ascii="宋体" w:eastAsia="宋体" w:cs="宋体"/>
          <w:color w:val="auto"/>
          <w:sz w:val="24"/>
          <w:szCs w:val="24"/>
          <w:highlight w:val="none"/>
          <w:lang w:val="en-US" w:eastAsia="zh-CN"/>
        </w:rPr>
        <w:t>服务</w:t>
      </w:r>
      <w:r>
        <w:rPr>
          <w:rFonts w:hint="eastAsia" w:ascii="宋体" w:eastAsia="宋体" w:cs="宋体"/>
          <w:color w:val="auto"/>
          <w:sz w:val="24"/>
          <w:szCs w:val="24"/>
          <w:highlight w:val="none"/>
        </w:rPr>
        <w:t>请求，应在4小时内响应，</w:t>
      </w:r>
      <w:r>
        <w:rPr>
          <w:rFonts w:hint="eastAsia" w:ascii="宋体" w:eastAsia="宋体" w:cs="宋体"/>
          <w:color w:val="auto"/>
          <w:sz w:val="24"/>
          <w:szCs w:val="24"/>
          <w:highlight w:val="none"/>
          <w:lang w:val="en-US" w:eastAsia="zh-CN"/>
        </w:rPr>
        <w:t>48</w:t>
      </w:r>
      <w:r>
        <w:rPr>
          <w:rFonts w:hint="eastAsia" w:ascii="宋体" w:eastAsia="宋体" w:cs="宋体"/>
          <w:color w:val="auto"/>
          <w:sz w:val="24"/>
          <w:szCs w:val="24"/>
          <w:highlight w:val="none"/>
        </w:rPr>
        <w:t>小时内</w:t>
      </w:r>
      <w:r>
        <w:rPr>
          <w:rFonts w:hint="eastAsia" w:ascii="宋体" w:eastAsia="宋体" w:cs="宋体"/>
          <w:color w:val="auto"/>
          <w:sz w:val="24"/>
          <w:szCs w:val="24"/>
          <w:highlight w:val="none"/>
          <w:lang w:val="en-US" w:eastAsia="zh-CN"/>
        </w:rPr>
        <w:t>售后服务</w:t>
      </w:r>
      <w:r>
        <w:rPr>
          <w:rFonts w:hint="eastAsia" w:ascii="宋体" w:eastAsia="宋体" w:cs="宋体"/>
          <w:color w:val="auto"/>
          <w:sz w:val="24"/>
          <w:szCs w:val="24"/>
          <w:highlight w:val="none"/>
        </w:rPr>
        <w:t>人员到达现场。否则，</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rPr>
        <w:t>将自行采取必要的措施，由此产生的风险和费用应由乙方承担；提供24小时服务电话，保证24小时开通。</w:t>
      </w:r>
    </w:p>
    <w:p w14:paraId="02A45D9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质保期满后乙方必须提供免费的终生技术咨询服务。</w:t>
      </w:r>
    </w:p>
    <w:p w14:paraId="43221B58">
      <w:pPr>
        <w:keepNext w:val="0"/>
        <w:keepLines w:val="0"/>
        <w:pageBreakBefore w:val="0"/>
        <w:widowControl w:val="0"/>
        <w:tabs>
          <w:tab w:val="left" w:pos="4664"/>
        </w:tabs>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十、验收</w:t>
      </w:r>
      <w:r>
        <w:rPr>
          <w:rFonts w:hint="eastAsia" w:ascii="宋体" w:eastAsia="宋体" w:cs="宋体"/>
          <w:b/>
          <w:bCs/>
          <w:color w:val="auto"/>
          <w:sz w:val="24"/>
          <w:szCs w:val="24"/>
          <w:highlight w:val="none"/>
          <w:lang w:val="zh-CN"/>
        </w:rPr>
        <w:tab/>
      </w:r>
    </w:p>
    <w:p w14:paraId="0924C5D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10.1乙方交付给甲方的货物必须是</w:t>
      </w:r>
      <w:r>
        <w:rPr>
          <w:rFonts w:hint="eastAsia" w:ascii="宋体" w:eastAsia="宋体" w:cs="宋体"/>
          <w:color w:val="auto"/>
          <w:sz w:val="24"/>
          <w:szCs w:val="24"/>
          <w:highlight w:val="none"/>
          <w:lang w:val="en-US" w:eastAsia="zh-CN"/>
        </w:rPr>
        <w:t>符合招标文件要求及验收标准</w:t>
      </w:r>
      <w:r>
        <w:rPr>
          <w:rFonts w:hint="eastAsia" w:ascii="宋体" w:eastAsia="宋体" w:cs="宋体"/>
          <w:color w:val="auto"/>
          <w:sz w:val="24"/>
          <w:szCs w:val="24"/>
          <w:highlight w:val="none"/>
        </w:rPr>
        <w:t>的，否则</w:t>
      </w:r>
      <w:r>
        <w:rPr>
          <w:rFonts w:hint="eastAsia" w:ascii="宋体" w:cs="宋体"/>
          <w:color w:val="auto"/>
          <w:sz w:val="24"/>
          <w:szCs w:val="24"/>
          <w:highlight w:val="none"/>
          <w:lang w:val="en-US" w:eastAsia="zh-CN"/>
        </w:rPr>
        <w:t>甲</w:t>
      </w:r>
      <w:r>
        <w:rPr>
          <w:rFonts w:hint="eastAsia" w:ascii="宋体" w:eastAsia="宋体" w:cs="宋体"/>
          <w:color w:val="auto"/>
          <w:sz w:val="24"/>
          <w:szCs w:val="24"/>
          <w:highlight w:val="none"/>
        </w:rPr>
        <w:t>方将拒绝接收，同时乙方承担因此产生的一切后果和费用。</w:t>
      </w:r>
    </w:p>
    <w:p w14:paraId="4824630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10.2</w:t>
      </w:r>
      <w:r>
        <w:rPr>
          <w:rFonts w:hint="eastAsia" w:ascii="宋体" w:eastAsia="宋体" w:cs="宋体"/>
          <w:color w:val="auto"/>
          <w:sz w:val="24"/>
          <w:szCs w:val="24"/>
          <w:highlight w:val="none"/>
        </w:rPr>
        <w:t>交付时，</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必须提供具有动物诊疗许可证动物医院出具的健康证明材料，保证犬只状态健康，并需</w:t>
      </w:r>
      <w:r>
        <w:rPr>
          <w:rFonts w:hint="eastAsia" w:ascii="宋体" w:cs="宋体"/>
          <w:color w:val="auto"/>
          <w:sz w:val="24"/>
          <w:szCs w:val="24"/>
          <w:highlight w:val="none"/>
          <w:lang w:eastAsia="zh-CN"/>
        </w:rPr>
        <w:t>自备冠状病毒</w:t>
      </w:r>
      <w:r>
        <w:rPr>
          <w:rFonts w:hint="eastAsia" w:ascii="宋体" w:eastAsia="宋体" w:cs="宋体"/>
          <w:color w:val="auto"/>
          <w:sz w:val="24"/>
          <w:szCs w:val="24"/>
          <w:highlight w:val="none"/>
        </w:rPr>
        <w:t>、犬瘟热、犬细小病毒病检测试剂，交由基地兽医现场检测，如未提供健康证明材料或未通过现场健康检查，</w:t>
      </w:r>
      <w:r>
        <w:rPr>
          <w:rFonts w:hint="eastAsia" w:ascii="宋体" w:cs="宋体"/>
          <w:color w:val="auto"/>
          <w:sz w:val="24"/>
          <w:szCs w:val="24"/>
          <w:highlight w:val="none"/>
          <w:lang w:val="en-US" w:eastAsia="zh-CN"/>
        </w:rPr>
        <w:t>甲方有权拒绝接收</w:t>
      </w:r>
      <w:r>
        <w:rPr>
          <w:rFonts w:hint="eastAsia" w:ascii="宋体" w:eastAsia="宋体" w:cs="宋体"/>
          <w:color w:val="auto"/>
          <w:sz w:val="24"/>
          <w:szCs w:val="24"/>
          <w:highlight w:val="none"/>
        </w:rPr>
        <w:t>。乙方交货前应对产品作出全面检查和对验收文件进行整理，并</w:t>
      </w:r>
      <w:r>
        <w:rPr>
          <w:rFonts w:hint="eastAsia" w:ascii="宋体" w:eastAsia="宋体" w:cs="宋体"/>
          <w:color w:val="auto"/>
          <w:sz w:val="24"/>
          <w:szCs w:val="24"/>
          <w:highlight w:val="none"/>
          <w:lang w:val="en-US" w:eastAsia="zh-CN"/>
        </w:rPr>
        <w:t>向甲方提供</w:t>
      </w:r>
      <w:r>
        <w:rPr>
          <w:rFonts w:hint="eastAsia" w:ascii="宋体" w:eastAsia="宋体" w:cs="宋体"/>
          <w:color w:val="auto"/>
          <w:sz w:val="24"/>
          <w:szCs w:val="24"/>
          <w:highlight w:val="none"/>
        </w:rPr>
        <w:t>两份到货验收清单，甲方应按照到货验收清单对所供种犬的质量、规格和数量等进行检验，并签字确认，双方各执一份。</w:t>
      </w:r>
    </w:p>
    <w:p w14:paraId="2604E2D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观察期：3个月，自</w:t>
      </w:r>
      <w:r>
        <w:rPr>
          <w:rFonts w:hint="eastAsia" w:ascii="宋体" w:cs="宋体"/>
          <w:color w:val="auto"/>
          <w:sz w:val="24"/>
          <w:szCs w:val="24"/>
          <w:highlight w:val="none"/>
          <w:lang w:val="en-US" w:eastAsia="zh-CN"/>
        </w:rPr>
        <w:t>交货之日</w:t>
      </w:r>
      <w:r>
        <w:rPr>
          <w:rFonts w:hint="eastAsia" w:ascii="宋体" w:eastAsia="宋体" w:cs="宋体"/>
          <w:color w:val="auto"/>
          <w:sz w:val="24"/>
          <w:szCs w:val="24"/>
          <w:highlight w:val="none"/>
        </w:rPr>
        <w:t>开始计算。观察期届满后，甲方组织验收，能够达到招标文件验收标准的，则视为验收合格，否则视为验收不合格。</w:t>
      </w:r>
    </w:p>
    <w:p w14:paraId="411F8F5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乙方在验收期协助甲方办理并且取得由公安部南昌警犬基地颁发的</w:t>
      </w:r>
      <w:r>
        <w:rPr>
          <w:rFonts w:hint="eastAsia" w:ascii="宋体" w:cs="宋体"/>
          <w:color w:val="auto"/>
          <w:sz w:val="24"/>
          <w:szCs w:val="24"/>
          <w:highlight w:val="none"/>
          <w:lang w:val="en-US" w:eastAsia="zh-CN"/>
        </w:rPr>
        <w:t>警犬血统</w:t>
      </w:r>
      <w:r>
        <w:rPr>
          <w:rFonts w:hint="eastAsia" w:ascii="宋体" w:eastAsia="宋体" w:cs="宋体"/>
          <w:color w:val="auto"/>
          <w:sz w:val="24"/>
          <w:szCs w:val="24"/>
          <w:highlight w:val="none"/>
        </w:rPr>
        <w:t>合格证书，未能取得合格证书的犬只不能通过验收。</w:t>
      </w:r>
    </w:p>
    <w:p w14:paraId="6FDBB52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乙方提供的货物及服务，必须符合</w:t>
      </w:r>
      <w:r>
        <w:rPr>
          <w:rFonts w:hint="eastAsia" w:ascii="宋体" w:eastAsia="宋体" w:cs="宋体"/>
          <w:color w:val="auto"/>
          <w:sz w:val="24"/>
          <w:szCs w:val="24"/>
          <w:highlight w:val="none"/>
          <w:lang w:eastAsia="zh-CN"/>
        </w:rPr>
        <w:t>采购文件</w:t>
      </w:r>
      <w:r>
        <w:rPr>
          <w:rFonts w:hint="eastAsia" w:ascii="宋体" w:eastAsia="宋体" w:cs="宋体"/>
          <w:color w:val="auto"/>
          <w:sz w:val="24"/>
          <w:szCs w:val="24"/>
          <w:highlight w:val="none"/>
        </w:rPr>
        <w:t>要求的技术规格标准及中华人民共和国国家标准或行业标准和环保要求，这些标准必须是相关国家或行业机构发布的最新版本的标准。</w:t>
      </w:r>
    </w:p>
    <w:p w14:paraId="1BA9D13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10.6验收时乙方必须在现场，验收完毕后作出验收结果报告。</w:t>
      </w:r>
    </w:p>
    <w:p w14:paraId="354960B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cs="宋体"/>
          <w:color w:val="auto"/>
          <w:sz w:val="24"/>
          <w:szCs w:val="24"/>
          <w:highlight w:val="none"/>
          <w:lang w:val="en-US" w:eastAsia="zh-CN"/>
        </w:rPr>
        <w:t>10.7</w:t>
      </w:r>
      <w:r>
        <w:rPr>
          <w:rFonts w:hint="eastAsia" w:ascii="宋体" w:eastAsia="宋体" w:cs="宋体"/>
          <w:color w:val="auto"/>
          <w:sz w:val="24"/>
          <w:szCs w:val="24"/>
          <w:highlight w:val="none"/>
        </w:rPr>
        <w:t>犬只验收合格，隔离期满后，需加强免疫狂犬病、犬瘟热、犬细小病毒病、犬传染性肝炎、犬副流感、犬钩断螺旋体等疫苗1次，所需费用由</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负责。</w:t>
      </w:r>
    </w:p>
    <w:p w14:paraId="0787101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十一、发运及运输</w:t>
      </w:r>
    </w:p>
    <w:p w14:paraId="62186A8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11.1乙方应在犬只发运前对其进行满足运输距离、运输环境的健康及安全配置，以保证犬只安全运达甲方指定地点。</w:t>
      </w:r>
    </w:p>
    <w:p w14:paraId="173D9D9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11.2身份认证、DNA检测、健康检查等相关材料以及清单等一并附于货物内。</w:t>
      </w:r>
    </w:p>
    <w:p w14:paraId="2C7B3F6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11.3乙方在犬只发运手续办理完毕后24小时内或货到甲方48小时前通知甲方，以准备接货。</w:t>
      </w:r>
    </w:p>
    <w:p w14:paraId="68BDD8F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11.4犬只在交付甲方前发生的风险均由乙方负责。</w:t>
      </w:r>
    </w:p>
    <w:p w14:paraId="3A993F1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11.5犬只在规定的交付期限内由乙方送达甲方指定的地点验收合格后视为交付，乙方同时需通知甲方犬只已送达。</w:t>
      </w:r>
    </w:p>
    <w:p w14:paraId="69505D82">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十二、违约责任</w:t>
      </w:r>
    </w:p>
    <w:p w14:paraId="46789CA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12.1</w:t>
      </w:r>
      <w:r>
        <w:rPr>
          <w:rFonts w:hint="eastAsia" w:ascii="宋体" w:eastAsia="宋体" w:cs="宋体"/>
          <w:color w:val="auto"/>
          <w:sz w:val="24"/>
          <w:szCs w:val="24"/>
          <w:highlight w:val="none"/>
        </w:rPr>
        <w:t xml:space="preserve"> 乙方未能按合同约定交货并完成配套服务，甲方有权要求乙方承担违约金，每逾期 1个日历日的违约金按合同总价的0.5‰计收，逾期违约金的最高限额为合同总价的10%。</w:t>
      </w:r>
    </w:p>
    <w:p w14:paraId="3F71A4D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观察期内甲方有权要求乙方更换不符合甲方需求的种犬，同一犬种更换两次仍不能满足甲方需求的，甲方有权核减相关犬种的采购数量及经费，并要求乙方承担合同总价10%的违约金。</w:t>
      </w:r>
    </w:p>
    <w:p w14:paraId="2FEAA9F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乙方未能履行合同</w:t>
      </w:r>
      <w:r>
        <w:rPr>
          <w:rFonts w:hint="eastAsia" w:ascii="宋体" w:cs="宋体"/>
          <w:color w:val="auto"/>
          <w:sz w:val="24"/>
          <w:szCs w:val="24"/>
          <w:highlight w:val="none"/>
          <w:lang w:val="en-US" w:eastAsia="zh-CN"/>
        </w:rPr>
        <w:t>关于种犬质量和售后约定</w:t>
      </w:r>
      <w:r>
        <w:rPr>
          <w:rFonts w:hint="eastAsia" w:ascii="宋体" w:eastAsia="宋体" w:cs="宋体"/>
          <w:color w:val="auto"/>
          <w:sz w:val="24"/>
          <w:szCs w:val="24"/>
          <w:highlight w:val="none"/>
        </w:rPr>
        <w:t>的，甲方有权要求乙方承担合同总价10%的违约金。</w:t>
      </w:r>
    </w:p>
    <w:p w14:paraId="1F761C8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甲方有权对乙方上述的违约行为进行累加计算，但是累加计算后的违约金总额最高为合同总价的 30%。</w:t>
      </w:r>
    </w:p>
    <w:p w14:paraId="0AACD24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p w14:paraId="710AEEB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 xml:space="preserve"> 甲方有权从尚未支付的合同价款中自行扣除上述违约金及损失赔偿金；甲方尚未支付的合同价款不足以支付上述违约金及损失赔偿金的，甲方有权向乙方继续主张权利。</w:t>
      </w:r>
    </w:p>
    <w:p w14:paraId="46D912B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因乙方责任不能按合同履约，影响甲方工作开展的，甲方有权追究乙方所造成的经济、法律和社会责任。签署本合同即视同乙方认可本条款。</w:t>
      </w:r>
    </w:p>
    <w:p w14:paraId="38460E2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十三、不可抗力事件处理</w:t>
      </w:r>
    </w:p>
    <w:p w14:paraId="71B5333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1B21DA6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13.2不可抗力事件发生后，应立即通知对方，并寄送有关权威机构出具的证明。</w:t>
      </w:r>
    </w:p>
    <w:p w14:paraId="78C108A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13.3不可抗力事件延续120天以上，双方应通过友好协商，确定是否继续履行合同。</w:t>
      </w:r>
    </w:p>
    <w:p w14:paraId="7082AE93">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十四、诉讼</w:t>
      </w:r>
    </w:p>
    <w:p w14:paraId="489EA25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14.1双方在执行合同中所发生的一切争议，应通过协商解决。如协商不成，可向合同履行地或甲方所在地法院起诉。</w:t>
      </w:r>
    </w:p>
    <w:p w14:paraId="2C51380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十五、转包</w:t>
      </w:r>
    </w:p>
    <w:p w14:paraId="5F722BBA">
      <w:pPr>
        <w:snapToGrid w:val="0"/>
        <w:spacing w:line="560" w:lineRule="exact"/>
        <w:ind w:firstLine="480" w:firstLineChars="200"/>
        <w:rPr>
          <w:rFonts w:hint="eastAsia" w:ascii="宋体" w:eastAsia="宋体" w:cs="宋体"/>
          <w:color w:val="auto"/>
          <w:sz w:val="24"/>
          <w:szCs w:val="24"/>
          <w:highlight w:val="none"/>
        </w:rPr>
      </w:pPr>
      <w:r>
        <w:rPr>
          <w:rFonts w:hint="eastAsia" w:ascii="宋体" w:eastAsia="宋体" w:cs="宋体"/>
          <w:color w:val="auto"/>
          <w:sz w:val="24"/>
          <w:szCs w:val="24"/>
          <w:highlight w:val="none"/>
        </w:rPr>
        <w:t>15.1本合同禁止转包分包。乙方如有转包或分包行为，甲方有权解除合同。同时，乙方应当立即退回已收取的全部款项并向甲方支付本合同总价款30%的违约金，该违约金不足以弥补甲方损失的，乙方应赔偿甲方的所有损失。</w:t>
      </w:r>
    </w:p>
    <w:p w14:paraId="530C4EC5">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十六、知识产权</w:t>
      </w:r>
    </w:p>
    <w:p w14:paraId="3651464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16.1乙方应保证甲方在使用、接受本合同货物和服务或其任何一部分时不受第三方提出侵犯其专利权、版权、商标权和工业设计权等知识产权的起诉。一旦出现侵权，由乙方负全部责任。</w:t>
      </w:r>
    </w:p>
    <w:p w14:paraId="328750A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十七、保密条款</w:t>
      </w:r>
    </w:p>
    <w:p w14:paraId="3EEA8C2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失泄密的，应当承担所有经济、法律责任。</w:t>
      </w:r>
      <w:r>
        <w:rPr>
          <w:rFonts w:hint="eastAsia" w:ascii="宋体" w:eastAsia="宋体" w:cs="宋体"/>
          <w:color w:val="auto"/>
          <w:kern w:val="0"/>
          <w:sz w:val="24"/>
          <w:szCs w:val="24"/>
          <w:highlight w:val="none"/>
        </w:rPr>
        <w:t>且乙方应当按本合同总金额30%的标准向甲方支付泄密违约金，并向甲方及其关联主体赔偿因此受到的全部损失。此外，还将依法追究乙方的刑事责任。</w:t>
      </w:r>
    </w:p>
    <w:p w14:paraId="07CEEFB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17.2无论本合同是否变更、解除或终止，合同的保密条款不受其限制而继续有效，双方都应继续承担保密条款约定的保密义务。保密义务的期限为永久。</w:t>
      </w:r>
    </w:p>
    <w:p w14:paraId="09F35F3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en-US" w:eastAsia="zh-CN"/>
        </w:rPr>
        <w:t>十八、</w:t>
      </w:r>
      <w:r>
        <w:rPr>
          <w:rFonts w:hint="eastAsia" w:ascii="宋体" w:eastAsia="宋体" w:cs="宋体"/>
          <w:b/>
          <w:bCs/>
          <w:color w:val="auto"/>
          <w:sz w:val="24"/>
          <w:szCs w:val="24"/>
          <w:highlight w:val="none"/>
          <w:lang w:eastAsia="zh-CN"/>
        </w:rPr>
        <w:t>廉政</w:t>
      </w:r>
      <w:r>
        <w:rPr>
          <w:rFonts w:hint="eastAsia" w:ascii="宋体" w:eastAsia="宋体" w:cs="宋体"/>
          <w:b/>
          <w:bCs/>
          <w:color w:val="auto"/>
          <w:sz w:val="24"/>
          <w:szCs w:val="24"/>
          <w:highlight w:val="none"/>
          <w:lang w:val="zh-CN"/>
        </w:rPr>
        <w:t>廉洁条款</w:t>
      </w:r>
    </w:p>
    <w:p w14:paraId="2163C80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18.1</w:t>
      </w:r>
      <w:r>
        <w:rPr>
          <w:rFonts w:hint="eastAsia" w:ascii="宋体" w:eastAsia="宋体" w:cs="宋体"/>
          <w:color w:val="auto"/>
          <w:kern w:val="0"/>
          <w:sz w:val="24"/>
          <w:szCs w:val="24"/>
          <w:highlight w:val="none"/>
        </w:rPr>
        <w:t>采购过程中如发现乙方围标、串标，或向甲方行贿等违法违规行为的，一经查实，甲方有权终止合同，并不</w:t>
      </w:r>
      <w:r>
        <w:rPr>
          <w:rFonts w:hint="eastAsia" w:ascii="宋体" w:eastAsia="宋体" w:cs="宋体"/>
          <w:color w:val="auto"/>
          <w:kern w:val="0"/>
          <w:sz w:val="24"/>
          <w:szCs w:val="24"/>
          <w:highlight w:val="none"/>
          <w:lang w:val="en-US" w:eastAsia="zh-CN"/>
        </w:rPr>
        <w:t>再</w:t>
      </w:r>
      <w:r>
        <w:rPr>
          <w:rFonts w:hint="eastAsia" w:ascii="宋体" w:eastAsia="宋体" w:cs="宋体"/>
          <w:color w:val="auto"/>
          <w:kern w:val="0"/>
          <w:sz w:val="24"/>
          <w:szCs w:val="24"/>
          <w:highlight w:val="none"/>
        </w:rPr>
        <w:t>支付乙方剩余合同款，乙方退回已支付合同款，同时，承诺不再参加甲方后三年组织的政府采购活动。</w:t>
      </w:r>
    </w:p>
    <w:p w14:paraId="69E0C9C8">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十九、合同生效及其它</w:t>
      </w:r>
    </w:p>
    <w:p w14:paraId="6F52ACE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19.1合同经甲乙双方法定代表或授权委托代表签字且加盖单位公章后生效。</w:t>
      </w:r>
    </w:p>
    <w:p w14:paraId="6F74C92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19.2本合同未尽事宜，遵照《中华人民共和国民法典》有关条文执行。</w:t>
      </w:r>
    </w:p>
    <w:p w14:paraId="239EA12D">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eastAsia="zh-CN" w:bidi="ar-SA"/>
        </w:rPr>
        <w:t>19</w:t>
      </w:r>
      <w:r>
        <w:rPr>
          <w:rFonts w:hint="eastAsia" w:ascii="宋体" w:eastAsia="宋体" w:cs="宋体"/>
          <w:color w:val="auto"/>
          <w:kern w:val="0"/>
          <w:sz w:val="24"/>
          <w:szCs w:val="24"/>
          <w:highlight w:val="none"/>
          <w:lang w:val="en-US" w:eastAsia="zh-CN" w:bidi="ar-SA"/>
        </w:rPr>
        <w:t>.</w:t>
      </w:r>
      <w:r>
        <w:rPr>
          <w:rFonts w:hint="eastAsia" w:ascii="宋体" w:eastAsia="宋体" w:cs="宋体"/>
          <w:color w:val="auto"/>
          <w:kern w:val="0"/>
          <w:sz w:val="24"/>
          <w:szCs w:val="24"/>
          <w:highlight w:val="none"/>
          <w:lang w:eastAsia="zh-CN" w:bidi="ar-SA"/>
        </w:rPr>
        <w:t>3</w:t>
      </w:r>
      <w:r>
        <w:rPr>
          <w:rFonts w:hint="eastAsia" w:ascii="宋体" w:eastAsia="宋体" w:cs="宋体"/>
          <w:color w:val="auto"/>
          <w:kern w:val="0"/>
          <w:sz w:val="24"/>
          <w:szCs w:val="24"/>
          <w:highlight w:val="none"/>
          <w:lang w:val="en-US" w:eastAsia="zh-CN" w:bidi="ar-SA"/>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7D70E55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19.4本合同一式肆份，具有同等法律效力，甲方、乙方各执贰份。</w:t>
      </w:r>
    </w:p>
    <w:p w14:paraId="7995C36D">
      <w:pPr>
        <w:keepNext w:val="0"/>
        <w:keepLines w:val="0"/>
        <w:pageBreakBefore w:val="0"/>
        <w:widowControl w:val="0"/>
        <w:kinsoku/>
        <w:wordWrap/>
        <w:overflowPunct/>
        <w:topLinePunct w:val="0"/>
        <w:autoSpaceDE/>
        <w:autoSpaceDN/>
        <w:bidi w:val="0"/>
        <w:spacing w:after="0" w:line="560" w:lineRule="exact"/>
        <w:jc w:val="both"/>
        <w:rPr>
          <w:rFonts w:hint="eastAsia" w:ascii="宋体" w:eastAsia="宋体" w:cs="宋体"/>
          <w:color w:val="auto"/>
          <w:kern w:val="2"/>
          <w:sz w:val="24"/>
          <w:szCs w:val="24"/>
          <w:highlight w:val="none"/>
          <w:lang w:val="en-US" w:eastAsia="zh-CN" w:bidi="ar-SA"/>
        </w:rPr>
      </w:pPr>
    </w:p>
    <w:p w14:paraId="76A6F864">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甲方：                        乙方： </w:t>
      </w:r>
    </w:p>
    <w:p w14:paraId="262B59D7">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地址：                        地址： </w:t>
      </w:r>
    </w:p>
    <w:p w14:paraId="4086E5E1">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法定代表人或授权代表：        法定代表人或授权代表：</w:t>
      </w:r>
    </w:p>
    <w:p w14:paraId="381E798F">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联系电话：                    联系电话：          </w:t>
      </w:r>
    </w:p>
    <w:p w14:paraId="06CA1B27">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3C06C098">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16F19D28">
      <w:pPr>
        <w:spacing w:line="560" w:lineRule="exact"/>
        <w:ind w:firstLine="480" w:firstLineChars="200"/>
        <w:rPr>
          <w:rFonts w:hint="eastAsia" w:ascii="宋体" w:cs="宋体"/>
          <w:sz w:val="24"/>
          <w:szCs w:val="24"/>
        </w:rPr>
      </w:pPr>
      <w:r>
        <w:rPr>
          <w:rFonts w:hint="eastAsia" w:ascii="宋体" w:eastAsia="宋体" w:cs="宋体"/>
          <w:color w:val="auto"/>
          <w:sz w:val="24"/>
          <w:szCs w:val="24"/>
          <w:highlight w:val="none"/>
        </w:rPr>
        <w:t>签订日期：      年    月   日</w:t>
      </w:r>
      <w:bookmarkStart w:id="0" w:name="_Hlt16619369"/>
      <w:bookmarkEnd w:id="0"/>
    </w:p>
    <w:p w14:paraId="50CB1F9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Luxi Sans">
    <w:altName w:val="Segoe Print"/>
    <w:panose1 w:val="00000000000000000000"/>
    <w:charset w:val="00"/>
    <w:family w:val="auto"/>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
  <w:rsids>
    <w:rsidRoot w:val="00000000"/>
    <w:rsid w:val="4B8307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Body Text"/>
    <w:uiPriority w:val="0"/>
    <w:pPr>
      <w:widowControl w:val="0"/>
      <w:spacing w:after="120"/>
      <w:jc w:val="both"/>
    </w:pPr>
    <w:rPr>
      <w:rFonts w:ascii="Calibri" w:hAnsi="Calibri" w:eastAsia="宋体" w:cs="Arial"/>
      <w:kern w:val="2"/>
      <w:sz w:val="21"/>
      <w:szCs w:val="22"/>
      <w:lang w:val="en-US" w:eastAsia="zh-CN" w:bidi="ar-SA"/>
    </w:rPr>
  </w:style>
  <w:style w:type="paragraph" w:customStyle="1" w:styleId="8">
    <w:name w:val="样式1"/>
    <w:basedOn w:val="1"/>
    <w:qFormat/>
    <w:uiPriority w:val="0"/>
    <w:rPr>
      <w:b/>
      <w:color w:val="538135"/>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Yozosoft</Company>
  <Pages>9</Pages>
  <Words>4893</Words>
  <Characters>5282</Characters>
  <Lines>1</Lines>
  <Paragraphs>0</Paragraphs>
  <TotalTime>16</TotalTime>
  <ScaleCrop>false</ScaleCrop>
  <LinksUpToDate>false</LinksUpToDate>
  <CharactersWithSpaces>5476</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2020-05-08T06:11:00Z</dcterms:created>
  <dc:creator>User274</dc:creator>
  <cp:lastModifiedBy>April</cp:lastModifiedBy>
  <dcterms:modified xsi:type="dcterms:W3CDTF">2026-03-12T06:23:40Z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eyJoZGlkIjoiODYzOTE4N2Q5NzM1MWE5OTNiYTZkMjMxNTVkMWZhNGMiLCJ1c2VySWQiOiIyNDIzMjQzOTkifQ==</vt:lpwstr>
  </property>
  <property fmtid="{D5CDD505-2E9C-101B-9397-08002B2CF9AE}" pid="3" name="KSOProductBuildVer">
    <vt:lpwstr>2052-12.1.0.25225</vt:lpwstr>
  </property>
  <property fmtid="{D5CDD505-2E9C-101B-9397-08002B2CF9AE}" pid="4" name="ICV">
    <vt:lpwstr>BD53D9333C954766ABA6DE09220EB885_12</vt:lpwstr>
  </property>
</Properties>
</file>