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27E7E">
      <w:pPr>
        <w:jc w:val="center"/>
        <w:rPr>
          <w:rFonts w:hint="eastAsia" w:ascii="宋体" w:hAnsi="宋体" w:eastAsia="宋体" w:cs="Times New Roman"/>
          <w:b/>
          <w:bCs/>
          <w:spacing w:val="20"/>
          <w:sz w:val="72"/>
          <w:szCs w:val="72"/>
        </w:rPr>
      </w:pPr>
    </w:p>
    <w:p w14:paraId="291B7002">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1CA4B41A">
      <w:pPr>
        <w:jc w:val="center"/>
        <w:rPr>
          <w:rFonts w:hint="eastAsia" w:ascii="宋体" w:hAnsi="宋体" w:eastAsia="宋体" w:cs="Times New Roman"/>
          <w:b/>
          <w:bCs/>
          <w:spacing w:val="20"/>
          <w:sz w:val="72"/>
          <w:szCs w:val="72"/>
        </w:rPr>
      </w:pPr>
    </w:p>
    <w:p w14:paraId="759E05D6">
      <w:pPr>
        <w:jc w:val="center"/>
        <w:rPr>
          <w:rFonts w:hint="eastAsia" w:ascii="宋体" w:hAnsi="宋体" w:eastAsia="宋体" w:cs="Times New Roman"/>
          <w:b/>
          <w:bCs/>
          <w:spacing w:val="20"/>
          <w:sz w:val="72"/>
          <w:szCs w:val="72"/>
        </w:rPr>
      </w:pPr>
    </w:p>
    <w:p w14:paraId="4A52CC04">
      <w:pPr>
        <w:jc w:val="center"/>
        <w:rPr>
          <w:rFonts w:hint="eastAsia" w:ascii="宋体" w:hAnsi="宋体" w:eastAsia="宋体" w:cs="Times New Roman"/>
          <w:b/>
          <w:bCs/>
          <w:spacing w:val="20"/>
          <w:sz w:val="72"/>
          <w:szCs w:val="72"/>
        </w:rPr>
      </w:pPr>
      <w:r>
        <w:rPr>
          <w:rFonts w:hint="eastAsia" w:ascii="宋体" w:hAnsi="宋体" w:eastAsia="宋体" w:cs="Times New Roman"/>
          <w:b/>
          <w:bCs/>
          <w:sz w:val="72"/>
          <w:szCs w:val="72"/>
        </w:rPr>
        <w:t>公　开　招　标</w:t>
      </w:r>
    </w:p>
    <w:p w14:paraId="6569973C">
      <w:pPr>
        <w:jc w:val="center"/>
        <w:rPr>
          <w:rFonts w:hint="eastAsia" w:ascii="宋体" w:hAnsi="宋体" w:eastAsia="宋体" w:cs="Times New Roman"/>
          <w:b/>
          <w:bCs/>
          <w:sz w:val="72"/>
          <w:szCs w:val="72"/>
        </w:rPr>
      </w:pPr>
      <w:r>
        <w:rPr>
          <w:rFonts w:ascii="宋体" w:hAnsi="宋体" w:eastAsia="宋体" w:cs="Times New Roman"/>
          <w:b/>
          <w:bCs/>
          <w:sz w:val="72"/>
          <w:szCs w:val="7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45pt;height:0pt;width:0.05pt;z-index:251660288;mso-width-relative:page;mso-height-relative:page;" filled="f" stroked="t" coordsize="21600,21600" o:allowincell="f" o:gfxdata="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D1S/6HWAAAACQEAAA8AAAAAAAAAAQAgAAAAIgAAAGRycy9kb3ducmV2&#10;LnhtbFBLAQIUABQAAAAIAIdO4kBeVWSOxQEAAHQDAAAOAAAAAAAAAAEAIAAAACUBAABkcnMvZTJv&#10;RG9jLnhtbFBLBQYAAAAABgAGAFkBAABcBQAAAAA=&#10;">
                <v:fill on="f" focussize="0,0"/>
                <v:stroke color="#000000" joinstyle="round"/>
                <v:imagedata o:title=""/>
                <o:lock v:ext="edit" aspectratio="f"/>
              </v:line>
            </w:pict>
          </mc:Fallback>
        </mc:AlternateContent>
      </w:r>
      <w:r>
        <w:rPr>
          <w:rFonts w:hint="eastAsia" w:ascii="宋体" w:hAnsi="宋体" w:eastAsia="宋体" w:cs="Times New Roman"/>
          <w:b/>
          <w:bCs/>
          <w:sz w:val="72"/>
          <w:szCs w:val="72"/>
        </w:rPr>
        <w:t>招　标　文　件</w:t>
      </w:r>
    </w:p>
    <w:p w14:paraId="1EDBB436">
      <w:pPr>
        <w:jc w:val="center"/>
        <w:rPr>
          <w:rFonts w:hint="eastAsia" w:ascii="宋体" w:hAnsi="宋体" w:eastAsia="宋体" w:cs="Times New Roman"/>
          <w:b/>
          <w:bCs/>
          <w:sz w:val="72"/>
          <w:szCs w:val="72"/>
        </w:rPr>
      </w:pPr>
    </w:p>
    <w:p w14:paraId="6D9D462B">
      <w:pPr>
        <w:jc w:val="center"/>
        <w:rPr>
          <w:rFonts w:hint="eastAsia" w:ascii="宋体" w:hAnsi="宋体" w:eastAsia="宋体" w:cs="Times New Roman"/>
          <w:b/>
          <w:bCs/>
          <w:sz w:val="72"/>
          <w:szCs w:val="72"/>
        </w:rPr>
      </w:pPr>
    </w:p>
    <w:p w14:paraId="4599D58F">
      <w:pPr>
        <w:spacing w:line="360" w:lineRule="auto"/>
        <w:ind w:left="3207" w:hanging="2249"/>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宋体"/>
          <w:bCs/>
          <w:sz w:val="32"/>
          <w:szCs w:val="32"/>
          <w:lang w:eastAsia="zh-CN"/>
        </w:rPr>
        <w:t>江阴市人民医院经皮氧、二氧化碳监测仪项目</w:t>
      </w:r>
    </w:p>
    <w:p w14:paraId="39A2A531">
      <w:pPr>
        <w:spacing w:line="360" w:lineRule="auto"/>
        <w:ind w:left="1279" w:hanging="321"/>
        <w:rPr>
          <w:rFonts w:hint="eastAsia" w:ascii="宋体" w:hAnsi="宋体" w:eastAsia="宋体" w:cs="Times New Roman"/>
          <w:bCs/>
          <w:sz w:val="32"/>
          <w:szCs w:val="24"/>
          <w:lang w:eastAsia="zh-CN"/>
        </w:rPr>
      </w:pPr>
      <w:r>
        <w:rPr>
          <w:rFonts w:hint="eastAsia" w:ascii="宋体" w:hAnsi="宋体" w:eastAsia="宋体" w:cs="Times New Roman"/>
          <w:b/>
          <w:sz w:val="32"/>
          <w:szCs w:val="32"/>
        </w:rPr>
        <w:t>采购项</w:t>
      </w:r>
      <w:r>
        <w:rPr>
          <w:rFonts w:hint="eastAsia" w:ascii="宋体" w:hAnsi="宋体" w:eastAsia="宋体" w:cs="Batang"/>
          <w:b/>
          <w:sz w:val="32"/>
          <w:szCs w:val="32"/>
        </w:rPr>
        <w:t>目</w:t>
      </w:r>
      <w:bookmarkEnd w:id="0"/>
      <w:bookmarkEnd w:id="1"/>
      <w:r>
        <w:rPr>
          <w:rFonts w:hint="eastAsia" w:ascii="宋体" w:hAnsi="宋体" w:eastAsia="宋体" w:cs="Times New Roman"/>
          <w:b/>
          <w:bCs/>
          <w:sz w:val="32"/>
          <w:szCs w:val="32"/>
        </w:rPr>
        <w:t>编号</w:t>
      </w:r>
      <w:r>
        <w:rPr>
          <w:rFonts w:hint="eastAsia" w:ascii="宋体" w:hAnsi="宋体" w:eastAsia="宋体" w:cs="Times New Roman"/>
          <w:bCs/>
          <w:sz w:val="32"/>
          <w:szCs w:val="24"/>
        </w:rPr>
        <w:t>：</w:t>
      </w:r>
      <w:r>
        <w:rPr>
          <w:rFonts w:hint="eastAsia" w:ascii="宋体" w:hAnsi="宋体" w:eastAsia="宋体" w:cs="宋体"/>
          <w:bCs/>
          <w:sz w:val="32"/>
          <w:szCs w:val="32"/>
          <w:lang w:eastAsia="zh-CN"/>
        </w:rPr>
        <w:t>JSZC-320281-JZCG-G2026-0017</w:t>
      </w:r>
    </w:p>
    <w:p w14:paraId="2FA82543">
      <w:pPr>
        <w:keepNext/>
        <w:keepLines/>
        <w:spacing w:line="360" w:lineRule="auto"/>
        <w:ind w:firstLine="964"/>
        <w:outlineLvl w:val="1"/>
        <w:rPr>
          <w:rFonts w:hint="eastAsia" w:ascii="宋体" w:hAnsi="宋体" w:eastAsia="宋体" w:cs="Times New Roman"/>
          <w:bCs/>
          <w:sz w:val="32"/>
          <w:szCs w:val="32"/>
        </w:rPr>
      </w:pPr>
      <w:bookmarkStart w:id="2" w:name="_Toc311189772"/>
      <w:bookmarkStart w:id="3" w:name="_Toc311189701"/>
      <w:r>
        <w:rPr>
          <w:rFonts w:hint="eastAsia" w:ascii="宋体" w:hAnsi="宋体" w:eastAsia="宋体" w:cs="Times New Roman"/>
          <w:b/>
          <w:bCs/>
          <w:sz w:val="32"/>
          <w:szCs w:val="32"/>
        </w:rPr>
        <w:t>集中采</w:t>
      </w:r>
      <w:r>
        <w:rPr>
          <w:rFonts w:hint="eastAsia" w:ascii="宋体" w:hAnsi="宋体" w:eastAsia="宋体" w:cs="宋体"/>
          <w:b/>
          <w:bCs/>
          <w:sz w:val="32"/>
          <w:szCs w:val="32"/>
        </w:rPr>
        <w:t>购</w:t>
      </w:r>
      <w:r>
        <w:rPr>
          <w:rFonts w:hint="eastAsia" w:ascii="宋体" w:hAnsi="宋体" w:eastAsia="宋体" w:cs="Batang"/>
          <w:b/>
          <w:bCs/>
          <w:sz w:val="32"/>
          <w:szCs w:val="32"/>
        </w:rPr>
        <w:t>机</w:t>
      </w:r>
      <w:r>
        <w:rPr>
          <w:rFonts w:hint="eastAsia" w:ascii="宋体" w:hAnsi="宋体" w:eastAsia="宋体" w:cs="宋体"/>
          <w:b/>
          <w:bCs/>
          <w:sz w:val="32"/>
          <w:szCs w:val="32"/>
        </w:rPr>
        <w:t>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江</w:t>
      </w:r>
      <w:r>
        <w:rPr>
          <w:rFonts w:hint="eastAsia" w:ascii="宋体" w:hAnsi="宋体" w:eastAsia="宋体" w:cs="宋体"/>
          <w:bCs/>
          <w:sz w:val="32"/>
          <w:szCs w:val="32"/>
        </w:rPr>
        <w:t>阴</w:t>
      </w:r>
      <w:r>
        <w:rPr>
          <w:rFonts w:hint="eastAsia" w:ascii="宋体" w:hAnsi="宋体" w:eastAsia="宋体" w:cs="Batang"/>
          <w:bCs/>
          <w:sz w:val="32"/>
          <w:szCs w:val="32"/>
        </w:rPr>
        <w:t>市政</w:t>
      </w:r>
      <w:r>
        <w:rPr>
          <w:rFonts w:hint="eastAsia" w:ascii="宋体" w:hAnsi="宋体" w:eastAsia="宋体" w:cs="Times New Roman"/>
          <w:bCs/>
          <w:sz w:val="32"/>
          <w:szCs w:val="32"/>
        </w:rPr>
        <w:t>府采</w:t>
      </w:r>
      <w:r>
        <w:rPr>
          <w:rFonts w:hint="eastAsia" w:ascii="宋体" w:hAnsi="宋体" w:eastAsia="宋体" w:cs="宋体"/>
          <w:bCs/>
          <w:sz w:val="32"/>
          <w:szCs w:val="32"/>
        </w:rPr>
        <w:t>购</w:t>
      </w:r>
      <w:r>
        <w:rPr>
          <w:rFonts w:hint="eastAsia" w:ascii="宋体" w:hAnsi="宋体" w:eastAsia="宋体" w:cs="Batang"/>
          <w:bCs/>
          <w:sz w:val="32"/>
          <w:szCs w:val="32"/>
        </w:rPr>
        <w:t>中心</w:t>
      </w:r>
      <w:bookmarkEnd w:id="2"/>
      <w:bookmarkEnd w:id="3"/>
    </w:p>
    <w:p w14:paraId="60AA5AB9">
      <w:pPr>
        <w:jc w:val="center"/>
        <w:rPr>
          <w:rFonts w:hint="eastAsia" w:ascii="宋体" w:hAnsi="宋体" w:eastAsia="宋体" w:cs="Times New Roman"/>
          <w:bCs/>
          <w:sz w:val="48"/>
          <w:szCs w:val="24"/>
        </w:rPr>
      </w:pPr>
    </w:p>
    <w:p w14:paraId="02674DD1">
      <w:pPr>
        <w:jc w:val="center"/>
        <w:rPr>
          <w:rFonts w:hint="eastAsia" w:ascii="宋体" w:hAnsi="宋体" w:eastAsia="宋体" w:cs="Times New Roman"/>
          <w:bCs/>
          <w:sz w:val="48"/>
          <w:szCs w:val="24"/>
        </w:rPr>
      </w:pPr>
    </w:p>
    <w:p w14:paraId="5020FFE6">
      <w:pPr>
        <w:jc w:val="center"/>
        <w:rPr>
          <w:rFonts w:hint="eastAsia" w:ascii="宋体" w:hAnsi="宋体" w:eastAsia="宋体" w:cs="Times New Roman"/>
          <w:bCs/>
          <w:sz w:val="48"/>
          <w:szCs w:val="24"/>
        </w:rPr>
      </w:pPr>
    </w:p>
    <w:p w14:paraId="1D060482">
      <w:pPr>
        <w:jc w:val="center"/>
        <w:rPr>
          <w:rFonts w:hint="eastAsia" w:ascii="宋体" w:hAnsi="宋体" w:eastAsia="宋体" w:cs="Times New Roman"/>
          <w:bCs/>
          <w:sz w:val="48"/>
          <w:szCs w:val="24"/>
        </w:rPr>
      </w:pPr>
    </w:p>
    <w:p w14:paraId="0AE7B391">
      <w:pPr>
        <w:jc w:val="center"/>
        <w:rPr>
          <w:rFonts w:hint="eastAsia"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60" w:charSpace="0"/>
        </w:sectPr>
      </w:pPr>
      <w:r>
        <w:rPr>
          <w:rFonts w:hint="eastAsia" w:ascii="宋体" w:hAnsi="宋体" w:eastAsia="宋体" w:cs="Times New Roman"/>
          <w:bCs/>
          <w:sz w:val="48"/>
          <w:szCs w:val="24"/>
        </w:rPr>
        <w:t>二〇二</w:t>
      </w:r>
      <w:r>
        <w:rPr>
          <w:rFonts w:hint="eastAsia" w:ascii="宋体" w:hAnsi="宋体" w:eastAsia="宋体" w:cs="Times New Roman"/>
          <w:bCs/>
          <w:sz w:val="48"/>
          <w:szCs w:val="24"/>
          <w:lang w:eastAsia="zh-CN"/>
        </w:rPr>
        <w:t>六</w:t>
      </w:r>
      <w:r>
        <w:rPr>
          <w:rFonts w:hint="eastAsia" w:ascii="宋体" w:hAnsi="宋体" w:eastAsia="宋体" w:cs="Times New Roman"/>
          <w:bCs/>
          <w:sz w:val="48"/>
          <w:szCs w:val="24"/>
        </w:rPr>
        <w:t>年</w:t>
      </w:r>
      <w:r>
        <w:rPr>
          <w:rFonts w:hint="eastAsia" w:ascii="宋体" w:hAnsi="宋体" w:eastAsia="宋体" w:cs="Times New Roman"/>
          <w:bCs/>
          <w:sz w:val="48"/>
          <w:szCs w:val="24"/>
          <w:lang w:eastAsia="zh-CN"/>
        </w:rPr>
        <w:t>三</w:t>
      </w:r>
      <w:r>
        <w:rPr>
          <w:rFonts w:hint="eastAsia" w:ascii="宋体" w:hAnsi="宋体" w:eastAsia="宋体" w:cs="Times New Roman"/>
          <w:bCs/>
          <w:sz w:val="48"/>
          <w:szCs w:val="24"/>
        </w:rPr>
        <w:t>月</w:t>
      </w:r>
    </w:p>
    <w:p w14:paraId="75E067F6">
      <w:pPr>
        <w:spacing w:line="360" w:lineRule="auto"/>
        <w:jc w:val="center"/>
        <w:rPr>
          <w:rFonts w:ascii="黑体" w:hAnsi="Times New Roman" w:eastAsia="黑体" w:cs="Times New Roman"/>
          <w:bCs/>
          <w:sz w:val="44"/>
          <w:szCs w:val="44"/>
        </w:rPr>
      </w:pPr>
    </w:p>
    <w:p w14:paraId="3D01419A">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743E86E3">
      <w:pPr>
        <w:spacing w:line="360" w:lineRule="auto"/>
        <w:jc w:val="center"/>
        <w:rPr>
          <w:rFonts w:ascii="黑体" w:hAnsi="Times New Roman" w:eastAsia="黑体" w:cs="Times New Roman"/>
          <w:bCs/>
          <w:sz w:val="44"/>
          <w:szCs w:val="44"/>
        </w:rPr>
      </w:pPr>
      <w:bookmarkStart w:id="26" w:name="_GoBack"/>
      <w:bookmarkEnd w:id="26"/>
    </w:p>
    <w:p w14:paraId="1DC9996B">
      <w:pPr>
        <w:pStyle w:val="23"/>
        <w:tabs>
          <w:tab w:val="right" w:leader="dot" w:pos="9402"/>
        </w:tabs>
        <w:spacing w:line="600" w:lineRule="exact"/>
        <w:rPr>
          <w:rStyle w:val="38"/>
          <w:color w:val="auto"/>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"_Toc201302569" \o "#_Toc201302569" </w:instrText>
      </w:r>
      <w:r>
        <w:fldChar w:fldCharType="separate"/>
      </w:r>
      <w:r>
        <w:rPr>
          <w:rStyle w:val="38"/>
          <w:rFonts w:hint="eastAsia"/>
          <w:color w:val="auto"/>
          <w:sz w:val="30"/>
          <w:szCs w:val="30"/>
        </w:rPr>
        <w:t>第一章　投标邀请</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_Toc201302569 \h </w:instrText>
      </w:r>
      <w:r>
        <w:rPr>
          <w:rStyle w:val="38"/>
          <w:color w:val="auto"/>
          <w:sz w:val="30"/>
          <w:szCs w:val="30"/>
        </w:rPr>
        <w:fldChar w:fldCharType="separate"/>
      </w:r>
      <w:r>
        <w:rPr>
          <w:rStyle w:val="38"/>
          <w:color w:val="auto"/>
          <w:sz w:val="30"/>
          <w:szCs w:val="30"/>
        </w:rPr>
        <w:t>3</w:t>
      </w:r>
      <w:r>
        <w:rPr>
          <w:rStyle w:val="38"/>
          <w:color w:val="auto"/>
          <w:sz w:val="30"/>
          <w:szCs w:val="30"/>
        </w:rPr>
        <w:fldChar w:fldCharType="end"/>
      </w:r>
      <w:r>
        <w:rPr>
          <w:rStyle w:val="38"/>
          <w:color w:val="auto"/>
          <w:sz w:val="30"/>
          <w:szCs w:val="30"/>
        </w:rPr>
        <w:fldChar w:fldCharType="end"/>
      </w:r>
    </w:p>
    <w:p w14:paraId="5A0F6786">
      <w:pPr>
        <w:pStyle w:val="23"/>
        <w:tabs>
          <w:tab w:val="right" w:leader="dot" w:pos="9402"/>
        </w:tabs>
        <w:spacing w:line="600" w:lineRule="exact"/>
        <w:rPr>
          <w:rStyle w:val="38"/>
          <w:color w:val="auto"/>
          <w:sz w:val="30"/>
          <w:szCs w:val="30"/>
        </w:rPr>
      </w:pPr>
      <w:r>
        <w:fldChar w:fldCharType="begin"/>
      </w:r>
      <w:r>
        <w:instrText xml:space="preserve"> HYPERLINK \l "_Toc201302570" \o "#_Toc201302570" </w:instrText>
      </w:r>
      <w:r>
        <w:fldChar w:fldCharType="separate"/>
      </w:r>
      <w:r>
        <w:rPr>
          <w:rStyle w:val="38"/>
          <w:rFonts w:hint="eastAsia"/>
          <w:color w:val="auto"/>
          <w:sz w:val="30"/>
          <w:szCs w:val="30"/>
        </w:rPr>
        <w:t>第二章　投标人须知</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_Toc201302570 \h </w:instrText>
      </w:r>
      <w:r>
        <w:rPr>
          <w:rStyle w:val="38"/>
          <w:color w:val="auto"/>
          <w:sz w:val="30"/>
          <w:szCs w:val="30"/>
        </w:rPr>
        <w:fldChar w:fldCharType="separate"/>
      </w:r>
      <w:r>
        <w:rPr>
          <w:rStyle w:val="38"/>
          <w:color w:val="auto"/>
          <w:sz w:val="30"/>
          <w:szCs w:val="30"/>
        </w:rPr>
        <w:t>6</w:t>
      </w:r>
      <w:r>
        <w:rPr>
          <w:rStyle w:val="38"/>
          <w:color w:val="auto"/>
          <w:sz w:val="30"/>
          <w:szCs w:val="30"/>
        </w:rPr>
        <w:fldChar w:fldCharType="end"/>
      </w:r>
      <w:r>
        <w:rPr>
          <w:rStyle w:val="38"/>
          <w:color w:val="auto"/>
          <w:sz w:val="30"/>
          <w:szCs w:val="30"/>
        </w:rPr>
        <w:fldChar w:fldCharType="end"/>
      </w:r>
    </w:p>
    <w:p w14:paraId="1C036EBA">
      <w:pPr>
        <w:pStyle w:val="23"/>
        <w:tabs>
          <w:tab w:val="right" w:leader="dot" w:pos="9402"/>
        </w:tabs>
        <w:spacing w:line="600" w:lineRule="exact"/>
        <w:rPr>
          <w:rStyle w:val="38"/>
          <w:color w:val="auto"/>
          <w:sz w:val="30"/>
          <w:szCs w:val="30"/>
        </w:rPr>
      </w:pPr>
      <w:r>
        <w:fldChar w:fldCharType="begin"/>
      </w:r>
      <w:r>
        <w:instrText xml:space="preserve"> HYPERLINK \l "_Toc201302571" \o "#_Toc201302571" </w:instrText>
      </w:r>
      <w:r>
        <w:fldChar w:fldCharType="separate"/>
      </w:r>
      <w:r>
        <w:rPr>
          <w:rStyle w:val="38"/>
          <w:rFonts w:hint="eastAsia"/>
          <w:color w:val="auto"/>
          <w:sz w:val="30"/>
          <w:szCs w:val="30"/>
        </w:rPr>
        <w:t>第三章　项目要求和有关说明</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_Toc201302571 \h </w:instrText>
      </w:r>
      <w:r>
        <w:rPr>
          <w:rStyle w:val="38"/>
          <w:color w:val="auto"/>
          <w:sz w:val="30"/>
          <w:szCs w:val="30"/>
        </w:rPr>
        <w:fldChar w:fldCharType="separate"/>
      </w:r>
      <w:r>
        <w:rPr>
          <w:rStyle w:val="38"/>
          <w:color w:val="auto"/>
          <w:sz w:val="30"/>
          <w:szCs w:val="30"/>
        </w:rPr>
        <w:t>18</w:t>
      </w:r>
      <w:r>
        <w:rPr>
          <w:rStyle w:val="38"/>
          <w:color w:val="auto"/>
          <w:sz w:val="30"/>
          <w:szCs w:val="30"/>
        </w:rPr>
        <w:fldChar w:fldCharType="end"/>
      </w:r>
      <w:r>
        <w:rPr>
          <w:rStyle w:val="38"/>
          <w:color w:val="auto"/>
          <w:sz w:val="30"/>
          <w:szCs w:val="30"/>
        </w:rPr>
        <w:fldChar w:fldCharType="end"/>
      </w:r>
    </w:p>
    <w:p w14:paraId="4ABB9064">
      <w:pPr>
        <w:pStyle w:val="23"/>
        <w:tabs>
          <w:tab w:val="right" w:leader="dot" w:pos="9402"/>
        </w:tabs>
        <w:spacing w:line="600" w:lineRule="exact"/>
        <w:rPr>
          <w:rStyle w:val="38"/>
          <w:color w:val="auto"/>
          <w:sz w:val="30"/>
          <w:szCs w:val="30"/>
        </w:rPr>
      </w:pPr>
      <w:r>
        <w:fldChar w:fldCharType="begin"/>
      </w:r>
      <w:r>
        <w:instrText xml:space="preserve"> HYPERLINK \l "_Toc201302572" \o "#_Toc201302572" </w:instrText>
      </w:r>
      <w:r>
        <w:fldChar w:fldCharType="separate"/>
      </w:r>
      <w:r>
        <w:rPr>
          <w:rStyle w:val="38"/>
          <w:rFonts w:hint="eastAsia"/>
          <w:color w:val="auto"/>
          <w:sz w:val="30"/>
          <w:szCs w:val="30"/>
        </w:rPr>
        <w:t>第四章　评标方法和评标标准</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_Toc201302572 \h </w:instrText>
      </w:r>
      <w:r>
        <w:rPr>
          <w:rStyle w:val="38"/>
          <w:color w:val="auto"/>
          <w:sz w:val="30"/>
          <w:szCs w:val="30"/>
        </w:rPr>
        <w:fldChar w:fldCharType="separate"/>
      </w:r>
      <w:r>
        <w:rPr>
          <w:rStyle w:val="38"/>
          <w:color w:val="auto"/>
          <w:sz w:val="30"/>
          <w:szCs w:val="30"/>
        </w:rPr>
        <w:t>23</w:t>
      </w:r>
      <w:r>
        <w:rPr>
          <w:rStyle w:val="38"/>
          <w:color w:val="auto"/>
          <w:sz w:val="30"/>
          <w:szCs w:val="30"/>
        </w:rPr>
        <w:fldChar w:fldCharType="end"/>
      </w:r>
      <w:r>
        <w:rPr>
          <w:rStyle w:val="38"/>
          <w:color w:val="auto"/>
          <w:sz w:val="30"/>
          <w:szCs w:val="30"/>
        </w:rPr>
        <w:fldChar w:fldCharType="end"/>
      </w:r>
    </w:p>
    <w:p w14:paraId="189F165C">
      <w:pPr>
        <w:pStyle w:val="23"/>
        <w:tabs>
          <w:tab w:val="right" w:leader="dot" w:pos="9402"/>
        </w:tabs>
        <w:spacing w:line="600" w:lineRule="exact"/>
        <w:rPr>
          <w:rStyle w:val="38"/>
          <w:color w:val="auto"/>
          <w:sz w:val="30"/>
          <w:szCs w:val="30"/>
        </w:rPr>
      </w:pPr>
      <w:r>
        <w:fldChar w:fldCharType="begin"/>
      </w:r>
      <w:r>
        <w:instrText xml:space="preserve"> HYPERLINK \l "_Toc201302573" \o "#_Toc201302573" </w:instrText>
      </w:r>
      <w:r>
        <w:fldChar w:fldCharType="separate"/>
      </w:r>
      <w:r>
        <w:rPr>
          <w:rStyle w:val="38"/>
          <w:rFonts w:hint="eastAsia"/>
          <w:color w:val="auto"/>
          <w:sz w:val="30"/>
          <w:szCs w:val="30"/>
        </w:rPr>
        <w:t>第五章　合同书（格式）</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_Toc201302573 \h </w:instrText>
      </w:r>
      <w:r>
        <w:rPr>
          <w:rStyle w:val="38"/>
          <w:color w:val="auto"/>
          <w:sz w:val="30"/>
          <w:szCs w:val="30"/>
        </w:rPr>
        <w:fldChar w:fldCharType="separate"/>
      </w:r>
      <w:r>
        <w:rPr>
          <w:rStyle w:val="38"/>
          <w:color w:val="auto"/>
          <w:sz w:val="30"/>
          <w:szCs w:val="30"/>
        </w:rPr>
        <w:t>26</w:t>
      </w:r>
      <w:r>
        <w:rPr>
          <w:rStyle w:val="38"/>
          <w:color w:val="auto"/>
          <w:sz w:val="30"/>
          <w:szCs w:val="30"/>
        </w:rPr>
        <w:fldChar w:fldCharType="end"/>
      </w:r>
      <w:r>
        <w:rPr>
          <w:rStyle w:val="38"/>
          <w:color w:val="auto"/>
          <w:sz w:val="30"/>
          <w:szCs w:val="30"/>
        </w:rPr>
        <w:fldChar w:fldCharType="end"/>
      </w:r>
    </w:p>
    <w:p w14:paraId="2A298C95">
      <w:pPr>
        <w:pStyle w:val="23"/>
        <w:tabs>
          <w:tab w:val="right" w:leader="dot" w:pos="9402"/>
        </w:tabs>
        <w:spacing w:line="600" w:lineRule="exact"/>
        <w:rPr>
          <w:rStyle w:val="38"/>
          <w:color w:val="auto"/>
          <w:sz w:val="30"/>
          <w:szCs w:val="30"/>
        </w:rPr>
      </w:pPr>
      <w:r>
        <w:fldChar w:fldCharType="begin"/>
      </w:r>
      <w:r>
        <w:instrText xml:space="preserve"> HYPERLINK \l "_Toc201302574" \o "#_Toc201302574" </w:instrText>
      </w:r>
      <w:r>
        <w:fldChar w:fldCharType="separate"/>
      </w:r>
      <w:r>
        <w:rPr>
          <w:rStyle w:val="38"/>
          <w:rFonts w:hint="eastAsia"/>
          <w:color w:val="auto"/>
          <w:sz w:val="30"/>
          <w:szCs w:val="30"/>
        </w:rPr>
        <w:t>第六章　投标文件的组成和格式</w:t>
      </w:r>
      <w:r>
        <w:rPr>
          <w:rStyle w:val="38"/>
          <w:color w:val="auto"/>
          <w:sz w:val="30"/>
          <w:szCs w:val="30"/>
        </w:rPr>
        <w:tab/>
      </w:r>
      <w:r>
        <w:rPr>
          <w:rStyle w:val="38"/>
          <w:color w:val="auto"/>
          <w:sz w:val="30"/>
          <w:szCs w:val="30"/>
        </w:rPr>
        <w:fldChar w:fldCharType="begin"/>
      </w:r>
      <w:r>
        <w:rPr>
          <w:rStyle w:val="38"/>
          <w:color w:val="auto"/>
          <w:sz w:val="30"/>
          <w:szCs w:val="30"/>
        </w:rPr>
        <w:instrText xml:space="preserve"> PAGEREF _Toc201302574 \h </w:instrText>
      </w:r>
      <w:r>
        <w:rPr>
          <w:rStyle w:val="38"/>
          <w:color w:val="auto"/>
          <w:sz w:val="30"/>
          <w:szCs w:val="30"/>
        </w:rPr>
        <w:fldChar w:fldCharType="separate"/>
      </w:r>
      <w:r>
        <w:rPr>
          <w:rStyle w:val="38"/>
          <w:color w:val="auto"/>
          <w:sz w:val="30"/>
          <w:szCs w:val="30"/>
        </w:rPr>
        <w:t>30</w:t>
      </w:r>
      <w:r>
        <w:rPr>
          <w:rStyle w:val="38"/>
          <w:color w:val="auto"/>
          <w:sz w:val="30"/>
          <w:szCs w:val="30"/>
        </w:rPr>
        <w:fldChar w:fldCharType="end"/>
      </w:r>
      <w:r>
        <w:rPr>
          <w:rStyle w:val="38"/>
          <w:color w:val="auto"/>
          <w:sz w:val="30"/>
          <w:szCs w:val="30"/>
        </w:rPr>
        <w:fldChar w:fldCharType="end"/>
      </w:r>
    </w:p>
    <w:p w14:paraId="1702FCB5">
      <w:pPr>
        <w:pStyle w:val="31"/>
        <w:spacing w:before="120" w:after="120" w:line="600" w:lineRule="exact"/>
        <w:sectPr>
          <w:footerReference r:id="rId5" w:type="even"/>
          <w:pgSz w:w="11906" w:h="16838"/>
          <w:pgMar w:top="1247" w:right="1247" w:bottom="1247" w:left="1247" w:header="680" w:footer="992" w:gutter="0"/>
          <w:cols w:space="720" w:num="1"/>
          <w:docGrid w:linePitch="360" w:charSpace="0"/>
        </w:sectPr>
      </w:pPr>
      <w:r>
        <w:rPr>
          <w:rFonts w:ascii="宋体" w:hAnsi="宋体" w:eastAsia="宋体" w:cs="Times New Roman"/>
          <w:szCs w:val="30"/>
        </w:rPr>
        <w:fldChar w:fldCharType="end"/>
      </w:r>
      <w:bookmarkStart w:id="4" w:name="_Toc166593155"/>
      <w:bookmarkStart w:id="5" w:name="_Toc166593357"/>
    </w:p>
    <w:p w14:paraId="68A577A7">
      <w:pPr>
        <w:pStyle w:val="31"/>
      </w:pPr>
    </w:p>
    <w:p w14:paraId="2EEC41F2">
      <w:pPr>
        <w:pStyle w:val="31"/>
      </w:pPr>
      <w:bookmarkStart w:id="6" w:name="_Toc201302569"/>
      <w:r>
        <w:rPr>
          <w:rFonts w:hint="eastAsia"/>
        </w:rPr>
        <w:t>第一章　投标邀请</w:t>
      </w:r>
      <w:bookmarkEnd w:id="4"/>
      <w:bookmarkEnd w:id="5"/>
      <w:bookmarkEnd w:id="6"/>
    </w:p>
    <w:p w14:paraId="38AAB98E">
      <w:pPr>
        <w:spacing w:line="400" w:lineRule="exact"/>
        <w:jc w:val="center"/>
        <w:outlineLvl w:val="0"/>
        <w:rPr>
          <w:rFonts w:hint="eastAsia" w:ascii="宋体" w:hAnsi="宋体" w:eastAsia="宋体" w:cs="Times New Roman"/>
          <w:b/>
          <w:bCs/>
          <w:sz w:val="24"/>
          <w:szCs w:val="24"/>
        </w:rPr>
      </w:pPr>
    </w:p>
    <w:p w14:paraId="089D51DC">
      <w:pPr>
        <w:pBdr>
          <w:top w:val="single" w:color="auto" w:sz="4" w:space="1"/>
          <w:left w:val="single" w:color="auto" w:sz="4" w:space="4"/>
          <w:bottom w:val="single" w:color="auto" w:sz="4" w:space="1"/>
          <w:right w:val="single" w:color="auto" w:sz="4" w:space="4"/>
        </w:pBdr>
        <w:spacing w:line="400" w:lineRule="exact"/>
        <w:rPr>
          <w:rFonts w:hint="eastAsia" w:ascii="宋体" w:hAnsi="宋体" w:eastAsia="宋体" w:cs="Times New Roman"/>
          <w:b/>
          <w:sz w:val="24"/>
          <w:szCs w:val="24"/>
        </w:rPr>
      </w:pPr>
      <w:r>
        <w:rPr>
          <w:rFonts w:ascii="宋体" w:hAnsi="宋体" w:eastAsia="宋体" w:cs="Times New Roman"/>
          <w:b/>
          <w:sz w:val="24"/>
          <w:szCs w:val="24"/>
        </w:rPr>
        <w:t>项目概况</w:t>
      </w:r>
    </w:p>
    <w:p w14:paraId="165A0D29">
      <w:pPr>
        <w:pBdr>
          <w:top w:val="single" w:color="auto" w:sz="4" w:space="1"/>
          <w:left w:val="single" w:color="auto" w:sz="4" w:space="4"/>
          <w:bottom w:val="single" w:color="auto" w:sz="4" w:space="1"/>
          <w:right w:val="single" w:color="auto" w:sz="4" w:space="4"/>
        </w:pBd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lang w:eastAsia="zh-CN"/>
        </w:rPr>
        <w:t>江阴市人民医院经皮氧、二氧化碳监测仪项目</w:t>
      </w:r>
      <w:r>
        <w:rPr>
          <w:rFonts w:hint="eastAsia" w:ascii="宋体" w:hAnsi="宋体" w:eastAsia="宋体" w:cs="Times New Roman"/>
          <w:bCs/>
          <w:sz w:val="24"/>
          <w:szCs w:val="24"/>
          <w:lang w:eastAsia="zh-CN"/>
        </w:rPr>
        <w:t>JSZC-320281-JZCG-G2026-0017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获取招标文件，并</w:t>
      </w:r>
      <w:r>
        <w:rPr>
          <w:rFonts w:hint="eastAsia" w:ascii="宋体" w:hAnsi="宋体" w:eastAsia="宋体" w:cs="Times New Roman"/>
          <w:sz w:val="24"/>
          <w:szCs w:val="24"/>
          <w:highlight w:val="none"/>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lang w:val="en-US" w:eastAsia="zh-CN"/>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3</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26</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yellow"/>
        </w:rPr>
        <w:t xml:space="preserve"> </w:t>
      </w:r>
      <w:r>
        <w:rPr>
          <w:rFonts w:hint="eastAsia" w:ascii="宋体" w:hAnsi="宋体" w:eastAsia="宋体" w:cs="Times New Roman"/>
          <w:sz w:val="24"/>
          <w:szCs w:val="24"/>
        </w:rPr>
        <w:t>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（北京时间）前递交投标文件。</w:t>
      </w:r>
    </w:p>
    <w:p w14:paraId="17B7A621">
      <w:pPr>
        <w:spacing w:line="400" w:lineRule="exact"/>
        <w:rPr>
          <w:rFonts w:hint="eastAsia" w:ascii="宋体" w:hAnsi="宋体" w:eastAsia="宋体" w:cs="Times New Roman"/>
          <w:b/>
          <w:sz w:val="24"/>
          <w:szCs w:val="24"/>
        </w:rPr>
      </w:pPr>
      <w:bookmarkStart w:id="7" w:name="_Toc166593156"/>
      <w:bookmarkStart w:id="8" w:name="_Toc166593358"/>
    </w:p>
    <w:p w14:paraId="7B6CF75B">
      <w:pPr>
        <w:spacing w:line="400" w:lineRule="exact"/>
        <w:rPr>
          <w:rFonts w:hint="eastAsia" w:ascii="宋体" w:hAnsi="宋体" w:eastAsia="宋体" w:cs="Times New Roman"/>
          <w:sz w:val="24"/>
          <w:szCs w:val="24"/>
        </w:rPr>
      </w:pPr>
      <w:r>
        <w:rPr>
          <w:rFonts w:ascii="宋体" w:hAnsi="宋体" w:eastAsia="宋体" w:cs="Times New Roman"/>
          <w:b/>
          <w:sz w:val="24"/>
          <w:szCs w:val="24"/>
        </w:rPr>
        <w:t>一、项目基本情况</w:t>
      </w:r>
    </w:p>
    <w:p w14:paraId="1E5A672E">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项目编号：</w:t>
      </w:r>
      <w:r>
        <w:rPr>
          <w:rFonts w:hint="eastAsia" w:ascii="宋体" w:hAnsi="宋体" w:eastAsia="宋体" w:cs="Times New Roman"/>
          <w:bCs/>
          <w:sz w:val="24"/>
          <w:szCs w:val="24"/>
          <w:lang w:eastAsia="zh-CN"/>
        </w:rPr>
        <w:t>JSZC-320281-JZCG-G2026-0017</w:t>
      </w:r>
    </w:p>
    <w:p w14:paraId="0D3512C6">
      <w:pPr>
        <w:spacing w:line="400" w:lineRule="exact"/>
        <w:ind w:firstLine="480"/>
        <w:rPr>
          <w:rFonts w:hint="eastAsia" w:ascii="宋体" w:hAnsi="宋体" w:eastAsia="宋体" w:cs="Times New Roman"/>
          <w:sz w:val="24"/>
          <w:szCs w:val="24"/>
          <w:lang w:eastAsia="zh-CN"/>
        </w:rPr>
      </w:pPr>
      <w:r>
        <w:rPr>
          <w:rFonts w:ascii="宋体" w:hAnsi="宋体" w:eastAsia="宋体" w:cs="Times New Roman"/>
          <w:sz w:val="24"/>
          <w:szCs w:val="24"/>
        </w:rPr>
        <w:t>项目名称：</w:t>
      </w:r>
      <w:r>
        <w:rPr>
          <w:rFonts w:hint="eastAsia" w:ascii="宋体" w:hAnsi="宋体" w:eastAsia="宋体" w:cs="Times New Roman"/>
          <w:sz w:val="24"/>
          <w:szCs w:val="24"/>
          <w:lang w:eastAsia="zh-CN"/>
        </w:rPr>
        <w:t>江阴市人民医院经皮氧、二氧化碳监测仪项目</w:t>
      </w:r>
    </w:p>
    <w:p w14:paraId="267DEDCF">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预算金额：7</w:t>
      </w:r>
      <w:r>
        <w:rPr>
          <w:rFonts w:hint="eastAsia" w:ascii="Times New Roman" w:hAnsi="Times New Roman" w:eastAsia="宋体" w:cs="Times New Roman"/>
          <w:sz w:val="24"/>
          <w:szCs w:val="24"/>
        </w:rPr>
        <w:t>6</w:t>
      </w:r>
      <w:r>
        <w:rPr>
          <w:rFonts w:ascii="Times New Roman" w:hAnsi="Times New Roman" w:eastAsia="宋体" w:cs="Times New Roman"/>
          <w:sz w:val="24"/>
          <w:szCs w:val="24"/>
        </w:rPr>
        <w:t>万元</w:t>
      </w:r>
    </w:p>
    <w:p w14:paraId="4818D8B8">
      <w:pPr>
        <w:spacing w:line="400" w:lineRule="exact"/>
        <w:ind w:firstLine="480" w:firstLineChars="200"/>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最高限价：</w:t>
      </w:r>
      <w:r>
        <w:rPr>
          <w:rFonts w:hint="eastAsia" w:ascii="Times New Roman" w:hAnsi="Times New Roman" w:eastAsia="宋体" w:cs="Times New Roman"/>
          <w:sz w:val="24"/>
          <w:szCs w:val="24"/>
          <w:lang w:eastAsia="zh-CN"/>
        </w:rPr>
        <w:t>76万元</w:t>
      </w:r>
    </w:p>
    <w:p w14:paraId="7FDDA44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采购方式：公开招标</w:t>
      </w:r>
    </w:p>
    <w:p w14:paraId="74F3E293">
      <w:pPr>
        <w:spacing w:line="400" w:lineRule="exact"/>
        <w:ind w:firstLine="480"/>
        <w:rPr>
          <w:rFonts w:hint="eastAsia" w:ascii="宋体" w:hAnsi="宋体" w:eastAsia="宋体" w:cs="Times New Roman"/>
          <w:sz w:val="24"/>
          <w:szCs w:val="28"/>
        </w:rPr>
      </w:pPr>
      <w:r>
        <w:rPr>
          <w:rFonts w:ascii="宋体" w:hAnsi="宋体" w:eastAsia="宋体" w:cs="Times New Roman"/>
          <w:sz w:val="24"/>
          <w:szCs w:val="24"/>
        </w:rPr>
        <w:t>采购需求：</w:t>
      </w:r>
      <w:r>
        <w:rPr>
          <w:rFonts w:hint="eastAsia" w:ascii="宋体" w:hAnsi="宋体" w:eastAsia="宋体" w:cs="Times New Roman"/>
          <w:sz w:val="24"/>
          <w:szCs w:val="24"/>
        </w:rPr>
        <w:t>本项目为</w:t>
      </w:r>
      <w:r>
        <w:rPr>
          <w:rFonts w:hint="eastAsia" w:ascii="宋体" w:hAnsi="宋体" w:eastAsia="宋体" w:cs="Times New Roman"/>
          <w:sz w:val="24"/>
          <w:szCs w:val="24"/>
          <w:lang w:eastAsia="zh-CN"/>
        </w:rPr>
        <w:t>江阴市人民医院经皮氧、二氧化碳监测仪项目</w:t>
      </w:r>
      <w:r>
        <w:rPr>
          <w:rFonts w:hint="eastAsia" w:ascii="宋体" w:hAnsi="宋体" w:eastAsia="宋体" w:cs="Times New Roman"/>
          <w:sz w:val="24"/>
          <w:szCs w:val="28"/>
        </w:rPr>
        <w:t>。</w:t>
      </w:r>
      <w:r>
        <w:rPr>
          <w:rFonts w:hint="eastAsia" w:ascii="宋体" w:hAnsi="宋体" w:eastAsia="宋体" w:cs="宋体"/>
          <w:b/>
          <w:bCs/>
          <w:color w:val="000000"/>
          <w:sz w:val="24"/>
        </w:rPr>
        <w:t>本项目允许采购进口产品。</w:t>
      </w:r>
      <w:r>
        <w:rPr>
          <w:rFonts w:hint="eastAsia" w:ascii="宋体" w:hAnsi="宋体" w:eastAsia="宋体" w:cs="Times New Roman"/>
          <w:bCs/>
          <w:sz w:val="24"/>
          <w:szCs w:val="24"/>
        </w:rPr>
        <w:t>（详见招标文件）</w:t>
      </w:r>
    </w:p>
    <w:p w14:paraId="4B4816D1">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合同履行期限：</w:t>
      </w:r>
      <w:r>
        <w:rPr>
          <w:rFonts w:hint="eastAsia" w:ascii="宋体" w:hAnsi="宋体" w:eastAsia="宋体" w:cs="Times New Roman"/>
          <w:sz w:val="24"/>
          <w:szCs w:val="24"/>
        </w:rPr>
        <w:t>详见招标文件</w:t>
      </w:r>
    </w:p>
    <w:p w14:paraId="27A01BAE">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4452AE30">
      <w:pPr>
        <w:spacing w:line="400" w:lineRule="exact"/>
        <w:rPr>
          <w:rFonts w:hint="eastAsia" w:ascii="宋体" w:hAnsi="宋体" w:eastAsia="宋体" w:cs="Times New Roman"/>
          <w:b/>
          <w:sz w:val="24"/>
          <w:szCs w:val="24"/>
        </w:rPr>
      </w:pPr>
      <w:r>
        <w:rPr>
          <w:rFonts w:ascii="宋体" w:hAnsi="宋体" w:eastAsia="宋体" w:cs="Times New Roman"/>
          <w:b/>
          <w:sz w:val="24"/>
          <w:szCs w:val="24"/>
        </w:rPr>
        <w:t>二、申请人的资格要求</w:t>
      </w:r>
    </w:p>
    <w:p w14:paraId="32F14852">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6D70464E">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07461A5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2.法定代表人授权委托书（法定代表人签署投标/响应文件且亲自参与的必须提供《法定代表人亲自投标/磋商/谈判/询价声明》）</w:t>
      </w:r>
    </w:p>
    <w:p w14:paraId="276D6D2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2C001F38">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25AA347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5D39F6E6">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（三）本项目的特定资格要求：</w:t>
      </w:r>
    </w:p>
    <w:p w14:paraId="13C1C760">
      <w:pPr>
        <w:spacing w:line="400" w:lineRule="exact"/>
        <w:ind w:firstLine="480"/>
        <w:rPr>
          <w:rFonts w:hint="eastAsia" w:ascii="宋体" w:hAnsi="宋体" w:eastAsia="宋体" w:cs="Times New Roman"/>
          <w:sz w:val="24"/>
          <w:szCs w:val="24"/>
        </w:rPr>
      </w:pPr>
      <w:r>
        <w:rPr>
          <w:rFonts w:hint="eastAsia" w:ascii="宋体" w:hAnsi="宋体"/>
          <w:sz w:val="24"/>
        </w:rPr>
        <w:t>投标产品属于医疗器械注册范畴的，投标人须具有有效的《医疗器械经营许可证》（或《医疗器械经营备案凭证》）且在经营范围内</w:t>
      </w:r>
      <w:r>
        <w:rPr>
          <w:rFonts w:hint="eastAsia" w:ascii="宋体" w:hAnsi="宋体" w:eastAsia="宋体" w:cs="Times New Roman"/>
          <w:sz w:val="24"/>
          <w:szCs w:val="24"/>
        </w:rPr>
        <w:t>。</w:t>
      </w:r>
    </w:p>
    <w:p w14:paraId="0C0A5DFC">
      <w:pPr>
        <w:spacing w:line="400" w:lineRule="exact"/>
        <w:ind w:firstLine="480"/>
        <w:rPr>
          <w:rFonts w:hint="eastAsia" w:ascii="宋体" w:hAnsi="宋体" w:eastAsia="宋体" w:cs="Times New Roman"/>
          <w:sz w:val="24"/>
          <w:szCs w:val="24"/>
        </w:rPr>
      </w:pPr>
    </w:p>
    <w:p w14:paraId="04C43131">
      <w:pPr>
        <w:spacing w:line="400" w:lineRule="exact"/>
        <w:rPr>
          <w:rFonts w:hint="eastAsia" w:ascii="宋体" w:hAnsi="宋体" w:eastAsia="宋体" w:cs="Times New Roman"/>
          <w:b/>
          <w:sz w:val="24"/>
          <w:szCs w:val="24"/>
        </w:rPr>
      </w:pPr>
      <w:r>
        <w:rPr>
          <w:rFonts w:ascii="宋体" w:hAnsi="宋体" w:eastAsia="宋体" w:cs="Times New Roman"/>
          <w:b/>
          <w:sz w:val="24"/>
          <w:szCs w:val="24"/>
        </w:rPr>
        <w:t>三、获取招标文件</w:t>
      </w:r>
    </w:p>
    <w:p w14:paraId="759FD17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自招标文件公告发布之日起5个工作日</w:t>
      </w:r>
    </w:p>
    <w:p w14:paraId="0F33593D">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FF323A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请有参加意向的供应商在采购文件有效获取期内及时登录江苏省政府采购（苏采云）平台下载获取。在采购文件有效获取期限内，从江苏省政府采购（苏采云）平台获取的采购文件，视为依法获取的采购文件。</w:t>
      </w:r>
    </w:p>
    <w:p w14:paraId="6DAB4A67">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 xml:space="preserve">售价：0.00元 </w:t>
      </w:r>
    </w:p>
    <w:p w14:paraId="5F524CF9">
      <w:pPr>
        <w:spacing w:line="400" w:lineRule="exact"/>
        <w:rPr>
          <w:rFonts w:hint="eastAsia" w:ascii="宋体" w:hAnsi="宋体" w:eastAsia="宋体" w:cs="Times New Roman"/>
          <w:b/>
          <w:sz w:val="24"/>
          <w:szCs w:val="24"/>
        </w:rPr>
      </w:pPr>
      <w:r>
        <w:rPr>
          <w:rFonts w:ascii="宋体" w:hAnsi="宋体" w:eastAsia="宋体" w:cs="Times New Roman"/>
          <w:b/>
          <w:sz w:val="24"/>
          <w:szCs w:val="24"/>
        </w:rPr>
        <w:t>四、提交投标文件截止时间、开标时间和地点</w:t>
      </w:r>
    </w:p>
    <w:p w14:paraId="735FDA86">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lang w:val="en-US" w:eastAsia="zh-CN"/>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3-26</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13</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3F4F405D">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5E650906">
      <w:pPr>
        <w:spacing w:line="400" w:lineRule="exact"/>
        <w:rPr>
          <w:rFonts w:hint="eastAsia" w:ascii="宋体" w:hAnsi="宋体" w:eastAsia="宋体" w:cs="Times New Roman"/>
          <w:b/>
          <w:sz w:val="24"/>
          <w:szCs w:val="24"/>
        </w:rPr>
      </w:pPr>
      <w:r>
        <w:rPr>
          <w:rFonts w:ascii="宋体" w:hAnsi="宋体" w:eastAsia="宋体" w:cs="Times New Roman"/>
          <w:b/>
          <w:sz w:val="24"/>
          <w:szCs w:val="24"/>
        </w:rPr>
        <w:t>五、公告期限</w:t>
      </w:r>
    </w:p>
    <w:p w14:paraId="651811D4">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自本公告发布之日起5个工作日。</w:t>
      </w:r>
    </w:p>
    <w:p w14:paraId="6770EC5F">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六、其他补充事宜 </w:t>
      </w:r>
    </w:p>
    <w:p w14:paraId="7228EA1A">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（一）供应商注册</w:t>
      </w:r>
    </w:p>
    <w:p w14:paraId="26A9CF5F">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5B8546F4">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22FFD78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4BFB5A0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04B9F3E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6CCD7B5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2202985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589A4D3E">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329219FE">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（二）获取采购文件，完成项目参与</w:t>
      </w:r>
    </w:p>
    <w:p w14:paraId="29FBF04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13DA6D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75355D4A">
      <w:pPr>
        <w:spacing w:line="400" w:lineRule="exact"/>
        <w:rPr>
          <w:rFonts w:hint="eastAsia"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p>
    <w:p w14:paraId="1B48D70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 xml:space="preserve">1.采购人信息 </w:t>
      </w:r>
    </w:p>
    <w:p w14:paraId="546DAD76">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江阴市人民医院</w:t>
      </w:r>
    </w:p>
    <w:p w14:paraId="0EA46F1F">
      <w:pPr>
        <w:spacing w:line="400" w:lineRule="exact"/>
        <w:ind w:firstLine="480"/>
        <w:jc w:val="left"/>
        <w:rPr>
          <w:rFonts w:hint="eastAsia" w:ascii="宋体" w:hAnsi="宋体" w:eastAsia="宋体" w:cs="Times New Roman"/>
          <w:sz w:val="24"/>
          <w:szCs w:val="24"/>
        </w:rPr>
      </w:pPr>
      <w:r>
        <w:rPr>
          <w:rFonts w:ascii="宋体" w:hAnsi="宋体" w:eastAsia="宋体" w:cs="Times New Roman"/>
          <w:sz w:val="24"/>
          <w:szCs w:val="24"/>
        </w:rPr>
        <w:t>单位</w:t>
      </w:r>
      <w:r>
        <w:rPr>
          <w:rFonts w:hint="eastAsia" w:ascii="宋体" w:hAnsi="宋体" w:eastAsia="宋体" w:cs="Times New Roman"/>
          <w:sz w:val="24"/>
          <w:szCs w:val="24"/>
        </w:rPr>
        <w:t>地址：江阴市寿山路163号</w:t>
      </w:r>
    </w:p>
    <w:p w14:paraId="5547B74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项目联系人：徐女士</w:t>
      </w:r>
    </w:p>
    <w:p w14:paraId="3B4EEF6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联系电话：18921233102</w:t>
      </w:r>
    </w:p>
    <w:p w14:paraId="5E43A06E">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2.采购代理机构信息</w:t>
      </w:r>
    </w:p>
    <w:p w14:paraId="636E7D84">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20D21DD3">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单位地址：</w:t>
      </w:r>
      <w:r>
        <w:rPr>
          <w:rFonts w:hint="eastAsia" w:ascii="宋体" w:hAnsi="宋体" w:eastAsia="宋体" w:cs="Times New Roman"/>
          <w:sz w:val="24"/>
          <w:szCs w:val="24"/>
        </w:rPr>
        <w:t>江阴市长江路188号6楼</w:t>
      </w:r>
    </w:p>
    <w:p w14:paraId="37CEFE92">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联系人：</w:t>
      </w:r>
      <w:r>
        <w:rPr>
          <w:rFonts w:hint="eastAsia" w:ascii="宋体" w:hAnsi="宋体" w:eastAsia="宋体" w:cs="Times New Roman"/>
          <w:sz w:val="24"/>
          <w:szCs w:val="24"/>
        </w:rPr>
        <w:t xml:space="preserve">刘先生 </w:t>
      </w:r>
    </w:p>
    <w:p w14:paraId="1B08F57E">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联系电话：0510-880276</w:t>
      </w:r>
      <w:r>
        <w:rPr>
          <w:rFonts w:hint="eastAsia" w:ascii="宋体" w:hAnsi="宋体" w:eastAsia="宋体" w:cs="Times New Roman"/>
          <w:sz w:val="24"/>
          <w:szCs w:val="24"/>
        </w:rPr>
        <w:t>21</w:t>
      </w:r>
    </w:p>
    <w:p w14:paraId="41BE9D11">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 xml:space="preserve">3.项目联系方式 </w:t>
      </w:r>
    </w:p>
    <w:p w14:paraId="489C7B27">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项目联系人：</w:t>
      </w:r>
      <w:r>
        <w:rPr>
          <w:rFonts w:hint="eastAsia" w:ascii="宋体" w:hAnsi="宋体" w:eastAsia="宋体" w:cs="Times New Roman"/>
          <w:sz w:val="24"/>
          <w:szCs w:val="24"/>
        </w:rPr>
        <w:t>刘先生</w:t>
      </w:r>
    </w:p>
    <w:p w14:paraId="362D692D">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p>
    <w:p w14:paraId="0728AD4E">
      <w:pPr>
        <w:spacing w:line="400" w:lineRule="exact"/>
        <w:ind w:firstLine="480"/>
        <w:rPr>
          <w:rFonts w:hint="eastAsia" w:ascii="宋体" w:hAnsi="宋体" w:eastAsia="宋体" w:cs="Times New Roman"/>
          <w:sz w:val="24"/>
          <w:szCs w:val="24"/>
        </w:rPr>
      </w:pPr>
    </w:p>
    <w:p w14:paraId="3E8D4787">
      <w:pPr>
        <w:spacing w:line="400" w:lineRule="exact"/>
        <w:ind w:firstLine="480"/>
        <w:rPr>
          <w:rFonts w:hint="eastAsia"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4CFDD6BE">
      <w:pPr>
        <w:pStyle w:val="31"/>
      </w:pPr>
    </w:p>
    <w:p w14:paraId="4124028D">
      <w:pPr>
        <w:pStyle w:val="31"/>
      </w:pPr>
      <w:bookmarkStart w:id="9" w:name="_Toc201302570"/>
      <w:r>
        <w:rPr>
          <w:rFonts w:hint="eastAsia"/>
        </w:rPr>
        <w:t>第二章　</w:t>
      </w:r>
      <w:r>
        <w:rPr>
          <w:rFonts w:hint="eastAsia" w:hAnsi="宋体"/>
        </w:rPr>
        <w:t>投标人</w:t>
      </w:r>
      <w:r>
        <w:rPr>
          <w:rFonts w:hint="eastAsia"/>
        </w:rPr>
        <w:t>须知</w:t>
      </w:r>
      <w:bookmarkEnd w:id="7"/>
      <w:bookmarkEnd w:id="8"/>
      <w:bookmarkEnd w:id="9"/>
    </w:p>
    <w:p w14:paraId="1D82B8A9">
      <w:pPr>
        <w:spacing w:line="400" w:lineRule="exact"/>
        <w:rPr>
          <w:rFonts w:ascii="黑体" w:hAnsi="Times New Roman" w:eastAsia="黑体" w:cs="Times New Roman"/>
          <w:b/>
          <w:sz w:val="28"/>
          <w:szCs w:val="24"/>
        </w:rPr>
      </w:pPr>
    </w:p>
    <w:p w14:paraId="3AF2F247">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1545613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公开透明原则、公平竞争原则、公正原则和诚实信用原则。</w:t>
      </w:r>
    </w:p>
    <w:p w14:paraId="21AE4EA6">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二、招标文件：</w:t>
      </w:r>
    </w:p>
    <w:p w14:paraId="370BF27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1.招标文件包括本文件目录所列全部内容，投标人应仔细阅读，并在投标文件中充分反映招标文件的所有要求。</w:t>
      </w:r>
    </w:p>
    <w:p w14:paraId="6061E05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2.招标文件中的“法定代表人”是指投标人的营业执照或相关部门的有效登记证明文件中的“法定代表人”或“负责人”。</w:t>
      </w:r>
    </w:p>
    <w:p w14:paraId="25E7BE3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3.投标人应在</w:t>
      </w:r>
      <w:r>
        <w:rPr>
          <w:rFonts w:ascii="宋体" w:hAnsi="宋体" w:eastAsia="宋体" w:cs="Times New Roman"/>
          <w:sz w:val="24"/>
          <w:szCs w:val="24"/>
        </w:rPr>
        <w:t>江苏省政府采购（苏采云）平台</w:t>
      </w:r>
      <w:r>
        <w:rPr>
          <w:rFonts w:hint="eastAsia" w:ascii="宋体" w:hAnsi="宋体" w:eastAsia="宋体" w:cs="Times New Roman"/>
          <w:sz w:val="24"/>
          <w:szCs w:val="24"/>
        </w:rPr>
        <w:t>下载招标文件及有关资料，按招标文件要求提交全部资料并对招标文件各项内容做出实质性响应，否则投标无效。</w:t>
      </w:r>
    </w:p>
    <w:p w14:paraId="4679640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4.投标人一旦参加本项目，即被认为接受了本招标文件中的所有条件和规定。</w:t>
      </w:r>
    </w:p>
    <w:p w14:paraId="39FF39C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5.招标文件仅作为本次采购投标使用。</w:t>
      </w:r>
    </w:p>
    <w:p w14:paraId="0F589450">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三、招标文件的解释：</w:t>
      </w:r>
      <w:r>
        <w:rPr>
          <w:rFonts w:hint="eastAsia" w:ascii="黑体" w:hAnsi="Times New Roman" w:eastAsia="黑体" w:cs="Times New Roman"/>
          <w:sz w:val="24"/>
          <w:szCs w:val="24"/>
        </w:rPr>
        <w:tab/>
      </w:r>
    </w:p>
    <w:p w14:paraId="543E6EB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1.投标单位如有需要对招标文件要求澄清的问题，均应在开标前十五日以书面形式提出（加盖公章），并送至江阴市政府采购中心。</w:t>
      </w:r>
    </w:p>
    <w:p w14:paraId="7A296DE4">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2.本文件的最终解释权归江阴市政府采购中心。</w:t>
      </w:r>
    </w:p>
    <w:p w14:paraId="2269ABC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p>
    <w:p w14:paraId="4AEEE28E">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1.江阴市政府采购中心可以对已发出的招标文件进行必要的澄清或者修改。</w:t>
      </w:r>
    </w:p>
    <w:p w14:paraId="49763A7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57AD37F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3.澄清或者修改的内容可能影响投标文件编制的，江阴市政府采购中心将在投标截止时间至少15日前发布澄清公告；不足15日的顺延提交投标文件的截止时间和开标时间。</w:t>
      </w:r>
    </w:p>
    <w:p w14:paraId="2B484DE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五、投标文件的要求：</w:t>
      </w:r>
    </w:p>
    <w:p w14:paraId="0FE07A19">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4"/>
        </w:rPr>
        <w:t>投标文件由下列部分组成：</w:t>
      </w:r>
    </w:p>
    <w:p w14:paraId="31B8BDE4">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投标函；</w:t>
      </w:r>
    </w:p>
    <w:p w14:paraId="17599F22">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开标一览表；</w:t>
      </w:r>
    </w:p>
    <w:p w14:paraId="643AA3E1">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报价明细表；</w:t>
      </w:r>
    </w:p>
    <w:p w14:paraId="38ADE85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cs="Times New Roman"/>
          <w:sz w:val="24"/>
          <w:szCs w:val="24"/>
        </w:rPr>
        <w:t>详细配置一览表；</w:t>
      </w:r>
    </w:p>
    <w:p w14:paraId="02B7709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6EA69C7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w:t>
      </w:r>
      <w:r>
        <w:rPr>
          <w:rFonts w:hint="eastAsia" w:ascii="宋体" w:hAnsi="宋体" w:eastAsia="宋体" w:cs="Times New Roman"/>
          <w:b/>
          <w:sz w:val="24"/>
          <w:szCs w:val="24"/>
        </w:rPr>
        <w:t>*</w:t>
      </w:r>
      <w:r>
        <w:rPr>
          <w:rFonts w:hint="eastAsia" w:ascii="宋体" w:hAnsi="宋体" w:eastAsia="宋体" w:cs="Times New Roman"/>
          <w:sz w:val="24"/>
          <w:szCs w:val="24"/>
        </w:rPr>
        <w:t>投标产品属于医疗器械注册范畴的，须提供《医疗器械注册证》；（扫描件）</w:t>
      </w:r>
    </w:p>
    <w:p w14:paraId="08CD66FD">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4AF49ECC">
      <w:pPr>
        <w:spacing w:line="400" w:lineRule="exact"/>
        <w:ind w:firstLine="964"/>
        <w:rPr>
          <w:rFonts w:hint="eastAsia" w:ascii="宋体" w:hAnsi="宋体" w:eastAsia="宋体" w:cs="Times New Roman"/>
          <w:bCs/>
          <w:sz w:val="24"/>
          <w:szCs w:val="24"/>
        </w:rPr>
      </w:pPr>
      <w:r>
        <w:rPr>
          <w:rFonts w:hint="eastAsia" w:ascii="宋体" w:hAnsi="宋体" w:eastAsia="宋体" w:cs="Times New Roman"/>
          <w:b/>
          <w:bCs/>
          <w:sz w:val="24"/>
          <w:szCs w:val="28"/>
        </w:rPr>
        <w:t>文件1：提供格式条款《关于资格的声明函》</w:t>
      </w:r>
    </w:p>
    <w:p w14:paraId="257CDC5E">
      <w:pPr>
        <w:spacing w:line="400" w:lineRule="exact"/>
        <w:ind w:firstLine="964"/>
        <w:rPr>
          <w:rFonts w:hint="eastAsia"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（法定代表人签署投标文件且亲自参与的必须提供《法定代表人亲自投标声明》）</w:t>
      </w:r>
    </w:p>
    <w:p w14:paraId="421EB6F9">
      <w:pPr>
        <w:spacing w:line="400" w:lineRule="exact"/>
        <w:ind w:firstLine="964"/>
        <w:rPr>
          <w:rFonts w:hint="eastAsia" w:ascii="宋体" w:hAnsi="宋体" w:eastAsia="宋体" w:cs="Times New Roman"/>
          <w:bCs/>
          <w:sz w:val="24"/>
          <w:szCs w:val="24"/>
        </w:rPr>
      </w:pPr>
      <w:r>
        <w:rPr>
          <w:rFonts w:hint="eastAsia" w:ascii="宋体" w:hAnsi="宋体" w:eastAsia="宋体" w:cs="Times New Roman"/>
          <w:b/>
          <w:bCs/>
          <w:sz w:val="24"/>
          <w:szCs w:val="28"/>
        </w:rPr>
        <w:t>文件3：</w:t>
      </w:r>
      <w:r>
        <w:rPr>
          <w:rFonts w:hint="eastAsia" w:ascii="宋体" w:hAnsi="宋体" w:eastAsia="宋体" w:cs="Times New Roman"/>
          <w:sz w:val="24"/>
          <w:szCs w:val="24"/>
        </w:rPr>
        <w:t>投标产品属于医疗器械注册范畴的，投标人须具有《医疗器械经营许可证》（或《医疗器械经营备案凭证》）且在经营范围内。</w:t>
      </w:r>
      <w:r>
        <w:rPr>
          <w:rFonts w:hint="eastAsia" w:ascii="宋体" w:hAnsi="宋体" w:eastAsia="宋体" w:cs="Times New Roman"/>
          <w:bCs/>
          <w:sz w:val="24"/>
          <w:szCs w:val="24"/>
        </w:rPr>
        <w:t>（扫描件）</w:t>
      </w:r>
    </w:p>
    <w:p w14:paraId="4F5BB988">
      <w:pPr>
        <w:spacing w:line="400" w:lineRule="exact"/>
        <w:ind w:firstLine="480"/>
        <w:rPr>
          <w:rFonts w:hint="eastAsia" w:ascii="宋体" w:hAnsi="宋体" w:eastAsia="宋体" w:cs="Times New Roman"/>
          <w:bCs/>
          <w:sz w:val="24"/>
          <w:szCs w:val="24"/>
        </w:rPr>
      </w:pPr>
      <w:r>
        <w:rPr>
          <w:rFonts w:hint="eastAsia" w:ascii="宋体" w:hAnsi="宋体" w:eastAsia="宋体" w:cs="Times New Roman"/>
          <w:sz w:val="24"/>
          <w:szCs w:val="28"/>
        </w:rPr>
        <w:t>（</w:t>
      </w:r>
      <w:r>
        <w:rPr>
          <w:rFonts w:hint="eastAsia" w:ascii="宋体" w:hAnsi="宋体" w:eastAsia="宋体" w:cs="Times New Roman"/>
          <w:sz w:val="24"/>
          <w:szCs w:val="28"/>
          <w:lang w:val="en-US" w:eastAsia="zh-CN"/>
        </w:rPr>
        <w:t>8</w:t>
      </w:r>
      <w:r>
        <w:rPr>
          <w:rFonts w:hint="eastAsia" w:ascii="宋体" w:hAnsi="宋体" w:eastAsia="宋体" w:cs="Times New Roman"/>
          <w:sz w:val="24"/>
          <w:szCs w:val="28"/>
        </w:rPr>
        <w:t>）投标人</w:t>
      </w:r>
      <w:r>
        <w:rPr>
          <w:rFonts w:ascii="宋体" w:hAnsi="宋体" w:eastAsia="宋体" w:cs="Times New Roman"/>
          <w:sz w:val="24"/>
          <w:szCs w:val="28"/>
        </w:rPr>
        <w:t>认为需要提供的其他证明文件</w:t>
      </w:r>
    </w:p>
    <w:p w14:paraId="0CE96B61">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注：</w:t>
      </w:r>
    </w:p>
    <w:p w14:paraId="1A800C8A">
      <w:pPr>
        <w:spacing w:line="400" w:lineRule="exact"/>
        <w:ind w:firstLine="480"/>
        <w:rPr>
          <w:rFonts w:ascii="宋体" w:hAnsi="宋体" w:eastAsia="宋体" w:cs="Times New Roman"/>
          <w:b/>
          <w:sz w:val="24"/>
          <w:szCs w:val="24"/>
        </w:rPr>
      </w:pPr>
      <w:r>
        <w:rPr>
          <w:rFonts w:hint="eastAsia" w:ascii="宋体" w:hAnsi="宋体" w:eastAsia="宋体" w:cs="Times New Roman"/>
          <w:sz w:val="24"/>
          <w:szCs w:val="24"/>
        </w:rPr>
        <w:t>①其中加“*”项目若有缺失或无效，将作为无效投标文件。</w:t>
      </w:r>
    </w:p>
    <w:p w14:paraId="0EBBD7BB">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5C6CE3F">
      <w:pPr>
        <w:spacing w:line="400" w:lineRule="exact"/>
        <w:ind w:firstLine="48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0E345BBD">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④投标文件构成资料为非中文时应提供中文译版。</w:t>
      </w:r>
    </w:p>
    <w:p w14:paraId="2660417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⑤招标文件要求提供证书证件等原件电子件的，投标人提供的电子件应是对证书证件等原件通过扫描、拍照等方式进行数字化的可被电子交易平台识别的数字文件，否则评标委员会可以视其未提供。</w:t>
      </w:r>
    </w:p>
    <w:p w14:paraId="4F8478B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⑥联合体投标的，由联合体牵头单位编制、提交投标文件。</w:t>
      </w:r>
    </w:p>
    <w:p w14:paraId="352C741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⑦本项目不接受纸质投标文件。</w:t>
      </w:r>
    </w:p>
    <w:p w14:paraId="1A41CB7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六、投标文件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69269513">
      <w:pPr>
        <w:widowControl/>
        <w:spacing w:line="400" w:lineRule="exact"/>
        <w:ind w:firstLine="480"/>
        <w:jc w:val="left"/>
        <w:rPr>
          <w:rFonts w:hint="eastAsia"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招标文件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招标</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招标</w:t>
      </w:r>
      <w:r>
        <w:rPr>
          <w:rFonts w:ascii="宋体" w:hAnsi="宋体" w:eastAsia="宋体" w:cs="Times New Roman"/>
          <w:sz w:val="24"/>
          <w:szCs w:val="24"/>
        </w:rPr>
        <w:t>文件各项内容做出实质性响应，否则其响应文件无效。</w:t>
      </w:r>
    </w:p>
    <w:p w14:paraId="0831F0BE">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rPr>
        <w:t>等</w:t>
      </w:r>
      <w:r>
        <w:rPr>
          <w:rFonts w:ascii="宋体" w:hAnsi="宋体" w:eastAsia="宋体" w:cs="宋体"/>
          <w:sz w:val="24"/>
          <w:szCs w:val="24"/>
        </w:rPr>
        <w:t>交互环节。相关要求和说明如下：</w:t>
      </w:r>
    </w:p>
    <w:p w14:paraId="7EED5FA5">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远程开标项目的时间均以国家授时中心发布的时间为准；</w:t>
      </w:r>
    </w:p>
    <w:p w14:paraId="737B26BD">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②</w:t>
      </w:r>
      <w:r>
        <w:rPr>
          <w:rFonts w:ascii="宋体" w:hAnsi="宋体" w:eastAsia="宋体" w:cs="宋体"/>
          <w:sz w:val="24"/>
          <w:szCs w:val="24"/>
        </w:rPr>
        <w:t>开标当日，投标人不必抵达开标现场</w:t>
      </w:r>
      <w:r>
        <w:rPr>
          <w:rFonts w:hint="eastAsia" w:ascii="宋体" w:hAnsi="宋体" w:eastAsia="宋体" w:cs="宋体"/>
          <w:sz w:val="24"/>
          <w:szCs w:val="24"/>
        </w:rPr>
        <w:t>；</w:t>
      </w:r>
    </w:p>
    <w:p w14:paraId="568A0CC8">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p>
    <w:p w14:paraId="091932B2">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26BA8891">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5D15FB77">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2F5CE770">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A277A0C">
      <w:pPr>
        <w:spacing w:line="400" w:lineRule="exact"/>
        <w:ind w:firstLine="480"/>
        <w:rPr>
          <w:rFonts w:hint="eastAsia" w:ascii="宋体" w:hAnsi="宋体" w:eastAsia="宋体" w:cs="宋体"/>
          <w:sz w:val="24"/>
          <w:szCs w:val="24"/>
        </w:rPr>
      </w:pPr>
      <w:r>
        <w:rPr>
          <w:rFonts w:hint="eastAsia" w:ascii="宋体" w:hAnsi="宋体" w:eastAsia="宋体" w:cs="宋体"/>
          <w:sz w:val="24"/>
          <w:szCs w:val="24"/>
        </w:rPr>
        <w:t>⑧</w:t>
      </w:r>
      <w:r>
        <w:rPr>
          <w:rFonts w:ascii="宋体" w:hAnsi="宋体" w:eastAsia="宋体" w:cs="宋体"/>
          <w:sz w:val="24"/>
          <w:szCs w:val="24"/>
        </w:rPr>
        <w:t>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7781E75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3.投标的有效期为开标后90天。</w:t>
      </w:r>
    </w:p>
    <w:p w14:paraId="4D94CB4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4.投标费用自理。</w:t>
      </w:r>
    </w:p>
    <w:p w14:paraId="6048029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七、无效投标文件的确认：</w:t>
      </w:r>
    </w:p>
    <w:p w14:paraId="45984ED8">
      <w:pPr>
        <w:tabs>
          <w:tab w:val="left" w:pos="1050"/>
        </w:tabs>
        <w:spacing w:line="400" w:lineRule="exact"/>
        <w:ind w:firstLine="482"/>
        <w:rPr>
          <w:rFonts w:hint="eastAsia" w:ascii="宋体" w:hAnsi="宋体" w:eastAsia="宋体" w:cs="Times New Roman"/>
          <w:b/>
          <w:bCs/>
          <w:sz w:val="24"/>
          <w:szCs w:val="24"/>
        </w:rPr>
      </w:pPr>
      <w:r>
        <w:rPr>
          <w:rFonts w:hint="eastAsia" w:ascii="宋体" w:hAnsi="宋体" w:eastAsia="宋体" w:cs="Times New Roman"/>
          <w:b/>
          <w:bCs/>
          <w:sz w:val="24"/>
          <w:szCs w:val="24"/>
        </w:rPr>
        <w:t>（一）投标人存在下列情况之一的，其投标无效：</w:t>
      </w:r>
    </w:p>
    <w:p w14:paraId="7F159533">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1.投标文件未按招标文件要求签署、盖章的；</w:t>
      </w:r>
    </w:p>
    <w:p w14:paraId="7A09B278">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2.不具备招标文件中规定的资格要求的，未提供格式条款《关于资格的声明函》承诺书或者对该承诺书作实质性修改的；</w:t>
      </w:r>
    </w:p>
    <w:p w14:paraId="6110A9FE">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3.报价超过招标文件中规定的预算金额或者最高限价的；</w:t>
      </w:r>
    </w:p>
    <w:p w14:paraId="57564D9D">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4.投标文件含有采购人不能接受的附加条件的；</w:t>
      </w:r>
    </w:p>
    <w:p w14:paraId="24EC5FCC">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5.投标文件未按规定的期限、地点送达的；</w:t>
      </w:r>
    </w:p>
    <w:p w14:paraId="1B23CDD5">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6.投标文件内容未实质性响应或不符合法律法规和招标文件中规定的其他实质性要求的；</w:t>
      </w:r>
    </w:p>
    <w:p w14:paraId="479C2B1C">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7.投标文件中同一方案有选择性报价且未声明以哪一个为准的；</w:t>
      </w:r>
    </w:p>
    <w:p w14:paraId="4D2EBCFE">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8.不响应招标文件中的付款方式的；</w:t>
      </w:r>
    </w:p>
    <w:p w14:paraId="151544BA">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9.其他法律法规及本招标文件规定的属于无效投标的情形。</w:t>
      </w:r>
    </w:p>
    <w:p w14:paraId="6BFA4EFC">
      <w:pPr>
        <w:tabs>
          <w:tab w:val="left" w:pos="1050"/>
        </w:tabs>
        <w:spacing w:line="400" w:lineRule="exact"/>
        <w:ind w:firstLine="482"/>
        <w:rPr>
          <w:rFonts w:hint="eastAsia" w:ascii="宋体" w:hAnsi="宋体" w:eastAsia="宋体" w:cs="Times New Roman"/>
          <w:b/>
          <w:bCs/>
          <w:sz w:val="24"/>
          <w:szCs w:val="24"/>
        </w:rPr>
      </w:pPr>
      <w:r>
        <w:rPr>
          <w:rFonts w:hint="eastAsia" w:ascii="宋体" w:hAnsi="宋体" w:eastAsia="宋体" w:cs="Times New Roman"/>
          <w:b/>
          <w:bCs/>
          <w:sz w:val="24"/>
          <w:szCs w:val="24"/>
        </w:rPr>
        <w:t>（二）投标人有下列情形之一的，视为串通投标，其投标无效，并按《中华人民共和国政府采购法》第七十七条规定追究法律责任：</w:t>
      </w:r>
    </w:p>
    <w:p w14:paraId="7CB51B52">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1.投标单位直接或间接从采购人或采购代理机构处获得其他投标单位的投标情况，并修改其投标文件；</w:t>
      </w:r>
    </w:p>
    <w:p w14:paraId="4AE609B5">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2.评审活动开始前投标单位直接或间接从采购人或采购代理机构处获得评标委员会组成人员情况；</w:t>
      </w:r>
    </w:p>
    <w:p w14:paraId="760F3466">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3.投标单位接受采购人或采购代理机构授意撤换、修改投标文件；</w:t>
      </w:r>
    </w:p>
    <w:p w14:paraId="405A307B">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4.投标单位之间协商投标报价、技术方案等投标文件实质性内容；</w:t>
      </w:r>
    </w:p>
    <w:p w14:paraId="5F02A93C">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5.属于同一集团、协会、商会等组织成员的投标单位按照该组织要求协同投标；</w:t>
      </w:r>
    </w:p>
    <w:p w14:paraId="042358BD">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6.投标单位之间事先约定由某一特定投标单位中标；</w:t>
      </w:r>
    </w:p>
    <w:p w14:paraId="5B0FFA63">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7.投标单位之间商定部分投标单位放弃投标或者放弃中标；</w:t>
      </w:r>
    </w:p>
    <w:p w14:paraId="0F059CDB">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8.投标单位与采购人或采购代理机构之间、投标单位相互之间为谋求特定投标单位中标成交或者排斥其他投标单位的其他串通行为；</w:t>
      </w:r>
    </w:p>
    <w:p w14:paraId="655F3ED2">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9.不同投标人的投标文件由同一单位或者个人编制；</w:t>
      </w:r>
    </w:p>
    <w:p w14:paraId="11F9E026">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10.不同投标人委托同一单位或者个人办理投标事宜；</w:t>
      </w:r>
    </w:p>
    <w:p w14:paraId="3A18CDD3">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11.不同投标人的投标文件载明的项目管理成员为同一人；</w:t>
      </w:r>
    </w:p>
    <w:p w14:paraId="649CDE15">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12.不同投标人的投标文件异常一致或者投标报价呈规律性差异；</w:t>
      </w:r>
    </w:p>
    <w:p w14:paraId="7100C1F0">
      <w:pPr>
        <w:tabs>
          <w:tab w:val="left" w:pos="105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13.不同投标人的投标文件相互混装。</w:t>
      </w:r>
    </w:p>
    <w:p w14:paraId="451D0D1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八、开标、评标：</w:t>
      </w:r>
    </w:p>
    <w:p w14:paraId="068D3EB3">
      <w:pPr>
        <w:spacing w:line="400" w:lineRule="exact"/>
        <w:ind w:firstLine="482"/>
        <w:rPr>
          <w:rFonts w:hint="eastAsia" w:ascii="宋体" w:hAnsi="宋体" w:eastAsia="宋体" w:cs="Times New Roman"/>
          <w:b/>
          <w:sz w:val="24"/>
          <w:szCs w:val="24"/>
        </w:rPr>
      </w:pPr>
      <w:r>
        <w:rPr>
          <w:rFonts w:hint="eastAsia" w:ascii="宋体" w:hAnsi="宋体" w:eastAsia="宋体" w:cs="Times New Roman"/>
          <w:b/>
          <w:sz w:val="24"/>
          <w:szCs w:val="24"/>
        </w:rPr>
        <w:t>（一）开标</w:t>
      </w:r>
    </w:p>
    <w:p w14:paraId="73AB03B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开标由江阴市政府采购中心主持。</w:t>
      </w:r>
    </w:p>
    <w:p w14:paraId="02BB31A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开标过程由</w:t>
      </w:r>
      <w:r>
        <w:rPr>
          <w:rFonts w:hint="eastAsia" w:ascii="宋体" w:hAnsi="宋体" w:eastAsia="宋体" w:cs="Times New Roman"/>
          <w:sz w:val="24"/>
          <w:szCs w:val="24"/>
        </w:rPr>
        <w:t>江阴市政府采购中心</w:t>
      </w:r>
      <w:r>
        <w:rPr>
          <w:rFonts w:ascii="宋体" w:hAnsi="宋体" w:eastAsia="宋体" w:cs="Times New Roman"/>
          <w:sz w:val="24"/>
          <w:szCs w:val="24"/>
        </w:rPr>
        <w:t>负责记录。</w:t>
      </w:r>
    </w:p>
    <w:p w14:paraId="626D360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投标人未参加开标的，视同认可开标结果。</w:t>
      </w:r>
    </w:p>
    <w:p w14:paraId="12BE7A46">
      <w:pPr>
        <w:spacing w:line="400" w:lineRule="exact"/>
        <w:ind w:firstLine="482"/>
        <w:rPr>
          <w:rFonts w:hint="eastAsia" w:ascii="宋体" w:hAnsi="宋体" w:eastAsia="宋体" w:cs="Times New Roman"/>
          <w:b/>
          <w:sz w:val="24"/>
          <w:szCs w:val="24"/>
        </w:rPr>
      </w:pPr>
      <w:r>
        <w:rPr>
          <w:rFonts w:hint="eastAsia" w:ascii="宋体" w:hAnsi="宋体" w:eastAsia="宋体" w:cs="Times New Roman"/>
          <w:b/>
          <w:sz w:val="24"/>
          <w:szCs w:val="24"/>
        </w:rPr>
        <w:t>（二）评标</w:t>
      </w:r>
    </w:p>
    <w:p w14:paraId="30657DB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评标工作由江阴市政府采购中心负责组织，具体评标事务由依法组建的评标委员会负责。采购人依法组成资格审查小组对投标人的资格进行审查。采购人代表和评审专家依法组建评标委员会，评审专家实行回避制度。</w:t>
      </w:r>
    </w:p>
    <w:p w14:paraId="409578E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2.投标文件初审。初审分为资格性检查和符合性检查。</w:t>
      </w:r>
    </w:p>
    <w:p w14:paraId="414B129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A.资格性检查：</w:t>
      </w:r>
    </w:p>
    <w:p w14:paraId="78146C2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（1）依据法律法规和招标文件的规定，资格审查小组对投标文件组成中的资格证明文件（文件1－文件</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）等进行审查，以确定投标单位是否具备投标资格。</w:t>
      </w:r>
    </w:p>
    <w:p w14:paraId="428579A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接受联合体的项目，两个以上的自然人、法人或者其他组织组成一个联合体，以一个投标单位的身份共同参加政府采购活动的，联合体成员存在不良信用记录的，视同联合体存在不良信用记录。</w:t>
      </w:r>
    </w:p>
    <w:p w14:paraId="15987D6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B.符合性检查：</w:t>
      </w:r>
    </w:p>
    <w:p w14:paraId="160F45F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（1）评标委员会依据招标文件的规定，从投标文件的有效性、完整性和对招标文件的响应程度进行审查，以确定是否对招标文件的实质性要求作出响应。</w:t>
      </w:r>
    </w:p>
    <w:p w14:paraId="62FCBA8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148C88B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（a）投标文件载明的采购项目的完成期限超过招标文件规定的期限</w:t>
      </w:r>
    </w:p>
    <w:p w14:paraId="6E6491E4">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（b）投标文件严重背离招标文件中确定的技术功能要求</w:t>
      </w:r>
    </w:p>
    <w:p w14:paraId="233DBC6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（c）投标文件附有采购人不能接受的商务条件</w:t>
      </w:r>
    </w:p>
    <w:p w14:paraId="1270CC74">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（d）不符合招标文件中规定的其他实质性要求</w:t>
      </w:r>
    </w:p>
    <w:p w14:paraId="0C60313F">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确定投标文件的响应性只根据投标文件本身的内容，而不寻求外部证据。</w:t>
      </w:r>
    </w:p>
    <w:p w14:paraId="614DECB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如果投标文件没有实质上响应招标文件的要求，</w:t>
      </w:r>
      <w:r>
        <w:rPr>
          <w:rFonts w:ascii="宋体" w:hAnsi="宋体" w:eastAsia="宋体" w:cs="Times New Roman"/>
          <w:sz w:val="24"/>
          <w:szCs w:val="24"/>
        </w:rPr>
        <w:t>评标委员会</w:t>
      </w:r>
      <w:r>
        <w:rPr>
          <w:rFonts w:hint="eastAsia" w:ascii="宋体" w:hAnsi="宋体" w:eastAsia="宋体" w:cs="Times New Roman"/>
          <w:sz w:val="24"/>
          <w:szCs w:val="24"/>
        </w:rPr>
        <w:t>将予以拒绝。投标人不得通过修正或撤销不符合要求的偏离或保留从而使其投标成为实质上响应的投标。</w:t>
      </w:r>
    </w:p>
    <w:p w14:paraId="057F167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3.评标方法</w:t>
      </w:r>
    </w:p>
    <w:p w14:paraId="778E12A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具体办法和标准详见招标文件第四章《评标方法和评标标准》。</w:t>
      </w:r>
    </w:p>
    <w:p w14:paraId="206F2DD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4.投标文件的澄清：</w:t>
      </w:r>
      <w:r>
        <w:rPr>
          <w:rFonts w:ascii="宋体" w:hAnsi="宋体" w:eastAsia="宋体" w:cs="Times New Roman"/>
          <w:sz w:val="24"/>
          <w:szCs w:val="24"/>
        </w:rPr>
        <w:t>对于投标文件中含义不明确、同类问题表述不一致或者有明显文字和计算错误的内容，评标委员会应当以书面形式要求投标人作出必要的澄清、说明或者补正。</w:t>
      </w:r>
    </w:p>
    <w:p w14:paraId="643E9DE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投标人的澄清、说明或者补正应当采用书面形式，并加盖公章，或者由法定代表人或其授权</w:t>
      </w:r>
      <w:r>
        <w:rPr>
          <w:rFonts w:hint="eastAsia" w:ascii="宋体" w:hAnsi="宋体" w:eastAsia="宋体" w:cs="Times New Roman"/>
          <w:sz w:val="24"/>
          <w:szCs w:val="24"/>
        </w:rPr>
        <w:t>委托人</w:t>
      </w:r>
      <w:r>
        <w:rPr>
          <w:rFonts w:ascii="宋体" w:hAnsi="宋体" w:eastAsia="宋体" w:cs="Times New Roman"/>
          <w:sz w:val="24"/>
          <w:szCs w:val="24"/>
        </w:rPr>
        <w:t>签字。投标人的澄清、说明或者补正不得超出投标文件的范围或者改变投标文件的实质性内容。</w:t>
      </w:r>
    </w:p>
    <w:p w14:paraId="513C3FA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投标文件报价出现前后不一致的，按照下列规定修正：</w:t>
      </w:r>
    </w:p>
    <w:p w14:paraId="0F627489">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（一）投标文件中开标一览表（报价表）内容与投标文件中相应内容不一致的，以开标一览表（报价表）为准；</w:t>
      </w:r>
    </w:p>
    <w:p w14:paraId="4F1D6C35">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（二）大写金额和小写金额不一致的，以大写金额为准；</w:t>
      </w:r>
    </w:p>
    <w:p w14:paraId="36CD0F30">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（三）单价金额小数点或者百分比有明显错位的，以开标一览表的总价为准，并修改单价；</w:t>
      </w:r>
    </w:p>
    <w:p w14:paraId="73CC676C">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（四）总价金额与按单价汇总金额不一致的，以单价金额计算结果为准。</w:t>
      </w:r>
    </w:p>
    <w:p w14:paraId="03A882EA">
      <w:pPr>
        <w:spacing w:line="400" w:lineRule="exact"/>
        <w:ind w:firstLine="480"/>
        <w:rPr>
          <w:rFonts w:hint="eastAsia" w:ascii="宋体" w:hAnsi="宋体" w:eastAsia="宋体" w:cs="Times New Roman"/>
          <w:sz w:val="24"/>
          <w:szCs w:val="24"/>
        </w:rPr>
      </w:pPr>
      <w:r>
        <w:rPr>
          <w:rFonts w:ascii="宋体" w:hAnsi="宋体" w:eastAsia="宋体" w:cs="Times New Roman"/>
          <w:sz w:val="24"/>
          <w:szCs w:val="24"/>
        </w:rPr>
        <w:t>同时出现两种以上不一致的，按照前款规定的顺序修正。修正后的报价按照</w:t>
      </w:r>
      <w:r>
        <w:rPr>
          <w:rFonts w:hint="eastAsia" w:ascii="宋体" w:hAnsi="宋体" w:eastAsia="宋体" w:cs="Times New Roman"/>
          <w:sz w:val="24"/>
          <w:szCs w:val="24"/>
        </w:rPr>
        <w:t>《政府采购货物和服务招标投标管理办法》</w:t>
      </w:r>
      <w:r>
        <w:rPr>
          <w:rFonts w:ascii="宋体" w:hAnsi="宋体" w:eastAsia="宋体" w:cs="Times New Roman"/>
          <w:sz w:val="24"/>
          <w:szCs w:val="24"/>
        </w:rPr>
        <w:t>第五十一条第二款的规定经投标人确认后产生约束力，投标人不确认的，其投标无效。</w:t>
      </w:r>
    </w:p>
    <w:p w14:paraId="0DB0BBE4">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6、异常低价投标（响应）审查</w:t>
      </w:r>
    </w:p>
    <w:p w14:paraId="2DF36E5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（1）评标（评审）过程中出现下列情形之一的，评标（评审）委员会应当启动异常低价投标（响应）审查程序：</w:t>
      </w:r>
    </w:p>
    <w:p w14:paraId="6F61F092">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（a）投标（响应）报价低于全部通过符合性审查供应商投标（响应）报价平均值50%的，即投标（响应）报价&lt;全部通过符合性审查供应商投标（响应）报价平均值×50%；</w:t>
      </w:r>
    </w:p>
    <w:p w14:paraId="67F163C2">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（b）投标（响应）报价低于通过符合性审查的次低报价供应商投标（响应）报价50%的，即投标（响应）报价&lt;通过符合性审查的次低报价供应商投标（响应）报价×50%；</w:t>
      </w:r>
    </w:p>
    <w:p w14:paraId="7C4FCB42">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（c）投标（响应）报价低于采购项目最高限价45%的，即投标（响应）报价&lt;采购项目最高限价×45%；</w:t>
      </w:r>
    </w:p>
    <w:p w14:paraId="536E0732">
      <w:pPr>
        <w:spacing w:line="400" w:lineRule="exact"/>
        <w:ind w:firstLine="482" w:firstLineChars="200"/>
        <w:rPr>
          <w:rFonts w:ascii="宋体" w:hAnsi="宋体" w:eastAsia="宋体" w:cs="Times New Roman"/>
          <w:b/>
          <w:bCs/>
          <w:sz w:val="24"/>
          <w:szCs w:val="24"/>
        </w:rPr>
      </w:pPr>
      <w:r>
        <w:rPr>
          <w:rFonts w:hint="eastAsia" w:ascii="宋体" w:hAnsi="宋体" w:eastAsia="宋体" w:cs="Times New Roman"/>
          <w:b/>
          <w:bCs/>
          <w:sz w:val="24"/>
          <w:szCs w:val="24"/>
        </w:rPr>
        <w:t>（d）评审委员会基于专业判断，认为供应商报价过低，有可能影响产品质量或者不能诚信履约的其他情形。</w:t>
      </w:r>
    </w:p>
    <w:p w14:paraId="24DC7EF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3233EAB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DDA698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评审委员会借助互联网等渠道查询相关信息的，应当严格遵守评审工作纪律，不得实施影响评审公正的行为。</w:t>
      </w:r>
    </w:p>
    <w:p w14:paraId="155647D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（3）异常低价投标（响应）审查的启动原因、审查意见和审查结果应当在评审报告中记录，并随供应商提供的相关书面说明及证明材料，以及评审委员会有关互联网浏览、查询历史一并归档。</w:t>
      </w:r>
    </w:p>
    <w:p w14:paraId="40480EE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政府采购中心</w:t>
      </w:r>
      <w:r>
        <w:rPr>
          <w:rFonts w:ascii="宋体" w:hAnsi="宋体" w:eastAsia="宋体" w:cs="Times New Roman"/>
          <w:sz w:val="24"/>
          <w:szCs w:val="24"/>
        </w:rPr>
        <w:t>沟通并作书面记录。采购人或者</w:t>
      </w:r>
      <w:r>
        <w:rPr>
          <w:rFonts w:hint="eastAsia" w:ascii="宋体" w:hAnsi="宋体" w:eastAsia="宋体" w:cs="Times New Roman"/>
          <w:sz w:val="24"/>
          <w:szCs w:val="24"/>
        </w:rPr>
        <w:t>政府采购中心</w:t>
      </w:r>
      <w:r>
        <w:rPr>
          <w:rFonts w:ascii="宋体" w:hAnsi="宋体" w:eastAsia="宋体" w:cs="Times New Roman"/>
          <w:sz w:val="24"/>
          <w:szCs w:val="24"/>
        </w:rPr>
        <w:t>确认后，应当修改招标文件，重新组织采购活动。</w:t>
      </w:r>
    </w:p>
    <w:p w14:paraId="2770354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九、确定中标单位：</w:t>
      </w:r>
    </w:p>
    <w:p w14:paraId="16B855E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1.评标委员会根据</w:t>
      </w:r>
      <w:r>
        <w:rPr>
          <w:rFonts w:hint="eastAsia" w:ascii="宋体" w:hAnsi="宋体" w:eastAsia="宋体" w:cs="Times New Roman"/>
          <w:bCs/>
          <w:sz w:val="24"/>
          <w:szCs w:val="24"/>
        </w:rPr>
        <w:t>评标方法和评标标准确定</w:t>
      </w:r>
      <w:r>
        <w:rPr>
          <w:rFonts w:hint="eastAsia" w:ascii="宋体" w:hAnsi="宋体" w:eastAsia="宋体" w:cs="Times New Roman"/>
          <w:sz w:val="24"/>
          <w:szCs w:val="24"/>
        </w:rPr>
        <w:t>第一中标候选单位，采购人确定为中标单位。</w:t>
      </w:r>
    </w:p>
    <w:p w14:paraId="38C3935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2.确定中标单位2个工作日内发布中标公告，并向中标单位发出中标通知书。</w:t>
      </w:r>
    </w:p>
    <w:p w14:paraId="41F790E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3.投标、评标及确定中标单位的整个过程均由相关部门进行现场监督。</w:t>
      </w:r>
    </w:p>
    <w:p w14:paraId="517F894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4.江阴市政府采购中心不负责向任何投标单位说明中标或不中标的原因。</w:t>
      </w:r>
    </w:p>
    <w:p w14:paraId="24C3011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680E09C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投标单位质疑按《中华人民共和国政府采购法》《中华人民共和国政府采购法实施条例》《政府采购货物和服务招标投标管理办法》《政府采购质疑和投诉办法》《江苏省政府采购供应商监督管理暂行办法》等有关规定处理。</w:t>
      </w:r>
    </w:p>
    <w:p w14:paraId="7D99EE2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2.投标单位认为采购文件、采购过程和中标结果使自己的权益受到损害的，可以在知道或者应知其权益受到损害之日起七个工作日内，以书面形式向采购人或采购中心提出质疑。</w:t>
      </w:r>
    </w:p>
    <w:p w14:paraId="15517C3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72166F1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p>
    <w:p w14:paraId="61B0B8E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（1）投标单位的姓名或者名称、地址、邮编、联系人及联系电话；</w:t>
      </w:r>
    </w:p>
    <w:p w14:paraId="53B206A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（2）质疑项目的名称、编号；</w:t>
      </w:r>
    </w:p>
    <w:p w14:paraId="6FB5155E">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14:paraId="1101B0E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（4）事实依据；</w:t>
      </w:r>
    </w:p>
    <w:p w14:paraId="08EC949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（5）必要的法律依据；</w:t>
      </w:r>
    </w:p>
    <w:p w14:paraId="770C41CF">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（6）提出质疑的日期。</w:t>
      </w:r>
    </w:p>
    <w:p w14:paraId="2C4598D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05042BB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0C0E089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116D2F8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（9）未按上述要求提交的质疑函（仅限于原件）采购人、采购中心有权不予受理。</w:t>
      </w:r>
    </w:p>
    <w:p w14:paraId="24C5F6C3">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p>
    <w:p w14:paraId="599855B4">
      <w:pPr>
        <w:spacing w:line="400" w:lineRule="exact"/>
        <w:ind w:firstLine="480"/>
        <w:rPr>
          <w:rFonts w:hint="eastAsia" w:ascii="宋体" w:hAnsi="宋体" w:eastAsia="宋体" w:cs="Times New Roman"/>
          <w:b/>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p>
    <w:p w14:paraId="441CC37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采购人、采购中心只接收以纸质原件形式送达的质疑，投标单位可采用现场递交或邮寄递交方式送达（采购人和采购中心不接受未填写快递运单的快件）。</w:t>
      </w:r>
    </w:p>
    <w:p w14:paraId="1E8292DB">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u w:val="single"/>
        </w:rPr>
        <w:t>采购人收件人：徐女士   收件地址：江阴市人民医院敔山湾院区1号楼一层医学工程部办公室   收件电话：</w:t>
      </w:r>
      <w:r>
        <w:rPr>
          <w:rFonts w:ascii="宋体" w:hAnsi="宋体" w:eastAsia="宋体" w:cs="Times New Roman"/>
          <w:sz w:val="24"/>
          <w:szCs w:val="24"/>
          <w:u w:val="single"/>
        </w:rPr>
        <w:t>0510</w:t>
      </w:r>
      <w:r>
        <w:rPr>
          <w:rFonts w:hint="eastAsia" w:ascii="宋体" w:hAnsi="宋体" w:eastAsia="宋体" w:cs="Times New Roman"/>
          <w:sz w:val="24"/>
          <w:szCs w:val="24"/>
          <w:u w:val="single"/>
        </w:rPr>
        <w:t>-</w:t>
      </w:r>
      <w:r>
        <w:rPr>
          <w:rFonts w:ascii="宋体" w:hAnsi="宋体" w:eastAsia="宋体" w:cs="Times New Roman"/>
          <w:sz w:val="24"/>
          <w:szCs w:val="24"/>
          <w:u w:val="single"/>
        </w:rPr>
        <w:t>88017546</w:t>
      </w:r>
    </w:p>
    <w:p w14:paraId="1248960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05AF71EB">
      <w:pPr>
        <w:spacing w:line="400" w:lineRule="exact"/>
        <w:ind w:firstLine="482"/>
        <w:rPr>
          <w:rFonts w:hint="eastAsia" w:ascii="宋体" w:hAnsi="宋体" w:eastAsia="宋体" w:cs="Times New Roman"/>
          <w:sz w:val="24"/>
          <w:szCs w:val="24"/>
        </w:rPr>
      </w:pPr>
      <w:r>
        <w:rPr>
          <w:rFonts w:hint="eastAsia" w:ascii="宋体" w:hAnsi="宋体" w:eastAsia="宋体" w:cs="Times New Roman"/>
          <w:b/>
          <w:sz w:val="24"/>
          <w:szCs w:val="24"/>
        </w:rPr>
        <w:t>投标单位应当在快递寄出后联系采购人或采购中心告知质疑函接收时间及质疑函快递单号</w:t>
      </w:r>
      <w:r>
        <w:rPr>
          <w:rFonts w:hint="eastAsia" w:ascii="宋体" w:hAnsi="宋体" w:eastAsia="宋体" w:cs="Times New Roman"/>
          <w:sz w:val="24"/>
          <w:szCs w:val="24"/>
        </w:rPr>
        <w:t>，因未告知接收时间导致未及时答复质疑的，采购人、采购中心将不予承担责任。</w:t>
      </w:r>
    </w:p>
    <w:p w14:paraId="36B1F7C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6.潜在投标单位已依法获取其可质疑的采购文件的，可以对该文件提出质疑。</w:t>
      </w:r>
      <w:r>
        <w:rPr>
          <w:rFonts w:hint="eastAsia" w:ascii="宋体" w:hAnsi="宋体" w:eastAsia="宋体" w:cs="Times New Roman"/>
          <w:b/>
          <w:sz w:val="24"/>
          <w:szCs w:val="24"/>
        </w:rPr>
        <w:t>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647B31A2">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652BF15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p>
    <w:p w14:paraId="61D74AA2">
      <w:pPr>
        <w:spacing w:line="400" w:lineRule="exact"/>
        <w:ind w:firstLine="480"/>
        <w:rPr>
          <w:rFonts w:hint="eastAsia"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p>
    <w:p w14:paraId="1B571E7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十一、采购项目的废标：</w:t>
      </w:r>
    </w:p>
    <w:p w14:paraId="783981F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在评标采购中，出现下列情况之一的，应予废标；</w:t>
      </w:r>
    </w:p>
    <w:p w14:paraId="513CCC48">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1.符合专业条件的投标人或者对招标文件作出实质性响应的投标人不足三家的；</w:t>
      </w:r>
    </w:p>
    <w:p w14:paraId="2475CC4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2.出现影响采购公正的违法、违规行为的；</w:t>
      </w:r>
    </w:p>
    <w:p w14:paraId="562AD619">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3.投标单位的报价均超过采购预算，采购人不能支付的；</w:t>
      </w:r>
    </w:p>
    <w:p w14:paraId="44646528">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4.因重大变故，采购任务取消的。</w:t>
      </w:r>
    </w:p>
    <w:p w14:paraId="5A8994D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6B1F9F6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十二、投标保证金：</w:t>
      </w:r>
      <w:r>
        <w:rPr>
          <w:rFonts w:hint="eastAsia" w:ascii="宋体" w:hAnsi="宋体" w:eastAsia="宋体" w:cs="Times New Roman"/>
          <w:bCs/>
          <w:sz w:val="24"/>
          <w:szCs w:val="24"/>
        </w:rPr>
        <w:t>本项目免收投标保证金。</w:t>
      </w:r>
    </w:p>
    <w:p w14:paraId="3732D4B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十三、中标无效的确认：</w:t>
      </w:r>
    </w:p>
    <w:p w14:paraId="341811A1">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A692575">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4ECEB66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（二）采取不正当手段诋毁、排挤其他投标单位的；</w:t>
      </w:r>
    </w:p>
    <w:p w14:paraId="6B391A8F">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（三）与采购人、其他投标单位或者采购代理机构恶意串通的；</w:t>
      </w:r>
    </w:p>
    <w:p w14:paraId="08BCCB2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4DCB2E20">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（五）在招标采购过程中与采购人进行协商谈判的；</w:t>
      </w:r>
    </w:p>
    <w:p w14:paraId="06B564F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77EFC57A">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投标单位有前款第（一）至（五）项情形之一的，中标无效。</w:t>
      </w:r>
    </w:p>
    <w:p w14:paraId="4477C06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411DC6AD">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p>
    <w:p w14:paraId="2E5BB3B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2.签订合同时，中标方须向采购人提供1份与网上投标文件一致的纸质打印投标文件。</w:t>
      </w:r>
    </w:p>
    <w:p w14:paraId="0F0A374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15F7FA7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履约保证金的收取：合同签署</w:t>
      </w:r>
      <w:r>
        <w:rPr>
          <w:rFonts w:hint="eastAsia" w:ascii="宋体" w:hAnsi="宋体" w:eastAsia="宋体" w:cs="Times New Roman"/>
          <w:sz w:val="24"/>
          <w:szCs w:val="24"/>
        </w:rPr>
        <w:t>时</w:t>
      </w:r>
      <w:r>
        <w:rPr>
          <w:rFonts w:ascii="宋体" w:hAnsi="宋体" w:eastAsia="宋体" w:cs="Times New Roman"/>
          <w:sz w:val="24"/>
          <w:szCs w:val="24"/>
        </w:rPr>
        <w:t>，中标方向采购单位缴纳履约保证金。</w:t>
      </w:r>
      <w:r>
        <w:rPr>
          <w:rFonts w:hint="eastAsia" w:ascii="宋体" w:hAnsi="宋体" w:eastAsia="宋体" w:cs="Times New Roman"/>
          <w:bCs/>
          <w:sz w:val="24"/>
          <w:szCs w:val="24"/>
        </w:rPr>
        <w:t>中标方向采购单位缴纳政府采购合同金额5%的履约保证金，采购人应当允许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采购单位收到缴纳的履约保证金后需向中标单位出具有效的履约保证金收款凭证。</w:t>
      </w:r>
    </w:p>
    <w:p w14:paraId="6551306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采购单位</w:t>
      </w:r>
      <w:r>
        <w:rPr>
          <w:rFonts w:hint="eastAsia" w:ascii="宋体" w:hAnsi="宋体" w:eastAsia="宋体" w:cs="Times New Roman"/>
          <w:sz w:val="24"/>
          <w:szCs w:val="24"/>
          <w:lang w:eastAsia="zh-CN"/>
        </w:rPr>
        <w:t>按照采购合同约定</w:t>
      </w:r>
      <w:r>
        <w:rPr>
          <w:rFonts w:hint="eastAsia" w:ascii="宋体" w:hAnsi="宋体" w:eastAsia="宋体" w:cs="Times New Roman"/>
          <w:sz w:val="24"/>
          <w:szCs w:val="24"/>
        </w:rPr>
        <w:t>及时退还履约保证金，不计利息。</w:t>
      </w:r>
    </w:p>
    <w:p w14:paraId="76BAB296">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6.江阴市政府采购中心监督合同的履行，协调和处理履约过程中的问题，同时对售后</w:t>
      </w:r>
      <w:r>
        <w:rPr>
          <w:rFonts w:hint="eastAsia" w:ascii="宋体" w:hAnsi="宋体" w:eastAsia="宋体" w:cs="Times New Roman"/>
          <w:bCs/>
          <w:sz w:val="24"/>
          <w:szCs w:val="24"/>
        </w:rPr>
        <w:t>服务进行评</w:t>
      </w:r>
      <w:r>
        <w:rPr>
          <w:rFonts w:hint="eastAsia" w:ascii="宋体" w:hAnsi="宋体" w:eastAsia="宋体" w:cs="Times New Roman"/>
          <w:sz w:val="24"/>
          <w:szCs w:val="24"/>
        </w:rPr>
        <w:t>价。中标方未履行招标文件、投标文件和合同规定的义务，政府采购中心将根据具体情况提请政府采购管理部门作出相应处理。不可抗力除外。</w:t>
      </w:r>
    </w:p>
    <w:p w14:paraId="7362162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详见项目要求。</w:t>
      </w:r>
    </w:p>
    <w:p w14:paraId="38F9209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十六、政策功能</w:t>
      </w:r>
      <w:r>
        <w:rPr>
          <w:rFonts w:hint="eastAsia" w:ascii="黑体" w:hAnsi="Times New Roman" w:eastAsia="黑体" w:cs="Times New Roman"/>
          <w:sz w:val="28"/>
          <w:szCs w:val="24"/>
          <w:highlight w:val="none"/>
        </w:rPr>
        <w:t>（包括但不限于下列具体政策要求）</w:t>
      </w:r>
      <w:r>
        <w:rPr>
          <w:rFonts w:hint="eastAsia" w:ascii="黑体" w:hAnsi="Times New Roman" w:eastAsia="黑体" w:cs="Times New Roman"/>
          <w:sz w:val="28"/>
          <w:szCs w:val="24"/>
        </w:rPr>
        <w:t>：</w:t>
      </w:r>
    </w:p>
    <w:p w14:paraId="47416EC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41B6925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68EB826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30344B5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53F45B4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4AFA18F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44B8B14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26F61496">
      <w:pPr>
        <w:adjustRightInd w:val="0"/>
        <w:spacing w:line="400" w:lineRule="exact"/>
        <w:ind w:firstLine="480" w:firstLineChars="200"/>
        <w:jc w:val="left"/>
        <w:textAlignment w:val="baseline"/>
        <w:rPr>
          <w:rFonts w:ascii="宋体" w:hAnsi="宋体" w:eastAsia="宋体" w:cs="Times New Roman"/>
          <w:sz w:val="24"/>
          <w:szCs w:val="24"/>
          <w:highlight w:val="none"/>
        </w:rPr>
      </w:pPr>
      <w:r>
        <w:rPr>
          <w:rFonts w:hint="eastAsia" w:ascii="宋体" w:hAnsi="宋体" w:eastAsia="宋体" w:cs="Times New Roman"/>
          <w:sz w:val="24"/>
          <w:szCs w:val="24"/>
          <w:highlight w:val="none"/>
        </w:rPr>
        <w:t>8、本项目政府采购活动中既有本国产品又有非本国产品参与竞争的，依法对本国产品给予价格评审优惠，本国产品支持政策详见《国务院办公厅关于在政府采购中实施本国产品标准及相关政策的通知》（国办发〔2025〕34号）。</w:t>
      </w:r>
    </w:p>
    <w:p w14:paraId="2627E1A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030C86F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BDDC01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76854B01">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12、本项目中如有涉及采购数据中心相关设备、运维服务的，应当按《关于印发〈绿色数据中心政府采购需求标准（试行）〉的通知》（财库〔2023〕7号）文件执行。</w:t>
      </w:r>
    </w:p>
    <w:p w14:paraId="1B5A31A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74F8A7F">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14、机关、事业单位从中小企业采购货物、工程、服务，应当遵守《保障中小企业款项支付条例》（中华人民共和国国务院令第802号）。</w:t>
      </w:r>
    </w:p>
    <w:p w14:paraId="2000B9F1">
      <w:pPr>
        <w:spacing w:line="400" w:lineRule="exact"/>
        <w:rPr>
          <w:rFonts w:hint="eastAsia" w:ascii="黑体" w:hAnsi="宋体" w:eastAsia="黑体" w:cs="Times New Roman"/>
          <w:sz w:val="28"/>
          <w:szCs w:val="28"/>
        </w:rPr>
      </w:pPr>
      <w:r>
        <w:rPr>
          <w:rFonts w:hint="eastAsia" w:ascii="黑体" w:hAnsi="宋体" w:eastAsia="黑体" w:cs="Times New Roman"/>
          <w:sz w:val="28"/>
          <w:szCs w:val="28"/>
        </w:rPr>
        <w:t>十七、履约保函政策：</w:t>
      </w:r>
    </w:p>
    <w:p w14:paraId="56EA15FC">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6D5A50AA">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CD58E15">
      <w:pPr>
        <w:spacing w:line="400" w:lineRule="exact"/>
        <w:jc w:val="left"/>
        <w:rPr>
          <w:rFonts w:hint="eastAsia" w:ascii="宋体" w:hAnsi="宋体" w:eastAsia="宋体" w:cs="Times New Roman"/>
          <w:szCs w:val="24"/>
        </w:rPr>
      </w:pPr>
      <w:r>
        <w:rPr>
          <w:rFonts w:hint="eastAsia" w:ascii="黑体" w:hAnsi="宋体" w:eastAsia="黑体" w:cs="Times New Roman"/>
          <w:sz w:val="28"/>
          <w:szCs w:val="28"/>
        </w:rPr>
        <w:t>十八、政府采购合同融资：</w:t>
      </w:r>
    </w:p>
    <w:p w14:paraId="67B88D13">
      <w:pPr>
        <w:spacing w:line="400" w:lineRule="exact"/>
        <w:ind w:firstLine="480"/>
        <w:jc w:val="left"/>
        <w:rPr>
          <w:rFonts w:hint="eastAsia"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〔2020〕17号</w:t>
      </w:r>
      <w:r>
        <w:rPr>
          <w:rFonts w:ascii="宋体" w:hAnsi="宋体" w:eastAsia="宋体" w:cs="Times New Roman"/>
          <w:sz w:val="24"/>
          <w:szCs w:val="24"/>
        </w:rPr>
        <w:t>文件执行。</w:t>
      </w:r>
    </w:p>
    <w:p w14:paraId="2E08FCC0">
      <w:pPr>
        <w:spacing w:line="400" w:lineRule="exact"/>
        <w:ind w:firstLine="480"/>
        <w:jc w:val="left"/>
        <w:rPr>
          <w:rFonts w:hint="eastAsia"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9D52C5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7212D03B">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p>
    <w:p w14:paraId="56CB645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二十、中标服务费：</w:t>
      </w:r>
    </w:p>
    <w:p w14:paraId="53D52FA7">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p>
    <w:p w14:paraId="3491EF89">
      <w:pPr>
        <w:pStyle w:val="31"/>
        <w:sectPr>
          <w:pgSz w:w="11906" w:h="16838"/>
          <w:pgMar w:top="1247" w:right="1247" w:bottom="1247" w:left="1247" w:header="680" w:footer="992" w:gutter="0"/>
          <w:cols w:space="720" w:num="1"/>
          <w:docGrid w:linePitch="360" w:charSpace="0"/>
        </w:sectPr>
      </w:pPr>
    </w:p>
    <w:p w14:paraId="5D9F3AC0">
      <w:pPr>
        <w:pStyle w:val="31"/>
      </w:pPr>
    </w:p>
    <w:p w14:paraId="409DCBBD">
      <w:pPr>
        <w:pStyle w:val="31"/>
        <w:rPr>
          <w:rFonts w:ascii="楷体_GB2312" w:hAnsi="Times New Roman" w:eastAsia="楷体_GB2312"/>
          <w:b/>
          <w:sz w:val="28"/>
          <w:szCs w:val="28"/>
        </w:rPr>
      </w:pPr>
      <w:bookmarkStart w:id="10" w:name="_Toc201302571"/>
      <w:r>
        <w:rPr>
          <w:rFonts w:hint="eastAsia"/>
        </w:rPr>
        <w:t>第三章　项目要求和有关说明</w:t>
      </w:r>
      <w:bookmarkEnd w:id="10"/>
    </w:p>
    <w:p w14:paraId="0D3FF45B">
      <w:pPr>
        <w:widowControl/>
        <w:spacing w:line="400" w:lineRule="exact"/>
        <w:ind w:firstLine="482" w:firstLineChars="200"/>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（以下除“三、详细的技术参数要求”中的非打“</w:t>
      </w:r>
      <w:r>
        <w:rPr>
          <w:rFonts w:ascii="Segoe UI Symbol" w:hAnsi="Segoe UI Symbol" w:eastAsia="宋体" w:cs="Segoe UI Symbol"/>
          <w:b/>
          <w:bCs/>
          <w:sz w:val="24"/>
          <w:szCs w:val="24"/>
        </w:rPr>
        <w:t>★</w:t>
      </w:r>
      <w:r>
        <w:rPr>
          <w:rFonts w:ascii="Times New Roman" w:hAnsi="Times New Roman" w:eastAsia="宋体" w:cs="Times New Roman"/>
          <w:b/>
          <w:bCs/>
          <w:sz w:val="24"/>
          <w:szCs w:val="24"/>
        </w:rPr>
        <w:t>”项，其余均为实质性要求）</w:t>
      </w:r>
    </w:p>
    <w:p w14:paraId="698E0FD0">
      <w:pPr>
        <w:widowControl/>
        <w:spacing w:line="400" w:lineRule="exact"/>
        <w:ind w:firstLine="482" w:firstLineChars="200"/>
        <w:jc w:val="center"/>
        <w:rPr>
          <w:rFonts w:ascii="Times New Roman" w:hAnsi="Times New Roman" w:eastAsia="宋体" w:cs="Times New Roman"/>
          <w:b/>
          <w:sz w:val="24"/>
        </w:rPr>
      </w:pPr>
      <w:bookmarkStart w:id="11" w:name="_Toc251268361"/>
    </w:p>
    <w:p w14:paraId="0A0186B7">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一、项目概述：</w:t>
      </w:r>
    </w:p>
    <w:p w14:paraId="7799E063">
      <w:pPr>
        <w:spacing w:line="400" w:lineRule="exact"/>
        <w:ind w:firstLine="48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本项目为江阴市人民医院经皮氧、二氧化碳监测仪项目，预算价76万元，最高限价</w:t>
      </w:r>
      <w:r>
        <w:rPr>
          <w:rFonts w:hint="eastAsia" w:ascii="Times New Roman" w:hAnsi="Times New Roman" w:eastAsia="宋体" w:cs="Times New Roman"/>
          <w:bCs/>
          <w:kern w:val="0"/>
          <w:sz w:val="24"/>
          <w:szCs w:val="24"/>
          <w:lang w:eastAsia="zh-CN"/>
        </w:rPr>
        <w:t>76万元</w:t>
      </w:r>
      <w:r>
        <w:rPr>
          <w:rFonts w:ascii="Times New Roman" w:hAnsi="Times New Roman" w:eastAsia="宋体" w:cs="Times New Roman"/>
          <w:bCs/>
          <w:kern w:val="0"/>
          <w:sz w:val="24"/>
          <w:szCs w:val="24"/>
        </w:rPr>
        <w:t>。</w:t>
      </w:r>
    </w:p>
    <w:p w14:paraId="654221DC">
      <w:pPr>
        <w:spacing w:line="400" w:lineRule="exact"/>
        <w:ind w:firstLine="480"/>
        <w:rPr>
          <w:rFonts w:ascii="Times New Roman" w:hAnsi="Times New Roman" w:eastAsia="宋体" w:cs="Times New Roman"/>
          <w:bCs/>
          <w:kern w:val="0"/>
          <w:sz w:val="24"/>
          <w:szCs w:val="24"/>
        </w:rPr>
      </w:pPr>
      <w:r>
        <w:rPr>
          <w:rFonts w:ascii="Times New Roman" w:hAnsi="Times New Roman" w:eastAsia="宋体" w:cs="Times New Roman"/>
          <w:bCs/>
          <w:kern w:val="0"/>
          <w:sz w:val="24"/>
          <w:szCs w:val="24"/>
        </w:rPr>
        <w:t>设备用途：通过无创方法连续监测病人的经皮氧分压（tcpO2）、经皮二氧化碳分压（tcpCO2），适用于新生儿、小儿及成人。可用于各类ICU、儿科、新生儿科、急诊科、麻醉科、呼吸科、呼吸睡眠中心、内分泌科、血管外科、烧伤科等科室领域的经皮氧分压、二氧化碳分压监测。</w:t>
      </w:r>
    </w:p>
    <w:p w14:paraId="3519E457">
      <w:pPr>
        <w:spacing w:line="400" w:lineRule="exact"/>
        <w:ind w:firstLine="482"/>
        <w:rPr>
          <w:rFonts w:ascii="Times New Roman" w:hAnsi="Times New Roman" w:eastAsia="宋体" w:cs="Times New Roman"/>
          <w:b/>
          <w:kern w:val="0"/>
          <w:sz w:val="24"/>
          <w:szCs w:val="24"/>
        </w:rPr>
      </w:pPr>
      <w:r>
        <w:rPr>
          <w:rFonts w:ascii="Times New Roman" w:hAnsi="Times New Roman" w:eastAsia="宋体" w:cs="Times New Roman"/>
          <w:b/>
          <w:kern w:val="0"/>
          <w:sz w:val="24"/>
          <w:szCs w:val="24"/>
        </w:rPr>
        <w:t>本项目标的所属行业：工业。</w:t>
      </w:r>
    </w:p>
    <w:p w14:paraId="45FD21C4">
      <w:pPr>
        <w:spacing w:line="400" w:lineRule="exact"/>
        <w:ind w:firstLine="482"/>
        <w:rPr>
          <w:rFonts w:hint="eastAsia" w:ascii="宋体" w:hAnsi="宋体"/>
          <w:b/>
          <w:kern w:val="0"/>
          <w:sz w:val="24"/>
          <w:highlight w:val="none"/>
        </w:rPr>
      </w:pPr>
      <w:r>
        <w:rPr>
          <w:rFonts w:hint="eastAsia" w:ascii="宋体" w:hAnsi="宋体"/>
          <w:b/>
          <w:kern w:val="0"/>
          <w:sz w:val="24"/>
          <w:highlight w:val="none"/>
        </w:rPr>
        <w:t>本</w:t>
      </w:r>
      <w:r>
        <w:rPr>
          <w:rFonts w:hint="eastAsia" w:ascii="宋体" w:hAnsi="宋体" w:eastAsia="宋体"/>
          <w:b/>
          <w:kern w:val="0"/>
          <w:sz w:val="24"/>
          <w:highlight w:val="none"/>
          <w:lang w:eastAsia="zh-CN"/>
        </w:rPr>
        <w:t>项目</w:t>
      </w:r>
      <w:r>
        <w:rPr>
          <w:rFonts w:hint="eastAsia" w:ascii="宋体" w:hAnsi="宋体"/>
          <w:b/>
          <w:kern w:val="0"/>
          <w:sz w:val="24"/>
          <w:highlight w:val="none"/>
        </w:rPr>
        <w:t>允许采购进口产品，本包既有本国产品又有非本国产品参与竞争的，依法对本国产品给予价格评审优惠，对本国产品的报价给予20%的价格扣除，用扣除后的价格参与评审，具体要求如下：</w:t>
      </w:r>
    </w:p>
    <w:p w14:paraId="74EECF51">
      <w:pPr>
        <w:spacing w:line="400" w:lineRule="exact"/>
        <w:ind w:firstLine="482"/>
        <w:rPr>
          <w:rFonts w:hint="eastAsia" w:ascii="宋体" w:hAnsi="宋体"/>
          <w:kern w:val="0"/>
          <w:sz w:val="24"/>
          <w:highlight w:val="none"/>
        </w:rPr>
      </w:pPr>
      <w:r>
        <w:rPr>
          <w:rFonts w:hint="eastAsia" w:ascii="宋体" w:hAnsi="宋体"/>
          <w:kern w:val="0"/>
          <w:sz w:val="24"/>
          <w:highlight w:val="none"/>
        </w:rPr>
        <w:t>（1）供应商需按照招标文件的要求提供《关于符合本国产品标准的声明函》（以下简称《声明函》），如不提供将不享受本国产品价格评审优惠。</w:t>
      </w:r>
    </w:p>
    <w:p w14:paraId="68C268D2">
      <w:pPr>
        <w:spacing w:line="400" w:lineRule="exact"/>
        <w:ind w:firstLine="482"/>
        <w:rPr>
          <w:rFonts w:hint="eastAsia" w:ascii="宋体" w:hAnsi="宋体"/>
          <w:kern w:val="0"/>
          <w:sz w:val="24"/>
          <w:highlight w:val="none"/>
        </w:rPr>
      </w:pPr>
      <w:r>
        <w:rPr>
          <w:rFonts w:hint="eastAsia" w:ascii="宋体" w:hAnsi="宋体"/>
          <w:kern w:val="0"/>
          <w:sz w:val="24"/>
          <w:highlight w:val="none"/>
        </w:rPr>
        <w:t>（2）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165981B">
      <w:pPr>
        <w:keepNext w:val="0"/>
        <w:keepLines w:val="0"/>
        <w:pageBreakBefore w:val="0"/>
        <w:widowControl w:val="0"/>
        <w:kinsoku/>
        <w:wordWrap w:val="0"/>
        <w:overflowPunct/>
        <w:topLinePunct w:val="0"/>
        <w:autoSpaceDE/>
        <w:autoSpaceDN/>
        <w:bidi w:val="0"/>
        <w:adjustRightInd/>
        <w:snapToGrid/>
        <w:spacing w:line="400" w:lineRule="exact"/>
        <w:ind w:firstLine="480" w:firstLineChars="200"/>
        <w:jc w:val="left"/>
        <w:textAlignment w:val="auto"/>
        <w:rPr>
          <w:rFonts w:ascii="宋体" w:hAnsi="宋体"/>
          <w:b/>
          <w:kern w:val="0"/>
          <w:sz w:val="24"/>
          <w:highlight w:val="none"/>
        </w:rPr>
      </w:pPr>
      <w:r>
        <w:rPr>
          <w:rFonts w:hint="eastAsia" w:ascii="宋体" w:hAnsi="宋体"/>
          <w:kern w:val="0"/>
          <w:sz w:val="24"/>
          <w:highlight w:val="none"/>
        </w:rPr>
        <w:t>（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D59BB44">
      <w:pPr>
        <w:tabs>
          <w:tab w:val="left" w:pos="8475"/>
        </w:tabs>
        <w:spacing w:line="400" w:lineRule="exact"/>
        <w:ind w:firstLine="482"/>
        <w:rPr>
          <w:rFonts w:ascii="Times New Roman" w:hAnsi="Times New Roman" w:eastAsia="宋体" w:cs="Times New Roman"/>
          <w:b/>
          <w:sz w:val="24"/>
          <w:szCs w:val="24"/>
        </w:rPr>
      </w:pPr>
      <w:r>
        <w:rPr>
          <w:rFonts w:ascii="Times New Roman" w:hAnsi="Times New Roman" w:cs="Times New Roman"/>
        </w:rPr>
        <w:tab/>
      </w:r>
    </w:p>
    <w:p w14:paraId="3671FB7E">
      <w:pPr>
        <w:spacing w:line="400" w:lineRule="exact"/>
        <w:jc w:val="left"/>
        <w:rPr>
          <w:rFonts w:ascii="Times New Roman" w:hAnsi="Times New Roman" w:eastAsia="黑体" w:cs="Times New Roman"/>
          <w:sz w:val="28"/>
          <w:szCs w:val="28"/>
        </w:rPr>
      </w:pPr>
      <w:r>
        <w:rPr>
          <w:rFonts w:ascii="Times New Roman" w:hAnsi="Times New Roman" w:eastAsia="黑体" w:cs="Times New Roman"/>
          <w:sz w:val="28"/>
          <w:szCs w:val="28"/>
        </w:rPr>
        <w:t>二、项目采购清单：</w:t>
      </w:r>
    </w:p>
    <w:tbl>
      <w:tblPr>
        <w:tblStyle w:val="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18"/>
        <w:gridCol w:w="5372"/>
        <w:gridCol w:w="1419"/>
        <w:gridCol w:w="1419"/>
      </w:tblGrid>
      <w:tr w14:paraId="39FED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4DC9D7CE">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序号</w:t>
            </w:r>
          </w:p>
        </w:tc>
        <w:tc>
          <w:tcPr>
            <w:tcW w:w="0" w:type="auto"/>
            <w:vAlign w:val="center"/>
          </w:tcPr>
          <w:p w14:paraId="5368DB2B">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名称</w:t>
            </w:r>
          </w:p>
        </w:tc>
        <w:tc>
          <w:tcPr>
            <w:tcW w:w="0" w:type="auto"/>
            <w:vAlign w:val="center"/>
          </w:tcPr>
          <w:p w14:paraId="78ACD895">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数量</w:t>
            </w:r>
          </w:p>
        </w:tc>
        <w:tc>
          <w:tcPr>
            <w:tcW w:w="0" w:type="auto"/>
            <w:vAlign w:val="center"/>
          </w:tcPr>
          <w:p w14:paraId="19FDD5C6">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备注</w:t>
            </w:r>
          </w:p>
        </w:tc>
      </w:tr>
      <w:tr w14:paraId="2E201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010ABAB6">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1</w:t>
            </w:r>
          </w:p>
        </w:tc>
        <w:tc>
          <w:tcPr>
            <w:tcW w:w="0" w:type="auto"/>
            <w:vAlign w:val="center"/>
          </w:tcPr>
          <w:p w14:paraId="13A984B4">
            <w:pPr>
              <w:spacing w:line="400" w:lineRule="exact"/>
              <w:jc w:val="center"/>
              <w:rPr>
                <w:rFonts w:ascii="Times New Roman" w:hAnsi="Times New Roman" w:eastAsia="宋体" w:cs="Times New Roman"/>
                <w:sz w:val="24"/>
                <w:szCs w:val="24"/>
              </w:rPr>
            </w:pPr>
            <w:r>
              <w:rPr>
                <w:rFonts w:ascii="Times New Roman" w:hAnsi="Times New Roman" w:cs="Times New Roman"/>
                <w:sz w:val="22"/>
              </w:rPr>
              <w:t>经皮氧、二氧化碳监测仪</w:t>
            </w:r>
          </w:p>
        </w:tc>
        <w:tc>
          <w:tcPr>
            <w:tcW w:w="0" w:type="auto"/>
            <w:vAlign w:val="center"/>
          </w:tcPr>
          <w:p w14:paraId="6954A3CA">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2台</w:t>
            </w:r>
          </w:p>
        </w:tc>
        <w:tc>
          <w:tcPr>
            <w:tcW w:w="0" w:type="auto"/>
            <w:vAlign w:val="center"/>
          </w:tcPr>
          <w:p w14:paraId="6F1C5CC7">
            <w:pPr>
              <w:spacing w:line="400" w:lineRule="exact"/>
              <w:jc w:val="left"/>
              <w:rPr>
                <w:rFonts w:ascii="Times New Roman" w:hAnsi="Times New Roman" w:eastAsia="宋体" w:cs="Times New Roman"/>
                <w:sz w:val="24"/>
                <w:szCs w:val="24"/>
              </w:rPr>
            </w:pPr>
          </w:p>
        </w:tc>
      </w:tr>
    </w:tbl>
    <w:p w14:paraId="2155F600">
      <w:pPr>
        <w:spacing w:line="400" w:lineRule="exact"/>
        <w:jc w:val="left"/>
        <w:rPr>
          <w:rFonts w:ascii="Times New Roman" w:hAnsi="Times New Roman" w:eastAsia="黑体" w:cs="Times New Roman"/>
          <w:sz w:val="28"/>
          <w:szCs w:val="28"/>
        </w:rPr>
      </w:pPr>
    </w:p>
    <w:p w14:paraId="79CB1166">
      <w:pPr>
        <w:spacing w:line="400" w:lineRule="exact"/>
        <w:jc w:val="left"/>
        <w:rPr>
          <w:rFonts w:ascii="Times New Roman" w:hAnsi="Times New Roman" w:eastAsia="黑体" w:cs="Times New Roman"/>
          <w:sz w:val="28"/>
          <w:szCs w:val="28"/>
        </w:rPr>
      </w:pPr>
      <w:r>
        <w:rPr>
          <w:rFonts w:ascii="Times New Roman" w:hAnsi="Times New Roman" w:eastAsia="黑体" w:cs="Times New Roman"/>
          <w:sz w:val="28"/>
          <w:szCs w:val="28"/>
        </w:rPr>
        <w:t>三、详细的技术参数要求：</w:t>
      </w:r>
    </w:p>
    <w:p w14:paraId="167CA741">
      <w:pPr>
        <w:pStyle w:val="15"/>
        <w:numPr>
          <w:ilvl w:val="0"/>
          <w:numId w:val="1"/>
        </w:numPr>
        <w:spacing w:after="0" w:line="360" w:lineRule="auto"/>
        <w:ind w:leftChars="0"/>
        <w:rPr>
          <w:rFonts w:ascii="Times New Roman" w:hAnsi="Times New Roman" w:cs="Times New Roman"/>
          <w:color w:val="000000"/>
          <w:sz w:val="24"/>
        </w:rPr>
      </w:pPr>
      <w:r>
        <w:rPr>
          <w:rFonts w:ascii="Times New Roman" w:hAnsi="Times New Roman" w:cs="Times New Roman"/>
          <w:color w:val="000000"/>
          <w:sz w:val="24"/>
        </w:rPr>
        <w:t>工作原理：</w:t>
      </w:r>
    </w:p>
    <w:p w14:paraId="47291C8A">
      <w:pPr>
        <w:numPr>
          <w:ilvl w:val="1"/>
          <w:numId w:val="1"/>
        </w:numPr>
        <w:spacing w:line="360" w:lineRule="auto"/>
        <w:rPr>
          <w:rFonts w:ascii="Times New Roman" w:hAnsi="Times New Roman" w:cs="Times New Roman"/>
          <w:sz w:val="24"/>
        </w:rPr>
      </w:pPr>
      <w:r>
        <w:rPr>
          <w:rFonts w:ascii="Times New Roman" w:hAnsi="Times New Roman" w:cs="Times New Roman"/>
          <w:sz w:val="24"/>
        </w:rPr>
        <w:t>电极法</w:t>
      </w:r>
    </w:p>
    <w:p w14:paraId="0F38AF41">
      <w:pPr>
        <w:numPr>
          <w:ilvl w:val="1"/>
          <w:numId w:val="1"/>
        </w:numPr>
        <w:spacing w:line="360" w:lineRule="auto"/>
        <w:rPr>
          <w:rFonts w:ascii="Times New Roman" w:hAnsi="Times New Roman" w:cs="Times New Roman"/>
          <w:sz w:val="24"/>
        </w:rPr>
      </w:pPr>
      <w:bookmarkStart w:id="12" w:name="OLE_LINK1"/>
      <w:bookmarkStart w:id="13" w:name="OLE_LINK2"/>
      <w:r>
        <w:rPr>
          <w:rFonts w:ascii="Segoe UI Symbol" w:hAnsi="Segoe UI Symbol" w:cs="Segoe UI Symbol"/>
          <w:sz w:val="24"/>
        </w:rPr>
        <w:t>★</w:t>
      </w:r>
      <w:bookmarkEnd w:id="12"/>
      <w:bookmarkEnd w:id="13"/>
      <w:r>
        <w:rPr>
          <w:rFonts w:ascii="Times New Roman" w:hAnsi="Times New Roman" w:cs="Times New Roman"/>
          <w:sz w:val="24"/>
        </w:rPr>
        <w:t>使用Clark型pO2电极和Stow-Severinghaus型pCO2电极，可以同时监测经皮pO2和pCO2</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0CA81148">
      <w:pPr>
        <w:pStyle w:val="15"/>
        <w:numPr>
          <w:ilvl w:val="0"/>
          <w:numId w:val="1"/>
        </w:numPr>
        <w:spacing w:after="0" w:line="360" w:lineRule="auto"/>
        <w:ind w:leftChars="0"/>
        <w:rPr>
          <w:rFonts w:ascii="Times New Roman" w:hAnsi="Times New Roman" w:cs="Times New Roman"/>
          <w:color w:val="000000"/>
          <w:sz w:val="24"/>
        </w:rPr>
      </w:pPr>
      <w:r>
        <w:rPr>
          <w:rFonts w:ascii="Times New Roman" w:hAnsi="Times New Roman" w:cs="Times New Roman"/>
          <w:color w:val="000000"/>
          <w:sz w:val="24"/>
        </w:rPr>
        <w:t>监测参数：</w:t>
      </w:r>
    </w:p>
    <w:p w14:paraId="26ABA145">
      <w:pPr>
        <w:numPr>
          <w:ilvl w:val="1"/>
          <w:numId w:val="1"/>
        </w:numPr>
        <w:spacing w:line="360" w:lineRule="auto"/>
        <w:rPr>
          <w:rFonts w:ascii="Times New Roman" w:hAnsi="Times New Roman" w:cs="Times New Roman"/>
          <w:sz w:val="24"/>
        </w:rPr>
      </w:pPr>
      <w:r>
        <w:rPr>
          <w:rFonts w:ascii="Segoe UI Symbol" w:hAnsi="Segoe UI Symbol" w:cs="Segoe UI Symbol"/>
          <w:sz w:val="24"/>
        </w:rPr>
        <w:t>★</w:t>
      </w:r>
      <w:r>
        <w:rPr>
          <w:rFonts w:ascii="Times New Roman" w:hAnsi="Times New Roman" w:cs="Times New Roman"/>
          <w:sz w:val="24"/>
        </w:rPr>
        <w:t>监测参数：经皮氧分压（tcpO2）、经皮二氧化碳分压（tcpCO2）</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21568AB1">
      <w:pPr>
        <w:numPr>
          <w:ilvl w:val="1"/>
          <w:numId w:val="1"/>
        </w:numPr>
        <w:spacing w:line="360" w:lineRule="auto"/>
        <w:rPr>
          <w:rFonts w:ascii="Times New Roman" w:hAnsi="Times New Roman" w:cs="Times New Roman"/>
          <w:sz w:val="24"/>
        </w:rPr>
      </w:pPr>
      <w:r>
        <w:rPr>
          <w:rFonts w:ascii="Times New Roman" w:hAnsi="Times New Roman" w:cs="Times New Roman"/>
          <w:sz w:val="24"/>
        </w:rPr>
        <w:t>▲监测范围：tcpO2：0-500mmHg、tcpCO2：5-200mmHg</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10136BBD">
      <w:pPr>
        <w:numPr>
          <w:ilvl w:val="1"/>
          <w:numId w:val="1"/>
        </w:numPr>
        <w:spacing w:line="360" w:lineRule="auto"/>
        <w:rPr>
          <w:rFonts w:ascii="Times New Roman" w:hAnsi="Times New Roman" w:cs="Times New Roman"/>
          <w:sz w:val="24"/>
        </w:rPr>
      </w:pPr>
      <w:r>
        <w:rPr>
          <w:rFonts w:ascii="Times New Roman" w:hAnsi="Times New Roman" w:cs="Times New Roman"/>
          <w:sz w:val="24"/>
        </w:rPr>
        <w:t>显示范围：tcpO2：0-500mmHg、tcpCO2：0-200mmHg</w:t>
      </w:r>
    </w:p>
    <w:p w14:paraId="5418F76B">
      <w:pPr>
        <w:numPr>
          <w:ilvl w:val="1"/>
          <w:numId w:val="1"/>
        </w:numPr>
        <w:spacing w:line="360" w:lineRule="auto"/>
        <w:rPr>
          <w:rFonts w:ascii="Times New Roman" w:hAnsi="Times New Roman" w:cs="Times New Roman"/>
          <w:sz w:val="24"/>
        </w:rPr>
      </w:pPr>
      <w:r>
        <w:rPr>
          <w:rFonts w:ascii="Times New Roman" w:hAnsi="Times New Roman" w:cs="Times New Roman"/>
          <w:sz w:val="24"/>
        </w:rPr>
        <w:t>温度设置：37.0-44.0℃，间隔为0.5℃</w:t>
      </w:r>
    </w:p>
    <w:p w14:paraId="5CD8A1D4">
      <w:pPr>
        <w:numPr>
          <w:ilvl w:val="1"/>
          <w:numId w:val="1"/>
        </w:numPr>
        <w:spacing w:line="360" w:lineRule="auto"/>
        <w:rPr>
          <w:rFonts w:ascii="Times New Roman" w:hAnsi="Times New Roman" w:cs="Times New Roman"/>
          <w:sz w:val="24"/>
        </w:rPr>
      </w:pPr>
      <w:r>
        <w:rPr>
          <w:rFonts w:ascii="Times New Roman" w:hAnsi="Times New Roman" w:cs="Times New Roman"/>
          <w:sz w:val="24"/>
        </w:rPr>
        <w:t>实时数据显示更新间隔≤2s</w:t>
      </w:r>
    </w:p>
    <w:p w14:paraId="7DC539AC">
      <w:pPr>
        <w:numPr>
          <w:ilvl w:val="1"/>
          <w:numId w:val="1"/>
        </w:numPr>
        <w:spacing w:line="360" w:lineRule="auto"/>
        <w:rPr>
          <w:rFonts w:ascii="Times New Roman" w:hAnsi="Times New Roman" w:cs="Times New Roman"/>
          <w:sz w:val="24"/>
        </w:rPr>
      </w:pPr>
      <w:r>
        <w:rPr>
          <w:rFonts w:ascii="Times New Roman" w:hAnsi="Times New Roman" w:cs="Times New Roman"/>
          <w:sz w:val="24"/>
        </w:rPr>
        <w:t>tcpO2反应时间（10-90%）≤25秒、tcpCO2反应时间（10-90%）≤60秒</w:t>
      </w:r>
    </w:p>
    <w:p w14:paraId="12427EC3">
      <w:pPr>
        <w:numPr>
          <w:ilvl w:val="1"/>
          <w:numId w:val="1"/>
        </w:numPr>
        <w:spacing w:line="360" w:lineRule="auto"/>
        <w:rPr>
          <w:rFonts w:ascii="Times New Roman" w:hAnsi="Times New Roman" w:cs="Times New Roman"/>
          <w:sz w:val="24"/>
        </w:rPr>
      </w:pPr>
      <w:r>
        <w:rPr>
          <w:rFonts w:ascii="Times New Roman" w:hAnsi="Times New Roman" w:cs="Times New Roman"/>
          <w:sz w:val="24"/>
        </w:rPr>
        <w:t>tcpO2漂移≤1%/h、tcpCO2漂移≤1%/h</w:t>
      </w:r>
    </w:p>
    <w:p w14:paraId="1C05BB4F">
      <w:pPr>
        <w:pStyle w:val="15"/>
        <w:numPr>
          <w:ilvl w:val="0"/>
          <w:numId w:val="1"/>
        </w:numPr>
        <w:spacing w:after="0" w:line="360" w:lineRule="auto"/>
        <w:ind w:leftChars="0"/>
        <w:rPr>
          <w:rFonts w:ascii="Times New Roman" w:hAnsi="Times New Roman" w:cs="Times New Roman"/>
          <w:color w:val="000000"/>
          <w:sz w:val="24"/>
        </w:rPr>
      </w:pPr>
      <w:r>
        <w:rPr>
          <w:rFonts w:ascii="Times New Roman" w:hAnsi="Times New Roman" w:cs="Times New Roman"/>
          <w:color w:val="000000"/>
          <w:sz w:val="24"/>
        </w:rPr>
        <w:t>硬件规格及系统功能：</w:t>
      </w:r>
    </w:p>
    <w:p w14:paraId="22EF8F95">
      <w:pPr>
        <w:numPr>
          <w:ilvl w:val="1"/>
          <w:numId w:val="1"/>
        </w:numPr>
        <w:spacing w:line="360" w:lineRule="auto"/>
        <w:rPr>
          <w:rFonts w:ascii="Times New Roman" w:hAnsi="Times New Roman" w:cs="Times New Roman"/>
          <w:sz w:val="24"/>
        </w:rPr>
      </w:pPr>
      <w:r>
        <w:rPr>
          <w:rFonts w:ascii="Segoe UI Symbol" w:hAnsi="Segoe UI Symbol" w:cs="Segoe UI Symbol"/>
          <w:sz w:val="24"/>
        </w:rPr>
        <w:t>★</w:t>
      </w:r>
      <w:r>
        <w:rPr>
          <w:rFonts w:ascii="Times New Roman" w:hAnsi="Times New Roman" w:cs="Times New Roman"/>
          <w:sz w:val="24"/>
        </w:rPr>
        <w:t>采用内置彩色触摸屏，</w:t>
      </w:r>
      <w:r>
        <w:rPr>
          <w:rFonts w:hint="eastAsia" w:ascii="宋体" w:hAnsi="宋体" w:eastAsia="宋体" w:cs="宋体"/>
          <w:color w:val="000000"/>
          <w:kern w:val="0"/>
          <w:sz w:val="24"/>
          <w:szCs w:val="22"/>
          <w:highlight w:val="none"/>
          <w:lang w:val="en-US" w:eastAsia="zh-CN" w:bidi="ar"/>
        </w:rPr>
        <w:t>显示屏</w:t>
      </w:r>
      <w:r>
        <w:rPr>
          <w:rFonts w:hint="eastAsia" w:ascii="宋体" w:hAnsi="宋体" w:eastAsia="宋体" w:cs="宋体"/>
          <w:color w:val="auto"/>
          <w:kern w:val="0"/>
          <w:sz w:val="24"/>
          <w:szCs w:val="22"/>
          <w:highlight w:val="none"/>
          <w:lang w:val="en-US" w:eastAsia="zh-CN" w:bidi="ar"/>
        </w:rPr>
        <w:t>有效显示部分</w:t>
      </w:r>
      <w:r>
        <w:rPr>
          <w:rFonts w:hint="eastAsia" w:ascii="宋体" w:hAnsi="宋体" w:eastAsia="宋体" w:cs="宋体"/>
          <w:color w:val="000000"/>
          <w:kern w:val="0"/>
          <w:sz w:val="24"/>
          <w:szCs w:val="22"/>
          <w:highlight w:val="none"/>
          <w:lang w:val="en-US" w:eastAsia="zh-CN" w:bidi="ar"/>
        </w:rPr>
        <w:t>尺寸</w:t>
      </w:r>
      <w:r>
        <w:rPr>
          <w:rFonts w:ascii="Times New Roman" w:hAnsi="Times New Roman" w:cs="Times New Roman"/>
          <w:sz w:val="24"/>
        </w:rPr>
        <w:t>≥6.5英寸，可同屏显示实时数值、动态曲线与变化趋势</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5B63FE5A">
      <w:pPr>
        <w:numPr>
          <w:ilvl w:val="1"/>
          <w:numId w:val="1"/>
        </w:numPr>
        <w:spacing w:line="360" w:lineRule="auto"/>
        <w:rPr>
          <w:rFonts w:ascii="Times New Roman" w:hAnsi="Times New Roman" w:cs="Times New Roman"/>
          <w:sz w:val="24"/>
        </w:rPr>
      </w:pPr>
      <w:r>
        <w:rPr>
          <w:rFonts w:ascii="Times New Roman" w:hAnsi="Times New Roman" w:cs="Times New Roman"/>
          <w:sz w:val="24"/>
        </w:rPr>
        <w:t>内置多种显示方式，包括普通视图、表格视图、趋势视图</w:t>
      </w:r>
    </w:p>
    <w:p w14:paraId="26219784">
      <w:pPr>
        <w:numPr>
          <w:ilvl w:val="1"/>
          <w:numId w:val="1"/>
        </w:numPr>
        <w:spacing w:line="360" w:lineRule="auto"/>
        <w:rPr>
          <w:rFonts w:ascii="Times New Roman" w:hAnsi="Times New Roman" w:cs="Times New Roman"/>
          <w:sz w:val="24"/>
        </w:rPr>
      </w:pPr>
      <w:r>
        <w:rPr>
          <w:rFonts w:ascii="Times New Roman" w:hAnsi="Times New Roman" w:cs="Times New Roman"/>
          <w:sz w:val="24"/>
        </w:rPr>
        <w:t>监测主机、显示屏幕一体化</w:t>
      </w:r>
    </w:p>
    <w:p w14:paraId="71BE6E1A">
      <w:pPr>
        <w:numPr>
          <w:ilvl w:val="1"/>
          <w:numId w:val="1"/>
        </w:numPr>
        <w:spacing w:line="360" w:lineRule="auto"/>
        <w:rPr>
          <w:rFonts w:ascii="Times New Roman" w:hAnsi="Times New Roman" w:cs="Times New Roman"/>
          <w:sz w:val="24"/>
        </w:rPr>
      </w:pPr>
      <w:r>
        <w:rPr>
          <w:rFonts w:ascii="Times New Roman" w:hAnsi="Times New Roman" w:cs="Times New Roman"/>
          <w:sz w:val="24"/>
        </w:rPr>
        <w:t>设备整体重量低于5Kg</w:t>
      </w:r>
    </w:p>
    <w:p w14:paraId="3192E2C4">
      <w:pPr>
        <w:numPr>
          <w:ilvl w:val="1"/>
          <w:numId w:val="1"/>
        </w:numPr>
        <w:spacing w:line="360" w:lineRule="auto"/>
        <w:rPr>
          <w:rFonts w:ascii="Times New Roman" w:hAnsi="Times New Roman" w:cs="Times New Roman"/>
          <w:sz w:val="24"/>
        </w:rPr>
      </w:pPr>
      <w:r>
        <w:rPr>
          <w:rFonts w:ascii="Times New Roman" w:hAnsi="Times New Roman" w:cs="Times New Roman"/>
          <w:sz w:val="24"/>
        </w:rPr>
        <w:t>智能定标功能：自动对电极进行定标，以确保监测仪随时处于准备工作状态</w:t>
      </w:r>
    </w:p>
    <w:p w14:paraId="6B1254D7">
      <w:pPr>
        <w:numPr>
          <w:ilvl w:val="1"/>
          <w:numId w:val="1"/>
        </w:numPr>
        <w:spacing w:line="360" w:lineRule="auto"/>
        <w:rPr>
          <w:rFonts w:ascii="Times New Roman" w:hAnsi="Times New Roman" w:cs="Times New Roman"/>
          <w:sz w:val="24"/>
        </w:rPr>
      </w:pPr>
      <w:r>
        <w:rPr>
          <w:rFonts w:ascii="Times New Roman" w:hAnsi="Times New Roman" w:cs="Times New Roman"/>
          <w:sz w:val="24"/>
        </w:rPr>
        <w:t>可根据需要自定义监测温度及加热时间，安全计时结束后自动停止加热</w:t>
      </w:r>
    </w:p>
    <w:p w14:paraId="394D9B91">
      <w:pPr>
        <w:numPr>
          <w:ilvl w:val="1"/>
          <w:numId w:val="1"/>
        </w:numPr>
        <w:spacing w:line="360" w:lineRule="auto"/>
        <w:rPr>
          <w:rFonts w:ascii="Times New Roman" w:hAnsi="Times New Roman" w:cs="Times New Roman"/>
          <w:sz w:val="24"/>
        </w:rPr>
      </w:pPr>
      <w:r>
        <w:rPr>
          <w:rFonts w:ascii="Times New Roman" w:hAnsi="Times New Roman" w:cs="Times New Roman"/>
          <w:sz w:val="24"/>
        </w:rPr>
        <w:t xml:space="preserve">▲内置可充电电池，电池可供电操作30分钟 </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7155CD09">
      <w:pPr>
        <w:numPr>
          <w:ilvl w:val="1"/>
          <w:numId w:val="1"/>
        </w:numPr>
        <w:spacing w:line="360" w:lineRule="auto"/>
        <w:rPr>
          <w:rFonts w:ascii="Times New Roman" w:hAnsi="Times New Roman" w:cs="Times New Roman"/>
          <w:sz w:val="24"/>
        </w:rPr>
      </w:pPr>
      <w:r>
        <w:rPr>
          <w:rFonts w:ascii="Times New Roman" w:hAnsi="Times New Roman" w:cs="Times New Roman"/>
          <w:sz w:val="24"/>
        </w:rPr>
        <w:t>▲主机可存储数据大于24小时，可在设备上直接回顾病人数据</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03A7B76D">
      <w:pPr>
        <w:numPr>
          <w:ilvl w:val="1"/>
          <w:numId w:val="1"/>
        </w:numPr>
        <w:spacing w:line="360" w:lineRule="auto"/>
        <w:rPr>
          <w:rFonts w:ascii="Times New Roman" w:hAnsi="Times New Roman" w:cs="Times New Roman"/>
          <w:sz w:val="24"/>
        </w:rPr>
      </w:pPr>
      <w:r>
        <w:rPr>
          <w:rFonts w:ascii="Times New Roman" w:hAnsi="Times New Roman" w:cs="Times New Roman"/>
          <w:sz w:val="24"/>
        </w:rPr>
        <w:t>主机具备信息输出接口，可导出患者信息及监测数据，可选择数据导出间隔</w:t>
      </w:r>
    </w:p>
    <w:p w14:paraId="54348C77">
      <w:pPr>
        <w:numPr>
          <w:ilvl w:val="1"/>
          <w:numId w:val="1"/>
        </w:numPr>
        <w:spacing w:line="360" w:lineRule="auto"/>
        <w:rPr>
          <w:rFonts w:ascii="Times New Roman" w:hAnsi="Times New Roman" w:cs="Times New Roman"/>
          <w:sz w:val="24"/>
        </w:rPr>
      </w:pPr>
      <w:r>
        <w:rPr>
          <w:rFonts w:ascii="Times New Roman" w:hAnsi="Times New Roman" w:cs="Times New Roman"/>
          <w:sz w:val="24"/>
          <w:lang w:val="zh-TW"/>
        </w:rPr>
        <w:t>具备</w:t>
      </w:r>
      <w:r>
        <w:rPr>
          <w:rFonts w:ascii="Times New Roman" w:hAnsi="Times New Roman" w:cs="Times New Roman"/>
          <w:sz w:val="24"/>
          <w:lang w:val="zh-TW" w:eastAsia="zh-TW"/>
        </w:rPr>
        <w:t>直接打印功能：无需导出数据或连接电脑即可直接</w:t>
      </w:r>
      <w:r>
        <w:rPr>
          <w:rFonts w:ascii="Times New Roman" w:hAnsi="Times New Roman" w:cs="Times New Roman"/>
          <w:sz w:val="24"/>
          <w:lang w:val="zh-TW"/>
        </w:rPr>
        <w:t>连接打印机</w:t>
      </w:r>
      <w:r>
        <w:rPr>
          <w:rFonts w:ascii="Times New Roman" w:hAnsi="Times New Roman" w:cs="Times New Roman"/>
          <w:sz w:val="24"/>
          <w:lang w:val="zh-TW" w:eastAsia="zh-TW"/>
        </w:rPr>
        <w:t>打印监测结果</w:t>
      </w:r>
      <w:r>
        <w:rPr>
          <w:rFonts w:ascii="Times New Roman" w:hAnsi="Times New Roman" w:cs="Times New Roman"/>
          <w:sz w:val="24"/>
          <w:lang w:val="zh-TW"/>
        </w:rPr>
        <w:t>，</w:t>
      </w:r>
      <w:r>
        <w:rPr>
          <w:rFonts w:ascii="Times New Roman" w:hAnsi="Times New Roman" w:cs="Times New Roman"/>
          <w:sz w:val="24"/>
        </w:rPr>
        <w:t>可连接喷墨（彩色）或激光（单色）打印机</w:t>
      </w:r>
    </w:p>
    <w:p w14:paraId="7EFD9016">
      <w:pPr>
        <w:numPr>
          <w:ilvl w:val="1"/>
          <w:numId w:val="1"/>
        </w:numPr>
        <w:spacing w:line="360" w:lineRule="auto"/>
        <w:rPr>
          <w:rFonts w:ascii="Times New Roman" w:hAnsi="Times New Roman" w:cs="Times New Roman"/>
          <w:sz w:val="24"/>
        </w:rPr>
      </w:pPr>
      <w:r>
        <w:rPr>
          <w:rFonts w:ascii="Times New Roman" w:hAnsi="Times New Roman" w:cs="Times New Roman"/>
          <w:sz w:val="24"/>
        </w:rPr>
        <w:t>系统为中文界面，可切换为其他语言</w:t>
      </w:r>
    </w:p>
    <w:p w14:paraId="608D9A8B">
      <w:pPr>
        <w:numPr>
          <w:ilvl w:val="1"/>
          <w:numId w:val="1"/>
        </w:numPr>
        <w:spacing w:line="360" w:lineRule="auto"/>
        <w:rPr>
          <w:rFonts w:ascii="Times New Roman" w:hAnsi="Times New Roman" w:cs="Times New Roman"/>
          <w:sz w:val="24"/>
        </w:rPr>
      </w:pPr>
      <w:r>
        <w:rPr>
          <w:rFonts w:ascii="Times New Roman" w:hAnsi="Times New Roman" w:cs="Times New Roman"/>
          <w:sz w:val="24"/>
        </w:rPr>
        <w:t>具备监测报警功能，可提示用户发生生理和技术错误或提供推荐处理方法的文本信息，可调节报警音量</w:t>
      </w:r>
    </w:p>
    <w:p w14:paraId="336EBEC2">
      <w:pPr>
        <w:numPr>
          <w:ilvl w:val="1"/>
          <w:numId w:val="1"/>
        </w:numPr>
        <w:spacing w:line="360" w:lineRule="auto"/>
        <w:rPr>
          <w:rFonts w:ascii="Times New Roman" w:hAnsi="Times New Roman" w:cs="Times New Roman"/>
          <w:sz w:val="24"/>
        </w:rPr>
      </w:pPr>
      <w:r>
        <w:rPr>
          <w:rFonts w:ascii="Times New Roman" w:hAnsi="Times New Roman" w:cs="Times New Roman"/>
          <w:sz w:val="24"/>
        </w:rPr>
        <w:t>▲具有镀金薄层电极膜，保护电极膜表面免于机械性损伤，提高电极灵敏度，换膜方式为单次按压式安装</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3A98E069">
      <w:pPr>
        <w:numPr>
          <w:ilvl w:val="1"/>
          <w:numId w:val="1"/>
        </w:numPr>
        <w:spacing w:line="360" w:lineRule="auto"/>
        <w:rPr>
          <w:rFonts w:ascii="Times New Roman" w:hAnsi="Times New Roman" w:cs="Times New Roman"/>
          <w:sz w:val="24"/>
        </w:rPr>
      </w:pPr>
      <w:r>
        <w:rPr>
          <w:rFonts w:ascii="Times New Roman" w:hAnsi="Times New Roman" w:cs="Times New Roman"/>
          <w:sz w:val="24"/>
        </w:rPr>
        <w:t>▲自动提醒功能：内置电极膜更换预警，自动探测并提示更换电极膜</w:t>
      </w:r>
      <w:r>
        <w:rPr>
          <w:rFonts w:ascii="Times New Roman" w:hAnsi="Times New Roman" w:cs="Times New Roman"/>
          <w:b/>
          <w:bCs/>
          <w:sz w:val="24"/>
        </w:rPr>
        <w:t>（</w:t>
      </w:r>
      <w:r>
        <w:rPr>
          <w:rFonts w:hint="eastAsia" w:ascii="Times New Roman" w:hAnsi="Times New Roman" w:cs="Times New Roman"/>
          <w:b/>
          <w:bCs/>
          <w:sz w:val="24"/>
          <w:lang w:eastAsia="zh-CN"/>
        </w:rPr>
        <w:t>需提供相关佐证材料</w:t>
      </w:r>
      <w:r>
        <w:rPr>
          <w:rFonts w:ascii="Times New Roman" w:hAnsi="Times New Roman" w:cs="Times New Roman"/>
          <w:b/>
          <w:bCs/>
          <w:sz w:val="24"/>
        </w:rPr>
        <w:t>）</w:t>
      </w:r>
    </w:p>
    <w:p w14:paraId="55D23E2E">
      <w:pPr>
        <w:spacing w:line="400" w:lineRule="exact"/>
        <w:ind w:left="480"/>
        <w:rPr>
          <w:rFonts w:ascii="Times New Roman" w:hAnsi="Times New Roman" w:eastAsia="宋体" w:cs="Times New Roman"/>
          <w:sz w:val="24"/>
          <w:szCs w:val="24"/>
        </w:rPr>
      </w:pPr>
    </w:p>
    <w:p w14:paraId="7DA84E70">
      <w:pPr>
        <w:spacing w:line="400" w:lineRule="exact"/>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备注：</w:t>
      </w:r>
    </w:p>
    <w:p w14:paraId="7C10124B">
      <w:pPr>
        <w:spacing w:line="400" w:lineRule="exact"/>
        <w:ind w:firstLine="482" w:firstLineChars="200"/>
        <w:rPr>
          <w:rFonts w:ascii="Times New Roman" w:hAnsi="Times New Roman" w:eastAsia="宋体" w:cs="Times New Roman"/>
          <w:b/>
          <w:bCs/>
          <w:kern w:val="0"/>
          <w:sz w:val="24"/>
          <w:szCs w:val="24"/>
        </w:rPr>
      </w:pPr>
      <w:r>
        <w:rPr>
          <w:rFonts w:ascii="Times New Roman" w:hAnsi="Times New Roman" w:eastAsia="宋体" w:cs="Times New Roman"/>
          <w:b/>
          <w:bCs/>
          <w:kern w:val="0"/>
          <w:sz w:val="24"/>
          <w:szCs w:val="24"/>
        </w:rPr>
        <w:t>1、其中打“</w:t>
      </w:r>
      <w:r>
        <w:rPr>
          <w:rFonts w:ascii="Segoe UI Symbol" w:hAnsi="Segoe UI Symbol" w:eastAsia="宋体" w:cs="Segoe UI Symbol"/>
          <w:b/>
          <w:bCs/>
          <w:kern w:val="0"/>
          <w:sz w:val="24"/>
          <w:szCs w:val="24"/>
        </w:rPr>
        <w:t>★</w:t>
      </w:r>
      <w:r>
        <w:rPr>
          <w:rFonts w:ascii="Times New Roman" w:hAnsi="Times New Roman" w:eastAsia="宋体" w:cs="Times New Roman"/>
          <w:b/>
          <w:bCs/>
          <w:kern w:val="0"/>
          <w:sz w:val="24"/>
          <w:szCs w:val="24"/>
        </w:rPr>
        <w:t>”项为实质性要求，有一项负偏离将作为无效投标；打“▲”项为重要指标项。未按要求提供佐证材料的视为负偏离，佐证材料可为产品注册证、有效检测报告、官方使用说明书、产品铭牌、实物照片、功能界面截图等。</w:t>
      </w:r>
      <w:r>
        <w:rPr>
          <w:rFonts w:hint="eastAsia" w:ascii="宋体" w:hAnsi="宋体" w:cs="宋体"/>
          <w:b/>
          <w:bCs/>
          <w:kern w:val="0"/>
          <w:sz w:val="24"/>
          <w:u w:val="single"/>
        </w:rPr>
        <w:t>投标人提供的佐证材料应将相关功能指标醒目标记，因未标记而导致的评审风险由投标人自行承担。</w:t>
      </w:r>
    </w:p>
    <w:p w14:paraId="0F9AD4DD">
      <w:pPr>
        <w:spacing w:line="400" w:lineRule="exact"/>
        <w:ind w:firstLine="482" w:firstLineChars="200"/>
        <w:rPr>
          <w:rFonts w:ascii="Times New Roman" w:hAnsi="Times New Roman" w:eastAsia="宋体" w:cs="Times New Roman"/>
          <w:b/>
          <w:sz w:val="24"/>
          <w:szCs w:val="24"/>
        </w:rPr>
      </w:pPr>
      <w:r>
        <w:rPr>
          <w:rFonts w:ascii="Times New Roman" w:hAnsi="Times New Roman" w:eastAsia="宋体" w:cs="Times New Roman"/>
          <w:b/>
          <w:sz w:val="24"/>
          <w:szCs w:val="24"/>
        </w:rPr>
        <w:t>2、投标产品属于医疗器械注册范畴的，须提供《医疗器械注册证》。（扫描件）</w:t>
      </w:r>
    </w:p>
    <w:p w14:paraId="41E4E173">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3、投标人必须如实地在偏离说明中做出明确的逐项响应承诺，并对其真实性负责。</w:t>
      </w:r>
    </w:p>
    <w:p w14:paraId="04A9D757">
      <w:pPr>
        <w:spacing w:line="400" w:lineRule="exact"/>
        <w:ind w:firstLine="480" w:firstLineChars="200"/>
        <w:rPr>
          <w:rFonts w:ascii="Times New Roman" w:hAnsi="Times New Roman" w:eastAsia="宋体" w:cs="Times New Roman"/>
          <w:bCs/>
          <w:kern w:val="0"/>
          <w:sz w:val="24"/>
          <w:szCs w:val="24"/>
        </w:rPr>
      </w:pPr>
      <w:r>
        <w:rPr>
          <w:rFonts w:ascii="Times New Roman" w:hAnsi="Times New Roman" w:eastAsia="宋体" w:cs="Times New Roman"/>
          <w:sz w:val="24"/>
          <w:szCs w:val="24"/>
        </w:rPr>
        <w:t>4、所投产品技术参数单位与采购文件不一致的由投标供应商自行换算成与采购文件一</w:t>
      </w:r>
      <w:r>
        <w:rPr>
          <w:rFonts w:ascii="Times New Roman" w:hAnsi="Times New Roman" w:eastAsia="宋体" w:cs="Times New Roman"/>
          <w:bCs/>
          <w:kern w:val="0"/>
          <w:sz w:val="24"/>
          <w:szCs w:val="24"/>
        </w:rPr>
        <w:t>致的单位。</w:t>
      </w:r>
    </w:p>
    <w:p w14:paraId="02B6E0ED">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5、如中标单位供货产品的技术参数与“投标文件技术规范描述”不符，则按“提供虚假材料谋取中标”处理。</w:t>
      </w:r>
    </w:p>
    <w:p w14:paraId="3CDFA00A">
      <w:pPr>
        <w:spacing w:line="400" w:lineRule="exact"/>
        <w:rPr>
          <w:rFonts w:ascii="Times New Roman" w:hAnsi="Times New Roman" w:eastAsia="宋体" w:cs="Times New Roman"/>
          <w:sz w:val="24"/>
          <w:szCs w:val="24"/>
        </w:rPr>
      </w:pPr>
    </w:p>
    <w:p w14:paraId="6A0B8576">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四、交货时间和地点：</w:t>
      </w:r>
    </w:p>
    <w:p w14:paraId="570BEAF0">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交货时间：签订合同后</w:t>
      </w:r>
      <w:r>
        <w:rPr>
          <w:rFonts w:ascii="Times New Roman" w:hAnsi="Times New Roman" w:eastAsia="宋体" w:cs="Times New Roman"/>
          <w:sz w:val="24"/>
          <w:szCs w:val="24"/>
          <w:u w:val="single"/>
        </w:rPr>
        <w:t>30</w:t>
      </w:r>
      <w:r>
        <w:rPr>
          <w:rFonts w:ascii="Times New Roman" w:hAnsi="Times New Roman" w:eastAsia="宋体" w:cs="Times New Roman"/>
          <w:sz w:val="24"/>
          <w:szCs w:val="24"/>
        </w:rPr>
        <w:t>天内。（各供应商报出最早交货期限）</w:t>
      </w:r>
    </w:p>
    <w:p w14:paraId="7F40E8AD">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交货地点：江阴市人民医院。</w:t>
      </w:r>
    </w:p>
    <w:p w14:paraId="782B3FD6">
      <w:pPr>
        <w:spacing w:line="400" w:lineRule="exact"/>
        <w:ind w:firstLine="480" w:firstLineChars="200"/>
        <w:rPr>
          <w:rFonts w:ascii="Times New Roman" w:hAnsi="Times New Roman" w:eastAsia="宋体" w:cs="Times New Roman"/>
          <w:sz w:val="24"/>
          <w:szCs w:val="24"/>
        </w:rPr>
      </w:pPr>
    </w:p>
    <w:p w14:paraId="2E3CF2D9">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五、安装及验收：</w:t>
      </w:r>
    </w:p>
    <w:p w14:paraId="733D3D47">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p>
    <w:p w14:paraId="0F64D3D1">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2、卖方应在合同约定时间内将设备送到买方指定位置，在货物到达使用单位后卖方应在买方规定的时间内安排工程技术人员到买方开箱安装调试并承担由此产生的一切费用。</w:t>
      </w:r>
    </w:p>
    <w:p w14:paraId="2A1EB8B1">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3、提供设备的出厂检验报告、合格证书、装箱单，并且预先提供验收标准，填写验收报告书，供双方最终确认所用。</w:t>
      </w:r>
    </w:p>
    <w:p w14:paraId="77A027E1">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4、设备安装后，按国际和国家标准及厂方标准进行质量验收。卖方应向买方提供详细的验收标准，验收专用仪器，并承担相关费用。</w:t>
      </w:r>
    </w:p>
    <w:p w14:paraId="5626CAD0">
      <w:pPr>
        <w:spacing w:line="400" w:lineRule="exact"/>
        <w:rPr>
          <w:rFonts w:ascii="Times New Roman" w:hAnsi="Times New Roman" w:eastAsia="宋体" w:cs="Times New Roman"/>
          <w:sz w:val="24"/>
          <w:szCs w:val="24"/>
        </w:rPr>
      </w:pPr>
    </w:p>
    <w:p w14:paraId="293F72F1">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六、技术培训：</w:t>
      </w:r>
    </w:p>
    <w:p w14:paraId="0229582D">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1、卖方技术人员必须免费对安装、调试、操作、维修、保养等事项向买方作现场技术培训，提供必要次数厂家工程师跟台服务，保证使用人员正常操作设备的各种功能。</w:t>
      </w:r>
    </w:p>
    <w:p w14:paraId="07287AE9">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2、根据设备技术要求，向买方提供使用人员的集中培训。</w:t>
      </w:r>
    </w:p>
    <w:p w14:paraId="36FFF7D7">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3、如买方需将该设备联入内部网络或外部网络（LIS,HIS,PACS等系统），卖方必须承担所有相关费用（含开放端口费用）并提供技术支持。</w:t>
      </w:r>
    </w:p>
    <w:p w14:paraId="14D3D09C">
      <w:pPr>
        <w:spacing w:line="400" w:lineRule="exact"/>
        <w:rPr>
          <w:rFonts w:ascii="Times New Roman" w:hAnsi="Times New Roman" w:eastAsia="宋体" w:cs="Times New Roman"/>
          <w:b/>
          <w:sz w:val="24"/>
          <w:szCs w:val="24"/>
        </w:rPr>
      </w:pPr>
    </w:p>
    <w:p w14:paraId="1CF6AF3D">
      <w:pPr>
        <w:spacing w:line="400" w:lineRule="exact"/>
        <w:rPr>
          <w:rFonts w:ascii="Times New Roman" w:hAnsi="Times New Roman" w:eastAsia="宋体" w:cs="Times New Roman"/>
          <w:sz w:val="24"/>
          <w:szCs w:val="24"/>
        </w:rPr>
      </w:pPr>
      <w:r>
        <w:rPr>
          <w:rFonts w:ascii="Times New Roman" w:hAnsi="Times New Roman" w:eastAsia="黑体" w:cs="Times New Roman"/>
          <w:sz w:val="28"/>
          <w:szCs w:val="28"/>
        </w:rPr>
        <w:t>七、备件和资料：</w:t>
      </w:r>
    </w:p>
    <w:p w14:paraId="3EAD8456">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1、为保证设备正常运行,卖方应在中国境内设置备件库,存入所有必须的备件,并保证10年以上的供应期。</w:t>
      </w:r>
    </w:p>
    <w:p w14:paraId="21BAB488">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2、专用工具：卖方向买方提供设备维护的专用工具。</w:t>
      </w:r>
    </w:p>
    <w:p w14:paraId="12AC7E5B">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3、提供完整操作手册和产品说明书、厂家维修手册、电路图纸等技术资料1套，设备附带附件、证件、软件等齐全，免费培训使用，并提供产品及工作站售后的持续软硬件升级服务及培训。</w:t>
      </w:r>
    </w:p>
    <w:p w14:paraId="7E781E54">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4、如后期涉及到软件重装或升级，终身免费。</w:t>
      </w:r>
    </w:p>
    <w:p w14:paraId="61308256">
      <w:pPr>
        <w:spacing w:line="400" w:lineRule="exact"/>
        <w:ind w:firstLine="480" w:firstLineChars="200"/>
        <w:rPr>
          <w:rFonts w:ascii="Times New Roman" w:hAnsi="Times New Roman" w:eastAsia="宋体" w:cs="Times New Roman"/>
          <w:sz w:val="24"/>
          <w:szCs w:val="24"/>
        </w:rPr>
      </w:pPr>
    </w:p>
    <w:p w14:paraId="1D0506F8">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八、质量保证及售后服务：</w:t>
      </w:r>
    </w:p>
    <w:p w14:paraId="64E916E2">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1、投标方</w:t>
      </w:r>
      <w:r>
        <w:rPr>
          <w:rFonts w:ascii="Times New Roman" w:hAnsi="Times New Roman" w:eastAsia="宋体" w:cs="Times New Roman"/>
          <w:b/>
          <w:sz w:val="24"/>
          <w:szCs w:val="24"/>
        </w:rPr>
        <w:t>须在投标文件中注明所投产品说明书或质量保修卡等其他随设备出厂资料的原厂质保期限</w:t>
      </w:r>
      <w:r>
        <w:rPr>
          <w:rFonts w:ascii="Times New Roman" w:hAnsi="Times New Roman" w:eastAsia="宋体" w:cs="Times New Roman"/>
          <w:sz w:val="24"/>
          <w:szCs w:val="24"/>
        </w:rPr>
        <w:t>，至少1年（合同签订后采购方货物开箱验收时与产品说明书或质量保修卡等其他随设备出厂的资料进行核对）。</w:t>
      </w:r>
    </w:p>
    <w:p w14:paraId="5D1FBE2E">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2、质保期内每年保养≥4次，按“12个月/保养次数”作为最大保养间隔时间，按产品说明书要求执行保养。</w:t>
      </w:r>
    </w:p>
    <w:p w14:paraId="25CFE200">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4、要求具备客户服务专线电话，接医院报修电话须0.5小时内给予明确答复，并在24小时内赶到现场维修，单次故障最长修复时间在2日之内。</w:t>
      </w:r>
    </w:p>
    <w:p w14:paraId="331DD412">
      <w:pPr>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5、要求保证开机率≥96%（按一年365天），全年停机日期不超过14天，若开机率 ＜ 96%，每停机1天则保修期延长7天。</w:t>
      </w:r>
    </w:p>
    <w:p w14:paraId="1A5D879D">
      <w:pPr>
        <w:spacing w:line="400" w:lineRule="exact"/>
        <w:ind w:firstLine="480" w:firstLineChars="200"/>
        <w:rPr>
          <w:rFonts w:ascii="Times New Roman" w:hAnsi="Times New Roman" w:eastAsia="宋体" w:cs="Times New Roman"/>
          <w:sz w:val="24"/>
          <w:szCs w:val="24"/>
        </w:rPr>
      </w:pPr>
    </w:p>
    <w:p w14:paraId="11285A0B">
      <w:pPr>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九、付款方式：</w:t>
      </w:r>
    </w:p>
    <w:p w14:paraId="541320D3">
      <w:pPr>
        <w:adjustRightInd w:val="0"/>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分两期付款</w:t>
      </w:r>
    </w:p>
    <w:p w14:paraId="7CDF2DC5">
      <w:pPr>
        <w:adjustRightInd w:val="0"/>
        <w:spacing w:line="400" w:lineRule="exact"/>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1、第1期：全部设备到货后，由买方逐一清点无误，与合同规定相符；设备软、硬件安装完毕，系统工作稳定，无故障，由买方组织验收，符合招标文件及合同要求，正常运行满1个月后，由买方组织验收合格签字后，买方将在10个工作日内支付合同总价的80%。</w:t>
      </w:r>
      <w:r>
        <w:rPr>
          <w:rFonts w:ascii="Times New Roman" w:hAnsi="Times New Roman" w:eastAsia="宋体" w:cs="Times New Roman"/>
          <w:sz w:val="24"/>
          <w:szCs w:val="24"/>
        </w:rPr>
        <w:br w:type="textWrapping"/>
      </w:r>
      <w:r>
        <w:rPr>
          <w:rFonts w:ascii="Times New Roman" w:hAnsi="Times New Roman" w:eastAsia="宋体" w:cs="Times New Roman"/>
          <w:sz w:val="24"/>
          <w:szCs w:val="24"/>
        </w:rPr>
        <w:t xml:space="preserve">    2、第2期：验收合格满12个月，买方将在一个月内付清余款。</w:t>
      </w:r>
    </w:p>
    <w:p w14:paraId="283346E7">
      <w:pPr>
        <w:spacing w:line="400" w:lineRule="exact"/>
        <w:ind w:firstLine="480" w:firstLineChars="200"/>
        <w:rPr>
          <w:rFonts w:ascii="Times New Roman" w:hAnsi="Times New Roman" w:eastAsia="宋体" w:cs="Times New Roman"/>
          <w:sz w:val="24"/>
          <w:szCs w:val="24"/>
        </w:rPr>
      </w:pPr>
    </w:p>
    <w:p w14:paraId="5233DF63">
      <w:pPr>
        <w:autoSpaceDE w:val="0"/>
        <w:autoSpaceDN w:val="0"/>
        <w:adjustRightInd w:val="0"/>
        <w:spacing w:line="400" w:lineRule="exact"/>
        <w:rPr>
          <w:rFonts w:ascii="Times New Roman" w:hAnsi="Times New Roman" w:eastAsia="黑体" w:cs="Times New Roman"/>
          <w:sz w:val="28"/>
          <w:szCs w:val="28"/>
        </w:rPr>
      </w:pPr>
      <w:r>
        <w:rPr>
          <w:rFonts w:ascii="Times New Roman" w:hAnsi="Times New Roman" w:eastAsia="黑体" w:cs="Times New Roman"/>
          <w:sz w:val="28"/>
          <w:szCs w:val="28"/>
        </w:rPr>
        <w:t>十、有关说明：</w:t>
      </w:r>
    </w:p>
    <w:p w14:paraId="2B0DC025">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1、公开招标为一次性报价，投标单位所报内容必须完整，不得漏项。</w:t>
      </w:r>
    </w:p>
    <w:p w14:paraId="4991037D">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2、投标报价包括应包括产品、税金、包装、运费、仓储、质量检验、技术指导、验收、售后服务费、安装、培训等所有费用。</w:t>
      </w:r>
    </w:p>
    <w:p w14:paraId="5B3FA727">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产品质量必须符合《中华人民共和国国家标准》及我国最新颁布的与之相关的技术规范与正宗合格产品标准，同时必须满足招标书中所列全部规格、条件及要求和卖方承诺的其它指标；产品质量出现问题，卖方负责包退、包换，费用由卖方负责。</w:t>
      </w:r>
    </w:p>
    <w:p w14:paraId="33FC6DB8">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4、货物保管：货物到达买方地址至验收合格期间，由卖方负责保管，若因保管不当造成的质量问题，卖方应负责修理，同时有关费用由卖方承担。</w:t>
      </w:r>
    </w:p>
    <w:p w14:paraId="7609EA8E">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5、供应商若非投标产品原厂家的，成交后签订合同时须提供该产品原厂家（或驻中国办事机构）出具的有效的经销授权书。</w:t>
      </w:r>
    </w:p>
    <w:p w14:paraId="75784B0F">
      <w:pPr>
        <w:spacing w:line="400" w:lineRule="exact"/>
        <w:ind w:firstLine="48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6、凡涉及招标文件的补充说明或修正，均以江阴市政府采购中心书面依据为准。</w:t>
      </w:r>
    </w:p>
    <w:p w14:paraId="7209175F">
      <w:pPr>
        <w:spacing w:line="400" w:lineRule="exact"/>
        <w:rPr>
          <w:rFonts w:ascii="Times New Roman" w:hAnsi="Times New Roman" w:eastAsia="宋体" w:cs="Times New Roman"/>
          <w:kern w:val="0"/>
          <w:sz w:val="24"/>
          <w:szCs w:val="24"/>
        </w:rPr>
      </w:pPr>
      <w:r>
        <w:rPr>
          <w:rFonts w:ascii="Times New Roman" w:hAnsi="Times New Roman" w:eastAsia="宋体" w:cs="Times New Roman"/>
          <w:kern w:val="0"/>
          <w:sz w:val="24"/>
          <w:szCs w:val="24"/>
        </w:rPr>
        <w:t>7、江阴市政府采购中心对本次招标结果不作任何解释。</w:t>
      </w:r>
      <w:bookmarkEnd w:id="11"/>
    </w:p>
    <w:p w14:paraId="1434C338">
      <w:pPr>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br w:type="page"/>
      </w:r>
    </w:p>
    <w:p w14:paraId="2AB6B186">
      <w:pPr>
        <w:spacing w:line="400" w:lineRule="exact"/>
        <w:rPr>
          <w:rFonts w:hint="eastAsia" w:ascii="Times New Roman" w:hAnsi="Times New Roman" w:eastAsia="宋体" w:cs="Times New Roman"/>
          <w:kern w:val="0"/>
          <w:sz w:val="24"/>
          <w:szCs w:val="24"/>
        </w:rPr>
      </w:pPr>
    </w:p>
    <w:p w14:paraId="77F2AAF1">
      <w:pPr>
        <w:pStyle w:val="31"/>
      </w:pPr>
      <w:bookmarkStart w:id="14" w:name="_Toc201302572"/>
      <w:r>
        <w:rPr>
          <w:rFonts w:hint="eastAsia"/>
        </w:rPr>
        <w:t>第四章　评标方法和评标标准</w:t>
      </w:r>
      <w:bookmarkEnd w:id="14"/>
    </w:p>
    <w:p w14:paraId="3394D2B7">
      <w:pPr>
        <w:spacing w:line="400" w:lineRule="exact"/>
        <w:jc w:val="left"/>
        <w:rPr>
          <w:rFonts w:hint="eastAsia" w:ascii="黑体" w:hAnsi="黑体" w:eastAsia="黑体" w:cs="Times New Roman"/>
          <w:sz w:val="28"/>
          <w:szCs w:val="28"/>
        </w:rPr>
      </w:pPr>
    </w:p>
    <w:p w14:paraId="6F64975C">
      <w:pPr>
        <w:spacing w:line="400" w:lineRule="exact"/>
        <w:jc w:val="left"/>
        <w:rPr>
          <w:rFonts w:hint="eastAsia" w:ascii="黑体" w:hAnsi="黑体" w:eastAsia="黑体" w:cs="Times New Roman"/>
          <w:sz w:val="28"/>
          <w:szCs w:val="28"/>
        </w:rPr>
      </w:pPr>
      <w:r>
        <w:rPr>
          <w:rFonts w:hint="eastAsia" w:ascii="黑体" w:hAnsi="黑体" w:eastAsia="黑体" w:cs="Times New Roman"/>
          <w:sz w:val="28"/>
          <w:szCs w:val="28"/>
        </w:rPr>
        <w:t>一、评标方法</w:t>
      </w:r>
    </w:p>
    <w:p w14:paraId="010F9F4F">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本次评审采用综合评标法，</w:t>
      </w:r>
      <w:r>
        <w:rPr>
          <w:rFonts w:ascii="宋体" w:hAnsi="宋体" w:eastAsia="宋体" w:cs="Times New Roman"/>
          <w:sz w:val="24"/>
          <w:szCs w:val="24"/>
        </w:rPr>
        <w:t>是指投标文件满足招标文件全部实质性要求，且按照评审因素的量化指标评审得分最高的投标人为中标候选人的评标方法</w:t>
      </w:r>
      <w:r>
        <w:rPr>
          <w:rFonts w:hint="eastAsia" w:ascii="宋体" w:hAnsi="宋体" w:eastAsia="宋体" w:cs="Times New Roman"/>
          <w:sz w:val="24"/>
          <w:szCs w:val="24"/>
        </w:rPr>
        <w:t>，</w:t>
      </w:r>
      <w:r>
        <w:rPr>
          <w:rFonts w:ascii="宋体" w:hAnsi="宋体" w:eastAsia="宋体" w:cs="Times New Roman"/>
          <w:sz w:val="24"/>
          <w:szCs w:val="24"/>
        </w:rPr>
        <w:t>评审因素包括投标报价、技术或者服务水平、履约能力、售后服务等。</w:t>
      </w:r>
    </w:p>
    <w:p w14:paraId="4F5F48FA">
      <w:pPr>
        <w:spacing w:line="400" w:lineRule="exact"/>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157F9044">
      <w:pPr>
        <w:spacing w:line="40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注：每部分的得分保留小数点后两位，合计得分保留小数点后两位。</w:t>
      </w:r>
    </w:p>
    <w:p w14:paraId="59CE3FCB">
      <w:pPr>
        <w:spacing w:line="400" w:lineRule="exact"/>
        <w:jc w:val="left"/>
        <w:rPr>
          <w:rFonts w:hint="eastAsia" w:ascii="宋体" w:hAnsi="宋体" w:eastAsia="宋体" w:cs="Times New Roman"/>
          <w:b/>
          <w:sz w:val="24"/>
          <w:szCs w:val="24"/>
        </w:rPr>
      </w:pPr>
    </w:p>
    <w:p w14:paraId="58722656">
      <w:pPr>
        <w:spacing w:line="400" w:lineRule="exact"/>
        <w:rPr>
          <w:rFonts w:hint="eastAsia" w:ascii="黑体" w:hAnsi="黑体" w:eastAsia="黑体" w:cs="Times New Roman"/>
          <w:sz w:val="28"/>
          <w:szCs w:val="28"/>
        </w:rPr>
      </w:pPr>
      <w:r>
        <w:rPr>
          <w:rFonts w:hint="eastAsia" w:ascii="黑体" w:hAnsi="黑体" w:eastAsia="黑体" w:cs="Times New Roman"/>
          <w:sz w:val="28"/>
          <w:szCs w:val="28"/>
        </w:rPr>
        <w:t>二、评分标准</w:t>
      </w:r>
    </w:p>
    <w:tbl>
      <w:tblPr>
        <w:tblStyle w:val="33"/>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899"/>
        <w:gridCol w:w="1280"/>
        <w:gridCol w:w="5664"/>
        <w:gridCol w:w="706"/>
      </w:tblGrid>
      <w:tr w14:paraId="3FC9FB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blHeader/>
          <w:jc w:val="center"/>
        </w:trPr>
        <w:tc>
          <w:tcPr>
            <w:tcW w:w="1276" w:type="dxa"/>
            <w:tcBorders>
              <w:top w:val="single" w:color="auto" w:sz="8" w:space="0"/>
              <w:left w:val="single" w:color="auto" w:sz="8" w:space="0"/>
              <w:bottom w:val="single" w:color="auto" w:sz="6" w:space="0"/>
              <w:right w:val="single" w:color="auto" w:sz="6" w:space="0"/>
            </w:tcBorders>
            <w:vAlign w:val="center"/>
          </w:tcPr>
          <w:p w14:paraId="41EA1B30">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评分项</w:t>
            </w:r>
          </w:p>
        </w:tc>
        <w:tc>
          <w:tcPr>
            <w:tcW w:w="899" w:type="dxa"/>
            <w:tcBorders>
              <w:top w:val="single" w:color="auto" w:sz="8" w:space="0"/>
              <w:left w:val="single" w:color="auto" w:sz="6" w:space="0"/>
              <w:bottom w:val="single" w:color="auto" w:sz="6" w:space="0"/>
              <w:right w:val="single" w:color="auto" w:sz="6" w:space="0"/>
            </w:tcBorders>
            <w:vAlign w:val="center"/>
          </w:tcPr>
          <w:p w14:paraId="4D21E2D1">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序号</w:t>
            </w:r>
          </w:p>
        </w:tc>
        <w:tc>
          <w:tcPr>
            <w:tcW w:w="1280" w:type="dxa"/>
            <w:tcBorders>
              <w:top w:val="single" w:color="auto" w:sz="8" w:space="0"/>
              <w:left w:val="single" w:color="auto" w:sz="6" w:space="0"/>
              <w:bottom w:val="single" w:color="auto" w:sz="6" w:space="0"/>
              <w:right w:val="single" w:color="auto" w:sz="6" w:space="0"/>
            </w:tcBorders>
            <w:vAlign w:val="center"/>
          </w:tcPr>
          <w:p w14:paraId="280758B9">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评分因素</w:t>
            </w:r>
          </w:p>
        </w:tc>
        <w:tc>
          <w:tcPr>
            <w:tcW w:w="5664" w:type="dxa"/>
            <w:tcBorders>
              <w:top w:val="single" w:color="auto" w:sz="8" w:space="0"/>
              <w:left w:val="single" w:color="auto" w:sz="6" w:space="0"/>
              <w:bottom w:val="single" w:color="auto" w:sz="6" w:space="0"/>
              <w:right w:val="single" w:color="auto" w:sz="6" w:space="0"/>
            </w:tcBorders>
            <w:vAlign w:val="center"/>
          </w:tcPr>
          <w:p w14:paraId="3CE38128">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评分细则</w:t>
            </w:r>
          </w:p>
        </w:tc>
        <w:tc>
          <w:tcPr>
            <w:tcW w:w="706" w:type="dxa"/>
            <w:tcBorders>
              <w:top w:val="single" w:color="auto" w:sz="8" w:space="0"/>
              <w:left w:val="single" w:color="auto" w:sz="6" w:space="0"/>
              <w:bottom w:val="single" w:color="auto" w:sz="6" w:space="0"/>
              <w:right w:val="single" w:color="auto" w:sz="8" w:space="0"/>
            </w:tcBorders>
            <w:vAlign w:val="center"/>
          </w:tcPr>
          <w:p w14:paraId="7EDEAE19">
            <w:pPr>
              <w:spacing w:line="400" w:lineRule="exact"/>
              <w:jc w:val="center"/>
              <w:rPr>
                <w:rFonts w:ascii="Times New Roman" w:hAnsi="Times New Roman" w:eastAsia="宋体" w:cs="Times New Roman"/>
                <w:b/>
                <w:sz w:val="24"/>
                <w:szCs w:val="24"/>
              </w:rPr>
            </w:pPr>
            <w:r>
              <w:rPr>
                <w:rFonts w:ascii="Times New Roman" w:hAnsi="Times New Roman" w:eastAsia="宋体" w:cs="Times New Roman"/>
                <w:b/>
                <w:sz w:val="24"/>
                <w:szCs w:val="24"/>
              </w:rPr>
              <w:t>分值</w:t>
            </w:r>
          </w:p>
        </w:tc>
      </w:tr>
      <w:tr w14:paraId="1496A67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top w:val="single" w:color="auto" w:sz="6" w:space="0"/>
              <w:left w:val="single" w:color="auto" w:sz="8" w:space="0"/>
              <w:bottom w:val="single" w:color="auto" w:sz="6" w:space="0"/>
              <w:right w:val="single" w:color="auto" w:sz="6" w:space="0"/>
            </w:tcBorders>
            <w:vAlign w:val="center"/>
          </w:tcPr>
          <w:p w14:paraId="42CAF825">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一、价格部分</w:t>
            </w:r>
          </w:p>
          <w:p w14:paraId="7F9E7AA8">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（30分）</w:t>
            </w:r>
          </w:p>
        </w:tc>
        <w:tc>
          <w:tcPr>
            <w:tcW w:w="899" w:type="dxa"/>
            <w:tcBorders>
              <w:top w:val="single" w:color="auto" w:sz="6" w:space="0"/>
              <w:left w:val="single" w:color="auto" w:sz="6" w:space="0"/>
              <w:bottom w:val="single" w:color="auto" w:sz="6" w:space="0"/>
              <w:right w:val="single" w:color="auto" w:sz="6" w:space="0"/>
            </w:tcBorders>
            <w:vAlign w:val="center"/>
          </w:tcPr>
          <w:p w14:paraId="7DD4695A">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1.1</w:t>
            </w:r>
          </w:p>
        </w:tc>
        <w:tc>
          <w:tcPr>
            <w:tcW w:w="1280" w:type="dxa"/>
            <w:tcBorders>
              <w:top w:val="single" w:color="auto" w:sz="6" w:space="0"/>
              <w:left w:val="single" w:color="auto" w:sz="6" w:space="0"/>
              <w:bottom w:val="single" w:color="auto" w:sz="6" w:space="0"/>
              <w:right w:val="single" w:color="auto" w:sz="6" w:space="0"/>
            </w:tcBorders>
            <w:vAlign w:val="center"/>
          </w:tcPr>
          <w:p w14:paraId="58DA984E">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投标报价</w:t>
            </w:r>
          </w:p>
        </w:tc>
        <w:tc>
          <w:tcPr>
            <w:tcW w:w="5664" w:type="dxa"/>
            <w:tcBorders>
              <w:top w:val="single" w:color="auto" w:sz="6" w:space="0"/>
              <w:left w:val="single" w:color="auto" w:sz="6" w:space="0"/>
              <w:bottom w:val="single" w:color="auto" w:sz="6" w:space="0"/>
              <w:right w:val="single" w:color="auto" w:sz="6" w:space="0"/>
            </w:tcBorders>
            <w:vAlign w:val="center"/>
          </w:tcPr>
          <w:p w14:paraId="5511D6DB">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满足招标文件要求且投标报价最低的投标报价为评标基准价，其价格为满分。其他投标人的价格分按照下列公式计算：</w:t>
            </w:r>
          </w:p>
          <w:p w14:paraId="286C6654">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投标报价得分＝（评标基准价/投标报价）×30分</w:t>
            </w:r>
          </w:p>
        </w:tc>
        <w:tc>
          <w:tcPr>
            <w:tcW w:w="706" w:type="dxa"/>
            <w:tcBorders>
              <w:top w:val="single" w:color="auto" w:sz="6" w:space="0"/>
              <w:left w:val="single" w:color="auto" w:sz="6" w:space="0"/>
              <w:bottom w:val="single" w:color="auto" w:sz="6" w:space="0"/>
              <w:right w:val="single" w:color="auto" w:sz="8" w:space="0"/>
            </w:tcBorders>
            <w:vAlign w:val="center"/>
          </w:tcPr>
          <w:p w14:paraId="619E6507">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30</w:t>
            </w:r>
          </w:p>
        </w:tc>
      </w:tr>
      <w:tr w14:paraId="62924A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restart"/>
            <w:tcBorders>
              <w:top w:val="single" w:color="auto" w:sz="6" w:space="0"/>
              <w:left w:val="single" w:color="auto" w:sz="8" w:space="0"/>
              <w:bottom w:val="single" w:color="auto" w:sz="6" w:space="0"/>
              <w:right w:val="single" w:color="auto" w:sz="6" w:space="0"/>
            </w:tcBorders>
            <w:vAlign w:val="center"/>
          </w:tcPr>
          <w:p w14:paraId="727C2247">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二、技术部分</w:t>
            </w:r>
          </w:p>
          <w:p w14:paraId="1F3BE6D8">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（65分）</w:t>
            </w:r>
          </w:p>
        </w:tc>
        <w:tc>
          <w:tcPr>
            <w:tcW w:w="899" w:type="dxa"/>
            <w:tcBorders>
              <w:top w:val="single" w:color="auto" w:sz="6" w:space="0"/>
              <w:left w:val="single" w:color="auto" w:sz="6" w:space="0"/>
              <w:bottom w:val="single" w:color="auto" w:sz="6" w:space="0"/>
              <w:right w:val="single" w:color="auto" w:sz="6" w:space="0"/>
            </w:tcBorders>
            <w:vAlign w:val="center"/>
          </w:tcPr>
          <w:p w14:paraId="5813B96B">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2.1</w:t>
            </w:r>
          </w:p>
        </w:tc>
        <w:tc>
          <w:tcPr>
            <w:tcW w:w="1280" w:type="dxa"/>
            <w:tcBorders>
              <w:top w:val="single" w:color="auto" w:sz="6" w:space="0"/>
              <w:left w:val="single" w:color="auto" w:sz="6" w:space="0"/>
              <w:bottom w:val="single" w:color="auto" w:sz="6" w:space="0"/>
              <w:right w:val="single" w:color="auto" w:sz="6" w:space="0"/>
            </w:tcBorders>
            <w:vAlign w:val="center"/>
          </w:tcPr>
          <w:p w14:paraId="07BD2C9E">
            <w:pPr>
              <w:spacing w:line="400" w:lineRule="exact"/>
              <w:jc w:val="center"/>
              <w:rPr>
                <w:rFonts w:ascii="Times New Roman" w:hAnsi="Times New Roman" w:cs="Times New Roman"/>
                <w:sz w:val="24"/>
              </w:rPr>
            </w:pPr>
            <w:r>
              <w:rPr>
                <w:rFonts w:ascii="Times New Roman" w:hAnsi="Times New Roman" w:cs="Times New Roman"/>
                <w:sz w:val="24"/>
              </w:rPr>
              <w:t>主要技术指标响应情况</w:t>
            </w:r>
          </w:p>
        </w:tc>
        <w:tc>
          <w:tcPr>
            <w:tcW w:w="5664" w:type="dxa"/>
            <w:tcBorders>
              <w:top w:val="single" w:color="auto" w:sz="6" w:space="0"/>
              <w:left w:val="single" w:color="auto" w:sz="6" w:space="0"/>
              <w:bottom w:val="single" w:color="auto" w:sz="6" w:space="0"/>
              <w:right w:val="single" w:color="auto" w:sz="6" w:space="0"/>
            </w:tcBorders>
            <w:vAlign w:val="center"/>
          </w:tcPr>
          <w:p w14:paraId="7F656EB4">
            <w:pPr>
              <w:spacing w:line="400" w:lineRule="exact"/>
              <w:rPr>
                <w:rFonts w:ascii="Times New Roman" w:hAnsi="Times New Roman" w:cs="Times New Roman"/>
                <w:sz w:val="24"/>
              </w:rPr>
            </w:pPr>
            <w:r>
              <w:rPr>
                <w:rFonts w:ascii="Times New Roman" w:hAnsi="Times New Roman" w:cs="Times New Roman"/>
                <w:sz w:val="24"/>
              </w:rPr>
              <w:t>根据所投产品的主要技术指标的性能、技术参数的响应情况进行评审打分，产品符合招标文件要求，无负偏离得40分。打“</w:t>
            </w:r>
            <w:r>
              <w:rPr>
                <w:rFonts w:ascii="Segoe UI Symbol" w:hAnsi="Segoe UI Symbol" w:cs="Segoe UI Symbol"/>
                <w:sz w:val="24"/>
              </w:rPr>
              <w:t>★</w:t>
            </w:r>
            <w:r>
              <w:rPr>
                <w:rFonts w:ascii="Times New Roman" w:hAnsi="Times New Roman" w:cs="Times New Roman"/>
                <w:sz w:val="24"/>
              </w:rPr>
              <w:t>”项参数有一项负偏离，则视为无效投标，打“▲”项参数每一项负偏离扣</w:t>
            </w:r>
            <w:r>
              <w:rPr>
                <w:rFonts w:hint="eastAsia" w:ascii="Times New Roman" w:hAnsi="Times New Roman" w:cs="Times New Roman"/>
                <w:sz w:val="24"/>
              </w:rPr>
              <w:t>3</w:t>
            </w:r>
            <w:r>
              <w:rPr>
                <w:rFonts w:ascii="Times New Roman" w:hAnsi="Times New Roman" w:cs="Times New Roman"/>
                <w:sz w:val="24"/>
              </w:rPr>
              <w:t>分，非打“▲”项参数每一项负偏离扣</w:t>
            </w:r>
            <w:r>
              <w:rPr>
                <w:rFonts w:hint="eastAsia" w:ascii="Times New Roman" w:hAnsi="Times New Roman" w:cs="Times New Roman"/>
                <w:sz w:val="24"/>
              </w:rPr>
              <w:t>2</w:t>
            </w:r>
            <w:r>
              <w:rPr>
                <w:rFonts w:ascii="Times New Roman" w:hAnsi="Times New Roman" w:cs="Times New Roman"/>
                <w:sz w:val="24"/>
              </w:rPr>
              <w:t>分，扣完为止。</w:t>
            </w:r>
          </w:p>
        </w:tc>
        <w:tc>
          <w:tcPr>
            <w:tcW w:w="706" w:type="dxa"/>
            <w:tcBorders>
              <w:top w:val="single" w:color="auto" w:sz="6" w:space="0"/>
              <w:left w:val="single" w:color="auto" w:sz="6" w:space="0"/>
              <w:bottom w:val="single" w:color="auto" w:sz="6" w:space="0"/>
              <w:right w:val="single" w:color="auto" w:sz="8" w:space="0"/>
            </w:tcBorders>
            <w:vAlign w:val="center"/>
          </w:tcPr>
          <w:p w14:paraId="7154F044">
            <w:pPr>
              <w:spacing w:line="400" w:lineRule="exact"/>
              <w:jc w:val="center"/>
              <w:rPr>
                <w:rFonts w:ascii="Times New Roman" w:hAnsi="Times New Roman" w:cs="Times New Roman"/>
                <w:sz w:val="24"/>
              </w:rPr>
            </w:pPr>
            <w:r>
              <w:rPr>
                <w:rFonts w:ascii="Times New Roman" w:hAnsi="Times New Roman" w:cs="Times New Roman"/>
                <w:sz w:val="24"/>
              </w:rPr>
              <w:t>40</w:t>
            </w:r>
          </w:p>
        </w:tc>
      </w:tr>
      <w:tr w14:paraId="68CE87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top w:val="single" w:color="auto" w:sz="6" w:space="0"/>
              <w:left w:val="single" w:color="auto" w:sz="8" w:space="0"/>
              <w:bottom w:val="single" w:color="auto" w:sz="6" w:space="0"/>
              <w:right w:val="single" w:color="auto" w:sz="6" w:space="0"/>
            </w:tcBorders>
            <w:vAlign w:val="center"/>
          </w:tcPr>
          <w:p w14:paraId="21499C50">
            <w:pPr>
              <w:widowControl/>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1FFE5B44">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2.2</w:t>
            </w:r>
          </w:p>
        </w:tc>
        <w:tc>
          <w:tcPr>
            <w:tcW w:w="1280" w:type="dxa"/>
            <w:tcBorders>
              <w:top w:val="single" w:color="auto" w:sz="6" w:space="0"/>
              <w:left w:val="single" w:color="auto" w:sz="6" w:space="0"/>
              <w:bottom w:val="single" w:color="auto" w:sz="6" w:space="0"/>
              <w:right w:val="single" w:color="auto" w:sz="6" w:space="0"/>
            </w:tcBorders>
            <w:vAlign w:val="center"/>
          </w:tcPr>
          <w:p w14:paraId="7C000E00">
            <w:pPr>
              <w:spacing w:line="400" w:lineRule="exact"/>
              <w:jc w:val="center"/>
              <w:rPr>
                <w:rFonts w:ascii="Times New Roman" w:hAnsi="Times New Roman" w:cs="Times New Roman"/>
                <w:sz w:val="24"/>
              </w:rPr>
            </w:pPr>
            <w:r>
              <w:rPr>
                <w:rFonts w:ascii="Times New Roman" w:hAnsi="Times New Roman" w:cs="Times New Roman"/>
                <w:sz w:val="24"/>
              </w:rPr>
              <w:t>实施方案</w:t>
            </w:r>
          </w:p>
        </w:tc>
        <w:tc>
          <w:tcPr>
            <w:tcW w:w="5664" w:type="dxa"/>
            <w:tcBorders>
              <w:top w:val="single" w:color="auto" w:sz="6" w:space="0"/>
              <w:left w:val="single" w:color="auto" w:sz="6" w:space="0"/>
              <w:bottom w:val="single" w:color="auto" w:sz="6" w:space="0"/>
              <w:right w:val="single" w:color="auto" w:sz="6" w:space="0"/>
            </w:tcBorders>
            <w:vAlign w:val="center"/>
          </w:tcPr>
          <w:p w14:paraId="29260F16">
            <w:pPr>
              <w:spacing w:line="400" w:lineRule="exact"/>
              <w:rPr>
                <w:rFonts w:ascii="Times New Roman" w:hAnsi="Times New Roman" w:cs="Times New Roman"/>
                <w:sz w:val="24"/>
              </w:rPr>
            </w:pPr>
            <w:r>
              <w:rPr>
                <w:rFonts w:ascii="Times New Roman" w:hAnsi="Times New Roman" w:cs="Times New Roman"/>
                <w:sz w:val="24"/>
              </w:rPr>
              <w:t>投标人针对本项目提供实施方案，包括</w:t>
            </w:r>
            <w:r>
              <w:rPr>
                <w:rFonts w:hint="eastAsia" w:ascii="宋体" w:hAnsi="宋体" w:eastAsia="宋体" w:cs="宋体"/>
                <w:sz w:val="24"/>
              </w:rPr>
              <w:t>①</w:t>
            </w:r>
            <w:r>
              <w:rPr>
                <w:rFonts w:ascii="Times New Roman" w:hAnsi="Times New Roman" w:cs="Times New Roman"/>
                <w:sz w:val="24"/>
              </w:rPr>
              <w:t>包装运输方案、</w:t>
            </w:r>
            <w:r>
              <w:rPr>
                <w:rFonts w:hint="eastAsia" w:ascii="宋体" w:hAnsi="宋体" w:eastAsia="宋体" w:cs="宋体"/>
                <w:sz w:val="24"/>
              </w:rPr>
              <w:t>②</w:t>
            </w:r>
            <w:r>
              <w:rPr>
                <w:rFonts w:ascii="Times New Roman" w:hAnsi="Times New Roman" w:cs="Times New Roman"/>
                <w:sz w:val="24"/>
              </w:rPr>
              <w:t>进度计划、</w:t>
            </w:r>
            <w:r>
              <w:rPr>
                <w:rFonts w:hint="eastAsia" w:ascii="宋体" w:hAnsi="宋体" w:eastAsia="宋体" w:cs="宋体"/>
                <w:sz w:val="24"/>
              </w:rPr>
              <w:t>③</w:t>
            </w:r>
            <w:r>
              <w:rPr>
                <w:rFonts w:ascii="Times New Roman" w:hAnsi="Times New Roman" w:cs="Times New Roman"/>
                <w:sz w:val="24"/>
              </w:rPr>
              <w:t>安装调试流程、</w:t>
            </w:r>
            <w:r>
              <w:rPr>
                <w:rFonts w:hint="eastAsia" w:ascii="宋体" w:hAnsi="宋体" w:eastAsia="宋体" w:cs="宋体"/>
                <w:sz w:val="24"/>
              </w:rPr>
              <w:t>④</w:t>
            </w:r>
            <w:r>
              <w:rPr>
                <w:rFonts w:ascii="Times New Roman" w:hAnsi="Times New Roman" w:cs="Times New Roman"/>
                <w:sz w:val="24"/>
              </w:rPr>
              <w:t>安装调试技术重难点、</w:t>
            </w:r>
            <w:r>
              <w:rPr>
                <w:rFonts w:hint="eastAsia" w:ascii="宋体" w:hAnsi="宋体" w:eastAsia="宋体" w:cs="宋体"/>
                <w:sz w:val="24"/>
              </w:rPr>
              <w:t>⑤</w:t>
            </w:r>
            <w:r>
              <w:rPr>
                <w:rFonts w:ascii="Times New Roman" w:hAnsi="Times New Roman" w:cs="Times New Roman"/>
                <w:sz w:val="24"/>
              </w:rPr>
              <w:t>安装调试人员安排，方案内容描述全面合理符合采购需求的得7.5分，每有一项内容缺失的扣1.5分；每有一项内容存在缺陷或不满足要求的扣1分，扣完为止。</w:t>
            </w:r>
          </w:p>
          <w:p w14:paraId="341D86D9">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6BCB1416">
            <w:pPr>
              <w:spacing w:line="400" w:lineRule="exact"/>
              <w:jc w:val="center"/>
              <w:rPr>
                <w:rFonts w:ascii="Times New Roman" w:hAnsi="Times New Roman" w:cs="Times New Roman"/>
                <w:sz w:val="24"/>
              </w:rPr>
            </w:pPr>
            <w:r>
              <w:rPr>
                <w:rFonts w:ascii="Times New Roman" w:hAnsi="Times New Roman" w:cs="Times New Roman"/>
                <w:sz w:val="24"/>
              </w:rPr>
              <w:t>7.5</w:t>
            </w:r>
          </w:p>
        </w:tc>
      </w:tr>
      <w:tr w14:paraId="2E3C7A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top w:val="single" w:color="auto" w:sz="6" w:space="0"/>
              <w:left w:val="single" w:color="auto" w:sz="8" w:space="0"/>
              <w:bottom w:val="single" w:color="auto" w:sz="6" w:space="0"/>
              <w:right w:val="single" w:color="auto" w:sz="6" w:space="0"/>
            </w:tcBorders>
            <w:vAlign w:val="center"/>
          </w:tcPr>
          <w:p w14:paraId="562B6F2C">
            <w:pPr>
              <w:widowControl/>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5B54BEE7">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2.3</w:t>
            </w:r>
          </w:p>
        </w:tc>
        <w:tc>
          <w:tcPr>
            <w:tcW w:w="1280" w:type="dxa"/>
            <w:tcBorders>
              <w:top w:val="single" w:color="auto" w:sz="6" w:space="0"/>
              <w:left w:val="single" w:color="auto" w:sz="6" w:space="0"/>
              <w:bottom w:val="single" w:color="auto" w:sz="6" w:space="0"/>
              <w:right w:val="single" w:color="auto" w:sz="6" w:space="0"/>
            </w:tcBorders>
            <w:vAlign w:val="center"/>
          </w:tcPr>
          <w:p w14:paraId="5D2C8E8A">
            <w:pPr>
              <w:spacing w:line="400" w:lineRule="exact"/>
              <w:jc w:val="center"/>
              <w:rPr>
                <w:rFonts w:ascii="Times New Roman" w:hAnsi="Times New Roman" w:cs="Times New Roman"/>
                <w:sz w:val="24"/>
              </w:rPr>
            </w:pPr>
            <w:r>
              <w:rPr>
                <w:rFonts w:ascii="Times New Roman" w:hAnsi="Times New Roman" w:cs="Times New Roman"/>
                <w:sz w:val="24"/>
              </w:rPr>
              <w:t>培训方案</w:t>
            </w:r>
          </w:p>
        </w:tc>
        <w:tc>
          <w:tcPr>
            <w:tcW w:w="5664" w:type="dxa"/>
            <w:tcBorders>
              <w:top w:val="single" w:color="auto" w:sz="6" w:space="0"/>
              <w:left w:val="single" w:color="auto" w:sz="6" w:space="0"/>
              <w:bottom w:val="single" w:color="auto" w:sz="6" w:space="0"/>
              <w:right w:val="single" w:color="auto" w:sz="6" w:space="0"/>
            </w:tcBorders>
            <w:vAlign w:val="center"/>
          </w:tcPr>
          <w:p w14:paraId="1165302F">
            <w:pPr>
              <w:spacing w:line="400" w:lineRule="exact"/>
              <w:rPr>
                <w:rFonts w:ascii="Times New Roman" w:hAnsi="Times New Roman" w:cs="Times New Roman"/>
                <w:sz w:val="24"/>
              </w:rPr>
            </w:pPr>
            <w:r>
              <w:rPr>
                <w:rFonts w:ascii="Times New Roman" w:hAnsi="Times New Roman" w:cs="Times New Roman"/>
                <w:sz w:val="24"/>
              </w:rPr>
              <w:t>投标人针对本项目提供培训方案，包括</w:t>
            </w:r>
            <w:r>
              <w:rPr>
                <w:rFonts w:hint="eastAsia" w:ascii="宋体" w:hAnsi="宋体" w:eastAsia="宋体" w:cs="宋体"/>
                <w:sz w:val="24"/>
              </w:rPr>
              <w:t>①</w:t>
            </w:r>
            <w:r>
              <w:rPr>
                <w:rFonts w:ascii="Times New Roman" w:hAnsi="Times New Roman" w:cs="Times New Roman"/>
                <w:sz w:val="24"/>
              </w:rPr>
              <w:t>培训内容、</w:t>
            </w:r>
            <w:r>
              <w:rPr>
                <w:rFonts w:hint="eastAsia" w:ascii="宋体" w:hAnsi="宋体" w:eastAsia="宋体" w:cs="宋体"/>
                <w:sz w:val="24"/>
              </w:rPr>
              <w:t>②</w:t>
            </w:r>
            <w:r>
              <w:rPr>
                <w:rFonts w:ascii="Times New Roman" w:hAnsi="Times New Roman" w:cs="Times New Roman"/>
                <w:sz w:val="24"/>
              </w:rPr>
              <w:t>培训人员安排、</w:t>
            </w:r>
            <w:r>
              <w:rPr>
                <w:rFonts w:hint="eastAsia" w:ascii="宋体" w:hAnsi="宋体" w:eastAsia="宋体" w:cs="宋体"/>
                <w:sz w:val="24"/>
              </w:rPr>
              <w:t>③</w:t>
            </w:r>
            <w:r>
              <w:rPr>
                <w:rFonts w:ascii="Times New Roman" w:hAnsi="Times New Roman" w:cs="Times New Roman"/>
                <w:sz w:val="24"/>
              </w:rPr>
              <w:t>培训周期，方案内容描述全面合理符合采购需求的得7.5分，每有一项内容缺失的扣2.5分；每有一项内容存在缺陷或不满足要求的扣1.5分，扣完为止。</w:t>
            </w:r>
          </w:p>
          <w:p w14:paraId="71F62BB3">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0BF76DD0">
            <w:pPr>
              <w:spacing w:line="400" w:lineRule="exact"/>
              <w:jc w:val="center"/>
              <w:rPr>
                <w:rFonts w:ascii="Times New Roman" w:hAnsi="Times New Roman" w:cs="Times New Roman"/>
                <w:sz w:val="24"/>
              </w:rPr>
            </w:pPr>
            <w:r>
              <w:rPr>
                <w:rFonts w:ascii="Times New Roman" w:hAnsi="Times New Roman" w:cs="Times New Roman"/>
                <w:sz w:val="24"/>
              </w:rPr>
              <w:t>7.5</w:t>
            </w:r>
          </w:p>
        </w:tc>
      </w:tr>
      <w:tr w14:paraId="7B256D7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top w:val="single" w:color="auto" w:sz="6" w:space="0"/>
              <w:left w:val="single" w:color="auto" w:sz="8" w:space="0"/>
              <w:bottom w:val="single" w:color="auto" w:sz="6" w:space="0"/>
              <w:right w:val="single" w:color="auto" w:sz="6" w:space="0"/>
            </w:tcBorders>
            <w:vAlign w:val="center"/>
          </w:tcPr>
          <w:p w14:paraId="613D64A6">
            <w:pPr>
              <w:widowControl/>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0B4B12CB">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2.4</w:t>
            </w:r>
          </w:p>
        </w:tc>
        <w:tc>
          <w:tcPr>
            <w:tcW w:w="1280" w:type="dxa"/>
            <w:tcBorders>
              <w:top w:val="single" w:color="auto" w:sz="6" w:space="0"/>
              <w:left w:val="single" w:color="auto" w:sz="6" w:space="0"/>
              <w:bottom w:val="single" w:color="auto" w:sz="6" w:space="0"/>
              <w:right w:val="single" w:color="auto" w:sz="6" w:space="0"/>
            </w:tcBorders>
            <w:vAlign w:val="center"/>
          </w:tcPr>
          <w:p w14:paraId="5A1CAB18">
            <w:pPr>
              <w:spacing w:line="400" w:lineRule="exact"/>
              <w:jc w:val="center"/>
              <w:rPr>
                <w:rFonts w:ascii="Times New Roman" w:hAnsi="Times New Roman" w:cs="Times New Roman"/>
                <w:sz w:val="24"/>
              </w:rPr>
            </w:pPr>
            <w:r>
              <w:rPr>
                <w:rFonts w:ascii="Times New Roman" w:hAnsi="Times New Roman" w:cs="Times New Roman"/>
                <w:sz w:val="24"/>
              </w:rPr>
              <w:t>应急保障方案</w:t>
            </w:r>
          </w:p>
        </w:tc>
        <w:tc>
          <w:tcPr>
            <w:tcW w:w="5664" w:type="dxa"/>
            <w:tcBorders>
              <w:top w:val="single" w:color="auto" w:sz="6" w:space="0"/>
              <w:left w:val="single" w:color="auto" w:sz="6" w:space="0"/>
              <w:bottom w:val="single" w:color="auto" w:sz="6" w:space="0"/>
              <w:right w:val="single" w:color="auto" w:sz="6" w:space="0"/>
            </w:tcBorders>
            <w:vAlign w:val="center"/>
          </w:tcPr>
          <w:p w14:paraId="18DC9E26">
            <w:pPr>
              <w:spacing w:line="400" w:lineRule="exact"/>
              <w:rPr>
                <w:rFonts w:ascii="Times New Roman" w:hAnsi="Times New Roman" w:cs="Times New Roman"/>
                <w:sz w:val="24"/>
              </w:rPr>
            </w:pPr>
            <w:r>
              <w:rPr>
                <w:rFonts w:ascii="Times New Roman" w:hAnsi="Times New Roman" w:cs="Times New Roman"/>
                <w:sz w:val="24"/>
              </w:rPr>
              <w:t>投标人针对本项目提供应急保障方案，包括</w:t>
            </w:r>
            <w:r>
              <w:rPr>
                <w:rFonts w:hint="eastAsia" w:ascii="宋体" w:hAnsi="宋体" w:eastAsia="宋体" w:cs="宋体"/>
                <w:sz w:val="24"/>
              </w:rPr>
              <w:t>①</w:t>
            </w:r>
            <w:r>
              <w:rPr>
                <w:rFonts w:ascii="Times New Roman" w:hAnsi="Times New Roman" w:cs="Times New Roman"/>
                <w:sz w:val="24"/>
              </w:rPr>
              <w:t>应急响应时间及修复时间、</w:t>
            </w:r>
            <w:r>
              <w:rPr>
                <w:rFonts w:hint="eastAsia" w:ascii="宋体" w:hAnsi="宋体" w:eastAsia="宋体" w:cs="宋体"/>
                <w:sz w:val="24"/>
              </w:rPr>
              <w:t>②</w:t>
            </w:r>
            <w:r>
              <w:rPr>
                <w:rFonts w:ascii="Times New Roman" w:hAnsi="Times New Roman" w:cs="Times New Roman"/>
                <w:sz w:val="24"/>
              </w:rPr>
              <w:t>应急保障措施，方案内容描述全面合理符合采购需求的得4分，每有一项内容缺失的扣2分；每有一项内容存在缺陷或不满足要求的扣1分，扣完为止。</w:t>
            </w:r>
          </w:p>
          <w:p w14:paraId="62ABD6E4">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755FE6C8">
            <w:pPr>
              <w:spacing w:line="400" w:lineRule="exact"/>
              <w:jc w:val="center"/>
              <w:rPr>
                <w:rFonts w:ascii="Times New Roman" w:hAnsi="Times New Roman" w:cs="Times New Roman"/>
                <w:sz w:val="24"/>
              </w:rPr>
            </w:pPr>
            <w:r>
              <w:rPr>
                <w:rFonts w:ascii="Times New Roman" w:hAnsi="Times New Roman" w:cs="Times New Roman"/>
                <w:sz w:val="24"/>
              </w:rPr>
              <w:t>4</w:t>
            </w:r>
          </w:p>
        </w:tc>
      </w:tr>
      <w:tr w14:paraId="154667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Merge w:val="continue"/>
            <w:tcBorders>
              <w:top w:val="single" w:color="auto" w:sz="6" w:space="0"/>
              <w:left w:val="single" w:color="auto" w:sz="8" w:space="0"/>
              <w:bottom w:val="single" w:color="auto" w:sz="6" w:space="0"/>
              <w:right w:val="single" w:color="auto" w:sz="6" w:space="0"/>
            </w:tcBorders>
            <w:vAlign w:val="center"/>
          </w:tcPr>
          <w:p w14:paraId="65E5036F">
            <w:pPr>
              <w:widowControl/>
              <w:jc w:val="left"/>
              <w:rPr>
                <w:rFonts w:ascii="Times New Roman" w:hAnsi="Times New Roman" w:eastAsia="宋体" w:cs="Times New Roman"/>
                <w:sz w:val="24"/>
                <w:szCs w:val="24"/>
              </w:rPr>
            </w:pPr>
          </w:p>
        </w:tc>
        <w:tc>
          <w:tcPr>
            <w:tcW w:w="899" w:type="dxa"/>
            <w:tcBorders>
              <w:top w:val="single" w:color="auto" w:sz="6" w:space="0"/>
              <w:left w:val="single" w:color="auto" w:sz="6" w:space="0"/>
              <w:bottom w:val="single" w:color="auto" w:sz="6" w:space="0"/>
              <w:right w:val="single" w:color="auto" w:sz="6" w:space="0"/>
            </w:tcBorders>
            <w:vAlign w:val="center"/>
          </w:tcPr>
          <w:p w14:paraId="1DC1A2C0">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2.5</w:t>
            </w:r>
          </w:p>
        </w:tc>
        <w:tc>
          <w:tcPr>
            <w:tcW w:w="1280" w:type="dxa"/>
            <w:tcBorders>
              <w:top w:val="single" w:color="auto" w:sz="6" w:space="0"/>
              <w:left w:val="single" w:color="auto" w:sz="6" w:space="0"/>
              <w:bottom w:val="single" w:color="auto" w:sz="6" w:space="0"/>
              <w:right w:val="single" w:color="auto" w:sz="6" w:space="0"/>
            </w:tcBorders>
            <w:vAlign w:val="center"/>
          </w:tcPr>
          <w:p w14:paraId="288D6908">
            <w:pPr>
              <w:spacing w:line="400" w:lineRule="exact"/>
              <w:jc w:val="center"/>
              <w:rPr>
                <w:rFonts w:ascii="Times New Roman" w:hAnsi="Times New Roman" w:cs="Times New Roman"/>
                <w:sz w:val="24"/>
              </w:rPr>
            </w:pPr>
            <w:r>
              <w:rPr>
                <w:rFonts w:ascii="Times New Roman" w:hAnsi="Times New Roman" w:cs="Times New Roman"/>
                <w:sz w:val="24"/>
              </w:rPr>
              <w:t>售后服务方案</w:t>
            </w:r>
          </w:p>
        </w:tc>
        <w:tc>
          <w:tcPr>
            <w:tcW w:w="5664" w:type="dxa"/>
            <w:tcBorders>
              <w:top w:val="single" w:color="auto" w:sz="6" w:space="0"/>
              <w:left w:val="single" w:color="auto" w:sz="6" w:space="0"/>
              <w:bottom w:val="single" w:color="auto" w:sz="6" w:space="0"/>
              <w:right w:val="single" w:color="auto" w:sz="6" w:space="0"/>
            </w:tcBorders>
            <w:vAlign w:val="center"/>
          </w:tcPr>
          <w:p w14:paraId="5403241C">
            <w:pPr>
              <w:spacing w:line="400" w:lineRule="exact"/>
              <w:rPr>
                <w:rFonts w:ascii="Times New Roman" w:hAnsi="Times New Roman" w:cs="Times New Roman"/>
                <w:sz w:val="24"/>
              </w:rPr>
            </w:pPr>
            <w:r>
              <w:rPr>
                <w:rFonts w:ascii="Times New Roman" w:hAnsi="Times New Roman" w:cs="Times New Roman"/>
                <w:sz w:val="24"/>
              </w:rPr>
              <w:t>投标人针对本项目提供售后服务方案，包括</w:t>
            </w:r>
            <w:r>
              <w:rPr>
                <w:rFonts w:hint="eastAsia" w:ascii="宋体" w:hAnsi="宋体" w:eastAsia="宋体" w:cs="宋体"/>
                <w:sz w:val="24"/>
              </w:rPr>
              <w:t>①</w:t>
            </w:r>
            <w:r>
              <w:rPr>
                <w:rFonts w:ascii="Times New Roman" w:hAnsi="Times New Roman" w:cs="Times New Roman"/>
                <w:sz w:val="24"/>
              </w:rPr>
              <w:t>售后服务内容、</w:t>
            </w:r>
            <w:r>
              <w:rPr>
                <w:rFonts w:hint="eastAsia" w:ascii="宋体" w:hAnsi="宋体" w:eastAsia="宋体" w:cs="宋体"/>
                <w:sz w:val="24"/>
              </w:rPr>
              <w:t>②</w:t>
            </w:r>
            <w:r>
              <w:rPr>
                <w:rFonts w:ascii="Times New Roman" w:hAnsi="Times New Roman" w:cs="Times New Roman"/>
                <w:sz w:val="24"/>
              </w:rPr>
              <w:t>售后服务人员安排、</w:t>
            </w:r>
            <w:r>
              <w:rPr>
                <w:rFonts w:hint="eastAsia" w:ascii="宋体" w:hAnsi="宋体" w:eastAsia="宋体" w:cs="宋体"/>
                <w:sz w:val="24"/>
              </w:rPr>
              <w:t>③</w:t>
            </w:r>
            <w:r>
              <w:rPr>
                <w:rFonts w:ascii="Times New Roman" w:hAnsi="Times New Roman" w:cs="Times New Roman"/>
                <w:sz w:val="24"/>
              </w:rPr>
              <w:t>售后服务响应、</w:t>
            </w:r>
            <w:r>
              <w:rPr>
                <w:rFonts w:hint="eastAsia" w:ascii="宋体" w:hAnsi="宋体" w:eastAsia="宋体" w:cs="宋体"/>
                <w:sz w:val="24"/>
              </w:rPr>
              <w:t>④</w:t>
            </w:r>
            <w:r>
              <w:rPr>
                <w:rFonts w:ascii="Times New Roman" w:hAnsi="Times New Roman" w:cs="Times New Roman"/>
                <w:sz w:val="24"/>
              </w:rPr>
              <w:t>巡检制度、</w:t>
            </w:r>
            <w:r>
              <w:rPr>
                <w:rFonts w:hint="eastAsia" w:ascii="宋体" w:hAnsi="宋体" w:eastAsia="宋体" w:cs="宋体"/>
                <w:sz w:val="24"/>
              </w:rPr>
              <w:t>⑤</w:t>
            </w:r>
            <w:r>
              <w:rPr>
                <w:rFonts w:ascii="Times New Roman" w:hAnsi="Times New Roman" w:cs="Times New Roman"/>
                <w:sz w:val="24"/>
              </w:rPr>
              <w:t>备品备件、</w:t>
            </w:r>
            <w:r>
              <w:rPr>
                <w:rFonts w:hint="eastAsia" w:ascii="宋体" w:hAnsi="宋体" w:eastAsia="宋体" w:cs="宋体"/>
                <w:sz w:val="24"/>
              </w:rPr>
              <w:t>⑥</w:t>
            </w:r>
            <w:r>
              <w:rPr>
                <w:rFonts w:ascii="Times New Roman" w:hAnsi="Times New Roman" w:cs="Times New Roman"/>
                <w:sz w:val="24"/>
              </w:rPr>
              <w:t>质保期满后的服务内容及收费标准，方案内容描述全面合理符合采购需求的得6分，每有一项内容缺失的扣1分；每有一项内容存在缺陷或不满足要求的扣0.5分，扣完为止。</w:t>
            </w:r>
          </w:p>
          <w:p w14:paraId="178D1599">
            <w:pPr>
              <w:spacing w:line="400" w:lineRule="exact"/>
              <w:rPr>
                <w:rFonts w:ascii="Times New Roman" w:hAnsi="Times New Roman" w:cs="Times New Roman"/>
                <w:sz w:val="24"/>
              </w:rPr>
            </w:pPr>
            <w:r>
              <w:rPr>
                <w:rFonts w:ascii="Times New Roman" w:hAnsi="Times New Roman" w:cs="Times New Roman"/>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06" w:type="dxa"/>
            <w:tcBorders>
              <w:top w:val="single" w:color="auto" w:sz="6" w:space="0"/>
              <w:left w:val="single" w:color="auto" w:sz="6" w:space="0"/>
              <w:bottom w:val="single" w:color="auto" w:sz="6" w:space="0"/>
              <w:right w:val="single" w:color="auto" w:sz="8" w:space="0"/>
            </w:tcBorders>
            <w:vAlign w:val="center"/>
          </w:tcPr>
          <w:p w14:paraId="1A8256BE">
            <w:pPr>
              <w:spacing w:line="400" w:lineRule="exact"/>
              <w:jc w:val="center"/>
              <w:rPr>
                <w:rFonts w:ascii="Times New Roman" w:hAnsi="Times New Roman" w:cs="Times New Roman"/>
                <w:sz w:val="24"/>
              </w:rPr>
            </w:pPr>
            <w:r>
              <w:rPr>
                <w:rFonts w:ascii="Times New Roman" w:hAnsi="Times New Roman" w:cs="Times New Roman"/>
                <w:sz w:val="24"/>
              </w:rPr>
              <w:t>6</w:t>
            </w:r>
          </w:p>
        </w:tc>
      </w:tr>
      <w:tr w14:paraId="0E11B81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tcBorders>
              <w:top w:val="single" w:color="auto" w:sz="6" w:space="0"/>
              <w:left w:val="single" w:color="auto" w:sz="8" w:space="0"/>
              <w:right w:val="single" w:color="auto" w:sz="6" w:space="0"/>
            </w:tcBorders>
            <w:vAlign w:val="center"/>
          </w:tcPr>
          <w:p w14:paraId="48FAA779">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三、商务部分</w:t>
            </w:r>
          </w:p>
          <w:p w14:paraId="52F7B5DB">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（5分）</w:t>
            </w:r>
          </w:p>
        </w:tc>
        <w:tc>
          <w:tcPr>
            <w:tcW w:w="899" w:type="dxa"/>
            <w:tcBorders>
              <w:top w:val="single" w:color="auto" w:sz="6" w:space="0"/>
              <w:left w:val="single" w:color="auto" w:sz="6" w:space="0"/>
              <w:bottom w:val="single" w:color="auto" w:sz="6" w:space="0"/>
              <w:right w:val="single" w:color="auto" w:sz="6" w:space="0"/>
            </w:tcBorders>
            <w:vAlign w:val="center"/>
          </w:tcPr>
          <w:p w14:paraId="040877CA">
            <w:pPr>
              <w:spacing w:line="400" w:lineRule="exact"/>
              <w:jc w:val="center"/>
              <w:rPr>
                <w:rFonts w:ascii="Times New Roman" w:hAnsi="Times New Roman" w:eastAsia="宋体" w:cs="Times New Roman"/>
                <w:sz w:val="24"/>
                <w:szCs w:val="24"/>
              </w:rPr>
            </w:pPr>
            <w:r>
              <w:rPr>
                <w:rFonts w:ascii="Times New Roman" w:hAnsi="Times New Roman" w:eastAsia="宋体" w:cs="Times New Roman"/>
                <w:sz w:val="24"/>
                <w:szCs w:val="24"/>
              </w:rPr>
              <w:t>3.1</w:t>
            </w:r>
          </w:p>
        </w:tc>
        <w:tc>
          <w:tcPr>
            <w:tcW w:w="1280" w:type="dxa"/>
            <w:tcBorders>
              <w:top w:val="single" w:color="auto" w:sz="6" w:space="0"/>
              <w:left w:val="single" w:color="auto" w:sz="6" w:space="0"/>
              <w:bottom w:val="single" w:color="auto" w:sz="6" w:space="0"/>
              <w:right w:val="single" w:color="auto" w:sz="6" w:space="0"/>
            </w:tcBorders>
            <w:vAlign w:val="center"/>
          </w:tcPr>
          <w:p w14:paraId="53E84311">
            <w:pPr>
              <w:spacing w:line="400" w:lineRule="exact"/>
              <w:jc w:val="center"/>
              <w:rPr>
                <w:rFonts w:ascii="Times New Roman" w:hAnsi="Times New Roman" w:cs="Times New Roman"/>
                <w:sz w:val="24"/>
              </w:rPr>
            </w:pPr>
            <w:r>
              <w:rPr>
                <w:rFonts w:ascii="Times New Roman" w:hAnsi="Times New Roman" w:cs="Times New Roman"/>
                <w:sz w:val="24"/>
              </w:rPr>
              <w:t>业绩</w:t>
            </w:r>
          </w:p>
        </w:tc>
        <w:tc>
          <w:tcPr>
            <w:tcW w:w="5664" w:type="dxa"/>
            <w:tcBorders>
              <w:top w:val="single" w:color="auto" w:sz="6" w:space="0"/>
              <w:left w:val="single" w:color="auto" w:sz="6" w:space="0"/>
              <w:bottom w:val="single" w:color="auto" w:sz="6" w:space="0"/>
              <w:right w:val="single" w:color="auto" w:sz="6" w:space="0"/>
            </w:tcBorders>
            <w:vAlign w:val="center"/>
          </w:tcPr>
          <w:p w14:paraId="1061D658">
            <w:pPr>
              <w:spacing w:line="400" w:lineRule="exact"/>
              <w:rPr>
                <w:rFonts w:ascii="Times New Roman" w:hAnsi="Times New Roman" w:cs="Times New Roman"/>
                <w:sz w:val="24"/>
              </w:rPr>
            </w:pPr>
            <w:r>
              <w:rPr>
                <w:rFonts w:ascii="Times New Roman" w:hAnsi="Times New Roman" w:cs="Times New Roman"/>
                <w:sz w:val="24"/>
              </w:rPr>
              <w:t>202</w:t>
            </w:r>
            <w:r>
              <w:rPr>
                <w:rFonts w:hint="eastAsia" w:ascii="Times New Roman" w:hAnsi="Times New Roman" w:cs="Times New Roman"/>
                <w:sz w:val="24"/>
                <w:lang w:val="en-US" w:eastAsia="zh-CN"/>
              </w:rPr>
              <w:t>3</w:t>
            </w:r>
            <w:r>
              <w:rPr>
                <w:rFonts w:ascii="Times New Roman" w:hAnsi="Times New Roman" w:cs="Times New Roman"/>
                <w:sz w:val="24"/>
              </w:rPr>
              <w:t>年1月1日以来（以合同签订时间为准），投标人具有与本项目同类项目的销售业绩的，有一个得1分，最高得5分。【如有多个同型号设备同一个采购人的业绩仅作同一个业绩计算，须</w:t>
            </w:r>
            <w:r>
              <w:rPr>
                <w:rFonts w:ascii="Times New Roman" w:hAnsi="Times New Roman" w:cs="Times New Roman"/>
                <w:b/>
                <w:sz w:val="24"/>
              </w:rPr>
              <w:t>同时提供</w:t>
            </w:r>
            <w:r>
              <w:rPr>
                <w:rFonts w:ascii="Times New Roman" w:hAnsi="Times New Roman" w:cs="Times New Roman"/>
                <w:sz w:val="24"/>
              </w:rPr>
              <w:t>合同、发票及付款凭证（确实无付款凭证的，提供采购人验收签字的有效资料）扫描件】</w:t>
            </w:r>
          </w:p>
        </w:tc>
        <w:tc>
          <w:tcPr>
            <w:tcW w:w="706" w:type="dxa"/>
            <w:tcBorders>
              <w:top w:val="single" w:color="auto" w:sz="6" w:space="0"/>
              <w:left w:val="single" w:color="auto" w:sz="6" w:space="0"/>
              <w:bottom w:val="single" w:color="auto" w:sz="6" w:space="0"/>
              <w:right w:val="single" w:color="auto" w:sz="8" w:space="0"/>
            </w:tcBorders>
            <w:vAlign w:val="center"/>
          </w:tcPr>
          <w:p w14:paraId="1468A86A">
            <w:pPr>
              <w:spacing w:line="400" w:lineRule="exact"/>
              <w:jc w:val="center"/>
              <w:rPr>
                <w:rFonts w:ascii="Times New Roman" w:hAnsi="Times New Roman" w:cs="Times New Roman"/>
                <w:sz w:val="24"/>
              </w:rPr>
            </w:pPr>
            <w:r>
              <w:rPr>
                <w:rFonts w:ascii="Times New Roman" w:hAnsi="Times New Roman" w:cs="Times New Roman"/>
                <w:sz w:val="24"/>
              </w:rPr>
              <w:t>5</w:t>
            </w:r>
          </w:p>
        </w:tc>
      </w:tr>
    </w:tbl>
    <w:p w14:paraId="5BF04C33">
      <w:r>
        <w:br w:type="page"/>
      </w:r>
    </w:p>
    <w:p w14:paraId="4E8C6F8D"/>
    <w:p w14:paraId="2FA1D104">
      <w:pPr>
        <w:pStyle w:val="31"/>
      </w:pPr>
      <w:bookmarkStart w:id="15" w:name="_Toc201302573"/>
      <w:r>
        <w:rPr>
          <w:rFonts w:hint="eastAsia"/>
        </w:rPr>
        <w:t>第五章　合同书（格式）</w:t>
      </w:r>
      <w:bookmarkEnd w:id="15"/>
    </w:p>
    <w:p w14:paraId="6DDC5799">
      <w:pPr>
        <w:spacing w:line="400" w:lineRule="exact"/>
        <w:rPr>
          <w:rFonts w:hint="eastAsia" w:ascii="宋体" w:hAnsi="宋体" w:eastAsia="宋体" w:cs="Times New Roman"/>
          <w:bCs/>
          <w:sz w:val="24"/>
          <w:szCs w:val="24"/>
        </w:rPr>
      </w:pPr>
      <w:bookmarkStart w:id="16" w:name="_Toc251268363"/>
    </w:p>
    <w:p w14:paraId="39197DEC">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22008B98">
      <w:pPr>
        <w:spacing w:line="40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w:t>
      </w:r>
    </w:p>
    <w:p w14:paraId="09F81D4A">
      <w:pPr>
        <w:spacing w:line="400" w:lineRule="exact"/>
        <w:jc w:val="center"/>
        <w:rPr>
          <w:rFonts w:hint="eastAsia" w:ascii="宋体" w:hAnsi="宋体" w:eastAsia="宋体" w:cs="Times New Roman"/>
          <w:b/>
          <w:sz w:val="28"/>
          <w:szCs w:val="28"/>
          <w:lang w:val="de-DE"/>
        </w:rPr>
      </w:pPr>
    </w:p>
    <w:p w14:paraId="0E8855E9">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lang w:val="zh-CN"/>
        </w:rPr>
        <w:t>根据《中华人民共和国政府采购法》《中华人民共和国民法典》等法律法规的规定，甲乙双方按照江阴市政府采购中心的采购结果签订本合同。</w:t>
      </w:r>
    </w:p>
    <w:p w14:paraId="1F547DB3">
      <w:pPr>
        <w:spacing w:line="400" w:lineRule="exact"/>
        <w:rPr>
          <w:rFonts w:ascii="楷体_GB2312" w:hAnsi="Times New Roman" w:eastAsia="楷体_GB2312" w:cs="Times New Roman"/>
          <w:sz w:val="24"/>
          <w:szCs w:val="24"/>
        </w:rPr>
      </w:pPr>
    </w:p>
    <w:p w14:paraId="0766FC65">
      <w:pPr>
        <w:spacing w:line="400" w:lineRule="exact"/>
        <w:rPr>
          <w:rFonts w:hint="eastAsia" w:ascii="黑体" w:hAnsi="黑体" w:eastAsia="黑体" w:cs="Times New Roman"/>
          <w:sz w:val="24"/>
          <w:szCs w:val="24"/>
        </w:rPr>
      </w:pPr>
      <w:r>
        <w:rPr>
          <w:rFonts w:hint="eastAsia" w:ascii="黑体" w:hAnsi="黑体" w:eastAsia="黑体" w:cs="Times New Roman"/>
          <w:sz w:val="24"/>
          <w:szCs w:val="24"/>
        </w:rPr>
        <w:t>第一条　采购内容</w:t>
      </w:r>
    </w:p>
    <w:p w14:paraId="14ED634B">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rPr>
        <w:t>1.项目名称（项目编号）：</w:t>
      </w:r>
      <w:r>
        <w:rPr>
          <w:rFonts w:hint="eastAsia" w:ascii="宋体" w:hAnsi="宋体" w:eastAsia="宋体" w:cs="Times New Roman"/>
          <w:sz w:val="24"/>
          <w:szCs w:val="24"/>
          <w:u w:val="single"/>
        </w:rPr>
        <w:t>　　　　　　　　　　　　　　　　　　　　</w:t>
      </w:r>
    </w:p>
    <w:p w14:paraId="7206FB5A">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rPr>
        <w:t>2.项目采购清单（包含货物名称、规格、型号、数量、价格）：</w:t>
      </w:r>
      <w:r>
        <w:rPr>
          <w:rFonts w:hint="eastAsia" w:ascii="宋体" w:hAnsi="宋体" w:eastAsia="宋体" w:cs="Times New Roman"/>
          <w:sz w:val="24"/>
          <w:szCs w:val="24"/>
          <w:u w:val="single"/>
        </w:rPr>
        <w:t>　　　　　　　　　　　　　　　　　　　　　　　　</w:t>
      </w:r>
    </w:p>
    <w:p w14:paraId="10E59400">
      <w:pPr>
        <w:spacing w:line="400" w:lineRule="exact"/>
        <w:ind w:firstLine="480"/>
        <w:rPr>
          <w:rFonts w:hint="eastAsia" w:ascii="宋体" w:hAnsi="宋体" w:eastAsia="宋体" w:cs="Times New Roman"/>
          <w:sz w:val="24"/>
          <w:szCs w:val="24"/>
          <w:u w:val="single"/>
        </w:rPr>
      </w:pPr>
      <w:r>
        <w:rPr>
          <w:rFonts w:hint="eastAsia" w:ascii="宋体" w:hAnsi="宋体" w:eastAsia="宋体" w:cs="Times New Roman"/>
          <w:sz w:val="24"/>
          <w:szCs w:val="24"/>
        </w:rPr>
        <w:t>3、其他：</w:t>
      </w:r>
      <w:r>
        <w:rPr>
          <w:rFonts w:hint="eastAsia" w:ascii="宋体" w:hAnsi="宋体" w:eastAsia="宋体" w:cs="Times New Roman"/>
          <w:sz w:val="24"/>
          <w:szCs w:val="24"/>
          <w:u w:val="single"/>
        </w:rPr>
        <w:t>　　　　　　　　　　　　　　　　　　　　　　　　　　　　</w:t>
      </w:r>
    </w:p>
    <w:p w14:paraId="526B717B">
      <w:pPr>
        <w:spacing w:line="400" w:lineRule="exact"/>
        <w:jc w:val="lef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第二条　合同总价款</w:t>
      </w:r>
    </w:p>
    <w:p w14:paraId="7EED5F56">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（大写）。</w:t>
      </w:r>
    </w:p>
    <w:p w14:paraId="736F5668">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宋体"/>
          <w:bCs/>
          <w:sz w:val="24"/>
          <w:szCs w:val="24"/>
          <w:lang w:val="zh-CN"/>
        </w:rPr>
        <w:t>按实结算项目的结算金额以项目完成后审计部门的审计结果作为结算依据。</w:t>
      </w:r>
      <w:r>
        <w:rPr>
          <w:rFonts w:hint="eastAsia" w:ascii="宋体" w:hAnsi="宋体" w:eastAsia="宋体" w:cs="Times New Roman"/>
          <w:sz w:val="24"/>
          <w:szCs w:val="24"/>
        </w:rPr>
        <w:t>）</w:t>
      </w:r>
    </w:p>
    <w:p w14:paraId="1152D0D7">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分项价款如下：</w:t>
      </w:r>
    </w:p>
    <w:p w14:paraId="312281BA">
      <w:pPr>
        <w:spacing w:line="400" w:lineRule="exact"/>
        <w:jc w:val="left"/>
        <w:rPr>
          <w:rFonts w:hint="eastAsia" w:ascii="宋体" w:hAnsi="宋体" w:eastAsia="宋体" w:cs="Times New Roman"/>
          <w:sz w:val="24"/>
          <w:szCs w:val="24"/>
          <w:u w:val="single"/>
        </w:rPr>
      </w:pPr>
      <w:r>
        <w:rPr>
          <w:rFonts w:hint="eastAsia" w:ascii="宋体" w:hAnsi="宋体" w:eastAsia="宋体" w:cs="Times New Roman"/>
          <w:sz w:val="24"/>
          <w:szCs w:val="24"/>
          <w:u w:val="single"/>
        </w:rPr>
        <w:t>　　　　　　　　　　　　　　　　　　　　　　　　　　　　　　　　　　　</w:t>
      </w:r>
    </w:p>
    <w:p w14:paraId="13D78A33">
      <w:pPr>
        <w:spacing w:line="400" w:lineRule="exact"/>
        <w:jc w:val="left"/>
        <w:rPr>
          <w:rFonts w:hint="eastAsia" w:ascii="宋体" w:hAnsi="宋体" w:eastAsia="宋体" w:cs="Times New Roman"/>
          <w:sz w:val="24"/>
          <w:szCs w:val="24"/>
          <w:u w:val="single"/>
        </w:rPr>
      </w:pPr>
      <w:r>
        <w:rPr>
          <w:rFonts w:hint="eastAsia" w:ascii="宋体" w:hAnsi="宋体" w:eastAsia="宋体" w:cs="Times New Roman"/>
          <w:sz w:val="24"/>
          <w:szCs w:val="24"/>
          <w:u w:val="single"/>
        </w:rPr>
        <w:t>　　　　　　　　　　　　　　　　　　　　　　　　　　　　　　　　　　　</w:t>
      </w:r>
    </w:p>
    <w:p w14:paraId="4EDD80E5">
      <w:pPr>
        <w:spacing w:line="400" w:lineRule="exact"/>
        <w:ind w:firstLine="480"/>
        <w:jc w:val="left"/>
        <w:rPr>
          <w:rFonts w:hint="eastAsia" w:ascii="宋体" w:hAnsi="宋体" w:eastAsia="宋体" w:cs="Times New Roman"/>
          <w:b/>
          <w:sz w:val="24"/>
          <w:szCs w:val="24"/>
        </w:rPr>
      </w:pPr>
      <w:r>
        <w:rPr>
          <w:rFonts w:hint="eastAsia" w:ascii="宋体" w:hAnsi="宋体" w:eastAsia="宋体" w:cs="Times New Roman"/>
          <w:sz w:val="24"/>
          <w:szCs w:val="24"/>
        </w:rPr>
        <w:t>本合同总价款是货物设计、制造、包装、仓储、运输装卸</w:t>
      </w:r>
      <w:r>
        <w:rPr>
          <w:rFonts w:hint="eastAsia" w:ascii="宋体" w:hAnsi="宋体" w:eastAsia="宋体" w:cs="楷体_GB2312"/>
          <w:sz w:val="24"/>
          <w:szCs w:val="24"/>
        </w:rPr>
        <w:t>、保险、安装、调试及其材料及验收合格之前保管及保修期内备品备件、专用工具、伴随服务、技术图纸资料、人员培训等发生的所有含税费用、支付给员工的工资和国家强制缴纳的各种社会保障资金</w:t>
      </w:r>
      <w:r>
        <w:rPr>
          <w:rFonts w:hint="eastAsia" w:ascii="宋体" w:hAnsi="宋体" w:eastAsia="宋体" w:cs="Times New Roman"/>
          <w:bCs/>
          <w:sz w:val="24"/>
          <w:szCs w:val="24"/>
        </w:rPr>
        <w:t>，以</w:t>
      </w:r>
      <w:r>
        <w:rPr>
          <w:rFonts w:hint="eastAsia" w:ascii="宋体" w:hAnsi="宋体" w:eastAsia="宋体" w:cs="Times New Roman"/>
          <w:sz w:val="24"/>
          <w:szCs w:val="24"/>
        </w:rPr>
        <w:t>及投标人认为需要的其他费用等。</w:t>
      </w:r>
    </w:p>
    <w:p w14:paraId="22A6BE24">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本合同总价款还包含乙方应当提供的伴随服务/售后服务费用。</w:t>
      </w:r>
    </w:p>
    <w:p w14:paraId="71D92299">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本合同执行期间合同总价款不变。</w:t>
      </w:r>
      <w:r>
        <w:rPr>
          <w:rFonts w:hint="eastAsia" w:ascii="宋体" w:hAnsi="宋体" w:eastAsia="宋体" w:cs="Times New Roman"/>
          <w:sz w:val="24"/>
          <w:szCs w:val="24"/>
          <w:lang w:val="zh-CN"/>
        </w:rPr>
        <w:t>（有另行规定的除外。）</w:t>
      </w:r>
    </w:p>
    <w:p w14:paraId="32113846">
      <w:pPr>
        <w:spacing w:line="400" w:lineRule="exac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第三条  履约保证金的缴纳和退还</w:t>
      </w:r>
    </w:p>
    <w:p w14:paraId="59A8B676">
      <w:pPr>
        <w:tabs>
          <w:tab w:val="left" w:pos="945"/>
          <w:tab w:val="left" w:pos="210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386CAF53">
      <w:pPr>
        <w:tabs>
          <w:tab w:val="left" w:pos="945"/>
          <w:tab w:val="left" w:pos="210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元。</w:t>
      </w:r>
    </w:p>
    <w:p w14:paraId="3C8ED08E">
      <w:pPr>
        <w:tabs>
          <w:tab w:val="left" w:pos="945"/>
          <w:tab w:val="left" w:pos="210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4DE3A36A">
      <w:pPr>
        <w:tabs>
          <w:tab w:val="left" w:pos="945"/>
          <w:tab w:val="left" w:pos="210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3100EC74">
      <w:pPr>
        <w:tabs>
          <w:tab w:val="left" w:pos="945"/>
          <w:tab w:val="left" w:pos="2100"/>
        </w:tabs>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0B7BFAE8">
      <w:pPr>
        <w:tabs>
          <w:tab w:val="left" w:pos="945"/>
          <w:tab w:val="left" w:pos="2100"/>
        </w:tabs>
        <w:spacing w:line="400" w:lineRule="exact"/>
        <w:ind w:firstLine="480"/>
        <w:rPr>
          <w:rFonts w:ascii="宋体" w:hAnsi="Times New Roman" w:eastAsia="宋体" w:cs="Times New Roman"/>
          <w:bCs/>
          <w:sz w:val="24"/>
          <w:szCs w:val="24"/>
        </w:rPr>
      </w:pPr>
      <w:r>
        <w:rPr>
          <w:rFonts w:hint="eastAsia" w:ascii="宋体" w:hAnsi="宋体" w:eastAsia="宋体" w:cs="Times New Roman"/>
          <w:bCs/>
          <w:sz w:val="24"/>
          <w:szCs w:val="24"/>
        </w:rPr>
        <w:t>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2E5544D0">
      <w:pPr>
        <w:spacing w:line="400" w:lineRule="exact"/>
        <w:rPr>
          <w:rFonts w:hint="eastAsia" w:ascii="黑体" w:hAnsi="黑体" w:eastAsia="黑体" w:cs="Times New Roman"/>
          <w:sz w:val="24"/>
          <w:szCs w:val="24"/>
          <w:lang w:val="zh-CN"/>
        </w:rPr>
      </w:pPr>
      <w:r>
        <w:rPr>
          <w:rFonts w:hint="eastAsia" w:ascii="黑体" w:hAnsi="黑体" w:eastAsia="黑体" w:cs="Times New Roman"/>
          <w:bCs/>
          <w:sz w:val="24"/>
          <w:szCs w:val="24"/>
          <w:lang w:val="zh-CN"/>
        </w:rPr>
        <w:t>第四条　组成本合同的有关文件</w:t>
      </w:r>
    </w:p>
    <w:p w14:paraId="183DB1B0">
      <w:pPr>
        <w:spacing w:line="400" w:lineRule="exact"/>
        <w:ind w:firstLine="480"/>
        <w:rPr>
          <w:rFonts w:hint="eastAsia" w:ascii="宋体" w:hAnsi="宋体" w:eastAsia="宋体" w:cs="Times New Roman"/>
          <w:sz w:val="24"/>
          <w:szCs w:val="24"/>
          <w:lang w:val="zh-CN"/>
        </w:rPr>
      </w:pPr>
      <w:r>
        <w:rPr>
          <w:rFonts w:hint="eastAsia" w:ascii="宋体" w:hAnsi="宋体" w:eastAsia="宋体" w:cs="Times New Roman"/>
          <w:sz w:val="24"/>
          <w:szCs w:val="24"/>
          <w:lang w:val="zh-CN"/>
        </w:rPr>
        <w:t>下列关于本次采购活动方式相适应的文件及有关附件是本合同不可分割的组成部分，与本合同具有同等法律效力，这些文件包括但不限于：</w:t>
      </w:r>
    </w:p>
    <w:p w14:paraId="11D6636A">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（1）招标文件；</w:t>
      </w:r>
    </w:p>
    <w:p w14:paraId="68B08F01">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（2）投标文件；</w:t>
      </w:r>
    </w:p>
    <w:p w14:paraId="586B0DBA">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（3）中标通知书；</w:t>
      </w:r>
    </w:p>
    <w:p w14:paraId="1DFA75C9">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（4）中标人在投标、评标过程中所作其它有关承诺、声明、书面澄清；</w:t>
      </w:r>
    </w:p>
    <w:p w14:paraId="2C855200">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（5）甲乙双方商定的其他文件等。</w:t>
      </w:r>
    </w:p>
    <w:p w14:paraId="11A78366">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第五条　权利保证</w:t>
      </w:r>
    </w:p>
    <w:p w14:paraId="626898C6">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乙方应保证甲方在合同履行期限内不受第三方提出侵犯其专利权、版权、商标权或其他权利的起诉。一旦出现侵权，乙方应承担全部责任。</w:t>
      </w:r>
    </w:p>
    <w:p w14:paraId="61B9D106">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第六条　质量保证</w:t>
      </w:r>
    </w:p>
    <w:p w14:paraId="3094BF01">
      <w:pPr>
        <w:spacing w:line="400" w:lineRule="exact"/>
        <w:ind w:firstLine="480"/>
        <w:jc w:val="left"/>
        <w:rPr>
          <w:rFonts w:hint="eastAsia" w:ascii="宋体" w:hAnsi="宋体" w:eastAsia="宋体" w:cs="Times New Roman"/>
          <w:bCs/>
          <w:sz w:val="24"/>
          <w:szCs w:val="24"/>
        </w:rPr>
      </w:pPr>
      <w:r>
        <w:rPr>
          <w:rFonts w:hint="eastAsia" w:ascii="宋体" w:hAnsi="宋体" w:eastAsia="宋体" w:cs="Times New Roman"/>
          <w:bCs/>
          <w:sz w:val="24"/>
          <w:szCs w:val="24"/>
        </w:rPr>
        <w:t>1.乙方所提供的货物的技术规格应与招标文件与投标文件规定的技术规格相一致；若技术性能无特殊说明，则按国家有关部门最新颁布的标准及规范为准。</w:t>
      </w:r>
    </w:p>
    <w:p w14:paraId="55704B73">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2.乙方应保证货物是全新、未使用过的原装合格正品，并完全符合合同规定的质量、规格和性能的要求。乙方应保证其提供的货物在正确安装、正常使用和保养条件下，在其使用寿命内具有良好的性能。</w:t>
      </w:r>
      <w:r>
        <w:rPr>
          <w:rFonts w:hint="eastAsia" w:ascii="宋体" w:hAnsi="宋体" w:eastAsia="宋体" w:cs="Times New Roman"/>
          <w:sz w:val="24"/>
          <w:szCs w:val="24"/>
        </w:rPr>
        <w:t>如验收完成后发生质量问题，在质保期内应免费进行维修或更换。对于货物由设计、工艺或材料的缺陷所发生的任何故障或不足都应终身免费更换。</w:t>
      </w:r>
    </w:p>
    <w:p w14:paraId="500B5C8F">
      <w:pPr>
        <w:spacing w:line="400" w:lineRule="exact"/>
        <w:ind w:firstLine="480"/>
        <w:jc w:val="lef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3.乙方承诺的质量保证：</w:t>
      </w:r>
      <w:r>
        <w:rPr>
          <w:rFonts w:hint="eastAsia" w:ascii="宋体" w:hAnsi="宋体" w:eastAsia="宋体" w:cs="Times New Roman"/>
          <w:bCs/>
          <w:sz w:val="24"/>
          <w:szCs w:val="24"/>
          <w:u w:val="single"/>
          <w:lang w:val="zh-CN"/>
        </w:rPr>
        <w:t>　　　　　　　　　　　　　　　　　　　　　</w:t>
      </w:r>
    </w:p>
    <w:p w14:paraId="5EEAB55C">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第七条　包装要求</w:t>
      </w:r>
    </w:p>
    <w:p w14:paraId="6D3C7B56">
      <w:pPr>
        <w:spacing w:line="400" w:lineRule="exact"/>
        <w:ind w:firstLine="480"/>
        <w:jc w:val="lef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4454882E">
      <w:pPr>
        <w:spacing w:line="400" w:lineRule="exact"/>
        <w:ind w:firstLine="480"/>
        <w:jc w:val="lef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2.每一包装单元内应附详细的装箱单和质量合格凭证。</w:t>
      </w:r>
    </w:p>
    <w:p w14:paraId="79F922F3">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第八条　交货及验收</w:t>
      </w:r>
    </w:p>
    <w:p w14:paraId="65BEC71A">
      <w:pPr>
        <w:spacing w:line="400" w:lineRule="exact"/>
        <w:ind w:firstLine="480"/>
        <w:jc w:val="lef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1.交货地点、方式及日期：</w:t>
      </w:r>
      <w:r>
        <w:rPr>
          <w:rFonts w:hint="eastAsia" w:ascii="宋体" w:hAnsi="宋体" w:eastAsia="宋体" w:cs="Times New Roman"/>
          <w:bCs/>
          <w:sz w:val="24"/>
          <w:szCs w:val="24"/>
          <w:u w:val="single"/>
          <w:lang w:val="zh-CN"/>
        </w:rPr>
        <w:t>　　　　　　　　　　　　　　　　　　　　　　　</w:t>
      </w:r>
    </w:p>
    <w:p w14:paraId="62E90FFA">
      <w:pPr>
        <w:spacing w:line="40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验收标准：按招标文件所规定的采购标准和乙方投标文件的承诺，根据实际按照《江苏省政府采购履约验收管理办法》（苏财规〔2024〕7号）组织验收，费用由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rPr>
        <w:t>乙方</w:t>
      </w:r>
      <w:r>
        <w:rPr>
          <w:rFonts w:ascii="宋体" w:hAnsi="宋体" w:eastAsia="宋体" w:cs="Times New Roman"/>
          <w:sz w:val="24"/>
          <w:szCs w:val="24"/>
        </w:rPr>
        <w:t>承担。</w:t>
      </w:r>
    </w:p>
    <w:p w14:paraId="2216DA5D">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第九条　伴随服务／售后服务</w:t>
      </w:r>
    </w:p>
    <w:p w14:paraId="61C3F4E1">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1.乙方应按照国家有关法律法规规章和“三包”规定以及招标文件及投标文件所规定及承诺的“服务承诺”提供服务。</w:t>
      </w:r>
    </w:p>
    <w:p w14:paraId="35964670">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2.除前款规定外，乙方还应提供下列服务：</w:t>
      </w:r>
    </w:p>
    <w:p w14:paraId="61190356">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w:t>
      </w:r>
      <w:r>
        <w:rPr>
          <w:rFonts w:ascii="宋体" w:hAnsi="宋体" w:eastAsia="宋体" w:cs="Times New Roman"/>
          <w:sz w:val="24"/>
          <w:szCs w:val="24"/>
          <w:lang w:val="zh-CN"/>
        </w:rPr>
        <w:t>1</w:t>
      </w:r>
      <w:r>
        <w:rPr>
          <w:rFonts w:hint="eastAsia" w:ascii="宋体" w:hAnsi="宋体" w:eastAsia="宋体" w:cs="Times New Roman"/>
          <w:sz w:val="24"/>
          <w:szCs w:val="24"/>
          <w:lang w:val="zh-CN"/>
        </w:rPr>
        <w:t>）货物的现场安装、调试、运行、维护等；</w:t>
      </w:r>
    </w:p>
    <w:p w14:paraId="17A1F37B">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w:t>
      </w:r>
      <w:r>
        <w:rPr>
          <w:rFonts w:ascii="宋体" w:hAnsi="宋体" w:eastAsia="宋体" w:cs="Times New Roman"/>
          <w:sz w:val="24"/>
          <w:szCs w:val="24"/>
          <w:lang w:val="zh-CN"/>
        </w:rPr>
        <w:t>2</w:t>
      </w:r>
      <w:r>
        <w:rPr>
          <w:rFonts w:hint="eastAsia" w:ascii="宋体" w:hAnsi="宋体" w:eastAsia="宋体" w:cs="Times New Roman"/>
          <w:sz w:val="24"/>
          <w:szCs w:val="24"/>
          <w:lang w:val="zh-CN"/>
        </w:rPr>
        <w:t>）对甲方人员进行免费培训。</w:t>
      </w:r>
    </w:p>
    <w:p w14:paraId="3B06651D">
      <w:pPr>
        <w:spacing w:line="400" w:lineRule="exact"/>
        <w:ind w:firstLine="480"/>
        <w:jc w:val="left"/>
        <w:rPr>
          <w:rFonts w:hint="eastAsia" w:ascii="宋体" w:hAnsi="宋体" w:eastAsia="宋体" w:cs="Times New Roman"/>
          <w:bCs/>
          <w:sz w:val="24"/>
          <w:szCs w:val="24"/>
          <w:u w:val="single"/>
          <w:lang w:val="zh-CN"/>
        </w:rPr>
      </w:pPr>
      <w:r>
        <w:rPr>
          <w:rFonts w:hint="eastAsia" w:ascii="宋体" w:hAnsi="宋体" w:eastAsia="宋体" w:cs="Times New Roman"/>
          <w:bCs/>
          <w:sz w:val="24"/>
          <w:szCs w:val="24"/>
          <w:lang w:val="zh-CN"/>
        </w:rPr>
        <w:t>3.乙方承诺的售后服务：</w:t>
      </w:r>
      <w:r>
        <w:rPr>
          <w:rFonts w:hint="eastAsia" w:ascii="宋体" w:hAnsi="宋体" w:eastAsia="宋体" w:cs="Times New Roman"/>
          <w:bCs/>
          <w:sz w:val="24"/>
          <w:szCs w:val="24"/>
          <w:u w:val="single"/>
          <w:lang w:val="zh-CN"/>
        </w:rPr>
        <w:t>　　　　　　　　　　　　　　　　　　　　　</w:t>
      </w:r>
    </w:p>
    <w:p w14:paraId="7F61E28C">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4.若招标文件中不包含有关伴随服务或售后服务的承诺，双方作如下约定：</w:t>
      </w:r>
    </w:p>
    <w:p w14:paraId="693D0CF8">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66276686">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（2）所购货物按乙方投标承诺提供免费维护和质量保证，保修费用计入总价。</w:t>
      </w:r>
    </w:p>
    <w:p w14:paraId="10951A1E">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（3）保修期内，乙方负责对其提供的货物整机进行维修和系统维护，不再收取任何费用，但不可抗力（如火灾、雷击等）造成的故障除外。</w:t>
      </w:r>
    </w:p>
    <w:p w14:paraId="4317B8E8">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（4）货物故障报修的响应时间按乙方投标承诺执行。</w:t>
      </w:r>
    </w:p>
    <w:p w14:paraId="001D651E">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（5）若货物故障在检修</w:t>
      </w:r>
      <w:r>
        <w:rPr>
          <w:rFonts w:ascii="宋体" w:hAnsi="宋体" w:eastAsia="宋体" w:cs="Times New Roman"/>
          <w:sz w:val="24"/>
          <w:szCs w:val="24"/>
          <w:lang w:val="zh-CN"/>
        </w:rPr>
        <w:t>8</w:t>
      </w:r>
      <w:r>
        <w:rPr>
          <w:rFonts w:hint="eastAsia" w:ascii="宋体" w:hAnsi="宋体" w:eastAsia="宋体" w:cs="Times New Roman"/>
          <w:sz w:val="24"/>
          <w:szCs w:val="24"/>
          <w:lang w:val="zh-CN"/>
        </w:rPr>
        <w:t>工作小时后仍无法排除，乙方应在</w:t>
      </w:r>
      <w:r>
        <w:rPr>
          <w:rFonts w:ascii="宋体" w:hAnsi="宋体" w:eastAsia="宋体" w:cs="Times New Roman"/>
          <w:sz w:val="24"/>
          <w:szCs w:val="24"/>
          <w:lang w:val="zh-CN"/>
        </w:rPr>
        <w:t>48</w:t>
      </w:r>
      <w:r>
        <w:rPr>
          <w:rFonts w:hint="eastAsia" w:ascii="宋体" w:hAnsi="宋体" w:eastAsia="宋体" w:cs="Times New Roman"/>
          <w:sz w:val="24"/>
          <w:szCs w:val="24"/>
          <w:lang w:val="zh-CN"/>
        </w:rPr>
        <w:t>小时内免费提供不低于故障货物规格型号档次的备用货物供甲方使用，直至故障货物修复。</w:t>
      </w:r>
    </w:p>
    <w:p w14:paraId="02BCD24B">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（6）所有货物保修服务方式均为乙方上门保修，即由乙方派员到货物使用现场维修，由此产生的一切费用均由乙方承担。</w:t>
      </w:r>
    </w:p>
    <w:p w14:paraId="20DC4909">
      <w:pPr>
        <w:spacing w:line="400" w:lineRule="exact"/>
        <w:ind w:firstLine="48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（7）保修期后的货物维护由双方协商再定。</w:t>
      </w:r>
    </w:p>
    <w:p w14:paraId="3DEAB28D">
      <w:pPr>
        <w:spacing w:line="400" w:lineRule="exact"/>
        <w:jc w:val="left"/>
        <w:rPr>
          <w:rFonts w:hint="eastAsia" w:ascii="黑体" w:hAnsi="黑体" w:eastAsia="黑体" w:cs="Times New Roman"/>
          <w:bCs/>
          <w:i/>
          <w:iCs/>
          <w:sz w:val="24"/>
          <w:szCs w:val="24"/>
          <w:lang w:val="zh-CN"/>
        </w:rPr>
      </w:pPr>
      <w:r>
        <w:rPr>
          <w:rFonts w:hint="eastAsia" w:ascii="黑体" w:hAnsi="黑体" w:eastAsia="黑体" w:cs="Times New Roman"/>
          <w:bCs/>
          <w:sz w:val="24"/>
          <w:szCs w:val="24"/>
          <w:lang w:val="zh-CN"/>
        </w:rPr>
        <w:t>第十条　付款</w:t>
      </w:r>
    </w:p>
    <w:p w14:paraId="6FD0B26F">
      <w:pPr>
        <w:spacing w:line="400" w:lineRule="exact"/>
        <w:ind w:firstLine="420"/>
        <w:jc w:val="left"/>
        <w:rPr>
          <w:rFonts w:hint="eastAsia" w:ascii="宋体" w:hAnsi="宋体" w:eastAsia="宋体" w:cs="Times New Roman"/>
          <w:sz w:val="24"/>
          <w:szCs w:val="24"/>
          <w:lang w:val="zh-CN"/>
        </w:rPr>
      </w:pPr>
      <w:r>
        <w:rPr>
          <w:rFonts w:hint="eastAsia" w:ascii="宋体" w:hAnsi="宋体" w:eastAsia="宋体" w:cs="Times New Roman"/>
          <w:sz w:val="24"/>
          <w:szCs w:val="24"/>
          <w:lang w:val="zh-CN"/>
        </w:rPr>
        <w:t>1.本合同项下所有款项均以人民币支付，乙方向甲方开具发票。</w:t>
      </w:r>
    </w:p>
    <w:p w14:paraId="345A415D">
      <w:pPr>
        <w:spacing w:line="400" w:lineRule="exact"/>
        <w:ind w:firstLine="420"/>
        <w:jc w:val="left"/>
        <w:rPr>
          <w:rFonts w:hint="eastAsia" w:ascii="宋体" w:hAnsi="宋体" w:eastAsia="宋体" w:cs="Times New Roman"/>
          <w:sz w:val="24"/>
          <w:szCs w:val="24"/>
          <w:u w:val="single"/>
        </w:rPr>
      </w:pPr>
      <w:r>
        <w:rPr>
          <w:rFonts w:hint="eastAsia" w:ascii="宋体" w:hAnsi="宋体" w:eastAsia="宋体" w:cs="Times New Roman"/>
          <w:sz w:val="24"/>
          <w:szCs w:val="24"/>
          <w:lang w:val="zh-CN"/>
        </w:rPr>
        <w:t>2、付款方式：</w:t>
      </w:r>
      <w:r>
        <w:rPr>
          <w:rFonts w:hint="eastAsia" w:ascii="宋体" w:hAnsi="宋体" w:eastAsia="宋体" w:cs="Times New Roman"/>
          <w:sz w:val="24"/>
          <w:szCs w:val="24"/>
          <w:u w:val="single"/>
          <w:lang w:val="zh-CN"/>
        </w:rPr>
        <w:t>　　　　　　　　　　　　　　　　　　　</w:t>
      </w:r>
    </w:p>
    <w:p w14:paraId="058A5C23">
      <w:pPr>
        <w:spacing w:line="400" w:lineRule="exact"/>
        <w:jc w:val="left"/>
        <w:rPr>
          <w:rFonts w:hint="eastAsia" w:ascii="黑体" w:hAnsi="黑体" w:eastAsia="黑体" w:cs="Times New Roman"/>
          <w:bCs/>
          <w:sz w:val="24"/>
          <w:szCs w:val="24"/>
          <w:lang w:val="zh-CN"/>
        </w:rPr>
      </w:pPr>
      <w:r>
        <w:rPr>
          <w:rFonts w:hint="eastAsia" w:ascii="黑体" w:hAnsi="黑体" w:eastAsia="黑体" w:cs="Times New Roman"/>
          <w:bCs/>
          <w:sz w:val="24"/>
          <w:szCs w:val="24"/>
          <w:lang w:val="zh-CN"/>
        </w:rPr>
        <w:t>第十一条　违约责任</w:t>
      </w:r>
    </w:p>
    <w:p w14:paraId="27FD6BE7">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1、</w:t>
      </w:r>
      <w:r>
        <w:rPr>
          <w:rFonts w:hint="eastAsia" w:ascii="宋体" w:hAnsi="宋体" w:eastAsia="宋体" w:cs="Times New Roman"/>
          <w:sz w:val="24"/>
          <w:szCs w:val="24"/>
          <w:u w:val="single"/>
          <w:lang w:val="zh-CN"/>
        </w:rPr>
        <w:t>　　　　　　　　　　　　　　　　　　　　　　　　　　　　　　　　　　</w:t>
      </w:r>
    </w:p>
    <w:p w14:paraId="402157CE">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2、</w:t>
      </w:r>
      <w:r>
        <w:rPr>
          <w:rFonts w:hint="eastAsia" w:ascii="宋体" w:hAnsi="宋体" w:eastAsia="宋体" w:cs="Times New Roman"/>
          <w:sz w:val="24"/>
          <w:szCs w:val="24"/>
          <w:u w:val="single"/>
          <w:lang w:val="zh-CN"/>
        </w:rPr>
        <w:t>　　　　　　　　　　　　　　　　　　　　　　　　　　　　　　　　　　</w:t>
      </w:r>
    </w:p>
    <w:p w14:paraId="5A326056">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3、</w:t>
      </w:r>
      <w:r>
        <w:rPr>
          <w:rFonts w:hint="eastAsia" w:ascii="宋体" w:hAnsi="宋体" w:eastAsia="宋体" w:cs="Times New Roman"/>
          <w:sz w:val="24"/>
          <w:szCs w:val="24"/>
          <w:u w:val="single"/>
          <w:lang w:val="zh-CN"/>
        </w:rPr>
        <w:t>　　　　　　　　　　　　　　　　　　　　　　　　　　　　　　　　　　</w:t>
      </w:r>
    </w:p>
    <w:p w14:paraId="59A6AFAA">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4、</w:t>
      </w:r>
      <w:r>
        <w:rPr>
          <w:rFonts w:hint="eastAsia" w:ascii="宋体" w:hAnsi="宋体" w:eastAsia="宋体" w:cs="Times New Roman"/>
          <w:sz w:val="24"/>
          <w:szCs w:val="24"/>
          <w:u w:val="single"/>
          <w:lang w:val="zh-CN"/>
        </w:rPr>
        <w:t>　　　　　　　　　　　　　　　　　　　　　　　　　　　　　　　　　　</w:t>
      </w:r>
    </w:p>
    <w:p w14:paraId="6AADE03A">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5、</w:t>
      </w:r>
      <w:r>
        <w:rPr>
          <w:rFonts w:hint="eastAsia" w:ascii="宋体" w:hAnsi="宋体" w:eastAsia="宋体" w:cs="Times New Roman"/>
          <w:sz w:val="24"/>
          <w:szCs w:val="24"/>
          <w:u w:val="single"/>
          <w:lang w:val="zh-CN"/>
        </w:rPr>
        <w:t>　　　　　　　　　　　　　　　　　　　　　　　　　　　　　　　　　　</w:t>
      </w:r>
    </w:p>
    <w:p w14:paraId="2B7FF840">
      <w:pPr>
        <w:widowControl/>
        <w:spacing w:line="400" w:lineRule="exact"/>
        <w:ind w:firstLine="480"/>
        <w:jc w:val="left"/>
        <w:rPr>
          <w:rFonts w:hint="eastAsia" w:ascii="宋体" w:hAnsi="宋体" w:eastAsia="宋体" w:cs="Times New Roman"/>
          <w:sz w:val="24"/>
          <w:szCs w:val="24"/>
          <w:u w:val="single"/>
          <w:lang w:val="zh-CN"/>
        </w:rPr>
      </w:pPr>
      <w:r>
        <w:rPr>
          <w:rFonts w:hint="eastAsia" w:ascii="宋体" w:hAnsi="宋体" w:eastAsia="宋体" w:cs="宋体"/>
          <w:sz w:val="24"/>
          <w:szCs w:val="24"/>
          <w:lang w:val="zh-CN"/>
        </w:rPr>
        <w:t>6、</w:t>
      </w:r>
      <w:r>
        <w:rPr>
          <w:rFonts w:hint="eastAsia" w:ascii="宋体" w:hAnsi="宋体" w:eastAsia="宋体" w:cs="Times New Roman"/>
          <w:sz w:val="24"/>
          <w:szCs w:val="24"/>
          <w:u w:val="single"/>
          <w:lang w:val="zh-CN"/>
        </w:rPr>
        <w:t>　　　　　　　　　　　　　　　　　　　　　　　　　　　　　　　　　　</w:t>
      </w:r>
    </w:p>
    <w:p w14:paraId="6763674B">
      <w:pPr>
        <w:widowControl/>
        <w:spacing w:line="400" w:lineRule="exact"/>
        <w:jc w:val="left"/>
        <w:rPr>
          <w:rFonts w:hint="eastAsia" w:ascii="黑体" w:hAnsi="黑体" w:eastAsia="黑体" w:cs="宋体"/>
          <w:bCs/>
          <w:sz w:val="24"/>
          <w:szCs w:val="24"/>
        </w:rPr>
      </w:pPr>
      <w:r>
        <w:rPr>
          <w:rFonts w:hint="eastAsia" w:ascii="黑体" w:hAnsi="黑体" w:eastAsia="黑体" w:cs="宋体"/>
          <w:bCs/>
          <w:sz w:val="24"/>
          <w:szCs w:val="24"/>
          <w:lang w:val="zh-CN"/>
        </w:rPr>
        <w:t>第十二条　</w:t>
      </w:r>
      <w:r>
        <w:rPr>
          <w:rFonts w:hint="eastAsia" w:ascii="黑体" w:hAnsi="黑体" w:eastAsia="黑体" w:cs="宋体"/>
          <w:bCs/>
          <w:sz w:val="24"/>
          <w:szCs w:val="24"/>
        </w:rPr>
        <w:t>不可抗力</w:t>
      </w:r>
    </w:p>
    <w:p w14:paraId="6B7EA35A">
      <w:pPr>
        <w:widowControl/>
        <w:spacing w:line="40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1.不可抗力，是指不能预见、不能避免并不能克服的客观情况，如战争、动乱、瘟疫、严重火灾、洪水、地震、风暴或其他自然灾害等。</w:t>
      </w:r>
    </w:p>
    <w:p w14:paraId="744D9E3E">
      <w:pPr>
        <w:widowControl/>
        <w:spacing w:line="40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0BC95C0">
      <w:pPr>
        <w:widowControl/>
        <w:spacing w:line="40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3.发生不可抗力事件，任何一方均不对因不可抗力无法履行或迟延履行本合同义务而使另一方蒙受的任何损失承担责任，法律另有规定的除外。</w:t>
      </w:r>
    </w:p>
    <w:p w14:paraId="3DC9CFE0">
      <w:pPr>
        <w:widowControl/>
        <w:spacing w:line="400" w:lineRule="exact"/>
        <w:ind w:firstLine="480"/>
        <w:jc w:val="left"/>
        <w:rPr>
          <w:rFonts w:hint="eastAsia" w:ascii="宋体" w:hAnsi="宋体" w:eastAsia="宋体" w:cs="宋体"/>
          <w:bCs/>
          <w:sz w:val="24"/>
          <w:szCs w:val="24"/>
        </w:rPr>
      </w:pPr>
      <w:r>
        <w:rPr>
          <w:rFonts w:hint="eastAsia" w:ascii="宋体" w:hAnsi="宋体" w:eastAsia="宋体" w:cs="宋体"/>
          <w:bCs/>
          <w:sz w:val="24"/>
          <w:szCs w:val="24"/>
        </w:rPr>
        <w:t>4.合同各方应根据不可抗力对本合同履行的影响程度，协商确定是否终止本合同或是继续履行本合同。</w:t>
      </w:r>
    </w:p>
    <w:p w14:paraId="02389826">
      <w:pPr>
        <w:widowControl/>
        <w:spacing w:line="400" w:lineRule="exact"/>
        <w:jc w:val="left"/>
        <w:rPr>
          <w:rFonts w:hint="eastAsia" w:ascii="黑体" w:hAnsi="黑体" w:eastAsia="黑体" w:cs="宋体"/>
          <w:bCs/>
          <w:sz w:val="24"/>
          <w:szCs w:val="24"/>
          <w:lang w:val="zh-CN"/>
        </w:rPr>
      </w:pPr>
      <w:r>
        <w:rPr>
          <w:rFonts w:hint="eastAsia" w:ascii="黑体" w:hAnsi="黑体" w:eastAsia="黑体" w:cs="宋体"/>
          <w:sz w:val="24"/>
          <w:szCs w:val="24"/>
        </w:rPr>
        <w:t>第十三条　</w:t>
      </w:r>
      <w:r>
        <w:rPr>
          <w:rFonts w:hint="eastAsia" w:ascii="黑体" w:hAnsi="黑体" w:eastAsia="黑体" w:cs="宋体"/>
          <w:bCs/>
          <w:sz w:val="24"/>
          <w:szCs w:val="24"/>
          <w:lang w:val="zh-CN"/>
        </w:rPr>
        <w:t>合同的变更和终止</w:t>
      </w:r>
    </w:p>
    <w:p w14:paraId="5031A021">
      <w:pPr>
        <w:widowControl/>
        <w:spacing w:line="400" w:lineRule="exact"/>
        <w:ind w:firstLine="480"/>
        <w:jc w:val="left"/>
        <w:rPr>
          <w:rFonts w:hint="eastAsia" w:ascii="宋体" w:hAnsi="宋体" w:eastAsia="宋体" w:cs="宋体"/>
          <w:sz w:val="24"/>
          <w:szCs w:val="24"/>
          <w:lang w:val="zh-CN"/>
        </w:rPr>
      </w:pPr>
      <w:r>
        <w:rPr>
          <w:rFonts w:hint="eastAsia" w:ascii="宋体" w:hAnsi="宋体" w:eastAsia="宋体" w:cs="Times New Roman"/>
          <w:sz w:val="24"/>
          <w:szCs w:val="24"/>
          <w:lang w:val="zh-CN"/>
        </w:rPr>
        <w:t>1.</w:t>
      </w:r>
      <w:r>
        <w:rPr>
          <w:rFonts w:hint="eastAsia" w:ascii="宋体" w:hAnsi="宋体" w:eastAsia="宋体" w:cs="宋体"/>
          <w:sz w:val="24"/>
          <w:szCs w:val="24"/>
          <w:lang w:val="zh-CN"/>
        </w:rPr>
        <w:t>除《中华人民共和国政府采购法》第</w:t>
      </w:r>
      <w:r>
        <w:rPr>
          <w:rFonts w:hint="eastAsia" w:ascii="宋体" w:hAnsi="宋体" w:eastAsia="宋体" w:cs="Times New Roman"/>
          <w:sz w:val="24"/>
          <w:szCs w:val="24"/>
          <w:lang w:val="zh-CN"/>
        </w:rPr>
        <w:t>五十</w:t>
      </w:r>
      <w:r>
        <w:rPr>
          <w:rFonts w:hint="eastAsia" w:ascii="宋体" w:hAnsi="宋体" w:eastAsia="宋体" w:cs="宋体"/>
          <w:sz w:val="24"/>
          <w:szCs w:val="24"/>
          <w:lang w:val="zh-CN"/>
        </w:rPr>
        <w:t>条规定的情形外，本合同一经签订，甲乙双方不得擅自变更、中止或终止合同。</w:t>
      </w:r>
    </w:p>
    <w:p w14:paraId="1AD8DFEB">
      <w:pPr>
        <w:widowControl/>
        <w:spacing w:line="400" w:lineRule="exact"/>
        <w:ind w:firstLine="480"/>
        <w:jc w:val="left"/>
        <w:rPr>
          <w:rFonts w:hint="eastAsia" w:ascii="宋体" w:hAnsi="宋体" w:eastAsia="宋体" w:cs="宋体"/>
          <w:sz w:val="24"/>
          <w:szCs w:val="24"/>
        </w:rPr>
      </w:pPr>
      <w:r>
        <w:rPr>
          <w:rFonts w:hint="eastAsia" w:ascii="宋体" w:hAnsi="宋体" w:eastAsia="宋体" w:cs="Times New Roman"/>
          <w:sz w:val="24"/>
          <w:szCs w:val="24"/>
          <w:lang w:val="zh-CN"/>
        </w:rPr>
        <w:t>2.</w:t>
      </w:r>
      <w:r>
        <w:rPr>
          <w:rFonts w:hint="eastAsia" w:ascii="宋体" w:hAnsi="宋体" w:eastAsia="宋体" w:cs="宋体"/>
          <w:sz w:val="24"/>
          <w:szCs w:val="24"/>
        </w:rPr>
        <w:t>除发生法律规定的不能预见、不能避免并不能克服的客观情况外，甲乙双方不得放弃或拒绝履行合同。</w:t>
      </w:r>
    </w:p>
    <w:p w14:paraId="0D130142">
      <w:pPr>
        <w:widowControl/>
        <w:spacing w:line="400" w:lineRule="exact"/>
        <w:jc w:val="left"/>
        <w:rPr>
          <w:rFonts w:hint="eastAsia" w:ascii="黑体" w:hAnsi="黑体" w:eastAsia="黑体" w:cs="宋体"/>
          <w:sz w:val="24"/>
          <w:szCs w:val="24"/>
        </w:rPr>
      </w:pPr>
      <w:r>
        <w:rPr>
          <w:rFonts w:hint="eastAsia" w:ascii="黑体" w:hAnsi="黑体" w:eastAsia="黑体" w:cs="宋体"/>
          <w:sz w:val="24"/>
          <w:szCs w:val="24"/>
        </w:rPr>
        <w:t>第十四条  合同的终止</w:t>
      </w:r>
    </w:p>
    <w:p w14:paraId="2D23EE03">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本合同因下列原因而终止：</w:t>
      </w:r>
    </w:p>
    <w:p w14:paraId="566EA2EF">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（1）本合同正常履行完毕；</w:t>
      </w:r>
    </w:p>
    <w:p w14:paraId="6D6D8D5A">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（2）因不可抗力导致本合同无法履行或履行不必要；</w:t>
      </w:r>
    </w:p>
    <w:p w14:paraId="1ED4B06E">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（3）任何一方行使解除权解除本合同；</w:t>
      </w:r>
    </w:p>
    <w:p w14:paraId="608133D1">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（4）合同的继续履行将损害国家利益和社会公共利益。</w:t>
      </w:r>
    </w:p>
    <w:p w14:paraId="57ADBA2E">
      <w:pPr>
        <w:widowControl/>
        <w:spacing w:line="400" w:lineRule="exact"/>
        <w:ind w:firstLine="480"/>
        <w:jc w:val="left"/>
        <w:rPr>
          <w:rFonts w:hint="eastAsia" w:ascii="宋体" w:hAnsi="宋体" w:eastAsia="宋体" w:cs="宋体"/>
          <w:sz w:val="24"/>
          <w:szCs w:val="24"/>
        </w:rPr>
      </w:pPr>
      <w:r>
        <w:rPr>
          <w:rFonts w:hint="eastAsia" w:ascii="宋体" w:hAnsi="宋体" w:eastAsia="宋体" w:cs="宋体"/>
          <w:sz w:val="24"/>
          <w:szCs w:val="24"/>
        </w:rPr>
        <w:t>除上述情形外，甲乙双方不得擅自终止合同。</w:t>
      </w:r>
    </w:p>
    <w:p w14:paraId="3ECC6E12">
      <w:pPr>
        <w:widowControl/>
        <w:spacing w:line="400" w:lineRule="exact"/>
        <w:jc w:val="left"/>
        <w:rPr>
          <w:rFonts w:hint="eastAsia" w:ascii="黑体" w:hAnsi="黑体" w:eastAsia="黑体" w:cs="宋体"/>
          <w:bCs/>
          <w:sz w:val="24"/>
          <w:szCs w:val="24"/>
          <w:lang w:val="zh-CN"/>
        </w:rPr>
      </w:pPr>
      <w:r>
        <w:rPr>
          <w:rFonts w:hint="eastAsia" w:ascii="黑体" w:hAnsi="黑体" w:eastAsia="黑体" w:cs="宋体"/>
          <w:bCs/>
          <w:sz w:val="24"/>
          <w:szCs w:val="24"/>
          <w:lang w:val="zh-CN"/>
        </w:rPr>
        <w:t>第十五条　争议的解决</w:t>
      </w:r>
    </w:p>
    <w:p w14:paraId="43A78FF1">
      <w:pPr>
        <w:widowControl/>
        <w:spacing w:line="40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1.因货物的质量问题发生争议的，应当邀请国家认可的质量检测机构对货物质量进行鉴定。货物符合标准的，鉴定费由甲方承担；货物不符合质量标准的，鉴定费由乙方承担。</w:t>
      </w:r>
    </w:p>
    <w:p w14:paraId="0E49DD81">
      <w:pPr>
        <w:widowControl/>
        <w:spacing w:line="40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2.因履行本合同引起的或与本合同有关的争议，甲、乙双方应首先通过友好协商解决，如果协商不能解决争议，则采取向甲方所在地有管辖权的人民法院提起诉讼的方式解决争议。</w:t>
      </w:r>
    </w:p>
    <w:p w14:paraId="42C3663F">
      <w:pPr>
        <w:widowControl/>
        <w:spacing w:line="400" w:lineRule="exact"/>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3.在诉讼期间，本合同应继续履行。</w:t>
      </w:r>
    </w:p>
    <w:p w14:paraId="5D364432">
      <w:pPr>
        <w:widowControl/>
        <w:spacing w:line="400" w:lineRule="exact"/>
        <w:jc w:val="left"/>
        <w:rPr>
          <w:rFonts w:hint="eastAsia" w:ascii="黑体" w:hAnsi="黑体" w:eastAsia="黑体" w:cs="宋体"/>
          <w:bCs/>
          <w:sz w:val="24"/>
          <w:szCs w:val="24"/>
          <w:lang w:val="zh-CN"/>
        </w:rPr>
      </w:pPr>
      <w:r>
        <w:rPr>
          <w:rFonts w:hint="eastAsia" w:ascii="黑体" w:hAnsi="黑体" w:eastAsia="黑体" w:cs="宋体"/>
          <w:bCs/>
          <w:sz w:val="24"/>
          <w:szCs w:val="24"/>
          <w:lang w:val="zh-CN"/>
        </w:rPr>
        <w:t>第十六条　合同生效及其他</w:t>
      </w:r>
    </w:p>
    <w:p w14:paraId="05E30CAE">
      <w:pPr>
        <w:widowControl/>
        <w:spacing w:line="400" w:lineRule="exact"/>
        <w:ind w:firstLine="420"/>
        <w:jc w:val="left"/>
        <w:rPr>
          <w:rFonts w:hint="eastAsia" w:ascii="宋体" w:hAnsi="宋体" w:eastAsia="宋体" w:cs="宋体"/>
          <w:sz w:val="24"/>
          <w:szCs w:val="24"/>
        </w:rPr>
      </w:pPr>
      <w:r>
        <w:rPr>
          <w:rFonts w:hint="eastAsia" w:ascii="宋体" w:hAnsi="宋体" w:eastAsia="宋体" w:cs="宋体"/>
          <w:sz w:val="24"/>
          <w:szCs w:val="24"/>
          <w:lang w:val="zh-CN"/>
        </w:rPr>
        <w:t>1.</w:t>
      </w:r>
      <w:r>
        <w:rPr>
          <w:rFonts w:hint="eastAsia" w:ascii="宋体" w:hAnsi="宋体" w:eastAsia="宋体" w:cs="宋体"/>
          <w:sz w:val="24"/>
          <w:szCs w:val="24"/>
        </w:rPr>
        <w:t>本合同由甲乙双方签字、盖章后生效。</w:t>
      </w:r>
    </w:p>
    <w:p w14:paraId="726A32DE">
      <w:pPr>
        <w:widowControl/>
        <w:spacing w:line="400" w:lineRule="exact"/>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2.本合同一式四份，甲方、乙方、江阴市政府采购中心、江阴市财政局政府采购管理科各执一份。</w:t>
      </w:r>
    </w:p>
    <w:p w14:paraId="6F2E6FAC">
      <w:pPr>
        <w:widowControl/>
        <w:spacing w:line="400" w:lineRule="exact"/>
        <w:ind w:firstLine="420"/>
        <w:jc w:val="left"/>
        <w:rPr>
          <w:rFonts w:hint="eastAsia" w:ascii="宋体" w:hAnsi="宋体" w:eastAsia="宋体" w:cs="宋体"/>
          <w:sz w:val="24"/>
          <w:szCs w:val="24"/>
          <w:lang w:val="zh-CN"/>
        </w:rPr>
      </w:pPr>
      <w:r>
        <w:rPr>
          <w:rFonts w:hint="eastAsia" w:ascii="宋体" w:hAnsi="宋体" w:eastAsia="宋体" w:cs="宋体"/>
          <w:sz w:val="24"/>
          <w:szCs w:val="24"/>
          <w:lang w:val="zh-CN"/>
        </w:rPr>
        <w:t>3.本合同应按照中华人民共和国的现行法律进行解释。</w:t>
      </w:r>
    </w:p>
    <w:p w14:paraId="637F1198">
      <w:pPr>
        <w:spacing w:line="400" w:lineRule="exact"/>
        <w:rPr>
          <w:rFonts w:ascii="Times New Roman" w:hAnsi="Times New Roman" w:eastAsia="宋体" w:cs="Times New Roman"/>
          <w:sz w:val="24"/>
          <w:szCs w:val="24"/>
        </w:rPr>
      </w:pPr>
    </w:p>
    <w:p w14:paraId="1CD2D4A7">
      <w:pPr>
        <w:spacing w:line="400" w:lineRule="exact"/>
        <w:jc w:val="center"/>
        <w:outlineLvl w:val="0"/>
        <w:rPr>
          <w:rFonts w:ascii="楷体_GB2312" w:hAnsi="Times New Roman" w:eastAsia="楷体_GB2312" w:cs="Times New Roman"/>
          <w:b/>
          <w:bCs/>
          <w:sz w:val="30"/>
          <w:szCs w:val="24"/>
        </w:rPr>
      </w:pPr>
    </w:p>
    <w:tbl>
      <w:tblPr>
        <w:tblStyle w:val="33"/>
        <w:tblW w:w="9356" w:type="dxa"/>
        <w:jc w:val="center"/>
        <w:tblLayout w:type="fixed"/>
        <w:tblCellMar>
          <w:top w:w="0" w:type="dxa"/>
          <w:left w:w="108" w:type="dxa"/>
          <w:bottom w:w="0" w:type="dxa"/>
          <w:right w:w="108" w:type="dxa"/>
        </w:tblCellMar>
      </w:tblPr>
      <w:tblGrid>
        <w:gridCol w:w="4536"/>
        <w:gridCol w:w="284"/>
        <w:gridCol w:w="4536"/>
      </w:tblGrid>
      <w:tr w14:paraId="72009A6A">
        <w:tblPrEx>
          <w:tblCellMar>
            <w:top w:w="0" w:type="dxa"/>
            <w:left w:w="108" w:type="dxa"/>
            <w:bottom w:w="0" w:type="dxa"/>
            <w:right w:w="108" w:type="dxa"/>
          </w:tblCellMar>
        </w:tblPrEx>
        <w:trPr>
          <w:jc w:val="center"/>
        </w:trPr>
        <w:tc>
          <w:tcPr>
            <w:tcW w:w="4536" w:type="dxa"/>
          </w:tcPr>
          <w:p w14:paraId="5F34DBBD">
            <w:pPr>
              <w:spacing w:line="360" w:lineRule="exact"/>
              <w:rPr>
                <w:rFonts w:hint="eastAsia"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84" w:type="dxa"/>
          </w:tcPr>
          <w:p w14:paraId="09DED008">
            <w:pPr>
              <w:spacing w:line="360" w:lineRule="exact"/>
              <w:rPr>
                <w:rFonts w:hint="eastAsia" w:ascii="宋体" w:hAnsi="宋体" w:eastAsia="宋体" w:cs="Times New Roman"/>
                <w:sz w:val="24"/>
                <w:szCs w:val="24"/>
              </w:rPr>
            </w:pPr>
          </w:p>
        </w:tc>
        <w:tc>
          <w:tcPr>
            <w:tcW w:w="4536" w:type="dxa"/>
          </w:tcPr>
          <w:p w14:paraId="43DF8BBD">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1D2DD5DA">
        <w:tblPrEx>
          <w:tblCellMar>
            <w:top w:w="0" w:type="dxa"/>
            <w:left w:w="108" w:type="dxa"/>
            <w:bottom w:w="0" w:type="dxa"/>
            <w:right w:w="108" w:type="dxa"/>
          </w:tblCellMar>
        </w:tblPrEx>
        <w:trPr>
          <w:jc w:val="center"/>
        </w:trPr>
        <w:tc>
          <w:tcPr>
            <w:tcW w:w="4536" w:type="dxa"/>
          </w:tcPr>
          <w:p w14:paraId="1C30BCA9">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84" w:type="dxa"/>
          </w:tcPr>
          <w:p w14:paraId="14C26575">
            <w:pPr>
              <w:spacing w:line="360" w:lineRule="exact"/>
              <w:rPr>
                <w:rFonts w:hint="eastAsia" w:ascii="宋体" w:hAnsi="宋体" w:eastAsia="宋体" w:cs="Times New Roman"/>
                <w:sz w:val="24"/>
                <w:szCs w:val="24"/>
              </w:rPr>
            </w:pPr>
          </w:p>
        </w:tc>
        <w:tc>
          <w:tcPr>
            <w:tcW w:w="4536" w:type="dxa"/>
          </w:tcPr>
          <w:p w14:paraId="00BAE69D">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33500B83">
        <w:tblPrEx>
          <w:tblCellMar>
            <w:top w:w="0" w:type="dxa"/>
            <w:left w:w="108" w:type="dxa"/>
            <w:bottom w:w="0" w:type="dxa"/>
            <w:right w:w="108" w:type="dxa"/>
          </w:tblCellMar>
        </w:tblPrEx>
        <w:trPr>
          <w:jc w:val="center"/>
        </w:trPr>
        <w:tc>
          <w:tcPr>
            <w:tcW w:w="4536" w:type="dxa"/>
          </w:tcPr>
          <w:p w14:paraId="0271C43F">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法定（授权）代表人：</w:t>
            </w:r>
          </w:p>
        </w:tc>
        <w:tc>
          <w:tcPr>
            <w:tcW w:w="284" w:type="dxa"/>
          </w:tcPr>
          <w:p w14:paraId="61825EC4">
            <w:pPr>
              <w:spacing w:line="360" w:lineRule="exact"/>
              <w:rPr>
                <w:rFonts w:hint="eastAsia" w:ascii="宋体" w:hAnsi="宋体" w:eastAsia="宋体" w:cs="Times New Roman"/>
                <w:sz w:val="24"/>
                <w:szCs w:val="24"/>
              </w:rPr>
            </w:pPr>
          </w:p>
        </w:tc>
        <w:tc>
          <w:tcPr>
            <w:tcW w:w="4536" w:type="dxa"/>
          </w:tcPr>
          <w:p w14:paraId="617A7E66">
            <w:pPr>
              <w:spacing w:line="360" w:lineRule="exact"/>
              <w:rPr>
                <w:rFonts w:hint="eastAsia" w:ascii="宋体" w:hAnsi="宋体" w:eastAsia="宋体" w:cs="Times New Roman"/>
                <w:sz w:val="24"/>
                <w:szCs w:val="24"/>
              </w:rPr>
            </w:pPr>
            <w:r>
              <w:rPr>
                <w:rFonts w:hint="eastAsia" w:ascii="宋体" w:hAnsi="宋体" w:eastAsia="宋体" w:cs="Times New Roman"/>
                <w:bCs/>
                <w:sz w:val="24"/>
                <w:szCs w:val="24"/>
              </w:rPr>
              <w:t>法定（授权）代表人：</w:t>
            </w:r>
          </w:p>
        </w:tc>
      </w:tr>
      <w:tr w14:paraId="28AA4122">
        <w:tblPrEx>
          <w:tblCellMar>
            <w:top w:w="0" w:type="dxa"/>
            <w:left w:w="108" w:type="dxa"/>
            <w:bottom w:w="0" w:type="dxa"/>
            <w:right w:w="108" w:type="dxa"/>
          </w:tblCellMar>
        </w:tblPrEx>
        <w:trPr>
          <w:jc w:val="center"/>
        </w:trPr>
        <w:tc>
          <w:tcPr>
            <w:tcW w:w="4536" w:type="dxa"/>
          </w:tcPr>
          <w:p w14:paraId="20D66F1E">
            <w:pPr>
              <w:spacing w:line="360" w:lineRule="exact"/>
              <w:jc w:val="right"/>
              <w:rPr>
                <w:rFonts w:hint="eastAsia"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p>
        </w:tc>
        <w:tc>
          <w:tcPr>
            <w:tcW w:w="284" w:type="dxa"/>
          </w:tcPr>
          <w:p w14:paraId="5D719329">
            <w:pPr>
              <w:spacing w:line="360" w:lineRule="exact"/>
              <w:rPr>
                <w:rFonts w:hint="eastAsia" w:ascii="宋体" w:hAnsi="宋体" w:eastAsia="宋体" w:cs="Times New Roman"/>
                <w:sz w:val="24"/>
                <w:szCs w:val="24"/>
              </w:rPr>
            </w:pPr>
          </w:p>
        </w:tc>
        <w:tc>
          <w:tcPr>
            <w:tcW w:w="4536" w:type="dxa"/>
          </w:tcPr>
          <w:p w14:paraId="69276DC0">
            <w:pPr>
              <w:spacing w:line="360" w:lineRule="exact"/>
              <w:jc w:val="right"/>
              <w:rPr>
                <w:rFonts w:hint="eastAsia"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月</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日</w:t>
            </w:r>
            <w:bookmarkEnd w:id="16"/>
          </w:p>
        </w:tc>
      </w:tr>
    </w:tbl>
    <w:p w14:paraId="26917BC9">
      <w:pPr>
        <w:spacing w:line="400" w:lineRule="exact"/>
        <w:rPr>
          <w:rFonts w:ascii="黑体" w:hAnsi="Times New Roman" w:eastAsia="黑体" w:cs="Times New Roman"/>
          <w:bCs/>
          <w:sz w:val="30"/>
          <w:szCs w:val="24"/>
        </w:rPr>
        <w:sectPr>
          <w:headerReference r:id="rId6" w:type="default"/>
          <w:footerReference r:id="rId7" w:type="default"/>
          <w:pgSz w:w="11906" w:h="16838"/>
          <w:pgMar w:top="1247" w:right="1247" w:bottom="1247" w:left="1247" w:header="680" w:footer="992" w:gutter="0"/>
          <w:cols w:space="720" w:num="1"/>
          <w:docGrid w:linePitch="360" w:charSpace="0"/>
        </w:sectPr>
      </w:pPr>
    </w:p>
    <w:p w14:paraId="36469DF8">
      <w:pPr>
        <w:pStyle w:val="31"/>
      </w:pPr>
    </w:p>
    <w:p w14:paraId="4E2705AA">
      <w:pPr>
        <w:pStyle w:val="31"/>
      </w:pPr>
      <w:bookmarkStart w:id="17" w:name="_Toc201302574"/>
      <w:r>
        <w:rPr>
          <w:rFonts w:hint="eastAsia"/>
        </w:rPr>
        <w:t>第六章　投标文件的组成和格式</w:t>
      </w:r>
      <w:bookmarkEnd w:id="17"/>
    </w:p>
    <w:p w14:paraId="4A112B0A">
      <w:pPr>
        <w:jc w:val="center"/>
        <w:rPr>
          <w:rFonts w:hint="eastAsia" w:ascii="宋体" w:hAnsi="宋体" w:eastAsia="宋体" w:cs="Times New Roman"/>
          <w:b/>
          <w:bCs/>
          <w:spacing w:val="20"/>
          <w:sz w:val="72"/>
          <w:szCs w:val="72"/>
        </w:rPr>
      </w:pPr>
    </w:p>
    <w:p w14:paraId="0FAD0823">
      <w:pPr>
        <w:jc w:val="center"/>
        <w:rPr>
          <w:rFonts w:hint="eastAsia" w:ascii="宋体" w:hAnsi="宋体" w:eastAsia="宋体" w:cs="Times New Roman"/>
          <w:b/>
          <w:bCs/>
          <w:spacing w:val="20"/>
          <w:sz w:val="72"/>
          <w:szCs w:val="72"/>
        </w:rPr>
      </w:pPr>
    </w:p>
    <w:p w14:paraId="7C1DD099">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投</w:t>
      </w:r>
    </w:p>
    <w:p w14:paraId="1ED86C07">
      <w:pPr>
        <w:jc w:val="center"/>
        <w:rPr>
          <w:rFonts w:hint="eastAsia" w:ascii="宋体" w:hAnsi="宋体" w:eastAsia="宋体" w:cs="Times New Roman"/>
          <w:bCs/>
          <w:spacing w:val="20"/>
          <w:sz w:val="72"/>
          <w:szCs w:val="72"/>
        </w:rPr>
      </w:pPr>
    </w:p>
    <w:p w14:paraId="6FB5187D">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标</w:t>
      </w:r>
    </w:p>
    <w:p w14:paraId="11796C59">
      <w:pPr>
        <w:jc w:val="center"/>
        <w:rPr>
          <w:rFonts w:hint="eastAsia" w:ascii="宋体" w:hAnsi="宋体" w:eastAsia="宋体" w:cs="Times New Roman"/>
          <w:bCs/>
          <w:spacing w:val="20"/>
          <w:sz w:val="72"/>
          <w:szCs w:val="72"/>
        </w:rPr>
      </w:pPr>
    </w:p>
    <w:p w14:paraId="7A3E4C66">
      <w:pPr>
        <w:jc w:val="center"/>
        <w:rPr>
          <w:rFonts w:hint="eastAsia" w:ascii="宋体" w:hAnsi="宋体" w:eastAsia="宋体" w:cs="Times New Roman"/>
          <w:bCs/>
          <w:spacing w:val="20"/>
          <w:sz w:val="72"/>
          <w:szCs w:val="72"/>
        </w:rPr>
      </w:pPr>
      <w:r>
        <w:rPr>
          <w:rFonts w:hint="eastAsia" w:ascii="宋体" w:hAnsi="宋体" w:eastAsia="宋体" w:cs="Times New Roman"/>
          <w:bCs/>
          <w:spacing w:val="20"/>
          <w:sz w:val="72"/>
          <w:szCs w:val="72"/>
        </w:rPr>
        <w:t>书</w:t>
      </w:r>
    </w:p>
    <w:p w14:paraId="4305DC7E">
      <w:pPr>
        <w:jc w:val="center"/>
        <w:rPr>
          <w:rFonts w:hint="eastAsia" w:ascii="宋体" w:hAnsi="宋体" w:eastAsia="宋体" w:cs="Times New Roman"/>
          <w:b/>
          <w:bCs/>
          <w:spacing w:val="20"/>
          <w:sz w:val="72"/>
          <w:szCs w:val="72"/>
        </w:rPr>
      </w:pPr>
    </w:p>
    <w:p w14:paraId="52E895EE">
      <w:pPr>
        <w:jc w:val="center"/>
        <w:rPr>
          <w:rFonts w:hint="eastAsia" w:ascii="宋体" w:hAnsi="宋体" w:eastAsia="宋体" w:cs="Times New Roman"/>
          <w:b/>
          <w:bCs/>
          <w:spacing w:val="20"/>
          <w:sz w:val="72"/>
          <w:szCs w:val="72"/>
        </w:rPr>
      </w:pPr>
    </w:p>
    <w:p w14:paraId="3FCCA23A">
      <w:pPr>
        <w:spacing w:line="600" w:lineRule="exact"/>
        <w:ind w:left="2245" w:hanging="1350"/>
        <w:rPr>
          <w:rFonts w:hint="eastAsia"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287871F3">
      <w:pPr>
        <w:spacing w:line="600" w:lineRule="exact"/>
        <w:ind w:firstLine="900"/>
        <w:rPr>
          <w:rFonts w:hint="eastAsia"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2FB839D1">
      <w:pPr>
        <w:spacing w:line="600" w:lineRule="exact"/>
        <w:ind w:firstLine="900"/>
        <w:rPr>
          <w:rFonts w:hint="eastAsia" w:ascii="宋体" w:hAnsi="宋体" w:eastAsia="宋体" w:cs="Times New Roman"/>
          <w:bCs/>
          <w:sz w:val="30"/>
          <w:szCs w:val="24"/>
          <w:u w:val="single"/>
        </w:rPr>
      </w:pPr>
      <w:r>
        <w:rPr>
          <w:rFonts w:hint="eastAsia" w:ascii="宋体" w:hAnsi="宋体" w:eastAsia="宋体" w:cs="Times New Roman"/>
          <w:bCs/>
          <w:sz w:val="30"/>
          <w:szCs w:val="24"/>
        </w:rPr>
        <w:t>投标单位：</w:t>
      </w:r>
      <w:r>
        <w:rPr>
          <w:rFonts w:hint="eastAsia" w:ascii="宋体" w:hAnsi="宋体" w:eastAsia="宋体" w:cs="Times New Roman"/>
          <w:bCs/>
          <w:sz w:val="30"/>
          <w:szCs w:val="24"/>
          <w:u w:val="single"/>
        </w:rPr>
        <w:t xml:space="preserve">                                  </w:t>
      </w:r>
    </w:p>
    <w:p w14:paraId="498EC5CA">
      <w:pPr>
        <w:widowControl/>
        <w:spacing w:line="600" w:lineRule="exact"/>
        <w:jc w:val="left"/>
        <w:rPr>
          <w:rFonts w:ascii="Times New Roman" w:hAnsi="Times New Roman" w:eastAsia="宋体" w:cs="Times New Roman"/>
          <w:sz w:val="24"/>
          <w:szCs w:val="20"/>
        </w:rPr>
      </w:pPr>
    </w:p>
    <w:p w14:paraId="0546BF70">
      <w:pPr>
        <w:widowControl/>
        <w:spacing w:line="600" w:lineRule="exact"/>
        <w:jc w:val="left"/>
        <w:rPr>
          <w:rFonts w:ascii="Times New Roman" w:hAnsi="Times New Roman" w:eastAsia="宋体" w:cs="Times New Roman"/>
          <w:sz w:val="24"/>
          <w:szCs w:val="20"/>
        </w:rPr>
      </w:pPr>
    </w:p>
    <w:p w14:paraId="062AD221">
      <w:pPr>
        <w:spacing w:line="600" w:lineRule="exact"/>
        <w:jc w:val="center"/>
        <w:rPr>
          <w:rFonts w:hint="eastAsia" w:ascii="宋体" w:hAnsi="宋体" w:eastAsia="宋体" w:cs="Times New Roman"/>
          <w:bCs/>
          <w:sz w:val="30"/>
          <w:szCs w:val="24"/>
        </w:rPr>
      </w:pPr>
      <w:r>
        <w:rPr>
          <w:rFonts w:hint="eastAsia" w:ascii="宋体" w:hAnsi="宋体" w:eastAsia="宋体" w:cs="Times New Roman"/>
          <w:bCs/>
          <w:sz w:val="30"/>
          <w:szCs w:val="24"/>
        </w:rPr>
        <w:t>二〇    年  月  日</w:t>
      </w:r>
    </w:p>
    <w:p w14:paraId="33CBF66F">
      <w:pPr>
        <w:spacing w:line="600" w:lineRule="exact"/>
        <w:jc w:val="center"/>
        <w:rPr>
          <w:rFonts w:hint="eastAsia" w:ascii="宋体" w:hAnsi="宋体" w:eastAsia="宋体" w:cs="Times New Roman"/>
          <w:bCs/>
          <w:sz w:val="30"/>
          <w:szCs w:val="24"/>
        </w:rPr>
        <w:sectPr>
          <w:pgSz w:w="11906" w:h="16838"/>
          <w:pgMar w:top="1247" w:right="1247" w:bottom="1247" w:left="1247" w:header="680" w:footer="992" w:gutter="0"/>
          <w:cols w:space="720" w:num="1"/>
          <w:docGrid w:linePitch="360" w:charSpace="0"/>
        </w:sectPr>
      </w:pPr>
    </w:p>
    <w:p w14:paraId="32B9CDE0">
      <w:pPr>
        <w:spacing w:line="400" w:lineRule="exact"/>
        <w:jc w:val="center"/>
        <w:rPr>
          <w:rFonts w:hint="eastAsia" w:ascii="黑体" w:hAnsi="宋体" w:eastAsia="黑体" w:cs="Times New Roman"/>
          <w:bCs/>
          <w:sz w:val="28"/>
          <w:szCs w:val="28"/>
        </w:rPr>
      </w:pPr>
    </w:p>
    <w:p w14:paraId="1D1BE424">
      <w:pPr>
        <w:spacing w:line="400" w:lineRule="exact"/>
        <w:jc w:val="center"/>
        <w:rPr>
          <w:rFonts w:hint="eastAsia" w:ascii="黑体" w:hAnsi="宋体" w:eastAsia="黑体" w:cs="Times New Roman"/>
          <w:bCs/>
          <w:sz w:val="28"/>
          <w:szCs w:val="28"/>
        </w:rPr>
      </w:pPr>
      <w:r>
        <w:rPr>
          <w:rFonts w:hint="eastAsia" w:ascii="黑体" w:hAnsi="宋体" w:eastAsia="黑体" w:cs="Times New Roman"/>
          <w:bCs/>
          <w:sz w:val="28"/>
          <w:szCs w:val="28"/>
        </w:rPr>
        <w:t>一、投标函</w:t>
      </w:r>
    </w:p>
    <w:p w14:paraId="520C03C8">
      <w:pPr>
        <w:spacing w:line="400" w:lineRule="exact"/>
        <w:rPr>
          <w:rFonts w:hint="eastAsia" w:ascii="宋体" w:hAnsi="宋体" w:eastAsia="宋体" w:cs="Times New Roman"/>
          <w:bCs/>
          <w:sz w:val="24"/>
          <w:szCs w:val="24"/>
        </w:rPr>
      </w:pPr>
    </w:p>
    <w:p w14:paraId="31F9ED2B">
      <w:pPr>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致江阴市政府采购中心：</w:t>
      </w:r>
    </w:p>
    <w:p w14:paraId="5C0C5878">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（项目名称及编号）招标文件，经仔细阅读和研究，我们决定参加此项目的投标。</w:t>
      </w:r>
    </w:p>
    <w:p w14:paraId="60AAE93B">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1.愿意按照招标文件的一切要求，参加本项目的投标</w:t>
      </w:r>
      <w:r>
        <w:rPr>
          <w:rFonts w:hint="eastAsia" w:ascii="宋体" w:hAnsi="宋体" w:eastAsia="宋体" w:cs="Times New Roman"/>
          <w:sz w:val="24"/>
          <w:szCs w:val="24"/>
        </w:rPr>
        <w:t>，</w:t>
      </w:r>
      <w:r>
        <w:rPr>
          <w:rFonts w:hint="eastAsia" w:ascii="宋体" w:hAnsi="宋体" w:eastAsia="宋体" w:cs="Times New Roman"/>
          <w:bCs/>
          <w:sz w:val="24"/>
          <w:szCs w:val="24"/>
        </w:rPr>
        <w:t>投标报价详见《开标一览表》。</w:t>
      </w:r>
    </w:p>
    <w:p w14:paraId="17C25D05">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2.我方同意按招标文件的规定，本投标文件的投标有效期限为开标后90天。</w:t>
      </w:r>
    </w:p>
    <w:p w14:paraId="16774177">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3.我方愿意提供招标文件中要求的原始资料及可能另外要求的与投标有关的任何资料，并保证我方已提供和将要提供的资料是真实的、准确的。</w:t>
      </w:r>
    </w:p>
    <w:p w14:paraId="781731FE">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4.我方认为你们有权决定中标者。</w:t>
      </w:r>
    </w:p>
    <w:p w14:paraId="2CE5CD38">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5.我方愿意遵守《中华人民共和国政府采购法》《</w:t>
      </w:r>
      <w:r>
        <w:rPr>
          <w:rFonts w:hint="eastAsia" w:ascii="宋体" w:hAnsi="宋体" w:eastAsia="宋体" w:cs="Times New Roman"/>
          <w:sz w:val="24"/>
          <w:szCs w:val="24"/>
        </w:rPr>
        <w:t>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p>
    <w:p w14:paraId="06FE9F36">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p>
    <w:p w14:paraId="712E8121">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7.如我们在投标截止期后撤回投标或中标后拒绝遵守投标承诺或拒绝在规定的时间内与采购人签订合同，则将接受相应处罚。</w:t>
      </w:r>
    </w:p>
    <w:p w14:paraId="201CB6C4">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p>
    <w:p w14:paraId="089C46B6">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9.一旦我方中标，我方将根据招标文件的规定，严格履行合同的责任和义务，保证按期、按质、按量完成项目。</w:t>
      </w:r>
    </w:p>
    <w:p w14:paraId="6E516EDC">
      <w:pPr>
        <w:spacing w:line="400" w:lineRule="exact"/>
        <w:ind w:firstLine="480"/>
        <w:rPr>
          <w:rFonts w:hint="eastAsia" w:ascii="宋体" w:hAnsi="宋体" w:eastAsia="宋体" w:cs="Times New Roman"/>
          <w:bCs/>
          <w:sz w:val="24"/>
          <w:szCs w:val="24"/>
        </w:rPr>
      </w:pPr>
    </w:p>
    <w:p w14:paraId="4516D759">
      <w:pPr>
        <w:spacing w:line="400" w:lineRule="exact"/>
        <w:ind w:firstLine="480"/>
        <w:rPr>
          <w:rFonts w:hint="eastAsia" w:ascii="宋体" w:hAnsi="宋体" w:eastAsia="宋体" w:cs="Times New Roman"/>
          <w:bCs/>
          <w:sz w:val="24"/>
          <w:szCs w:val="24"/>
        </w:rPr>
      </w:pPr>
    </w:p>
    <w:p w14:paraId="18503AB1">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58E8451B">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电话：</w:t>
      </w:r>
    </w:p>
    <w:p w14:paraId="61B00E79">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传真：</w:t>
      </w:r>
    </w:p>
    <w:p w14:paraId="3A2826DA">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地址：</w:t>
      </w:r>
    </w:p>
    <w:p w14:paraId="31674C71">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邮编：</w:t>
      </w:r>
    </w:p>
    <w:p w14:paraId="62EC5D52">
      <w:pPr>
        <w:spacing w:line="400" w:lineRule="exact"/>
        <w:ind w:firstLine="720"/>
        <w:rPr>
          <w:rFonts w:hint="eastAsia" w:ascii="宋体" w:hAnsi="宋体" w:eastAsia="宋体" w:cs="Times New Roman"/>
          <w:bCs/>
          <w:sz w:val="24"/>
          <w:szCs w:val="24"/>
        </w:rPr>
      </w:pPr>
      <w:r>
        <w:rPr>
          <w:rFonts w:hint="eastAsia" w:ascii="宋体" w:hAnsi="宋体" w:eastAsia="宋体" w:cs="Times New Roman"/>
          <w:bCs/>
          <w:sz w:val="24"/>
          <w:szCs w:val="24"/>
        </w:rPr>
        <w:t>电子邮箱：</w:t>
      </w:r>
    </w:p>
    <w:p w14:paraId="20C4FD90">
      <w:pPr>
        <w:spacing w:line="400" w:lineRule="exact"/>
        <w:jc w:val="center"/>
        <w:rPr>
          <w:rFonts w:hint="eastAsia" w:ascii="黑体" w:hAnsi="黑体" w:eastAsia="黑体" w:cs="Times New Roman"/>
          <w:sz w:val="28"/>
          <w:szCs w:val="28"/>
        </w:rPr>
      </w:pPr>
      <w:bookmarkStart w:id="18" w:name="_Toc194739809"/>
      <w:bookmarkStart w:id="19" w:name="_Toc222799676"/>
    </w:p>
    <w:p w14:paraId="404050EF">
      <w:pPr>
        <w:spacing w:line="400" w:lineRule="exact"/>
        <w:jc w:val="center"/>
        <w:rPr>
          <w:rFonts w:hint="eastAsia" w:ascii="黑体" w:hAnsi="黑体" w:eastAsia="黑体" w:cs="Times New Roman"/>
          <w:sz w:val="28"/>
          <w:szCs w:val="28"/>
        </w:rPr>
        <w:sectPr>
          <w:pgSz w:w="11906" w:h="16838"/>
          <w:pgMar w:top="1247" w:right="1247" w:bottom="1247" w:left="1247" w:header="680" w:footer="992" w:gutter="0"/>
          <w:cols w:space="720" w:num="1"/>
          <w:docGrid w:linePitch="360" w:charSpace="0"/>
        </w:sectPr>
      </w:pPr>
    </w:p>
    <w:p w14:paraId="7E6DAF92">
      <w:pPr>
        <w:spacing w:line="400" w:lineRule="exact"/>
        <w:jc w:val="center"/>
        <w:rPr>
          <w:rFonts w:hint="eastAsia" w:ascii="黑体" w:hAnsi="黑体" w:eastAsia="黑体" w:cs="Times New Roman"/>
          <w:sz w:val="28"/>
          <w:szCs w:val="28"/>
        </w:rPr>
      </w:pPr>
    </w:p>
    <w:p w14:paraId="50F57092">
      <w:pPr>
        <w:spacing w:line="400" w:lineRule="exact"/>
        <w:jc w:val="center"/>
        <w:rPr>
          <w:rFonts w:hint="eastAsia" w:ascii="黑体" w:hAnsi="黑体" w:eastAsia="黑体" w:cs="Times New Roman"/>
          <w:bCs/>
          <w:sz w:val="28"/>
          <w:szCs w:val="28"/>
          <w:u w:val="single"/>
        </w:rPr>
      </w:pPr>
      <w:r>
        <w:rPr>
          <w:rFonts w:hint="eastAsia" w:ascii="黑体" w:hAnsi="黑体" w:eastAsia="黑体" w:cs="Times New Roman"/>
          <w:sz w:val="28"/>
          <w:szCs w:val="28"/>
        </w:rPr>
        <w:t>二、开标一览表</w:t>
      </w:r>
    </w:p>
    <w:p w14:paraId="72EC66AE">
      <w:pPr>
        <w:spacing w:line="400" w:lineRule="exact"/>
        <w:jc w:val="center"/>
        <w:rPr>
          <w:rFonts w:hint="eastAsia" w:ascii="黑体" w:hAnsi="黑体" w:eastAsia="黑体" w:cs="Times New Roman"/>
          <w:bCs/>
          <w:sz w:val="28"/>
          <w:szCs w:val="28"/>
          <w:u w:val="single"/>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33124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vAlign w:val="center"/>
          </w:tcPr>
          <w:p w14:paraId="722C12A6">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7224" w:type="dxa"/>
            <w:vAlign w:val="center"/>
          </w:tcPr>
          <w:p w14:paraId="1FD46ACF">
            <w:pPr>
              <w:widowControl/>
              <w:spacing w:line="400" w:lineRule="exact"/>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JSZC-320281-JZCG-G2026-0017</w:t>
            </w:r>
          </w:p>
        </w:tc>
      </w:tr>
      <w:tr w14:paraId="72A93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vAlign w:val="center"/>
          </w:tcPr>
          <w:p w14:paraId="6058AE60">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7224" w:type="dxa"/>
            <w:vAlign w:val="center"/>
          </w:tcPr>
          <w:p w14:paraId="45268AD7">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lang w:eastAsia="zh-CN"/>
              </w:rPr>
              <w:t>江阴市人民医院经皮氧、二氧化碳监测仪项目</w:t>
            </w:r>
          </w:p>
        </w:tc>
      </w:tr>
      <w:tr w14:paraId="6A41F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vAlign w:val="center"/>
          </w:tcPr>
          <w:p w14:paraId="61CFEA5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项目报价</w:t>
            </w:r>
          </w:p>
          <w:p w14:paraId="005E528B">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（单位：元）</w:t>
            </w:r>
          </w:p>
        </w:tc>
        <w:tc>
          <w:tcPr>
            <w:tcW w:w="7224" w:type="dxa"/>
            <w:vAlign w:val="center"/>
          </w:tcPr>
          <w:p w14:paraId="3D915BCA">
            <w:pPr>
              <w:widowControl/>
              <w:spacing w:line="400" w:lineRule="exact"/>
              <w:ind w:firstLine="480"/>
              <w:jc w:val="center"/>
              <w:rPr>
                <w:rFonts w:hint="eastAsia" w:ascii="宋体" w:hAnsi="宋体" w:eastAsia="宋体" w:cs="宋体"/>
                <w:sz w:val="24"/>
                <w:szCs w:val="24"/>
              </w:rPr>
            </w:pPr>
            <w:r>
              <w:rPr>
                <w:rFonts w:hint="eastAsia" w:ascii="宋体" w:hAnsi="宋体" w:eastAsia="宋体" w:cs="宋体"/>
                <w:sz w:val="24"/>
                <w:szCs w:val="24"/>
              </w:rPr>
              <w:t>以“标书制作客户端一一基本目录一一开标一览表”中</w:t>
            </w:r>
          </w:p>
          <w:p w14:paraId="0C7B1E31">
            <w:pPr>
              <w:widowControl/>
              <w:spacing w:line="400" w:lineRule="exact"/>
              <w:ind w:firstLine="480"/>
              <w:jc w:val="center"/>
              <w:rPr>
                <w:rFonts w:hint="eastAsia" w:ascii="宋体" w:hAnsi="宋体" w:eastAsia="宋体" w:cs="宋体"/>
                <w:sz w:val="24"/>
                <w:szCs w:val="24"/>
              </w:rPr>
            </w:pPr>
            <w:r>
              <w:rPr>
                <w:rFonts w:hint="eastAsia" w:ascii="宋体" w:hAnsi="宋体" w:eastAsia="宋体" w:cs="宋体"/>
                <w:sz w:val="24"/>
                <w:szCs w:val="24"/>
              </w:rPr>
              <w:t>填写的金额为准。</w:t>
            </w:r>
          </w:p>
        </w:tc>
      </w:tr>
    </w:tbl>
    <w:p w14:paraId="007E4F33">
      <w:pPr>
        <w:spacing w:line="400" w:lineRule="exact"/>
        <w:jc w:val="left"/>
        <w:rPr>
          <w:rFonts w:hint="eastAsia" w:ascii="宋体" w:hAnsi="宋体" w:eastAsia="宋体" w:cs="Times New Roman"/>
          <w:b/>
          <w:sz w:val="24"/>
          <w:szCs w:val="24"/>
        </w:rPr>
      </w:pPr>
      <w:bookmarkStart w:id="20" w:name="_Toc145474400"/>
      <w:bookmarkStart w:id="21" w:name="_Toc194386107"/>
      <w:bookmarkStart w:id="22" w:name="_Toc158691780"/>
      <w:r>
        <w:rPr>
          <w:rFonts w:hint="eastAsia" w:ascii="宋体" w:hAnsi="宋体" w:eastAsia="宋体" w:cs="Times New Roman"/>
          <w:b/>
          <w:sz w:val="24"/>
          <w:szCs w:val="24"/>
        </w:rPr>
        <w:t>注：此表格无需填报具体内容，签章上传即可。</w:t>
      </w:r>
    </w:p>
    <w:p w14:paraId="08B10A55">
      <w:pPr>
        <w:spacing w:line="400" w:lineRule="exact"/>
        <w:ind w:firstLine="3600"/>
        <w:jc w:val="left"/>
        <w:rPr>
          <w:rFonts w:hint="eastAsia" w:ascii="宋体" w:hAnsi="宋体" w:eastAsia="宋体" w:cs="Times New Roman"/>
          <w:bCs/>
          <w:sz w:val="24"/>
          <w:szCs w:val="24"/>
        </w:rPr>
      </w:pPr>
    </w:p>
    <w:p w14:paraId="0AE61834">
      <w:pPr>
        <w:spacing w:line="400" w:lineRule="exact"/>
        <w:ind w:firstLine="3600"/>
        <w:jc w:val="left"/>
        <w:rPr>
          <w:rFonts w:hint="eastAsia" w:ascii="宋体" w:hAnsi="宋体" w:eastAsia="宋体" w:cs="Times New Roman"/>
          <w:bCs/>
          <w:sz w:val="24"/>
          <w:szCs w:val="24"/>
        </w:rPr>
      </w:pPr>
    </w:p>
    <w:p w14:paraId="383B4025">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5418A4F1">
      <w:pPr>
        <w:spacing w:line="400" w:lineRule="exact"/>
        <w:ind w:firstLine="3600"/>
        <w:jc w:val="left"/>
        <w:rPr>
          <w:rFonts w:hint="eastAsia" w:ascii="宋体" w:hAnsi="宋体" w:eastAsia="宋体" w:cs="Times New Roman"/>
          <w:bCs/>
          <w:sz w:val="24"/>
          <w:szCs w:val="24"/>
        </w:rPr>
      </w:pPr>
    </w:p>
    <w:p w14:paraId="507C9D72">
      <w:pPr>
        <w:spacing w:line="400" w:lineRule="exact"/>
        <w:ind w:firstLine="36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bookmarkEnd w:id="20"/>
    <w:bookmarkEnd w:id="21"/>
    <w:bookmarkEnd w:id="22"/>
    <w:p w14:paraId="68F25159">
      <w:pPr>
        <w:spacing w:line="400" w:lineRule="exact"/>
        <w:jc w:val="both"/>
        <w:rPr>
          <w:rFonts w:hint="eastAsia" w:ascii="宋体" w:hAnsi="宋体" w:eastAsia="宋体" w:cs="Times New Roman"/>
          <w:sz w:val="24"/>
          <w:szCs w:val="24"/>
        </w:rPr>
        <w:sectPr>
          <w:pgSz w:w="11906" w:h="16838"/>
          <w:pgMar w:top="1247" w:right="1247" w:bottom="1247" w:left="1247" w:header="680" w:footer="992" w:gutter="0"/>
          <w:cols w:space="720" w:num="1"/>
          <w:docGrid w:linePitch="360" w:charSpace="0"/>
        </w:sectPr>
      </w:pPr>
      <w:bookmarkStart w:id="23" w:name="_Toc158691783"/>
      <w:bookmarkStart w:id="24" w:name="_Toc194386110"/>
      <w:bookmarkStart w:id="25" w:name="_Toc129333640"/>
    </w:p>
    <w:p w14:paraId="3327C45C">
      <w:pPr>
        <w:spacing w:line="400" w:lineRule="exact"/>
        <w:jc w:val="both"/>
        <w:rPr>
          <w:rFonts w:hint="eastAsia" w:ascii="黑体" w:hAnsi="黑体" w:eastAsia="黑体" w:cs="Times New Roman"/>
          <w:sz w:val="28"/>
          <w:szCs w:val="28"/>
        </w:rPr>
      </w:pPr>
    </w:p>
    <w:p w14:paraId="17A4CF06">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三、报价明细表</w:t>
      </w:r>
    </w:p>
    <w:p w14:paraId="28A6C53D">
      <w:pPr>
        <w:spacing w:line="360" w:lineRule="exact"/>
        <w:rPr>
          <w:rFonts w:hint="eastAsia" w:ascii="宋体" w:hAnsi="宋体" w:eastAsia="宋体" w:cs="Times New Roman"/>
          <w:b/>
          <w:bCs/>
          <w:sz w:val="24"/>
          <w:szCs w:val="24"/>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05A5B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vAlign w:val="center"/>
          </w:tcPr>
          <w:p w14:paraId="20E98782">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3113" w:type="dxa"/>
            <w:vAlign w:val="center"/>
          </w:tcPr>
          <w:p w14:paraId="3A00519B">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费用名称</w:t>
            </w:r>
          </w:p>
        </w:tc>
        <w:tc>
          <w:tcPr>
            <w:tcW w:w="5224" w:type="dxa"/>
            <w:vAlign w:val="center"/>
          </w:tcPr>
          <w:p w14:paraId="394776CF">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价格</w:t>
            </w:r>
          </w:p>
        </w:tc>
      </w:tr>
      <w:tr w14:paraId="4E1A5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vAlign w:val="center"/>
          </w:tcPr>
          <w:p w14:paraId="40B6ECCC">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3113" w:type="dxa"/>
            <w:vAlign w:val="center"/>
          </w:tcPr>
          <w:p w14:paraId="44A7355C">
            <w:pPr>
              <w:spacing w:line="400" w:lineRule="exact"/>
              <w:rPr>
                <w:rFonts w:hint="eastAsia" w:ascii="宋体" w:hAnsi="宋体" w:eastAsia="宋体" w:cs="Times New Roman"/>
                <w:sz w:val="24"/>
                <w:szCs w:val="24"/>
              </w:rPr>
            </w:pPr>
          </w:p>
        </w:tc>
        <w:tc>
          <w:tcPr>
            <w:tcW w:w="5224" w:type="dxa"/>
            <w:vAlign w:val="center"/>
          </w:tcPr>
          <w:p w14:paraId="5DB6EFCC">
            <w:pPr>
              <w:spacing w:line="400" w:lineRule="exact"/>
              <w:rPr>
                <w:rFonts w:hint="eastAsia" w:ascii="宋体" w:hAnsi="宋体" w:eastAsia="宋体" w:cs="Times New Roman"/>
                <w:sz w:val="24"/>
                <w:szCs w:val="24"/>
              </w:rPr>
            </w:pPr>
          </w:p>
        </w:tc>
      </w:tr>
      <w:tr w14:paraId="255CB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vAlign w:val="center"/>
          </w:tcPr>
          <w:p w14:paraId="644BEFA4">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3113" w:type="dxa"/>
            <w:vAlign w:val="center"/>
          </w:tcPr>
          <w:p w14:paraId="50354822">
            <w:pPr>
              <w:spacing w:line="400" w:lineRule="exact"/>
              <w:rPr>
                <w:rFonts w:hint="eastAsia" w:ascii="宋体" w:hAnsi="宋体" w:eastAsia="宋体" w:cs="Times New Roman"/>
                <w:sz w:val="24"/>
                <w:szCs w:val="24"/>
              </w:rPr>
            </w:pPr>
          </w:p>
        </w:tc>
        <w:tc>
          <w:tcPr>
            <w:tcW w:w="5224" w:type="dxa"/>
            <w:vAlign w:val="center"/>
          </w:tcPr>
          <w:p w14:paraId="271D2D39">
            <w:pPr>
              <w:spacing w:line="400" w:lineRule="exact"/>
              <w:rPr>
                <w:rFonts w:hint="eastAsia" w:ascii="宋体" w:hAnsi="宋体" w:eastAsia="宋体" w:cs="Times New Roman"/>
                <w:sz w:val="24"/>
                <w:szCs w:val="24"/>
              </w:rPr>
            </w:pPr>
          </w:p>
        </w:tc>
      </w:tr>
      <w:tr w14:paraId="06535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71705A92">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3113" w:type="dxa"/>
            <w:vAlign w:val="center"/>
          </w:tcPr>
          <w:p w14:paraId="7E4F9A0E">
            <w:pPr>
              <w:spacing w:line="400" w:lineRule="exact"/>
              <w:rPr>
                <w:rFonts w:hint="eastAsia" w:ascii="宋体" w:hAnsi="宋体" w:eastAsia="宋体" w:cs="Times New Roman"/>
                <w:sz w:val="24"/>
                <w:szCs w:val="24"/>
              </w:rPr>
            </w:pPr>
          </w:p>
        </w:tc>
        <w:tc>
          <w:tcPr>
            <w:tcW w:w="5224" w:type="dxa"/>
            <w:vAlign w:val="center"/>
          </w:tcPr>
          <w:p w14:paraId="4ED61793">
            <w:pPr>
              <w:spacing w:line="400" w:lineRule="exact"/>
              <w:rPr>
                <w:rFonts w:hint="eastAsia" w:ascii="宋体" w:hAnsi="宋体" w:eastAsia="宋体" w:cs="Times New Roman"/>
                <w:sz w:val="24"/>
                <w:szCs w:val="24"/>
              </w:rPr>
            </w:pPr>
          </w:p>
        </w:tc>
      </w:tr>
      <w:tr w14:paraId="683E74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458DC1EA">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4</w:t>
            </w:r>
          </w:p>
        </w:tc>
        <w:tc>
          <w:tcPr>
            <w:tcW w:w="3113" w:type="dxa"/>
            <w:vAlign w:val="center"/>
          </w:tcPr>
          <w:p w14:paraId="6A550F30">
            <w:pPr>
              <w:spacing w:line="400" w:lineRule="exact"/>
              <w:rPr>
                <w:rFonts w:hint="eastAsia" w:ascii="宋体" w:hAnsi="宋体" w:eastAsia="宋体" w:cs="Times New Roman"/>
                <w:sz w:val="24"/>
                <w:szCs w:val="24"/>
              </w:rPr>
            </w:pPr>
          </w:p>
        </w:tc>
        <w:tc>
          <w:tcPr>
            <w:tcW w:w="5224" w:type="dxa"/>
            <w:vAlign w:val="center"/>
          </w:tcPr>
          <w:p w14:paraId="5C3494D4">
            <w:pPr>
              <w:spacing w:line="400" w:lineRule="exact"/>
              <w:rPr>
                <w:rFonts w:hint="eastAsia" w:ascii="宋体" w:hAnsi="宋体" w:eastAsia="宋体" w:cs="Times New Roman"/>
                <w:sz w:val="24"/>
                <w:szCs w:val="24"/>
              </w:rPr>
            </w:pPr>
          </w:p>
        </w:tc>
      </w:tr>
      <w:tr w14:paraId="422FA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3F099EB6">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5</w:t>
            </w:r>
          </w:p>
        </w:tc>
        <w:tc>
          <w:tcPr>
            <w:tcW w:w="3113" w:type="dxa"/>
            <w:vAlign w:val="center"/>
          </w:tcPr>
          <w:p w14:paraId="6F1A7804">
            <w:pPr>
              <w:spacing w:line="400" w:lineRule="exact"/>
              <w:rPr>
                <w:rFonts w:hint="eastAsia" w:ascii="宋体" w:hAnsi="宋体" w:eastAsia="宋体" w:cs="Times New Roman"/>
                <w:sz w:val="24"/>
                <w:szCs w:val="24"/>
              </w:rPr>
            </w:pPr>
          </w:p>
        </w:tc>
        <w:tc>
          <w:tcPr>
            <w:tcW w:w="5224" w:type="dxa"/>
            <w:vAlign w:val="center"/>
          </w:tcPr>
          <w:p w14:paraId="657B31BA">
            <w:pPr>
              <w:spacing w:line="400" w:lineRule="exact"/>
              <w:rPr>
                <w:rFonts w:hint="eastAsia" w:ascii="宋体" w:hAnsi="宋体" w:eastAsia="宋体" w:cs="Times New Roman"/>
                <w:sz w:val="24"/>
                <w:szCs w:val="24"/>
              </w:rPr>
            </w:pPr>
          </w:p>
        </w:tc>
      </w:tr>
      <w:tr w14:paraId="79769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39D5FBAC">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6</w:t>
            </w:r>
          </w:p>
        </w:tc>
        <w:tc>
          <w:tcPr>
            <w:tcW w:w="3113" w:type="dxa"/>
            <w:vAlign w:val="center"/>
          </w:tcPr>
          <w:p w14:paraId="6124C415">
            <w:pPr>
              <w:spacing w:line="400" w:lineRule="exact"/>
              <w:rPr>
                <w:rFonts w:hint="eastAsia" w:ascii="宋体" w:hAnsi="宋体" w:eastAsia="宋体" w:cs="Times New Roman"/>
                <w:sz w:val="24"/>
                <w:szCs w:val="24"/>
              </w:rPr>
            </w:pPr>
          </w:p>
        </w:tc>
        <w:tc>
          <w:tcPr>
            <w:tcW w:w="5224" w:type="dxa"/>
            <w:vAlign w:val="center"/>
          </w:tcPr>
          <w:p w14:paraId="5A834839">
            <w:pPr>
              <w:spacing w:line="400" w:lineRule="exact"/>
              <w:rPr>
                <w:rFonts w:hint="eastAsia" w:ascii="宋体" w:hAnsi="宋体" w:eastAsia="宋体" w:cs="Times New Roman"/>
                <w:sz w:val="24"/>
                <w:szCs w:val="24"/>
              </w:rPr>
            </w:pPr>
          </w:p>
        </w:tc>
      </w:tr>
      <w:tr w14:paraId="2961F3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vAlign w:val="center"/>
          </w:tcPr>
          <w:p w14:paraId="549021CE">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7</w:t>
            </w:r>
          </w:p>
        </w:tc>
        <w:tc>
          <w:tcPr>
            <w:tcW w:w="3113" w:type="dxa"/>
            <w:vAlign w:val="center"/>
          </w:tcPr>
          <w:p w14:paraId="386DC543">
            <w:pPr>
              <w:spacing w:line="400" w:lineRule="exact"/>
              <w:rPr>
                <w:rFonts w:hint="eastAsia" w:ascii="宋体" w:hAnsi="宋体" w:eastAsia="宋体" w:cs="Times New Roman"/>
                <w:sz w:val="24"/>
                <w:szCs w:val="24"/>
              </w:rPr>
            </w:pPr>
          </w:p>
        </w:tc>
        <w:tc>
          <w:tcPr>
            <w:tcW w:w="5224" w:type="dxa"/>
            <w:vAlign w:val="center"/>
          </w:tcPr>
          <w:p w14:paraId="6635649E">
            <w:pPr>
              <w:spacing w:line="400" w:lineRule="exact"/>
              <w:rPr>
                <w:rFonts w:hint="eastAsia" w:ascii="宋体" w:hAnsi="宋体" w:eastAsia="宋体" w:cs="Times New Roman"/>
                <w:sz w:val="24"/>
                <w:szCs w:val="24"/>
              </w:rPr>
            </w:pPr>
          </w:p>
        </w:tc>
      </w:tr>
      <w:tr w14:paraId="11E376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2DD91A28">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w:t>
            </w:r>
          </w:p>
        </w:tc>
        <w:tc>
          <w:tcPr>
            <w:tcW w:w="3113" w:type="dxa"/>
            <w:vAlign w:val="center"/>
          </w:tcPr>
          <w:p w14:paraId="7CCD38AF">
            <w:pPr>
              <w:spacing w:line="400" w:lineRule="exact"/>
              <w:rPr>
                <w:rFonts w:hint="eastAsia" w:ascii="宋体" w:hAnsi="宋体" w:eastAsia="宋体" w:cs="Times New Roman"/>
                <w:sz w:val="24"/>
                <w:szCs w:val="24"/>
              </w:rPr>
            </w:pPr>
          </w:p>
        </w:tc>
        <w:tc>
          <w:tcPr>
            <w:tcW w:w="5224" w:type="dxa"/>
            <w:vAlign w:val="center"/>
          </w:tcPr>
          <w:p w14:paraId="68048EB4">
            <w:pPr>
              <w:spacing w:line="400" w:lineRule="exact"/>
              <w:rPr>
                <w:rFonts w:hint="eastAsia" w:ascii="宋体" w:hAnsi="宋体" w:eastAsia="宋体" w:cs="Times New Roman"/>
                <w:sz w:val="24"/>
                <w:szCs w:val="24"/>
              </w:rPr>
            </w:pPr>
          </w:p>
        </w:tc>
      </w:tr>
      <w:tr w14:paraId="15C805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vAlign w:val="center"/>
          </w:tcPr>
          <w:p w14:paraId="5E42B758">
            <w:pPr>
              <w:spacing w:line="400" w:lineRule="exact"/>
              <w:jc w:val="center"/>
              <w:rPr>
                <w:rFonts w:hint="eastAsia" w:ascii="宋体" w:hAnsi="宋体" w:eastAsia="宋体" w:cs="Times New Roman"/>
                <w:sz w:val="24"/>
                <w:szCs w:val="24"/>
              </w:rPr>
            </w:pPr>
          </w:p>
        </w:tc>
        <w:tc>
          <w:tcPr>
            <w:tcW w:w="3113" w:type="dxa"/>
            <w:vAlign w:val="center"/>
          </w:tcPr>
          <w:p w14:paraId="408087F4">
            <w:pPr>
              <w:spacing w:line="400" w:lineRule="exact"/>
              <w:rPr>
                <w:rFonts w:hint="eastAsia" w:ascii="宋体" w:hAnsi="宋体" w:eastAsia="宋体" w:cs="Times New Roman"/>
                <w:sz w:val="24"/>
                <w:szCs w:val="24"/>
              </w:rPr>
            </w:pPr>
          </w:p>
        </w:tc>
        <w:tc>
          <w:tcPr>
            <w:tcW w:w="5224" w:type="dxa"/>
            <w:vAlign w:val="center"/>
          </w:tcPr>
          <w:p w14:paraId="1DEC8571">
            <w:pPr>
              <w:spacing w:line="400" w:lineRule="exact"/>
              <w:rPr>
                <w:rFonts w:hint="eastAsia" w:ascii="宋体" w:hAnsi="宋体" w:eastAsia="宋体" w:cs="Times New Roman"/>
                <w:sz w:val="24"/>
                <w:szCs w:val="24"/>
              </w:rPr>
            </w:pPr>
          </w:p>
        </w:tc>
      </w:tr>
      <w:tr w14:paraId="093AB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vAlign w:val="center"/>
          </w:tcPr>
          <w:p w14:paraId="3593B429">
            <w:pPr>
              <w:spacing w:line="400" w:lineRule="exact"/>
              <w:jc w:val="center"/>
              <w:rPr>
                <w:rFonts w:hint="eastAsia" w:ascii="宋体" w:hAnsi="宋体" w:eastAsia="宋体" w:cs="Times New Roman"/>
                <w:sz w:val="24"/>
                <w:szCs w:val="24"/>
              </w:rPr>
            </w:pPr>
            <w:r>
              <w:rPr>
                <w:rFonts w:hint="eastAsia" w:ascii="宋体" w:hAnsi="宋体" w:eastAsia="宋体" w:cs="Times New Roman"/>
                <w:sz w:val="24"/>
                <w:szCs w:val="24"/>
              </w:rPr>
              <w:t>合计</w:t>
            </w:r>
          </w:p>
        </w:tc>
        <w:tc>
          <w:tcPr>
            <w:tcW w:w="5224" w:type="dxa"/>
            <w:vAlign w:val="center"/>
          </w:tcPr>
          <w:p w14:paraId="7E735A30">
            <w:pPr>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小写：￥</w:t>
            </w:r>
            <w:r>
              <w:rPr>
                <w:rFonts w:hint="eastAsia" w:ascii="宋体" w:hAnsi="宋体" w:eastAsia="宋体" w:cs="Times New Roman"/>
                <w:sz w:val="24"/>
                <w:szCs w:val="24"/>
                <w:u w:val="single"/>
              </w:rPr>
              <w:t xml:space="preserve">                                </w:t>
            </w:r>
          </w:p>
          <w:p w14:paraId="2A57E6B7">
            <w:pPr>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大写：人民币</w:t>
            </w:r>
            <w:r>
              <w:rPr>
                <w:rFonts w:hint="eastAsia" w:ascii="宋体" w:hAnsi="宋体" w:eastAsia="宋体" w:cs="Times New Roman"/>
                <w:sz w:val="24"/>
                <w:szCs w:val="24"/>
                <w:u w:val="single"/>
              </w:rPr>
              <w:t xml:space="preserve">                            </w:t>
            </w:r>
          </w:p>
        </w:tc>
      </w:tr>
    </w:tbl>
    <w:p w14:paraId="2C895228">
      <w:pPr>
        <w:spacing w:line="360" w:lineRule="exact"/>
        <w:rPr>
          <w:rFonts w:hint="eastAsia" w:ascii="宋体" w:hAnsi="宋体" w:eastAsia="宋体" w:cs="Times New Roman"/>
          <w:b/>
          <w:bCs/>
          <w:sz w:val="24"/>
          <w:szCs w:val="24"/>
        </w:rPr>
      </w:pPr>
    </w:p>
    <w:p w14:paraId="2B21A61E">
      <w:pPr>
        <w:spacing w:line="360" w:lineRule="exact"/>
        <w:rPr>
          <w:rFonts w:hint="eastAsia" w:ascii="宋体" w:hAnsi="宋体" w:eastAsia="宋体" w:cs="Times New Roman"/>
          <w:b/>
          <w:bCs/>
          <w:sz w:val="24"/>
          <w:szCs w:val="24"/>
        </w:rPr>
      </w:pPr>
    </w:p>
    <w:p w14:paraId="44EEA1B8">
      <w:pPr>
        <w:spacing w:line="360" w:lineRule="exact"/>
        <w:rPr>
          <w:rFonts w:hint="eastAsia" w:ascii="宋体" w:hAnsi="宋体" w:eastAsia="宋体" w:cs="Times New Roman"/>
          <w:b/>
          <w:bCs/>
          <w:sz w:val="24"/>
          <w:szCs w:val="24"/>
        </w:rPr>
      </w:pPr>
    </w:p>
    <w:p w14:paraId="11BEDB00">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61E44998">
      <w:pPr>
        <w:spacing w:line="400" w:lineRule="exact"/>
        <w:ind w:firstLine="3600"/>
        <w:jc w:val="left"/>
        <w:rPr>
          <w:rFonts w:hint="eastAsia" w:ascii="宋体" w:hAnsi="宋体" w:eastAsia="宋体" w:cs="Times New Roman"/>
          <w:bCs/>
          <w:sz w:val="24"/>
          <w:szCs w:val="24"/>
        </w:rPr>
      </w:pPr>
    </w:p>
    <w:p w14:paraId="0DE827B6">
      <w:pPr>
        <w:spacing w:line="400" w:lineRule="exact"/>
        <w:ind w:firstLine="3600"/>
        <w:jc w:val="left"/>
        <w:rPr>
          <w:rFonts w:hint="eastAsia" w:ascii="宋体" w:hAnsi="宋体" w:eastAsia="宋体" w:cs="Times New Roman"/>
          <w:bCs/>
          <w:sz w:val="24"/>
          <w:szCs w:val="24"/>
        </w:rPr>
        <w:sectPr>
          <w:pgSz w:w="11906" w:h="16838"/>
          <w:pgMar w:top="1247" w:right="1247" w:bottom="1247" w:left="1247" w:header="680" w:footer="992" w:gutter="0"/>
          <w:cols w:space="720" w:num="1"/>
          <w:docGrid w:linePitch="360" w:charSpace="0"/>
        </w:sectPr>
      </w:pPr>
      <w:r>
        <w:rPr>
          <w:rFonts w:hint="eastAsia" w:ascii="宋体" w:hAnsi="宋体" w:eastAsia="宋体" w:cs="Times New Roman"/>
          <w:bCs/>
          <w:sz w:val="24"/>
          <w:szCs w:val="24"/>
        </w:rPr>
        <w:t>日期：     年    月    日</w:t>
      </w:r>
    </w:p>
    <w:bookmarkEnd w:id="18"/>
    <w:bookmarkEnd w:id="19"/>
    <w:bookmarkEnd w:id="23"/>
    <w:bookmarkEnd w:id="24"/>
    <w:bookmarkEnd w:id="25"/>
    <w:p w14:paraId="1E481C47">
      <w:pPr>
        <w:spacing w:line="400" w:lineRule="exact"/>
        <w:jc w:val="center"/>
        <w:rPr>
          <w:rFonts w:hint="eastAsia" w:ascii="黑体" w:hAnsi="黑体" w:eastAsia="黑体" w:cs="Times New Roman"/>
          <w:sz w:val="28"/>
          <w:szCs w:val="28"/>
        </w:rPr>
      </w:pPr>
    </w:p>
    <w:p w14:paraId="3F190B56">
      <w:pPr>
        <w:spacing w:line="400" w:lineRule="exact"/>
        <w:jc w:val="center"/>
        <w:rPr>
          <w:rFonts w:ascii="黑体" w:hAnsi="黑体" w:eastAsia="黑体" w:cs="Times New Roman"/>
          <w:sz w:val="28"/>
          <w:szCs w:val="28"/>
        </w:rPr>
      </w:pPr>
    </w:p>
    <w:p w14:paraId="38B2AA08">
      <w:pPr>
        <w:spacing w:line="400" w:lineRule="exact"/>
        <w:jc w:val="center"/>
        <w:rPr>
          <w:rFonts w:ascii="黑体" w:hAnsi="黑体" w:eastAsia="黑体" w:cs="Times New Roman"/>
          <w:sz w:val="28"/>
          <w:szCs w:val="28"/>
        </w:rPr>
      </w:pPr>
      <w:r>
        <w:rPr>
          <w:rFonts w:hint="eastAsia" w:ascii="黑体" w:hAnsi="Times New Roman" w:eastAsia="黑体" w:cs="Times New Roman"/>
          <w:sz w:val="28"/>
          <w:szCs w:val="28"/>
        </w:rPr>
        <w:t>四、</w:t>
      </w:r>
      <w:r>
        <w:rPr>
          <w:rFonts w:hint="eastAsia" w:ascii="黑体" w:hAnsi="黑体" w:eastAsia="黑体" w:cs="Times New Roman"/>
          <w:sz w:val="28"/>
          <w:szCs w:val="28"/>
        </w:rPr>
        <w:t>详细配置一览表</w:t>
      </w:r>
    </w:p>
    <w:p w14:paraId="0EA995B6">
      <w:pPr>
        <w:spacing w:line="400" w:lineRule="exact"/>
        <w:outlineLvl w:val="1"/>
        <w:rPr>
          <w:rFonts w:ascii="黑体" w:hAnsi="Times New Roman" w:eastAsia="黑体" w:cs="Times New Roman"/>
          <w:b/>
          <w:sz w:val="28"/>
          <w:szCs w:val="28"/>
        </w:rPr>
      </w:pPr>
    </w:p>
    <w:tbl>
      <w:tblPr>
        <w:tblStyle w:val="33"/>
        <w:tblW w:w="500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791"/>
        <w:gridCol w:w="827"/>
        <w:gridCol w:w="1099"/>
        <w:gridCol w:w="1235"/>
        <w:gridCol w:w="731"/>
        <w:gridCol w:w="851"/>
        <w:gridCol w:w="708"/>
        <w:gridCol w:w="709"/>
        <w:gridCol w:w="1276"/>
        <w:gridCol w:w="726"/>
        <w:gridCol w:w="10"/>
      </w:tblGrid>
      <w:tr w14:paraId="7DC918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675" w:type="dxa"/>
            <w:tcBorders>
              <w:top w:val="single" w:color="auto" w:sz="12" w:space="0"/>
              <w:left w:val="single" w:color="auto" w:sz="12" w:space="0"/>
              <w:bottom w:val="single" w:color="auto" w:sz="6" w:space="0"/>
              <w:right w:val="single" w:color="auto" w:sz="6" w:space="0"/>
            </w:tcBorders>
            <w:vAlign w:val="center"/>
          </w:tcPr>
          <w:p w14:paraId="2E6CE1A9">
            <w:pPr>
              <w:spacing w:line="400" w:lineRule="exact"/>
              <w:jc w:val="center"/>
              <w:rPr>
                <w:rFonts w:ascii="宋体" w:hAnsi="宋体" w:eastAsia="宋体" w:cs="Times New Roman"/>
                <w:b/>
                <w:bCs/>
                <w:szCs w:val="21"/>
              </w:rPr>
            </w:pPr>
            <w:r>
              <w:rPr>
                <w:rFonts w:hint="eastAsia" w:ascii="宋体" w:hAnsi="宋体" w:eastAsia="宋体" w:cs="Times New Roman"/>
                <w:b/>
                <w:bCs/>
                <w:szCs w:val="21"/>
              </w:rPr>
              <w:t>序号</w:t>
            </w:r>
          </w:p>
        </w:tc>
        <w:tc>
          <w:tcPr>
            <w:tcW w:w="791" w:type="dxa"/>
            <w:tcBorders>
              <w:top w:val="single" w:color="auto" w:sz="12" w:space="0"/>
              <w:left w:val="single" w:color="auto" w:sz="6" w:space="0"/>
              <w:bottom w:val="single" w:color="auto" w:sz="6" w:space="0"/>
              <w:right w:val="single" w:color="auto" w:sz="6" w:space="0"/>
            </w:tcBorders>
            <w:vAlign w:val="center"/>
          </w:tcPr>
          <w:p w14:paraId="4E022216">
            <w:pPr>
              <w:spacing w:line="400" w:lineRule="exact"/>
              <w:jc w:val="center"/>
              <w:rPr>
                <w:rFonts w:ascii="宋体" w:hAnsi="宋体" w:eastAsia="宋体" w:cs="Times New Roman"/>
                <w:b/>
                <w:bCs/>
                <w:szCs w:val="21"/>
              </w:rPr>
            </w:pPr>
            <w:r>
              <w:rPr>
                <w:rFonts w:hint="eastAsia" w:ascii="宋体" w:hAnsi="宋体" w:eastAsia="宋体" w:cs="Times New Roman"/>
                <w:b/>
                <w:bCs/>
                <w:szCs w:val="21"/>
              </w:rPr>
              <w:t>名称</w:t>
            </w:r>
          </w:p>
        </w:tc>
        <w:tc>
          <w:tcPr>
            <w:tcW w:w="827" w:type="dxa"/>
            <w:tcBorders>
              <w:top w:val="single" w:color="auto" w:sz="12" w:space="0"/>
              <w:left w:val="single" w:color="auto" w:sz="6" w:space="0"/>
              <w:bottom w:val="single" w:color="auto" w:sz="6" w:space="0"/>
              <w:right w:val="single" w:color="auto" w:sz="6" w:space="0"/>
            </w:tcBorders>
            <w:vAlign w:val="center"/>
          </w:tcPr>
          <w:p w14:paraId="1409D8F0">
            <w:pPr>
              <w:spacing w:line="400" w:lineRule="exact"/>
              <w:jc w:val="center"/>
              <w:rPr>
                <w:rFonts w:ascii="宋体" w:hAnsi="宋体" w:eastAsia="宋体" w:cs="Times New Roman"/>
                <w:b/>
                <w:bCs/>
                <w:szCs w:val="21"/>
              </w:rPr>
            </w:pPr>
            <w:r>
              <w:rPr>
                <w:rFonts w:hint="eastAsia" w:ascii="宋体" w:hAnsi="宋体" w:eastAsia="宋体" w:cs="Times New Roman"/>
                <w:b/>
                <w:bCs/>
                <w:szCs w:val="21"/>
              </w:rPr>
              <w:t>品牌</w:t>
            </w:r>
          </w:p>
        </w:tc>
        <w:tc>
          <w:tcPr>
            <w:tcW w:w="1099" w:type="dxa"/>
            <w:tcBorders>
              <w:top w:val="single" w:color="auto" w:sz="12" w:space="0"/>
              <w:left w:val="single" w:color="auto" w:sz="6" w:space="0"/>
              <w:bottom w:val="single" w:color="auto" w:sz="6" w:space="0"/>
              <w:right w:val="single" w:color="auto" w:sz="6" w:space="0"/>
            </w:tcBorders>
            <w:vAlign w:val="center"/>
          </w:tcPr>
          <w:p w14:paraId="428308F5">
            <w:pPr>
              <w:spacing w:line="400" w:lineRule="exact"/>
              <w:jc w:val="center"/>
              <w:rPr>
                <w:rFonts w:ascii="宋体" w:hAnsi="宋体" w:eastAsia="宋体" w:cs="Times New Roman"/>
                <w:b/>
                <w:bCs/>
                <w:szCs w:val="21"/>
              </w:rPr>
            </w:pPr>
            <w:r>
              <w:rPr>
                <w:rFonts w:hint="eastAsia" w:ascii="宋体" w:hAnsi="宋体" w:eastAsia="宋体" w:cs="Times New Roman"/>
                <w:b/>
                <w:bCs/>
                <w:szCs w:val="21"/>
              </w:rPr>
              <w:t>型号</w:t>
            </w:r>
          </w:p>
        </w:tc>
        <w:tc>
          <w:tcPr>
            <w:tcW w:w="1235" w:type="dxa"/>
            <w:tcBorders>
              <w:top w:val="single" w:color="auto" w:sz="12" w:space="0"/>
              <w:left w:val="single" w:color="auto" w:sz="6" w:space="0"/>
              <w:bottom w:val="single" w:color="auto" w:sz="6" w:space="0"/>
              <w:right w:val="single" w:color="auto" w:sz="6" w:space="0"/>
            </w:tcBorders>
            <w:vAlign w:val="center"/>
          </w:tcPr>
          <w:p w14:paraId="0EBA3B9F">
            <w:pPr>
              <w:spacing w:line="400" w:lineRule="exact"/>
              <w:jc w:val="center"/>
              <w:rPr>
                <w:rFonts w:ascii="宋体" w:hAnsi="宋体" w:eastAsia="宋体" w:cs="Times New Roman"/>
                <w:b/>
                <w:bCs/>
                <w:szCs w:val="21"/>
              </w:rPr>
            </w:pPr>
            <w:r>
              <w:rPr>
                <w:rFonts w:hint="eastAsia" w:ascii="宋体" w:hAnsi="宋体" w:eastAsia="宋体" w:cs="Times New Roman"/>
                <w:b/>
                <w:bCs/>
                <w:szCs w:val="21"/>
              </w:rPr>
              <w:t>数量/单位</w:t>
            </w:r>
          </w:p>
        </w:tc>
        <w:tc>
          <w:tcPr>
            <w:tcW w:w="731" w:type="dxa"/>
            <w:tcBorders>
              <w:top w:val="single" w:color="auto" w:sz="12" w:space="0"/>
              <w:left w:val="single" w:color="auto" w:sz="6" w:space="0"/>
              <w:bottom w:val="single" w:color="auto" w:sz="6" w:space="0"/>
              <w:right w:val="single" w:color="auto" w:sz="6" w:space="0"/>
            </w:tcBorders>
            <w:vAlign w:val="center"/>
          </w:tcPr>
          <w:p w14:paraId="2687ABE1">
            <w:pPr>
              <w:spacing w:line="400" w:lineRule="exact"/>
              <w:jc w:val="center"/>
              <w:rPr>
                <w:rFonts w:ascii="宋体" w:hAnsi="宋体" w:eastAsia="宋体" w:cs="Times New Roman"/>
                <w:b/>
                <w:bCs/>
                <w:szCs w:val="21"/>
              </w:rPr>
            </w:pPr>
            <w:r>
              <w:rPr>
                <w:rFonts w:hint="eastAsia" w:ascii="宋体" w:hAnsi="宋体" w:eastAsia="宋体" w:cs="Times New Roman"/>
                <w:b/>
                <w:bCs/>
                <w:szCs w:val="21"/>
              </w:rPr>
              <w:t>单报价</w:t>
            </w:r>
          </w:p>
        </w:tc>
        <w:tc>
          <w:tcPr>
            <w:tcW w:w="851" w:type="dxa"/>
            <w:tcBorders>
              <w:top w:val="single" w:color="auto" w:sz="12" w:space="0"/>
              <w:left w:val="single" w:color="auto" w:sz="6" w:space="0"/>
              <w:bottom w:val="single" w:color="auto" w:sz="6" w:space="0"/>
              <w:right w:val="single" w:color="auto" w:sz="6" w:space="0"/>
            </w:tcBorders>
            <w:vAlign w:val="center"/>
          </w:tcPr>
          <w:p w14:paraId="4E1BAD64">
            <w:pPr>
              <w:spacing w:line="400" w:lineRule="exact"/>
              <w:jc w:val="center"/>
              <w:rPr>
                <w:rFonts w:ascii="宋体" w:hAnsi="宋体" w:eastAsia="宋体" w:cs="Times New Roman"/>
                <w:b/>
                <w:bCs/>
                <w:szCs w:val="21"/>
              </w:rPr>
            </w:pPr>
            <w:r>
              <w:rPr>
                <w:rFonts w:hint="eastAsia" w:ascii="宋体" w:hAnsi="宋体" w:eastAsia="宋体" w:cs="Times New Roman"/>
                <w:b/>
                <w:bCs/>
                <w:szCs w:val="21"/>
              </w:rPr>
              <w:t>分项总报价</w:t>
            </w:r>
          </w:p>
        </w:tc>
        <w:tc>
          <w:tcPr>
            <w:tcW w:w="708" w:type="dxa"/>
            <w:tcBorders>
              <w:top w:val="single" w:color="auto" w:sz="12" w:space="0"/>
              <w:left w:val="single" w:color="auto" w:sz="6" w:space="0"/>
              <w:bottom w:val="single" w:color="auto" w:sz="6" w:space="0"/>
              <w:right w:val="single" w:color="auto" w:sz="6" w:space="0"/>
            </w:tcBorders>
            <w:vAlign w:val="center"/>
          </w:tcPr>
          <w:p w14:paraId="2AC53B6C">
            <w:pPr>
              <w:spacing w:line="400" w:lineRule="exact"/>
              <w:jc w:val="center"/>
              <w:rPr>
                <w:rFonts w:ascii="宋体" w:hAnsi="宋体" w:eastAsia="宋体" w:cs="Times New Roman"/>
                <w:b/>
                <w:bCs/>
                <w:szCs w:val="21"/>
              </w:rPr>
            </w:pPr>
            <w:r>
              <w:rPr>
                <w:rFonts w:hint="eastAsia" w:ascii="宋体" w:hAnsi="宋体" w:eastAsia="宋体" w:cs="Times New Roman"/>
                <w:b/>
                <w:bCs/>
                <w:szCs w:val="21"/>
              </w:rPr>
              <w:t>生产厂家</w:t>
            </w:r>
          </w:p>
        </w:tc>
        <w:tc>
          <w:tcPr>
            <w:tcW w:w="709" w:type="dxa"/>
            <w:tcBorders>
              <w:top w:val="single" w:color="auto" w:sz="12" w:space="0"/>
              <w:left w:val="single" w:color="auto" w:sz="6" w:space="0"/>
              <w:bottom w:val="single" w:color="auto" w:sz="6" w:space="0"/>
              <w:right w:val="single" w:color="auto" w:sz="6" w:space="0"/>
            </w:tcBorders>
            <w:vAlign w:val="center"/>
          </w:tcPr>
          <w:p w14:paraId="2DD480D8">
            <w:pPr>
              <w:spacing w:line="400" w:lineRule="exact"/>
              <w:jc w:val="center"/>
              <w:rPr>
                <w:rFonts w:ascii="宋体" w:hAnsi="宋体" w:eastAsia="宋体" w:cs="Times New Roman"/>
                <w:b/>
                <w:bCs/>
                <w:szCs w:val="21"/>
              </w:rPr>
            </w:pPr>
            <w:r>
              <w:rPr>
                <w:rFonts w:hint="eastAsia" w:ascii="宋体" w:hAnsi="宋体" w:eastAsia="宋体" w:cs="Times New Roman"/>
                <w:b/>
                <w:bCs/>
                <w:szCs w:val="21"/>
              </w:rPr>
              <w:t>质保期</w:t>
            </w:r>
          </w:p>
        </w:tc>
        <w:tc>
          <w:tcPr>
            <w:tcW w:w="1276" w:type="dxa"/>
            <w:tcBorders>
              <w:top w:val="single" w:color="auto" w:sz="12" w:space="0"/>
              <w:left w:val="single" w:color="auto" w:sz="6" w:space="0"/>
              <w:bottom w:val="single" w:color="auto" w:sz="6" w:space="0"/>
              <w:right w:val="single" w:color="auto" w:sz="4" w:space="0"/>
            </w:tcBorders>
            <w:vAlign w:val="center"/>
          </w:tcPr>
          <w:p w14:paraId="5AE3A8F8">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是否属于     小、微型企业产品</w:t>
            </w:r>
          </w:p>
        </w:tc>
        <w:tc>
          <w:tcPr>
            <w:tcW w:w="736" w:type="dxa"/>
            <w:gridSpan w:val="2"/>
            <w:tcBorders>
              <w:top w:val="single" w:color="auto" w:sz="12" w:space="0"/>
              <w:left w:val="single" w:color="auto" w:sz="4" w:space="0"/>
              <w:bottom w:val="single" w:color="auto" w:sz="6" w:space="0"/>
              <w:right w:val="single" w:color="auto" w:sz="12" w:space="0"/>
            </w:tcBorders>
            <w:vAlign w:val="center"/>
          </w:tcPr>
          <w:p w14:paraId="20C80F01">
            <w:pPr>
              <w:widowControl/>
              <w:spacing w:line="400" w:lineRule="exact"/>
              <w:jc w:val="center"/>
              <w:rPr>
                <w:rFonts w:ascii="宋体" w:hAnsi="宋体" w:eastAsia="宋体" w:cs="Times New Roman"/>
                <w:b/>
                <w:bCs/>
                <w:szCs w:val="21"/>
              </w:rPr>
            </w:pPr>
            <w:r>
              <w:rPr>
                <w:rFonts w:hint="eastAsia" w:ascii="宋体" w:hAnsi="宋体" w:eastAsia="宋体" w:cs="Times New Roman"/>
                <w:b/>
                <w:bCs/>
                <w:szCs w:val="21"/>
              </w:rPr>
              <w:t>备注</w:t>
            </w:r>
          </w:p>
        </w:tc>
      </w:tr>
      <w:tr w14:paraId="32FFB4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407"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1600751D">
            <w:pPr>
              <w:spacing w:line="400" w:lineRule="exact"/>
              <w:jc w:val="center"/>
              <w:rPr>
                <w:rFonts w:ascii="宋体" w:hAnsi="宋体" w:eastAsia="宋体" w:cs="Times New Roman"/>
                <w:kern w:val="0"/>
                <w:szCs w:val="21"/>
              </w:rPr>
            </w:pPr>
            <w:r>
              <w:rPr>
                <w:rFonts w:hint="eastAsia" w:ascii="宋体" w:hAnsi="宋体" w:eastAsia="宋体" w:cs="Times New Roman"/>
                <w:kern w:val="0"/>
                <w:szCs w:val="21"/>
              </w:rPr>
              <w:t>1</w:t>
            </w:r>
          </w:p>
        </w:tc>
        <w:tc>
          <w:tcPr>
            <w:tcW w:w="791" w:type="dxa"/>
            <w:tcBorders>
              <w:top w:val="single" w:color="auto" w:sz="6" w:space="0"/>
              <w:left w:val="single" w:color="auto" w:sz="6" w:space="0"/>
              <w:bottom w:val="single" w:color="auto" w:sz="6" w:space="0"/>
              <w:right w:val="single" w:color="auto" w:sz="6" w:space="0"/>
            </w:tcBorders>
            <w:vAlign w:val="center"/>
          </w:tcPr>
          <w:p w14:paraId="04855297">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5CC8F5EC">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32829B24">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60B455A6">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01B69C29">
            <w:pPr>
              <w:spacing w:line="400" w:lineRule="exact"/>
              <w:jc w:val="center"/>
              <w:rPr>
                <w:rFonts w:ascii="宋体" w:hAnsi="宋体" w:eastAsia="宋体" w:cs="Times New Roman"/>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60082AA">
            <w:pPr>
              <w:spacing w:line="400" w:lineRule="exact"/>
              <w:jc w:val="center"/>
              <w:rPr>
                <w:rFonts w:ascii="宋体" w:hAnsi="宋体" w:eastAsia="宋体" w:cs="Times New Roman"/>
                <w:b/>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6A4C25AE">
            <w:pPr>
              <w:spacing w:line="400" w:lineRule="exact"/>
              <w:jc w:val="center"/>
              <w:rPr>
                <w:rFonts w:ascii="宋体" w:hAnsi="宋体" w:eastAsia="宋体" w:cs="Times New Roman"/>
                <w:b/>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4DC73383">
            <w:pPr>
              <w:spacing w:line="400" w:lineRule="exact"/>
              <w:jc w:val="center"/>
              <w:rPr>
                <w:rFonts w:ascii="宋体" w:hAnsi="宋体" w:eastAsia="宋体" w:cs="Times New Roman"/>
                <w:b/>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0BBC1FB8">
            <w:pPr>
              <w:spacing w:line="400" w:lineRule="exact"/>
              <w:jc w:val="center"/>
              <w:rPr>
                <w:rFonts w:ascii="宋体" w:hAnsi="宋体" w:eastAsia="宋体" w:cs="Times New Roman"/>
                <w:b/>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50154140">
            <w:pPr>
              <w:spacing w:line="400" w:lineRule="exact"/>
              <w:jc w:val="center"/>
              <w:rPr>
                <w:rFonts w:ascii="宋体" w:hAnsi="宋体" w:eastAsia="宋体" w:cs="Times New Roman"/>
                <w:b/>
                <w:szCs w:val="21"/>
              </w:rPr>
            </w:pPr>
          </w:p>
        </w:tc>
      </w:tr>
      <w:tr w14:paraId="38BA1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0"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68B7BC58">
            <w:pPr>
              <w:spacing w:line="400" w:lineRule="exact"/>
              <w:jc w:val="center"/>
              <w:rPr>
                <w:rFonts w:ascii="宋体" w:hAnsi="宋体" w:eastAsia="宋体" w:cs="Times New Roman"/>
                <w:szCs w:val="21"/>
              </w:rPr>
            </w:pPr>
            <w:r>
              <w:rPr>
                <w:rFonts w:hint="eastAsia" w:ascii="宋体" w:hAnsi="宋体" w:eastAsia="宋体" w:cs="Times New Roman"/>
                <w:szCs w:val="21"/>
              </w:rPr>
              <w:t>2</w:t>
            </w:r>
          </w:p>
        </w:tc>
        <w:tc>
          <w:tcPr>
            <w:tcW w:w="791" w:type="dxa"/>
            <w:tcBorders>
              <w:top w:val="single" w:color="auto" w:sz="6" w:space="0"/>
              <w:left w:val="single" w:color="auto" w:sz="6" w:space="0"/>
              <w:bottom w:val="single" w:color="auto" w:sz="6" w:space="0"/>
              <w:right w:val="single" w:color="auto" w:sz="6" w:space="0"/>
            </w:tcBorders>
            <w:vAlign w:val="center"/>
          </w:tcPr>
          <w:p w14:paraId="7477C655">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25AFDAE6">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7460A839">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11C874FC">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0B95C747">
            <w:pPr>
              <w:spacing w:line="400" w:lineRule="exact"/>
              <w:jc w:val="center"/>
              <w:rPr>
                <w:rFonts w:ascii="宋体" w:hAnsi="宋体" w:eastAsia="宋体" w:cs="Times New Roman"/>
                <w:b/>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7211DF69">
            <w:pPr>
              <w:spacing w:line="400" w:lineRule="exact"/>
              <w:jc w:val="center"/>
              <w:rPr>
                <w:rFonts w:ascii="宋体" w:hAnsi="宋体" w:eastAsia="宋体" w:cs="Times New Roman"/>
                <w:b/>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440E8D19">
            <w:pPr>
              <w:spacing w:line="400" w:lineRule="exact"/>
              <w:jc w:val="center"/>
              <w:rPr>
                <w:rFonts w:ascii="宋体" w:hAnsi="宋体" w:eastAsia="宋体" w:cs="Times New Roman"/>
                <w:b/>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1112412">
            <w:pPr>
              <w:spacing w:line="400" w:lineRule="exact"/>
              <w:jc w:val="center"/>
              <w:rPr>
                <w:rFonts w:ascii="宋体" w:hAnsi="宋体" w:eastAsia="宋体" w:cs="Times New Roman"/>
                <w:b/>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2A738F35">
            <w:pPr>
              <w:spacing w:line="400" w:lineRule="exact"/>
              <w:jc w:val="center"/>
              <w:rPr>
                <w:rFonts w:ascii="宋体" w:hAnsi="宋体" w:eastAsia="宋体" w:cs="Times New Roman"/>
                <w:b/>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4C3C3F1D">
            <w:pPr>
              <w:spacing w:line="400" w:lineRule="exact"/>
              <w:jc w:val="center"/>
              <w:rPr>
                <w:rFonts w:ascii="宋体" w:hAnsi="宋体" w:eastAsia="宋体" w:cs="Times New Roman"/>
                <w:b/>
                <w:szCs w:val="21"/>
              </w:rPr>
            </w:pPr>
          </w:p>
        </w:tc>
      </w:tr>
      <w:tr w14:paraId="5CA17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49823BE2">
            <w:pPr>
              <w:spacing w:line="400" w:lineRule="exact"/>
              <w:jc w:val="center"/>
              <w:rPr>
                <w:rFonts w:ascii="宋体" w:hAnsi="宋体" w:eastAsia="宋体" w:cs="Times New Roman"/>
                <w:szCs w:val="21"/>
              </w:rPr>
            </w:pPr>
            <w:r>
              <w:rPr>
                <w:rFonts w:hint="eastAsia" w:ascii="宋体" w:hAnsi="宋体" w:eastAsia="宋体" w:cs="Times New Roman"/>
                <w:szCs w:val="21"/>
              </w:rPr>
              <w:t>3</w:t>
            </w:r>
          </w:p>
        </w:tc>
        <w:tc>
          <w:tcPr>
            <w:tcW w:w="791" w:type="dxa"/>
            <w:tcBorders>
              <w:top w:val="single" w:color="auto" w:sz="6" w:space="0"/>
              <w:left w:val="single" w:color="auto" w:sz="6" w:space="0"/>
              <w:bottom w:val="single" w:color="auto" w:sz="6" w:space="0"/>
              <w:right w:val="single" w:color="auto" w:sz="6" w:space="0"/>
            </w:tcBorders>
            <w:vAlign w:val="center"/>
          </w:tcPr>
          <w:p w14:paraId="586F2B39">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484359C8">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0FEE5102">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7ED59465">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10FDABFE">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18041852">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22FA52D0">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BCBBA09">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53DACA08">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0340B3A3">
            <w:pPr>
              <w:spacing w:line="400" w:lineRule="exact"/>
              <w:jc w:val="center"/>
              <w:rPr>
                <w:rFonts w:ascii="宋体" w:hAnsi="宋体" w:eastAsia="宋体" w:cs="Times New Roman"/>
                <w:szCs w:val="21"/>
              </w:rPr>
            </w:pPr>
          </w:p>
        </w:tc>
      </w:tr>
      <w:tr w14:paraId="207C0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42376BAE">
            <w:pPr>
              <w:spacing w:line="400" w:lineRule="exact"/>
              <w:jc w:val="center"/>
              <w:rPr>
                <w:rFonts w:ascii="宋体" w:hAnsi="宋体" w:eastAsia="宋体" w:cs="Times New Roman"/>
                <w:szCs w:val="21"/>
              </w:rPr>
            </w:pPr>
            <w:r>
              <w:rPr>
                <w:rFonts w:hint="eastAsia" w:ascii="宋体" w:hAnsi="宋体" w:eastAsia="宋体" w:cs="Times New Roman"/>
                <w:szCs w:val="21"/>
              </w:rPr>
              <w:t>…</w:t>
            </w:r>
          </w:p>
        </w:tc>
        <w:tc>
          <w:tcPr>
            <w:tcW w:w="791" w:type="dxa"/>
            <w:tcBorders>
              <w:top w:val="single" w:color="auto" w:sz="6" w:space="0"/>
              <w:left w:val="single" w:color="auto" w:sz="6" w:space="0"/>
              <w:bottom w:val="single" w:color="auto" w:sz="6" w:space="0"/>
              <w:right w:val="single" w:color="auto" w:sz="6" w:space="0"/>
            </w:tcBorders>
            <w:vAlign w:val="center"/>
          </w:tcPr>
          <w:p w14:paraId="2B27C7EE">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50B3CB0E">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1BD1598B">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00322199">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56E56D93">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60D9F329">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06FC8040">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39C2A39F">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07CAA443">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7F9745B5">
            <w:pPr>
              <w:spacing w:line="400" w:lineRule="exact"/>
              <w:jc w:val="center"/>
              <w:rPr>
                <w:rFonts w:ascii="宋体" w:hAnsi="宋体" w:eastAsia="宋体" w:cs="Times New Roman"/>
                <w:szCs w:val="21"/>
              </w:rPr>
            </w:pPr>
          </w:p>
        </w:tc>
      </w:tr>
      <w:tr w14:paraId="44E8C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1105B242">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6" w:space="0"/>
              <w:right w:val="single" w:color="auto" w:sz="6" w:space="0"/>
            </w:tcBorders>
            <w:vAlign w:val="center"/>
          </w:tcPr>
          <w:p w14:paraId="5C74C2F4">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0C467115">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470C9766">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04329032">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067CF5EA">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D9C1A35">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70B052D0">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75B59465">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5228DF0A">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54118F2E">
            <w:pPr>
              <w:spacing w:line="400" w:lineRule="exact"/>
              <w:jc w:val="center"/>
              <w:rPr>
                <w:rFonts w:ascii="宋体" w:hAnsi="宋体" w:eastAsia="宋体" w:cs="Times New Roman"/>
                <w:szCs w:val="21"/>
              </w:rPr>
            </w:pPr>
          </w:p>
        </w:tc>
      </w:tr>
      <w:tr w14:paraId="2CAE7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6" w:space="0"/>
              <w:right w:val="single" w:color="auto" w:sz="6" w:space="0"/>
            </w:tcBorders>
            <w:vAlign w:val="center"/>
          </w:tcPr>
          <w:p w14:paraId="4DC4784A">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6" w:space="0"/>
              <w:right w:val="single" w:color="auto" w:sz="6" w:space="0"/>
            </w:tcBorders>
            <w:vAlign w:val="center"/>
          </w:tcPr>
          <w:p w14:paraId="43C562F3">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6" w:space="0"/>
              <w:right w:val="single" w:color="auto" w:sz="6" w:space="0"/>
            </w:tcBorders>
            <w:vAlign w:val="center"/>
          </w:tcPr>
          <w:p w14:paraId="50CD095F">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6" w:space="0"/>
              <w:right w:val="single" w:color="auto" w:sz="6" w:space="0"/>
            </w:tcBorders>
            <w:vAlign w:val="center"/>
          </w:tcPr>
          <w:p w14:paraId="422BEB1C">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6" w:space="0"/>
              <w:right w:val="single" w:color="auto" w:sz="6" w:space="0"/>
            </w:tcBorders>
            <w:vAlign w:val="center"/>
          </w:tcPr>
          <w:p w14:paraId="495C0BB1">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6" w:space="0"/>
              <w:right w:val="single" w:color="auto" w:sz="6" w:space="0"/>
            </w:tcBorders>
            <w:vAlign w:val="center"/>
          </w:tcPr>
          <w:p w14:paraId="44438B92">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7FE4541">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6" w:space="0"/>
              <w:right w:val="single" w:color="auto" w:sz="6" w:space="0"/>
            </w:tcBorders>
            <w:vAlign w:val="center"/>
          </w:tcPr>
          <w:p w14:paraId="719F8966">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009909BB">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6" w:space="0"/>
              <w:right w:val="single" w:color="auto" w:sz="4" w:space="0"/>
            </w:tcBorders>
            <w:vAlign w:val="center"/>
          </w:tcPr>
          <w:p w14:paraId="303C572E">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6" w:space="0"/>
              <w:right w:val="single" w:color="auto" w:sz="12" w:space="0"/>
            </w:tcBorders>
            <w:vAlign w:val="center"/>
          </w:tcPr>
          <w:p w14:paraId="5CE1F3E4">
            <w:pPr>
              <w:spacing w:line="400" w:lineRule="exact"/>
              <w:jc w:val="center"/>
              <w:rPr>
                <w:rFonts w:ascii="宋体" w:hAnsi="宋体" w:eastAsia="宋体" w:cs="Times New Roman"/>
                <w:szCs w:val="21"/>
              </w:rPr>
            </w:pPr>
          </w:p>
        </w:tc>
      </w:tr>
      <w:tr w14:paraId="4D3CA9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10" w:type="dxa"/>
          <w:trHeight w:val="285" w:hRule="atLeast"/>
          <w:jc w:val="center"/>
        </w:trPr>
        <w:tc>
          <w:tcPr>
            <w:tcW w:w="675" w:type="dxa"/>
            <w:tcBorders>
              <w:top w:val="single" w:color="auto" w:sz="6" w:space="0"/>
              <w:left w:val="single" w:color="auto" w:sz="12" w:space="0"/>
              <w:bottom w:val="single" w:color="auto" w:sz="12" w:space="0"/>
              <w:right w:val="single" w:color="auto" w:sz="6" w:space="0"/>
            </w:tcBorders>
            <w:vAlign w:val="center"/>
          </w:tcPr>
          <w:p w14:paraId="6DAFC40C">
            <w:pPr>
              <w:spacing w:line="400" w:lineRule="exact"/>
              <w:jc w:val="center"/>
              <w:rPr>
                <w:rFonts w:ascii="宋体" w:hAnsi="宋体" w:eastAsia="宋体" w:cs="Times New Roman"/>
                <w:szCs w:val="21"/>
              </w:rPr>
            </w:pPr>
          </w:p>
        </w:tc>
        <w:tc>
          <w:tcPr>
            <w:tcW w:w="791" w:type="dxa"/>
            <w:tcBorders>
              <w:top w:val="single" w:color="auto" w:sz="6" w:space="0"/>
              <w:left w:val="single" w:color="auto" w:sz="6" w:space="0"/>
              <w:bottom w:val="single" w:color="auto" w:sz="12" w:space="0"/>
              <w:right w:val="single" w:color="auto" w:sz="6" w:space="0"/>
            </w:tcBorders>
            <w:vAlign w:val="center"/>
          </w:tcPr>
          <w:p w14:paraId="318BA9B1">
            <w:pPr>
              <w:widowControl/>
              <w:spacing w:line="400" w:lineRule="exact"/>
              <w:jc w:val="center"/>
              <w:rPr>
                <w:rFonts w:ascii="宋体" w:hAnsi="宋体" w:eastAsia="宋体" w:cs="宋体"/>
                <w:kern w:val="0"/>
                <w:szCs w:val="21"/>
              </w:rPr>
            </w:pPr>
          </w:p>
        </w:tc>
        <w:tc>
          <w:tcPr>
            <w:tcW w:w="827" w:type="dxa"/>
            <w:tcBorders>
              <w:top w:val="single" w:color="auto" w:sz="6" w:space="0"/>
              <w:left w:val="single" w:color="auto" w:sz="6" w:space="0"/>
              <w:bottom w:val="single" w:color="auto" w:sz="12" w:space="0"/>
              <w:right w:val="single" w:color="auto" w:sz="6" w:space="0"/>
            </w:tcBorders>
            <w:vAlign w:val="center"/>
          </w:tcPr>
          <w:p w14:paraId="4DFD22D1">
            <w:pPr>
              <w:spacing w:line="400" w:lineRule="exact"/>
              <w:jc w:val="center"/>
              <w:rPr>
                <w:rFonts w:ascii="宋体" w:hAnsi="宋体" w:eastAsia="宋体" w:cs="Times New Roman"/>
                <w:szCs w:val="21"/>
              </w:rPr>
            </w:pPr>
          </w:p>
        </w:tc>
        <w:tc>
          <w:tcPr>
            <w:tcW w:w="1099" w:type="dxa"/>
            <w:tcBorders>
              <w:top w:val="single" w:color="auto" w:sz="6" w:space="0"/>
              <w:left w:val="single" w:color="auto" w:sz="6" w:space="0"/>
              <w:bottom w:val="single" w:color="auto" w:sz="12" w:space="0"/>
              <w:right w:val="single" w:color="auto" w:sz="6" w:space="0"/>
            </w:tcBorders>
            <w:vAlign w:val="center"/>
          </w:tcPr>
          <w:p w14:paraId="46A1A75A">
            <w:pPr>
              <w:spacing w:line="400" w:lineRule="exact"/>
              <w:jc w:val="center"/>
              <w:rPr>
                <w:rFonts w:ascii="宋体" w:hAnsi="宋体" w:eastAsia="宋体" w:cs="Times New Roman"/>
                <w:szCs w:val="21"/>
              </w:rPr>
            </w:pPr>
          </w:p>
        </w:tc>
        <w:tc>
          <w:tcPr>
            <w:tcW w:w="1235" w:type="dxa"/>
            <w:tcBorders>
              <w:top w:val="single" w:color="auto" w:sz="6" w:space="0"/>
              <w:left w:val="single" w:color="auto" w:sz="6" w:space="0"/>
              <w:bottom w:val="single" w:color="auto" w:sz="12" w:space="0"/>
              <w:right w:val="single" w:color="auto" w:sz="6" w:space="0"/>
            </w:tcBorders>
            <w:vAlign w:val="center"/>
          </w:tcPr>
          <w:p w14:paraId="6080DD52">
            <w:pPr>
              <w:spacing w:line="400" w:lineRule="exact"/>
              <w:jc w:val="center"/>
              <w:rPr>
                <w:rFonts w:ascii="宋体" w:hAnsi="宋体" w:eastAsia="宋体" w:cs="Times New Roman"/>
                <w:szCs w:val="21"/>
              </w:rPr>
            </w:pPr>
          </w:p>
        </w:tc>
        <w:tc>
          <w:tcPr>
            <w:tcW w:w="731" w:type="dxa"/>
            <w:tcBorders>
              <w:top w:val="single" w:color="auto" w:sz="6" w:space="0"/>
              <w:left w:val="single" w:color="auto" w:sz="6" w:space="0"/>
              <w:bottom w:val="single" w:color="auto" w:sz="12" w:space="0"/>
              <w:right w:val="single" w:color="auto" w:sz="6" w:space="0"/>
            </w:tcBorders>
            <w:vAlign w:val="center"/>
          </w:tcPr>
          <w:p w14:paraId="756EBC7B">
            <w:pPr>
              <w:spacing w:line="400" w:lineRule="exact"/>
              <w:jc w:val="center"/>
              <w:rPr>
                <w:rFonts w:ascii="宋体" w:hAnsi="宋体" w:eastAsia="宋体" w:cs="Times New Roman"/>
                <w:szCs w:val="21"/>
              </w:rPr>
            </w:pPr>
          </w:p>
        </w:tc>
        <w:tc>
          <w:tcPr>
            <w:tcW w:w="851" w:type="dxa"/>
            <w:tcBorders>
              <w:top w:val="single" w:color="auto" w:sz="6" w:space="0"/>
              <w:left w:val="single" w:color="auto" w:sz="6" w:space="0"/>
              <w:bottom w:val="single" w:color="auto" w:sz="12" w:space="0"/>
              <w:right w:val="single" w:color="auto" w:sz="6" w:space="0"/>
            </w:tcBorders>
            <w:vAlign w:val="center"/>
          </w:tcPr>
          <w:p w14:paraId="4A347611">
            <w:pPr>
              <w:spacing w:line="400" w:lineRule="exact"/>
              <w:jc w:val="center"/>
              <w:rPr>
                <w:rFonts w:ascii="宋体" w:hAnsi="宋体" w:eastAsia="宋体" w:cs="Times New Roman"/>
                <w:szCs w:val="21"/>
              </w:rPr>
            </w:pPr>
          </w:p>
        </w:tc>
        <w:tc>
          <w:tcPr>
            <w:tcW w:w="708" w:type="dxa"/>
            <w:tcBorders>
              <w:top w:val="single" w:color="auto" w:sz="6" w:space="0"/>
              <w:left w:val="single" w:color="auto" w:sz="6" w:space="0"/>
              <w:bottom w:val="single" w:color="auto" w:sz="12" w:space="0"/>
              <w:right w:val="single" w:color="auto" w:sz="6" w:space="0"/>
            </w:tcBorders>
            <w:vAlign w:val="center"/>
          </w:tcPr>
          <w:p w14:paraId="7FD95D2A">
            <w:pPr>
              <w:spacing w:line="400" w:lineRule="exact"/>
              <w:jc w:val="center"/>
              <w:rPr>
                <w:rFonts w:ascii="宋体" w:hAnsi="宋体" w:eastAsia="宋体" w:cs="Times New Roman"/>
                <w:szCs w:val="21"/>
              </w:rPr>
            </w:pPr>
          </w:p>
        </w:tc>
        <w:tc>
          <w:tcPr>
            <w:tcW w:w="709" w:type="dxa"/>
            <w:tcBorders>
              <w:top w:val="single" w:color="auto" w:sz="6" w:space="0"/>
              <w:left w:val="single" w:color="auto" w:sz="6" w:space="0"/>
              <w:bottom w:val="single" w:color="auto" w:sz="12" w:space="0"/>
              <w:right w:val="single" w:color="auto" w:sz="6" w:space="0"/>
            </w:tcBorders>
            <w:vAlign w:val="center"/>
          </w:tcPr>
          <w:p w14:paraId="39C42CA1">
            <w:pPr>
              <w:spacing w:line="400" w:lineRule="exact"/>
              <w:jc w:val="center"/>
              <w:rPr>
                <w:rFonts w:ascii="宋体" w:hAnsi="宋体" w:eastAsia="宋体" w:cs="Times New Roman"/>
                <w:szCs w:val="21"/>
              </w:rPr>
            </w:pPr>
          </w:p>
        </w:tc>
        <w:tc>
          <w:tcPr>
            <w:tcW w:w="1276" w:type="dxa"/>
            <w:tcBorders>
              <w:top w:val="single" w:color="auto" w:sz="6" w:space="0"/>
              <w:left w:val="single" w:color="auto" w:sz="6" w:space="0"/>
              <w:bottom w:val="single" w:color="auto" w:sz="12" w:space="0"/>
              <w:right w:val="single" w:color="auto" w:sz="4" w:space="0"/>
            </w:tcBorders>
            <w:vAlign w:val="center"/>
          </w:tcPr>
          <w:p w14:paraId="6608F317">
            <w:pPr>
              <w:spacing w:line="400" w:lineRule="exact"/>
              <w:jc w:val="center"/>
              <w:rPr>
                <w:rFonts w:ascii="宋体" w:hAnsi="宋体" w:eastAsia="宋体" w:cs="Times New Roman"/>
                <w:szCs w:val="21"/>
              </w:rPr>
            </w:pPr>
          </w:p>
        </w:tc>
        <w:tc>
          <w:tcPr>
            <w:tcW w:w="726" w:type="dxa"/>
            <w:tcBorders>
              <w:top w:val="single" w:color="auto" w:sz="6" w:space="0"/>
              <w:left w:val="single" w:color="auto" w:sz="4" w:space="0"/>
              <w:bottom w:val="single" w:color="auto" w:sz="12" w:space="0"/>
              <w:right w:val="single" w:color="auto" w:sz="12" w:space="0"/>
            </w:tcBorders>
            <w:vAlign w:val="center"/>
          </w:tcPr>
          <w:p w14:paraId="0D159315">
            <w:pPr>
              <w:spacing w:line="400" w:lineRule="exact"/>
              <w:jc w:val="center"/>
              <w:rPr>
                <w:rFonts w:ascii="宋体" w:hAnsi="宋体" w:eastAsia="宋体" w:cs="Times New Roman"/>
                <w:szCs w:val="21"/>
              </w:rPr>
            </w:pPr>
          </w:p>
        </w:tc>
      </w:tr>
    </w:tbl>
    <w:p w14:paraId="1109F30A">
      <w:pPr>
        <w:spacing w:line="400" w:lineRule="exact"/>
        <w:rPr>
          <w:rFonts w:ascii="宋体" w:hAnsi="宋体" w:eastAsia="宋体" w:cs="Times New Roman"/>
          <w:szCs w:val="21"/>
        </w:rPr>
      </w:pPr>
    </w:p>
    <w:p w14:paraId="434F7861">
      <w:pPr>
        <w:spacing w:line="400" w:lineRule="exact"/>
        <w:rPr>
          <w:rFonts w:ascii="宋体" w:hAnsi="宋体" w:eastAsia="宋体" w:cs="Times New Roman"/>
          <w:szCs w:val="21"/>
        </w:rPr>
      </w:pPr>
      <w:r>
        <w:rPr>
          <w:rFonts w:hint="eastAsia" w:ascii="宋体" w:hAnsi="宋体" w:eastAsia="宋体" w:cs="Times New Roman"/>
          <w:szCs w:val="21"/>
        </w:rPr>
        <w:t>注：1、所报产品的各项指标必须等于或大于采购文件需求中所列要求。</w:t>
      </w:r>
    </w:p>
    <w:p w14:paraId="031485DD">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2、请各投标单位根据本项目的相关需求，提出符合实际的报价明细，偏离或补充之处请作重点说明。</w:t>
      </w:r>
    </w:p>
    <w:p w14:paraId="38AC5E64">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3、本表可根据需要自行添行。</w:t>
      </w:r>
    </w:p>
    <w:p w14:paraId="4894DD1B">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4、因表述含糊导致的评审风险将由投标人承担。（必须如实填写品牌、型号。）</w:t>
      </w:r>
    </w:p>
    <w:p w14:paraId="07121319">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5、在“是否属于小、微型企业产品”栏内填写“是”或“否”。如填写“是”，必须在“生产厂家”栏内加填小、微型企业的完整名称，以及提供《中小企业声明函》；如未按要求填写和提供有效证明或相关内容表述不清的，不得享受价格扣除。投标单位对所报相关数据的真实性负责，江阴市政府采购中心有权将相关内容进行公示；</w:t>
      </w:r>
    </w:p>
    <w:p w14:paraId="774C1E3D">
      <w:pPr>
        <w:spacing w:line="400" w:lineRule="exact"/>
        <w:ind w:firstLine="420" w:firstLineChars="200"/>
        <w:rPr>
          <w:rFonts w:ascii="宋体" w:hAnsi="宋体" w:eastAsia="宋体" w:cs="Times New Roman"/>
          <w:szCs w:val="21"/>
        </w:rPr>
      </w:pPr>
      <w:r>
        <w:rPr>
          <w:rFonts w:hint="eastAsia" w:ascii="宋体" w:hAnsi="宋体" w:eastAsia="宋体" w:cs="Times New Roman"/>
          <w:szCs w:val="21"/>
        </w:rPr>
        <w:t>6、如有需要说明的事项，请在备注中列明。</w:t>
      </w:r>
    </w:p>
    <w:p w14:paraId="260C07B8">
      <w:pPr>
        <w:spacing w:line="400" w:lineRule="exact"/>
        <w:ind w:firstLine="420" w:firstLineChars="200"/>
        <w:rPr>
          <w:rFonts w:ascii="宋体" w:hAnsi="宋体" w:eastAsia="宋体" w:cs="Times New Roman"/>
          <w:bCs/>
          <w:sz w:val="24"/>
          <w:szCs w:val="24"/>
        </w:rPr>
      </w:pPr>
      <w:r>
        <w:rPr>
          <w:rFonts w:hint="eastAsia" w:ascii="宋体" w:hAnsi="宋体" w:eastAsia="宋体" w:cs="Times New Roman"/>
          <w:szCs w:val="21"/>
        </w:rPr>
        <w:t>7、监狱企业、残疾人福利性单位视同小型、微型企业。</w:t>
      </w:r>
    </w:p>
    <w:p w14:paraId="51D5DBBB">
      <w:pPr>
        <w:spacing w:line="400" w:lineRule="exact"/>
        <w:ind w:firstLine="3600" w:firstLineChars="1500"/>
        <w:jc w:val="left"/>
        <w:rPr>
          <w:rFonts w:ascii="宋体" w:hAnsi="宋体" w:eastAsia="宋体" w:cs="Times New Roman"/>
          <w:bCs/>
          <w:sz w:val="24"/>
          <w:szCs w:val="24"/>
        </w:rPr>
      </w:pPr>
    </w:p>
    <w:p w14:paraId="0EDC5D2A">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3067EECD">
      <w:pPr>
        <w:spacing w:line="400" w:lineRule="exact"/>
        <w:ind w:firstLine="3600" w:firstLineChars="1500"/>
        <w:jc w:val="left"/>
        <w:rPr>
          <w:rFonts w:ascii="宋体" w:hAnsi="宋体" w:eastAsia="宋体" w:cs="Times New Roman"/>
          <w:bCs/>
          <w:sz w:val="24"/>
          <w:szCs w:val="24"/>
        </w:rPr>
      </w:pPr>
    </w:p>
    <w:p w14:paraId="2A4FF674">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Cs/>
          <w:sz w:val="24"/>
          <w:szCs w:val="24"/>
        </w:rPr>
        <w:t>日期：     年    月    日</w:t>
      </w:r>
    </w:p>
    <w:p w14:paraId="4CA5ACD7">
      <w:pPr>
        <w:spacing w:line="360" w:lineRule="exact"/>
        <w:jc w:val="center"/>
        <w:rPr>
          <w:rFonts w:hint="eastAsia" w:ascii="黑体" w:hAnsi="黑体" w:eastAsia="黑体" w:cs="Times New Roman"/>
          <w:sz w:val="28"/>
          <w:szCs w:val="28"/>
        </w:rPr>
      </w:pPr>
    </w:p>
    <w:p w14:paraId="0572215E">
      <w:pPr>
        <w:spacing w:line="360" w:lineRule="exact"/>
        <w:jc w:val="center"/>
        <w:rPr>
          <w:rFonts w:hint="eastAsia" w:ascii="黑体" w:hAnsi="黑体" w:eastAsia="黑体" w:cs="Times New Roman"/>
          <w:sz w:val="28"/>
          <w:szCs w:val="28"/>
        </w:rPr>
      </w:pPr>
      <w:r>
        <w:rPr>
          <w:rFonts w:hint="eastAsia" w:ascii="黑体" w:hAnsi="黑体" w:eastAsia="黑体" w:cs="Times New Roman"/>
          <w:sz w:val="28"/>
          <w:szCs w:val="28"/>
        </w:rPr>
        <w:t>五、商务、技术要求响应及偏离表</w:t>
      </w:r>
    </w:p>
    <w:p w14:paraId="0676BFCF">
      <w:pPr>
        <w:spacing w:line="360" w:lineRule="exact"/>
        <w:jc w:val="center"/>
        <w:rPr>
          <w:rFonts w:hint="eastAsia" w:ascii="宋体" w:hAnsi="宋体" w:eastAsia="宋体" w:cs="Times New Roman"/>
          <w:b/>
          <w:sz w:val="24"/>
          <w:szCs w:val="24"/>
        </w:rPr>
      </w:pPr>
    </w:p>
    <w:p w14:paraId="14A92592">
      <w:pPr>
        <w:spacing w:line="36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2F5D5B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3812FC7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4B6B9A46">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招标文件</w:t>
            </w:r>
          </w:p>
          <w:p w14:paraId="7A0A48BE">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77958EA4">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投标文件</w:t>
            </w:r>
          </w:p>
          <w:p w14:paraId="3F8E1FE4">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4A6A4079">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69384935">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偏离内容及原因</w:t>
            </w:r>
          </w:p>
        </w:tc>
      </w:tr>
      <w:tr w14:paraId="4083C6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B91267A">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7A7DDAE0">
            <w:pPr>
              <w:spacing w:line="360" w:lineRule="exact"/>
              <w:jc w:val="center"/>
              <w:rPr>
                <w:rFonts w:hint="eastAsia" w:ascii="宋体" w:hAnsi="宋体" w:eastAsia="宋体" w:cs="Times New Roman"/>
                <w:sz w:val="24"/>
                <w:szCs w:val="24"/>
              </w:rPr>
            </w:pPr>
          </w:p>
        </w:tc>
        <w:tc>
          <w:tcPr>
            <w:tcW w:w="2308" w:type="dxa"/>
            <w:vAlign w:val="center"/>
          </w:tcPr>
          <w:p w14:paraId="4942CB4B">
            <w:pPr>
              <w:spacing w:line="360" w:lineRule="exact"/>
              <w:jc w:val="center"/>
              <w:rPr>
                <w:rFonts w:hint="eastAsia" w:ascii="宋体" w:hAnsi="宋体" w:eastAsia="宋体" w:cs="Times New Roman"/>
                <w:sz w:val="24"/>
                <w:szCs w:val="24"/>
              </w:rPr>
            </w:pPr>
          </w:p>
        </w:tc>
        <w:tc>
          <w:tcPr>
            <w:tcW w:w="1713" w:type="dxa"/>
            <w:vAlign w:val="center"/>
          </w:tcPr>
          <w:p w14:paraId="227DE945">
            <w:pPr>
              <w:spacing w:line="360" w:lineRule="exact"/>
              <w:jc w:val="center"/>
              <w:rPr>
                <w:rFonts w:hint="eastAsia" w:ascii="宋体" w:hAnsi="宋体" w:eastAsia="宋体" w:cs="Times New Roman"/>
                <w:sz w:val="24"/>
                <w:szCs w:val="24"/>
              </w:rPr>
            </w:pPr>
          </w:p>
        </w:tc>
        <w:tc>
          <w:tcPr>
            <w:tcW w:w="1911" w:type="dxa"/>
            <w:vAlign w:val="center"/>
          </w:tcPr>
          <w:p w14:paraId="536ABA8E">
            <w:pPr>
              <w:spacing w:line="360" w:lineRule="exact"/>
              <w:jc w:val="center"/>
              <w:rPr>
                <w:rFonts w:hint="eastAsia" w:ascii="宋体" w:hAnsi="宋体" w:eastAsia="宋体" w:cs="Times New Roman"/>
                <w:sz w:val="24"/>
                <w:szCs w:val="24"/>
              </w:rPr>
            </w:pPr>
          </w:p>
        </w:tc>
      </w:tr>
      <w:tr w14:paraId="405CC4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1A55CDF1">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68CA4F1F">
            <w:pPr>
              <w:spacing w:line="360" w:lineRule="exact"/>
              <w:jc w:val="center"/>
              <w:rPr>
                <w:rFonts w:hint="eastAsia" w:ascii="宋体" w:hAnsi="宋体" w:eastAsia="宋体" w:cs="Times New Roman"/>
                <w:sz w:val="24"/>
                <w:szCs w:val="24"/>
              </w:rPr>
            </w:pPr>
          </w:p>
        </w:tc>
        <w:tc>
          <w:tcPr>
            <w:tcW w:w="2308" w:type="dxa"/>
            <w:vAlign w:val="center"/>
          </w:tcPr>
          <w:p w14:paraId="344A376C">
            <w:pPr>
              <w:spacing w:line="360" w:lineRule="exact"/>
              <w:jc w:val="center"/>
              <w:rPr>
                <w:rFonts w:hint="eastAsia" w:ascii="宋体" w:hAnsi="宋体" w:eastAsia="宋体" w:cs="Times New Roman"/>
                <w:sz w:val="24"/>
                <w:szCs w:val="24"/>
              </w:rPr>
            </w:pPr>
          </w:p>
        </w:tc>
        <w:tc>
          <w:tcPr>
            <w:tcW w:w="1713" w:type="dxa"/>
            <w:vAlign w:val="center"/>
          </w:tcPr>
          <w:p w14:paraId="1E3CF7F0">
            <w:pPr>
              <w:spacing w:line="360" w:lineRule="exact"/>
              <w:jc w:val="center"/>
              <w:rPr>
                <w:rFonts w:hint="eastAsia" w:ascii="宋体" w:hAnsi="宋体" w:eastAsia="宋体" w:cs="Times New Roman"/>
                <w:sz w:val="24"/>
                <w:szCs w:val="24"/>
              </w:rPr>
            </w:pPr>
          </w:p>
        </w:tc>
        <w:tc>
          <w:tcPr>
            <w:tcW w:w="1911" w:type="dxa"/>
            <w:vAlign w:val="center"/>
          </w:tcPr>
          <w:p w14:paraId="24007387">
            <w:pPr>
              <w:spacing w:line="360" w:lineRule="exact"/>
              <w:jc w:val="center"/>
              <w:rPr>
                <w:rFonts w:hint="eastAsia" w:ascii="宋体" w:hAnsi="宋体" w:eastAsia="宋体" w:cs="Times New Roman"/>
                <w:sz w:val="24"/>
                <w:szCs w:val="24"/>
              </w:rPr>
            </w:pPr>
          </w:p>
        </w:tc>
      </w:tr>
      <w:tr w14:paraId="3AAED0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1EB6720">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7EDFFD6E">
            <w:pPr>
              <w:spacing w:line="360" w:lineRule="exact"/>
              <w:jc w:val="center"/>
              <w:rPr>
                <w:rFonts w:hint="eastAsia" w:ascii="宋体" w:hAnsi="宋体" w:eastAsia="宋体" w:cs="Times New Roman"/>
                <w:sz w:val="24"/>
                <w:szCs w:val="24"/>
              </w:rPr>
            </w:pPr>
          </w:p>
        </w:tc>
        <w:tc>
          <w:tcPr>
            <w:tcW w:w="2308" w:type="dxa"/>
            <w:vAlign w:val="center"/>
          </w:tcPr>
          <w:p w14:paraId="720A57C0">
            <w:pPr>
              <w:spacing w:line="360" w:lineRule="exact"/>
              <w:jc w:val="center"/>
              <w:rPr>
                <w:rFonts w:hint="eastAsia" w:ascii="宋体" w:hAnsi="宋体" w:eastAsia="宋体" w:cs="Times New Roman"/>
                <w:sz w:val="24"/>
                <w:szCs w:val="24"/>
              </w:rPr>
            </w:pPr>
          </w:p>
        </w:tc>
        <w:tc>
          <w:tcPr>
            <w:tcW w:w="1713" w:type="dxa"/>
            <w:vAlign w:val="center"/>
          </w:tcPr>
          <w:p w14:paraId="11D54515">
            <w:pPr>
              <w:spacing w:line="360" w:lineRule="exact"/>
              <w:jc w:val="center"/>
              <w:rPr>
                <w:rFonts w:hint="eastAsia" w:ascii="宋体" w:hAnsi="宋体" w:eastAsia="宋体" w:cs="Times New Roman"/>
                <w:sz w:val="24"/>
                <w:szCs w:val="24"/>
              </w:rPr>
            </w:pPr>
          </w:p>
        </w:tc>
        <w:tc>
          <w:tcPr>
            <w:tcW w:w="1911" w:type="dxa"/>
            <w:vAlign w:val="center"/>
          </w:tcPr>
          <w:p w14:paraId="3DC7F27F">
            <w:pPr>
              <w:spacing w:line="360" w:lineRule="exact"/>
              <w:jc w:val="center"/>
              <w:rPr>
                <w:rFonts w:hint="eastAsia" w:ascii="宋体" w:hAnsi="宋体" w:eastAsia="宋体" w:cs="Times New Roman"/>
                <w:sz w:val="24"/>
                <w:szCs w:val="24"/>
              </w:rPr>
            </w:pPr>
          </w:p>
        </w:tc>
      </w:tr>
      <w:tr w14:paraId="53F05E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F949ED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639DFCD6">
            <w:pPr>
              <w:spacing w:line="360" w:lineRule="exact"/>
              <w:jc w:val="center"/>
              <w:rPr>
                <w:rFonts w:hint="eastAsia" w:ascii="宋体" w:hAnsi="宋体" w:eastAsia="宋体" w:cs="Times New Roman"/>
                <w:sz w:val="24"/>
                <w:szCs w:val="24"/>
              </w:rPr>
            </w:pPr>
          </w:p>
        </w:tc>
        <w:tc>
          <w:tcPr>
            <w:tcW w:w="2308" w:type="dxa"/>
            <w:vAlign w:val="center"/>
          </w:tcPr>
          <w:p w14:paraId="3EF98512">
            <w:pPr>
              <w:spacing w:line="360" w:lineRule="exact"/>
              <w:jc w:val="center"/>
              <w:rPr>
                <w:rFonts w:hint="eastAsia" w:ascii="宋体" w:hAnsi="宋体" w:eastAsia="宋体" w:cs="Times New Roman"/>
                <w:sz w:val="24"/>
                <w:szCs w:val="24"/>
              </w:rPr>
            </w:pPr>
          </w:p>
        </w:tc>
        <w:tc>
          <w:tcPr>
            <w:tcW w:w="1713" w:type="dxa"/>
            <w:vAlign w:val="center"/>
          </w:tcPr>
          <w:p w14:paraId="0572C987">
            <w:pPr>
              <w:spacing w:line="360" w:lineRule="exact"/>
              <w:jc w:val="center"/>
              <w:rPr>
                <w:rFonts w:hint="eastAsia" w:ascii="宋体" w:hAnsi="宋体" w:eastAsia="宋体" w:cs="Times New Roman"/>
                <w:sz w:val="24"/>
                <w:szCs w:val="24"/>
              </w:rPr>
            </w:pPr>
          </w:p>
        </w:tc>
        <w:tc>
          <w:tcPr>
            <w:tcW w:w="1911" w:type="dxa"/>
            <w:vAlign w:val="center"/>
          </w:tcPr>
          <w:p w14:paraId="1FA9E62F">
            <w:pPr>
              <w:spacing w:line="360" w:lineRule="exact"/>
              <w:jc w:val="center"/>
              <w:rPr>
                <w:rFonts w:hint="eastAsia" w:ascii="宋体" w:hAnsi="宋体" w:eastAsia="宋体" w:cs="Times New Roman"/>
                <w:sz w:val="24"/>
                <w:szCs w:val="24"/>
              </w:rPr>
            </w:pPr>
          </w:p>
        </w:tc>
      </w:tr>
      <w:tr w14:paraId="43A0F6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75350C3">
            <w:pPr>
              <w:spacing w:line="360" w:lineRule="exact"/>
              <w:jc w:val="center"/>
              <w:rPr>
                <w:rFonts w:hint="eastAsia" w:ascii="宋体" w:hAnsi="宋体" w:eastAsia="宋体" w:cs="Times New Roman"/>
                <w:sz w:val="24"/>
                <w:szCs w:val="24"/>
              </w:rPr>
            </w:pPr>
          </w:p>
        </w:tc>
        <w:tc>
          <w:tcPr>
            <w:tcW w:w="2415" w:type="dxa"/>
            <w:vAlign w:val="center"/>
          </w:tcPr>
          <w:p w14:paraId="624E211B">
            <w:pPr>
              <w:spacing w:line="360" w:lineRule="exact"/>
              <w:jc w:val="center"/>
              <w:rPr>
                <w:rFonts w:hint="eastAsia" w:ascii="宋体" w:hAnsi="宋体" w:eastAsia="宋体" w:cs="Times New Roman"/>
                <w:sz w:val="24"/>
                <w:szCs w:val="24"/>
              </w:rPr>
            </w:pPr>
          </w:p>
        </w:tc>
        <w:tc>
          <w:tcPr>
            <w:tcW w:w="2308" w:type="dxa"/>
            <w:vAlign w:val="center"/>
          </w:tcPr>
          <w:p w14:paraId="6A58E199">
            <w:pPr>
              <w:spacing w:line="360" w:lineRule="exact"/>
              <w:jc w:val="center"/>
              <w:rPr>
                <w:rFonts w:hint="eastAsia" w:ascii="宋体" w:hAnsi="宋体" w:eastAsia="宋体" w:cs="Times New Roman"/>
                <w:sz w:val="24"/>
                <w:szCs w:val="24"/>
              </w:rPr>
            </w:pPr>
          </w:p>
        </w:tc>
        <w:tc>
          <w:tcPr>
            <w:tcW w:w="1713" w:type="dxa"/>
            <w:vAlign w:val="center"/>
          </w:tcPr>
          <w:p w14:paraId="6ED38DC9">
            <w:pPr>
              <w:spacing w:line="360" w:lineRule="exact"/>
              <w:jc w:val="center"/>
              <w:rPr>
                <w:rFonts w:hint="eastAsia" w:ascii="宋体" w:hAnsi="宋体" w:eastAsia="宋体" w:cs="Times New Roman"/>
                <w:sz w:val="24"/>
                <w:szCs w:val="24"/>
              </w:rPr>
            </w:pPr>
          </w:p>
        </w:tc>
        <w:tc>
          <w:tcPr>
            <w:tcW w:w="1911" w:type="dxa"/>
            <w:vAlign w:val="center"/>
          </w:tcPr>
          <w:p w14:paraId="44F344BE">
            <w:pPr>
              <w:spacing w:line="360" w:lineRule="exact"/>
              <w:jc w:val="center"/>
              <w:rPr>
                <w:rFonts w:hint="eastAsia" w:ascii="宋体" w:hAnsi="宋体" w:eastAsia="宋体" w:cs="Times New Roman"/>
                <w:sz w:val="24"/>
                <w:szCs w:val="24"/>
              </w:rPr>
            </w:pPr>
          </w:p>
        </w:tc>
      </w:tr>
    </w:tbl>
    <w:p w14:paraId="110D3AEE">
      <w:pPr>
        <w:spacing w:line="36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3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5BDFC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439A71E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170FD880">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招标文件</w:t>
            </w:r>
          </w:p>
          <w:p w14:paraId="55F16178">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28351090">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投标文件</w:t>
            </w:r>
          </w:p>
          <w:p w14:paraId="16C9213B">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3D0CA1C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28A67AB3">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偏离内容及原因</w:t>
            </w:r>
          </w:p>
        </w:tc>
      </w:tr>
      <w:tr w14:paraId="31CB86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47D011B">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3AA0413A">
            <w:pPr>
              <w:spacing w:line="360" w:lineRule="exact"/>
              <w:jc w:val="center"/>
              <w:rPr>
                <w:rFonts w:hint="eastAsia" w:ascii="宋体" w:hAnsi="宋体" w:eastAsia="宋体" w:cs="Times New Roman"/>
                <w:sz w:val="24"/>
                <w:szCs w:val="24"/>
              </w:rPr>
            </w:pPr>
          </w:p>
        </w:tc>
        <w:tc>
          <w:tcPr>
            <w:tcW w:w="2308" w:type="dxa"/>
            <w:vAlign w:val="center"/>
          </w:tcPr>
          <w:p w14:paraId="30F30E6F">
            <w:pPr>
              <w:spacing w:line="360" w:lineRule="exact"/>
              <w:jc w:val="center"/>
              <w:rPr>
                <w:rFonts w:hint="eastAsia" w:ascii="宋体" w:hAnsi="宋体" w:eastAsia="宋体" w:cs="Times New Roman"/>
                <w:sz w:val="24"/>
                <w:szCs w:val="24"/>
              </w:rPr>
            </w:pPr>
          </w:p>
        </w:tc>
        <w:tc>
          <w:tcPr>
            <w:tcW w:w="1713" w:type="dxa"/>
            <w:vAlign w:val="center"/>
          </w:tcPr>
          <w:p w14:paraId="777D9349">
            <w:pPr>
              <w:spacing w:line="360" w:lineRule="exact"/>
              <w:jc w:val="center"/>
              <w:rPr>
                <w:rFonts w:hint="eastAsia" w:ascii="宋体" w:hAnsi="宋体" w:eastAsia="宋体" w:cs="Times New Roman"/>
                <w:sz w:val="24"/>
                <w:szCs w:val="24"/>
              </w:rPr>
            </w:pPr>
          </w:p>
        </w:tc>
        <w:tc>
          <w:tcPr>
            <w:tcW w:w="1911" w:type="dxa"/>
            <w:vAlign w:val="center"/>
          </w:tcPr>
          <w:p w14:paraId="278844FE">
            <w:pPr>
              <w:spacing w:line="360" w:lineRule="exact"/>
              <w:jc w:val="center"/>
              <w:rPr>
                <w:rFonts w:hint="eastAsia" w:ascii="宋体" w:hAnsi="宋体" w:eastAsia="宋体" w:cs="Times New Roman"/>
                <w:sz w:val="24"/>
                <w:szCs w:val="24"/>
              </w:rPr>
            </w:pPr>
          </w:p>
        </w:tc>
      </w:tr>
      <w:tr w14:paraId="567A37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7EB7955">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4F9A9169">
            <w:pPr>
              <w:spacing w:line="360" w:lineRule="exact"/>
              <w:jc w:val="center"/>
              <w:rPr>
                <w:rFonts w:hint="eastAsia" w:ascii="宋体" w:hAnsi="宋体" w:eastAsia="宋体" w:cs="Times New Roman"/>
                <w:sz w:val="24"/>
                <w:szCs w:val="24"/>
              </w:rPr>
            </w:pPr>
          </w:p>
        </w:tc>
        <w:tc>
          <w:tcPr>
            <w:tcW w:w="2308" w:type="dxa"/>
            <w:vAlign w:val="center"/>
          </w:tcPr>
          <w:p w14:paraId="77C959AF">
            <w:pPr>
              <w:spacing w:line="360" w:lineRule="exact"/>
              <w:jc w:val="center"/>
              <w:rPr>
                <w:rFonts w:hint="eastAsia" w:ascii="宋体" w:hAnsi="宋体" w:eastAsia="宋体" w:cs="Times New Roman"/>
                <w:sz w:val="24"/>
                <w:szCs w:val="24"/>
              </w:rPr>
            </w:pPr>
          </w:p>
        </w:tc>
        <w:tc>
          <w:tcPr>
            <w:tcW w:w="1713" w:type="dxa"/>
            <w:vAlign w:val="center"/>
          </w:tcPr>
          <w:p w14:paraId="02828809">
            <w:pPr>
              <w:spacing w:line="360" w:lineRule="exact"/>
              <w:jc w:val="center"/>
              <w:rPr>
                <w:rFonts w:hint="eastAsia" w:ascii="宋体" w:hAnsi="宋体" w:eastAsia="宋体" w:cs="Times New Roman"/>
                <w:sz w:val="24"/>
                <w:szCs w:val="24"/>
              </w:rPr>
            </w:pPr>
          </w:p>
        </w:tc>
        <w:tc>
          <w:tcPr>
            <w:tcW w:w="1911" w:type="dxa"/>
            <w:vAlign w:val="center"/>
          </w:tcPr>
          <w:p w14:paraId="64A985AD">
            <w:pPr>
              <w:spacing w:line="360" w:lineRule="exact"/>
              <w:jc w:val="center"/>
              <w:rPr>
                <w:rFonts w:hint="eastAsia" w:ascii="宋体" w:hAnsi="宋体" w:eastAsia="宋体" w:cs="Times New Roman"/>
                <w:sz w:val="24"/>
                <w:szCs w:val="24"/>
              </w:rPr>
            </w:pPr>
          </w:p>
        </w:tc>
      </w:tr>
      <w:tr w14:paraId="73D97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9BCCC22">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4AF00174">
            <w:pPr>
              <w:spacing w:line="360" w:lineRule="exact"/>
              <w:jc w:val="center"/>
              <w:rPr>
                <w:rFonts w:hint="eastAsia" w:ascii="宋体" w:hAnsi="宋体" w:eastAsia="宋体" w:cs="Times New Roman"/>
                <w:sz w:val="24"/>
                <w:szCs w:val="24"/>
              </w:rPr>
            </w:pPr>
          </w:p>
        </w:tc>
        <w:tc>
          <w:tcPr>
            <w:tcW w:w="2308" w:type="dxa"/>
            <w:vAlign w:val="center"/>
          </w:tcPr>
          <w:p w14:paraId="74749575">
            <w:pPr>
              <w:spacing w:line="360" w:lineRule="exact"/>
              <w:jc w:val="center"/>
              <w:rPr>
                <w:rFonts w:hint="eastAsia" w:ascii="宋体" w:hAnsi="宋体" w:eastAsia="宋体" w:cs="Times New Roman"/>
                <w:sz w:val="24"/>
                <w:szCs w:val="24"/>
              </w:rPr>
            </w:pPr>
          </w:p>
        </w:tc>
        <w:tc>
          <w:tcPr>
            <w:tcW w:w="1713" w:type="dxa"/>
            <w:vAlign w:val="center"/>
          </w:tcPr>
          <w:p w14:paraId="37968CEF">
            <w:pPr>
              <w:spacing w:line="360" w:lineRule="exact"/>
              <w:jc w:val="center"/>
              <w:rPr>
                <w:rFonts w:hint="eastAsia" w:ascii="宋体" w:hAnsi="宋体" w:eastAsia="宋体" w:cs="Times New Roman"/>
                <w:sz w:val="24"/>
                <w:szCs w:val="24"/>
              </w:rPr>
            </w:pPr>
          </w:p>
        </w:tc>
        <w:tc>
          <w:tcPr>
            <w:tcW w:w="1911" w:type="dxa"/>
            <w:vAlign w:val="center"/>
          </w:tcPr>
          <w:p w14:paraId="25A9882A">
            <w:pPr>
              <w:spacing w:line="360" w:lineRule="exact"/>
              <w:jc w:val="center"/>
              <w:rPr>
                <w:rFonts w:hint="eastAsia" w:ascii="宋体" w:hAnsi="宋体" w:eastAsia="宋体" w:cs="Times New Roman"/>
                <w:sz w:val="24"/>
                <w:szCs w:val="24"/>
              </w:rPr>
            </w:pPr>
          </w:p>
        </w:tc>
      </w:tr>
      <w:tr w14:paraId="378D59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8B11029">
            <w:pPr>
              <w:spacing w:line="360" w:lineRule="exact"/>
              <w:jc w:val="center"/>
              <w:rPr>
                <w:rFonts w:hint="eastAsia"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3BC5F10D">
            <w:pPr>
              <w:spacing w:line="360" w:lineRule="exact"/>
              <w:jc w:val="center"/>
              <w:rPr>
                <w:rFonts w:hint="eastAsia" w:ascii="宋体" w:hAnsi="宋体" w:eastAsia="宋体" w:cs="Times New Roman"/>
                <w:sz w:val="24"/>
                <w:szCs w:val="24"/>
              </w:rPr>
            </w:pPr>
          </w:p>
        </w:tc>
        <w:tc>
          <w:tcPr>
            <w:tcW w:w="2308" w:type="dxa"/>
            <w:vAlign w:val="center"/>
          </w:tcPr>
          <w:p w14:paraId="33BD58D0">
            <w:pPr>
              <w:spacing w:line="360" w:lineRule="exact"/>
              <w:jc w:val="center"/>
              <w:rPr>
                <w:rFonts w:hint="eastAsia" w:ascii="宋体" w:hAnsi="宋体" w:eastAsia="宋体" w:cs="Times New Roman"/>
                <w:sz w:val="24"/>
                <w:szCs w:val="24"/>
              </w:rPr>
            </w:pPr>
          </w:p>
        </w:tc>
        <w:tc>
          <w:tcPr>
            <w:tcW w:w="1713" w:type="dxa"/>
            <w:vAlign w:val="center"/>
          </w:tcPr>
          <w:p w14:paraId="0204FC48">
            <w:pPr>
              <w:spacing w:line="360" w:lineRule="exact"/>
              <w:jc w:val="center"/>
              <w:rPr>
                <w:rFonts w:hint="eastAsia" w:ascii="宋体" w:hAnsi="宋体" w:eastAsia="宋体" w:cs="Times New Roman"/>
                <w:sz w:val="24"/>
                <w:szCs w:val="24"/>
              </w:rPr>
            </w:pPr>
          </w:p>
        </w:tc>
        <w:tc>
          <w:tcPr>
            <w:tcW w:w="1911" w:type="dxa"/>
            <w:vAlign w:val="center"/>
          </w:tcPr>
          <w:p w14:paraId="144F0C08">
            <w:pPr>
              <w:spacing w:line="360" w:lineRule="exact"/>
              <w:jc w:val="center"/>
              <w:rPr>
                <w:rFonts w:hint="eastAsia" w:ascii="宋体" w:hAnsi="宋体" w:eastAsia="宋体" w:cs="Times New Roman"/>
                <w:sz w:val="24"/>
                <w:szCs w:val="24"/>
              </w:rPr>
            </w:pPr>
          </w:p>
        </w:tc>
      </w:tr>
      <w:tr w14:paraId="3C89A3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44AB0A93">
            <w:pPr>
              <w:spacing w:line="360" w:lineRule="exact"/>
              <w:jc w:val="center"/>
              <w:rPr>
                <w:rFonts w:hint="eastAsia" w:ascii="宋体" w:hAnsi="宋体" w:eastAsia="宋体" w:cs="Times New Roman"/>
                <w:sz w:val="24"/>
                <w:szCs w:val="24"/>
              </w:rPr>
            </w:pPr>
          </w:p>
        </w:tc>
        <w:tc>
          <w:tcPr>
            <w:tcW w:w="2415" w:type="dxa"/>
            <w:vAlign w:val="center"/>
          </w:tcPr>
          <w:p w14:paraId="70C17A8C">
            <w:pPr>
              <w:spacing w:line="360" w:lineRule="exact"/>
              <w:jc w:val="center"/>
              <w:rPr>
                <w:rFonts w:hint="eastAsia" w:ascii="宋体" w:hAnsi="宋体" w:eastAsia="宋体" w:cs="Times New Roman"/>
                <w:sz w:val="24"/>
                <w:szCs w:val="24"/>
              </w:rPr>
            </w:pPr>
          </w:p>
        </w:tc>
        <w:tc>
          <w:tcPr>
            <w:tcW w:w="2308" w:type="dxa"/>
            <w:vAlign w:val="center"/>
          </w:tcPr>
          <w:p w14:paraId="49874232">
            <w:pPr>
              <w:spacing w:line="360" w:lineRule="exact"/>
              <w:jc w:val="center"/>
              <w:rPr>
                <w:rFonts w:hint="eastAsia" w:ascii="宋体" w:hAnsi="宋体" w:eastAsia="宋体" w:cs="Times New Roman"/>
                <w:sz w:val="24"/>
                <w:szCs w:val="24"/>
              </w:rPr>
            </w:pPr>
          </w:p>
        </w:tc>
        <w:tc>
          <w:tcPr>
            <w:tcW w:w="1713" w:type="dxa"/>
            <w:vAlign w:val="center"/>
          </w:tcPr>
          <w:p w14:paraId="65036362">
            <w:pPr>
              <w:spacing w:line="360" w:lineRule="exact"/>
              <w:jc w:val="center"/>
              <w:rPr>
                <w:rFonts w:hint="eastAsia" w:ascii="宋体" w:hAnsi="宋体" w:eastAsia="宋体" w:cs="Times New Roman"/>
                <w:sz w:val="24"/>
                <w:szCs w:val="24"/>
              </w:rPr>
            </w:pPr>
          </w:p>
        </w:tc>
        <w:tc>
          <w:tcPr>
            <w:tcW w:w="1911" w:type="dxa"/>
            <w:vAlign w:val="center"/>
          </w:tcPr>
          <w:p w14:paraId="4E08A408">
            <w:pPr>
              <w:spacing w:line="360" w:lineRule="exact"/>
              <w:jc w:val="center"/>
              <w:rPr>
                <w:rFonts w:hint="eastAsia" w:ascii="宋体" w:hAnsi="宋体" w:eastAsia="宋体" w:cs="Times New Roman"/>
                <w:sz w:val="24"/>
                <w:szCs w:val="24"/>
              </w:rPr>
            </w:pPr>
          </w:p>
        </w:tc>
      </w:tr>
    </w:tbl>
    <w:p w14:paraId="074A4CAA">
      <w:pPr>
        <w:spacing w:line="360" w:lineRule="exact"/>
        <w:rPr>
          <w:rFonts w:hint="eastAsia" w:ascii="宋体" w:hAnsi="宋体" w:eastAsia="宋体" w:cs="Times New Roman"/>
          <w:szCs w:val="21"/>
        </w:rPr>
      </w:pPr>
    </w:p>
    <w:p w14:paraId="486BD61F">
      <w:pPr>
        <w:spacing w:line="360" w:lineRule="exact"/>
        <w:rPr>
          <w:rFonts w:hint="eastAsia" w:ascii="宋体" w:hAnsi="宋体" w:eastAsia="宋体" w:cs="Times New Roman"/>
          <w:b/>
          <w:szCs w:val="21"/>
        </w:rPr>
      </w:pPr>
      <w:r>
        <w:rPr>
          <w:rFonts w:hint="eastAsia" w:ascii="宋体" w:hAnsi="宋体" w:eastAsia="宋体" w:cs="Times New Roman"/>
          <w:szCs w:val="21"/>
        </w:rPr>
        <w:t>注：1、投标单位应据实、详细填写上述表格，因未标明或表述含糊导致的评审风险将由投标单位承担。</w:t>
      </w:r>
    </w:p>
    <w:p w14:paraId="6C023E39">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2.质保期、工期、付款方式、售后服务等商务响应情况在“商务要求响应及偏离表”填写。产品技术参数要求响应等技术响应情况在“技术要求响应及偏离表”填写。</w:t>
      </w:r>
    </w:p>
    <w:p w14:paraId="2D19FE2E">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p>
    <w:p w14:paraId="5938ECB9">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4.“投标文件技术规范描述”完全照抄“招标文件技术要求”的，有被判定为负偏离的风险。</w:t>
      </w:r>
    </w:p>
    <w:p w14:paraId="77DE5004">
      <w:pPr>
        <w:spacing w:line="360" w:lineRule="exact"/>
        <w:ind w:firstLine="420"/>
        <w:rPr>
          <w:rFonts w:hint="eastAsia" w:ascii="宋体" w:hAnsi="宋体" w:eastAsia="宋体" w:cs="Times New Roman"/>
          <w:szCs w:val="21"/>
        </w:rPr>
      </w:pPr>
      <w:r>
        <w:rPr>
          <w:rFonts w:hint="eastAsia" w:ascii="宋体" w:hAnsi="宋体" w:eastAsia="宋体" w:cs="Times New Roman"/>
          <w:szCs w:val="21"/>
        </w:rPr>
        <w:t>5.表格不够可另接。</w:t>
      </w:r>
    </w:p>
    <w:p w14:paraId="26B0AF5A">
      <w:pPr>
        <w:spacing w:line="400" w:lineRule="exact"/>
        <w:ind w:firstLine="3600"/>
        <w:jc w:val="left"/>
        <w:rPr>
          <w:rFonts w:hint="eastAsia" w:ascii="宋体" w:hAnsi="宋体" w:eastAsia="宋体" w:cs="Times New Roman"/>
          <w:bCs/>
          <w:sz w:val="24"/>
          <w:szCs w:val="24"/>
        </w:rPr>
      </w:pPr>
    </w:p>
    <w:p w14:paraId="6343D9F3">
      <w:pPr>
        <w:spacing w:line="400" w:lineRule="exact"/>
        <w:ind w:firstLine="3600"/>
        <w:jc w:val="left"/>
        <w:rPr>
          <w:rFonts w:hint="eastAsia" w:ascii="宋体" w:hAnsi="宋体" w:eastAsia="宋体" w:cs="Times New Roman"/>
          <w:bCs/>
          <w:sz w:val="24"/>
          <w:szCs w:val="24"/>
        </w:rPr>
      </w:pPr>
    </w:p>
    <w:p w14:paraId="3D0D1957">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3A92052F">
      <w:pPr>
        <w:spacing w:line="400" w:lineRule="exact"/>
        <w:ind w:firstLine="3600"/>
        <w:jc w:val="left"/>
        <w:rPr>
          <w:rFonts w:hint="eastAsia" w:ascii="宋体" w:hAnsi="宋体" w:eastAsia="宋体" w:cs="Times New Roman"/>
          <w:bCs/>
          <w:sz w:val="24"/>
          <w:szCs w:val="24"/>
        </w:rPr>
      </w:pPr>
    </w:p>
    <w:p w14:paraId="0EDDA91B">
      <w:pPr>
        <w:spacing w:line="400" w:lineRule="exact"/>
        <w:ind w:firstLine="36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p w14:paraId="640278F3">
      <w:pPr>
        <w:spacing w:line="360" w:lineRule="exact"/>
        <w:jc w:val="both"/>
        <w:rPr>
          <w:rFonts w:hint="eastAsia" w:ascii="宋体" w:hAnsi="宋体" w:eastAsia="宋体" w:cs="Times New Roman"/>
          <w:sz w:val="24"/>
          <w:szCs w:val="24"/>
        </w:rPr>
        <w:sectPr>
          <w:pgSz w:w="11906" w:h="16838"/>
          <w:pgMar w:top="1247" w:right="1247" w:bottom="1247" w:left="1247" w:header="680" w:footer="992" w:gutter="0"/>
          <w:cols w:space="720" w:num="1"/>
          <w:docGrid w:linePitch="360" w:charSpace="0"/>
        </w:sectPr>
      </w:pPr>
    </w:p>
    <w:p w14:paraId="4DE6E0FC">
      <w:pPr>
        <w:keepNext/>
        <w:keepLines/>
        <w:spacing w:line="400" w:lineRule="exact"/>
        <w:jc w:val="both"/>
        <w:rPr>
          <w:rFonts w:hint="eastAsia" w:ascii="黑体" w:hAnsi="黑体" w:eastAsia="黑体" w:cs="Times New Roman"/>
          <w:sz w:val="28"/>
          <w:szCs w:val="28"/>
        </w:rPr>
      </w:pPr>
    </w:p>
    <w:p w14:paraId="2D52142A">
      <w:pPr>
        <w:keepNext/>
        <w:keepLines/>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lang w:eastAsia="zh-CN"/>
        </w:rPr>
        <w:t>六</w:t>
      </w:r>
      <w:r>
        <w:rPr>
          <w:rFonts w:hint="eastAsia" w:ascii="黑体" w:hAnsi="黑体" w:eastAsia="黑体" w:cs="Times New Roman"/>
          <w:sz w:val="28"/>
          <w:szCs w:val="28"/>
        </w:rPr>
        <w:t>、法定代表人授权委托书</w:t>
      </w:r>
    </w:p>
    <w:p w14:paraId="40DC6952">
      <w:pPr>
        <w:spacing w:line="400" w:lineRule="exact"/>
        <w:jc w:val="center"/>
        <w:rPr>
          <w:rFonts w:hint="eastAsia" w:ascii="仿宋" w:hAnsi="仿宋" w:eastAsia="仿宋" w:cs="Times New Roman"/>
          <w:b/>
          <w:bCs/>
          <w:sz w:val="24"/>
          <w:szCs w:val="24"/>
        </w:rPr>
      </w:pPr>
      <w:r>
        <w:rPr>
          <w:rFonts w:hint="eastAsia" w:ascii="仿宋" w:hAnsi="仿宋" w:eastAsia="仿宋" w:cs="Times New Roman"/>
          <w:b/>
          <w:bCs/>
          <w:sz w:val="24"/>
          <w:szCs w:val="24"/>
        </w:rPr>
        <w:t>（若法定代表人亲自参加投标的，请提供《法定代表人亲自投标声明》）</w:t>
      </w:r>
    </w:p>
    <w:p w14:paraId="62C1555D">
      <w:pPr>
        <w:ind w:left="1470" w:right="1470"/>
        <w:rPr>
          <w:rFonts w:hint="eastAsia" w:ascii="宋体" w:hAnsi="宋体" w:eastAsia="宋体" w:cs="Times New Roman"/>
          <w:sz w:val="24"/>
          <w:szCs w:val="24"/>
        </w:rPr>
      </w:pPr>
    </w:p>
    <w:p w14:paraId="2DF4C42D">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2216C1B3">
      <w:pPr>
        <w:spacing w:line="400" w:lineRule="exact"/>
        <w:ind w:firstLine="480"/>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5E11B137">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）的投标、参与评标、签约等具体工作，并签署全部有关的文件、协议及合同。</w:t>
      </w:r>
    </w:p>
    <w:p w14:paraId="67C865DE">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0DF8DC27">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1F228A3A">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授权委托人情况：</w:t>
      </w:r>
    </w:p>
    <w:p w14:paraId="0B1DA68B">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0B8AE350">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6A3F2C1B">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148C02EB">
      <w:pPr>
        <w:spacing w:line="400" w:lineRule="exact"/>
        <w:ind w:firstLine="4200"/>
        <w:rPr>
          <w:rFonts w:hint="eastAsia"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5A58B58E">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1839EDAB">
      <w:pPr>
        <w:spacing w:line="400" w:lineRule="exact"/>
        <w:jc w:val="center"/>
        <w:rPr>
          <w:rFonts w:hint="eastAsia" w:ascii="宋体" w:hAnsi="宋体" w:eastAsia="宋体" w:cs="Times New Roman"/>
          <w:b/>
          <w:bCs/>
          <w:sz w:val="24"/>
          <w:szCs w:val="24"/>
        </w:rPr>
      </w:pPr>
    </w:p>
    <w:p w14:paraId="015F6DE0">
      <w:pPr>
        <w:spacing w:line="400" w:lineRule="exact"/>
        <w:jc w:val="center"/>
        <w:rPr>
          <w:rFonts w:hint="eastAsia" w:ascii="宋体" w:hAnsi="宋体" w:eastAsia="宋体" w:cs="Times New Roman"/>
          <w:bCs/>
          <w:sz w:val="24"/>
          <w:szCs w:val="24"/>
        </w:rPr>
      </w:pPr>
    </w:p>
    <w:p w14:paraId="4506D90E">
      <w:pPr>
        <w:spacing w:line="400" w:lineRule="exact"/>
        <w:jc w:val="center"/>
        <w:rPr>
          <w:rFonts w:hint="eastAsia" w:ascii="宋体" w:hAnsi="宋体" w:eastAsia="宋体" w:cs="Times New Roman"/>
          <w:bCs/>
          <w:sz w:val="24"/>
          <w:szCs w:val="24"/>
        </w:rPr>
      </w:pPr>
    </w:p>
    <w:tbl>
      <w:tblPr>
        <w:tblStyle w:val="33"/>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28F2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32C1CE25">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法定代表人身份证</w:t>
            </w:r>
          </w:p>
          <w:p w14:paraId="500E4180">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4DF3A018">
            <w:pPr>
              <w:spacing w:line="400" w:lineRule="exact"/>
              <w:rPr>
                <w:rFonts w:hint="eastAsia" w:ascii="宋体" w:hAnsi="宋体" w:eastAsia="宋体" w:cs="Times New Roman"/>
                <w:bCs/>
                <w:sz w:val="24"/>
                <w:szCs w:val="24"/>
              </w:rPr>
            </w:pPr>
          </w:p>
        </w:tc>
        <w:tc>
          <w:tcPr>
            <w:tcW w:w="2843" w:type="dxa"/>
            <w:vAlign w:val="center"/>
          </w:tcPr>
          <w:p w14:paraId="16519555">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授权委托人身份证</w:t>
            </w:r>
          </w:p>
          <w:p w14:paraId="52DAA4D6">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r>
    </w:tbl>
    <w:p w14:paraId="7A2967E4">
      <w:pPr>
        <w:spacing w:line="400" w:lineRule="exact"/>
        <w:rPr>
          <w:rFonts w:hint="eastAsia" w:ascii="宋体" w:hAnsi="宋体" w:eastAsia="宋体" w:cs="Times New Roman"/>
          <w:b/>
          <w:bCs/>
          <w:sz w:val="24"/>
          <w:szCs w:val="24"/>
        </w:rPr>
      </w:pPr>
    </w:p>
    <w:p w14:paraId="21839F19">
      <w:pPr>
        <w:spacing w:line="400" w:lineRule="exact"/>
        <w:rPr>
          <w:rFonts w:hint="eastAsia" w:ascii="宋体" w:hAnsi="宋体" w:eastAsia="宋体" w:cs="Times New Roman"/>
          <w:b/>
          <w:bCs/>
          <w:sz w:val="24"/>
          <w:szCs w:val="24"/>
        </w:rPr>
      </w:pPr>
    </w:p>
    <w:p w14:paraId="517B52EE">
      <w:pPr>
        <w:spacing w:line="400" w:lineRule="exact"/>
        <w:rPr>
          <w:rFonts w:hint="eastAsia" w:ascii="宋体" w:hAnsi="宋体" w:eastAsia="宋体" w:cs="Times New Roman"/>
          <w:b/>
          <w:bCs/>
          <w:sz w:val="24"/>
          <w:szCs w:val="24"/>
        </w:rPr>
      </w:pPr>
    </w:p>
    <w:p w14:paraId="03294DEE">
      <w:pPr>
        <w:spacing w:line="400" w:lineRule="exact"/>
        <w:rPr>
          <w:rFonts w:hint="eastAsia" w:ascii="宋体" w:hAnsi="宋体" w:eastAsia="宋体" w:cs="Times New Roman"/>
          <w:b/>
          <w:bCs/>
          <w:sz w:val="24"/>
          <w:szCs w:val="24"/>
        </w:rPr>
      </w:pPr>
    </w:p>
    <w:p w14:paraId="629F524A">
      <w:pPr>
        <w:spacing w:line="400" w:lineRule="exact"/>
        <w:rPr>
          <w:rFonts w:hint="eastAsia" w:ascii="宋体" w:hAnsi="宋体" w:eastAsia="宋体" w:cs="Times New Roman"/>
          <w:b/>
          <w:bCs/>
          <w:sz w:val="24"/>
          <w:szCs w:val="24"/>
        </w:rPr>
      </w:pPr>
    </w:p>
    <w:p w14:paraId="1524CEE2">
      <w:pPr>
        <w:spacing w:line="400" w:lineRule="exact"/>
        <w:ind w:firstLine="482"/>
        <w:rPr>
          <w:rFonts w:hint="eastAsia" w:ascii="宋体" w:hAnsi="宋体" w:eastAsia="宋体" w:cs="Times New Roman"/>
          <w:b/>
          <w:bCs/>
          <w:sz w:val="24"/>
          <w:szCs w:val="24"/>
        </w:rPr>
      </w:pPr>
    </w:p>
    <w:p w14:paraId="40217118">
      <w:pPr>
        <w:ind w:right="1470"/>
        <w:rPr>
          <w:rFonts w:hint="eastAsia" w:ascii="宋体" w:hAnsi="宋体" w:eastAsia="宋体" w:cs="Times New Roman"/>
          <w:sz w:val="24"/>
          <w:szCs w:val="24"/>
        </w:rPr>
      </w:pPr>
    </w:p>
    <w:p w14:paraId="5DFC7A03">
      <w:pPr>
        <w:keepNext/>
        <w:keepLines/>
        <w:spacing w:line="400" w:lineRule="exact"/>
        <w:jc w:val="center"/>
        <w:rPr>
          <w:rFonts w:hint="eastAsia" w:ascii="黑体" w:hAnsi="黑体" w:eastAsia="黑体" w:cs="Times New Roman"/>
          <w:sz w:val="28"/>
          <w:szCs w:val="28"/>
        </w:rPr>
      </w:pPr>
    </w:p>
    <w:p w14:paraId="39E1AC31">
      <w:pPr>
        <w:keepNext/>
        <w:keepLines/>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法定代表人亲自投标声明</w:t>
      </w:r>
    </w:p>
    <w:p w14:paraId="2197AB3F">
      <w:pPr>
        <w:rPr>
          <w:rFonts w:hint="eastAsia" w:ascii="宋体" w:hAnsi="宋体" w:eastAsia="宋体" w:cs="Times New Roman"/>
          <w:sz w:val="24"/>
          <w:szCs w:val="24"/>
        </w:rPr>
      </w:pPr>
    </w:p>
    <w:p w14:paraId="52914263">
      <w:pPr>
        <w:ind w:left="1470" w:right="1470"/>
        <w:rPr>
          <w:rFonts w:hint="eastAsia" w:ascii="宋体" w:hAnsi="宋体" w:eastAsia="宋体" w:cs="Times New Roman"/>
          <w:sz w:val="24"/>
          <w:szCs w:val="24"/>
        </w:rPr>
      </w:pPr>
    </w:p>
    <w:p w14:paraId="29ACBA24">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626DB950">
      <w:pPr>
        <w:spacing w:line="400" w:lineRule="exact"/>
        <w:ind w:firstLine="480"/>
        <w:rPr>
          <w:rFonts w:hint="eastAsia"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266B21C8">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）由我单位法定代表人亲自参加投标、评标、签约等具体工作，并签署全部有关的文件、协议及合同。</w:t>
      </w:r>
    </w:p>
    <w:p w14:paraId="76FBC8D3">
      <w:pPr>
        <w:ind w:left="1470" w:right="1470"/>
        <w:rPr>
          <w:rFonts w:hint="eastAsia" w:ascii="宋体" w:hAnsi="宋体" w:eastAsia="宋体" w:cs="Times New Roman"/>
          <w:sz w:val="24"/>
          <w:szCs w:val="24"/>
        </w:rPr>
      </w:pPr>
    </w:p>
    <w:p w14:paraId="34543852">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法定代表人情况：</w:t>
      </w:r>
    </w:p>
    <w:p w14:paraId="1E016A66">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375B7EE8">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4C20586E">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0FED5F1D">
      <w:pPr>
        <w:ind w:left="1470" w:right="1470"/>
        <w:rPr>
          <w:rFonts w:hint="eastAsia" w:ascii="宋体" w:hAnsi="宋体" w:eastAsia="宋体" w:cs="Times New Roman"/>
          <w:sz w:val="24"/>
          <w:szCs w:val="24"/>
        </w:rPr>
      </w:pPr>
    </w:p>
    <w:p w14:paraId="20668546">
      <w:pPr>
        <w:ind w:left="1470" w:right="1470"/>
        <w:rPr>
          <w:rFonts w:hint="eastAsia" w:ascii="宋体" w:hAnsi="宋体" w:eastAsia="宋体" w:cs="Times New Roman"/>
          <w:sz w:val="24"/>
          <w:szCs w:val="24"/>
        </w:rPr>
      </w:pPr>
    </w:p>
    <w:p w14:paraId="18138894">
      <w:pPr>
        <w:ind w:left="1470" w:right="1470"/>
        <w:rPr>
          <w:rFonts w:hint="eastAsia" w:ascii="宋体" w:hAnsi="宋体" w:eastAsia="宋体" w:cs="Times New Roman"/>
          <w:sz w:val="24"/>
          <w:szCs w:val="24"/>
        </w:rPr>
      </w:pPr>
    </w:p>
    <w:p w14:paraId="406B4772">
      <w:pPr>
        <w:ind w:left="1470" w:right="1470"/>
        <w:rPr>
          <w:rFonts w:hint="eastAsia" w:ascii="宋体" w:hAnsi="宋体" w:eastAsia="宋体" w:cs="Times New Roman"/>
          <w:sz w:val="24"/>
          <w:szCs w:val="24"/>
        </w:rPr>
      </w:pPr>
    </w:p>
    <w:p w14:paraId="6EA0A44C">
      <w:pPr>
        <w:spacing w:line="400" w:lineRule="exact"/>
        <w:ind w:right="480" w:firstLine="3480"/>
        <w:rPr>
          <w:rFonts w:hint="eastAsia"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23CBE72E">
      <w:pPr>
        <w:spacing w:line="400" w:lineRule="exact"/>
        <w:ind w:right="480" w:firstLine="2520"/>
        <w:rPr>
          <w:rFonts w:hint="eastAsia"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60709505">
      <w:pPr>
        <w:ind w:left="1470" w:right="1470"/>
        <w:rPr>
          <w:rFonts w:hint="eastAsia" w:ascii="宋体" w:hAnsi="宋体" w:eastAsia="宋体" w:cs="Times New Roman"/>
          <w:sz w:val="24"/>
          <w:szCs w:val="24"/>
        </w:rPr>
      </w:pPr>
    </w:p>
    <w:p w14:paraId="5A11BB54">
      <w:pPr>
        <w:spacing w:line="400" w:lineRule="exact"/>
        <w:ind w:right="480" w:firstLine="480"/>
        <w:rPr>
          <w:rFonts w:hint="eastAsia" w:ascii="宋体" w:hAnsi="宋体" w:eastAsia="宋体" w:cs="Times New Roman"/>
          <w:bCs/>
          <w:sz w:val="24"/>
          <w:szCs w:val="24"/>
        </w:rPr>
      </w:pPr>
      <w:r>
        <w:rPr>
          <w:rFonts w:hint="eastAsia" w:ascii="宋体" w:hAnsi="宋体" w:eastAsia="宋体" w:cs="Times New Roman"/>
          <w:bCs/>
          <w:sz w:val="24"/>
          <w:szCs w:val="24"/>
        </w:rPr>
        <w:t xml:space="preserve">           </w:t>
      </w:r>
    </w:p>
    <w:p w14:paraId="754C6F89">
      <w:pPr>
        <w:ind w:left="1470" w:right="1470"/>
        <w:rPr>
          <w:rFonts w:hint="eastAsia" w:ascii="宋体" w:hAnsi="宋体" w:eastAsia="宋体" w:cs="Times New Roman"/>
          <w:sz w:val="24"/>
          <w:szCs w:val="24"/>
        </w:rPr>
      </w:pPr>
    </w:p>
    <w:p w14:paraId="105FDBCD">
      <w:pPr>
        <w:ind w:left="1470" w:right="1470"/>
        <w:rPr>
          <w:rFonts w:hint="eastAsia" w:ascii="宋体" w:hAnsi="宋体" w:eastAsia="宋体" w:cs="Times New Roman"/>
          <w:sz w:val="24"/>
          <w:szCs w:val="24"/>
        </w:rPr>
      </w:pPr>
    </w:p>
    <w:p w14:paraId="487FF2DB">
      <w:pPr>
        <w:ind w:right="1470"/>
        <w:rPr>
          <w:rFonts w:hint="eastAsia" w:ascii="宋体" w:hAnsi="宋体" w:eastAsia="宋体" w:cs="Times New Roman"/>
          <w:sz w:val="24"/>
          <w:szCs w:val="24"/>
        </w:rPr>
      </w:pPr>
    </w:p>
    <w:p w14:paraId="6F949BEA">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附：</w:t>
      </w:r>
    </w:p>
    <w:tbl>
      <w:tblPr>
        <w:tblStyle w:val="33"/>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22CF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9" w:hRule="atLeast"/>
        </w:trPr>
        <w:tc>
          <w:tcPr>
            <w:tcW w:w="2842" w:type="dxa"/>
            <w:vAlign w:val="center"/>
          </w:tcPr>
          <w:p w14:paraId="332E507A">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法定代表人身份证</w:t>
            </w:r>
          </w:p>
          <w:p w14:paraId="12D22487">
            <w:pPr>
              <w:spacing w:line="400" w:lineRule="exact"/>
              <w:jc w:val="center"/>
              <w:rPr>
                <w:rFonts w:hint="eastAsia" w:ascii="宋体" w:hAnsi="宋体" w:eastAsia="宋体" w:cs="Times New Roman"/>
                <w:bCs/>
                <w:sz w:val="24"/>
                <w:szCs w:val="24"/>
              </w:rPr>
            </w:pPr>
            <w:r>
              <w:rPr>
                <w:rFonts w:hint="eastAsia" w:ascii="宋体" w:hAnsi="宋体" w:eastAsia="宋体" w:cs="Times New Roman"/>
                <w:bCs/>
                <w:sz w:val="24"/>
                <w:szCs w:val="24"/>
              </w:rPr>
              <w:t>扫描件</w:t>
            </w:r>
          </w:p>
        </w:tc>
      </w:tr>
    </w:tbl>
    <w:p w14:paraId="1F6DEBF8">
      <w:pPr>
        <w:spacing w:line="400" w:lineRule="exact"/>
        <w:rPr>
          <w:rFonts w:hint="eastAsia" w:ascii="宋体" w:hAnsi="宋体" w:eastAsia="宋体" w:cs="Times New Roman"/>
          <w:b/>
          <w:bCs/>
          <w:sz w:val="24"/>
          <w:szCs w:val="24"/>
        </w:rPr>
      </w:pPr>
    </w:p>
    <w:p w14:paraId="5702397F">
      <w:pPr>
        <w:spacing w:line="400" w:lineRule="exact"/>
        <w:ind w:firstLine="482"/>
        <w:rPr>
          <w:rFonts w:hint="eastAsia" w:ascii="宋体" w:hAnsi="宋体" w:eastAsia="宋体" w:cs="Times New Roman"/>
          <w:b/>
          <w:bCs/>
          <w:sz w:val="24"/>
          <w:szCs w:val="24"/>
        </w:rPr>
      </w:pPr>
    </w:p>
    <w:p w14:paraId="0B64A404">
      <w:pPr>
        <w:spacing w:line="400" w:lineRule="exact"/>
        <w:ind w:firstLine="482"/>
        <w:rPr>
          <w:rFonts w:hint="eastAsia" w:ascii="宋体" w:hAnsi="宋体" w:eastAsia="宋体" w:cs="Times New Roman"/>
          <w:b/>
          <w:bCs/>
          <w:sz w:val="24"/>
          <w:szCs w:val="24"/>
        </w:rPr>
      </w:pPr>
    </w:p>
    <w:p w14:paraId="2EF4EFFE">
      <w:pPr>
        <w:spacing w:line="400" w:lineRule="exact"/>
        <w:ind w:firstLine="482"/>
        <w:rPr>
          <w:rFonts w:hint="eastAsia" w:ascii="宋体" w:hAnsi="宋体" w:eastAsia="宋体" w:cs="Times New Roman"/>
          <w:b/>
          <w:bCs/>
          <w:sz w:val="24"/>
          <w:szCs w:val="24"/>
        </w:rPr>
      </w:pPr>
    </w:p>
    <w:p w14:paraId="05A7A224">
      <w:pPr>
        <w:spacing w:line="400" w:lineRule="exact"/>
        <w:rPr>
          <w:rFonts w:hint="eastAsia" w:ascii="宋体" w:hAnsi="宋体" w:eastAsia="宋体" w:cs="Times New Roman"/>
          <w:bCs/>
          <w:sz w:val="24"/>
          <w:szCs w:val="24"/>
        </w:rPr>
      </w:pPr>
    </w:p>
    <w:p w14:paraId="0B0401C5">
      <w:pPr>
        <w:spacing w:line="400" w:lineRule="exact"/>
        <w:rPr>
          <w:rFonts w:hint="eastAsia" w:ascii="宋体" w:hAnsi="宋体" w:eastAsia="宋体" w:cs="Times New Roman"/>
          <w:bCs/>
          <w:sz w:val="24"/>
          <w:szCs w:val="24"/>
        </w:rPr>
      </w:pPr>
    </w:p>
    <w:p w14:paraId="33C48901">
      <w:pPr>
        <w:spacing w:line="400" w:lineRule="exact"/>
        <w:jc w:val="center"/>
        <w:rPr>
          <w:rFonts w:hint="eastAsia" w:ascii="宋体" w:hAnsi="宋体" w:eastAsia="宋体" w:cs="Times New Roman"/>
          <w:bCs/>
          <w:sz w:val="24"/>
          <w:szCs w:val="24"/>
        </w:rPr>
      </w:pPr>
    </w:p>
    <w:p w14:paraId="15C8CC2C">
      <w:pPr>
        <w:spacing w:line="400" w:lineRule="exact"/>
        <w:jc w:val="center"/>
        <w:rPr>
          <w:rFonts w:hint="eastAsia" w:ascii="宋体" w:hAnsi="宋体" w:eastAsia="宋体" w:cs="Times New Roman"/>
          <w:bCs/>
          <w:sz w:val="24"/>
          <w:szCs w:val="24"/>
        </w:rPr>
        <w:sectPr>
          <w:pgSz w:w="11906" w:h="16838"/>
          <w:pgMar w:top="1247" w:right="1247" w:bottom="1247" w:left="1247" w:header="680" w:footer="992" w:gutter="0"/>
          <w:cols w:space="720" w:num="1"/>
          <w:docGrid w:linePitch="360" w:charSpace="0"/>
        </w:sectPr>
      </w:pPr>
    </w:p>
    <w:p w14:paraId="534D8189">
      <w:pPr>
        <w:spacing w:line="400" w:lineRule="exact"/>
        <w:jc w:val="center"/>
        <w:rPr>
          <w:rFonts w:hint="eastAsia" w:ascii="黑体" w:hAnsi="黑体" w:eastAsia="黑体" w:cs="Times New Roman"/>
          <w:sz w:val="28"/>
          <w:szCs w:val="28"/>
        </w:rPr>
      </w:pPr>
    </w:p>
    <w:p w14:paraId="5F6F3E88">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lang w:eastAsia="zh-CN"/>
        </w:rPr>
        <w:t>七</w:t>
      </w:r>
      <w:r>
        <w:rPr>
          <w:rFonts w:hint="eastAsia" w:ascii="黑体" w:hAnsi="黑体" w:eastAsia="黑体" w:cs="Times New Roman"/>
          <w:sz w:val="28"/>
          <w:szCs w:val="28"/>
        </w:rPr>
        <w:t>、关于资格的声明函</w:t>
      </w:r>
    </w:p>
    <w:p w14:paraId="49BED879">
      <w:pPr>
        <w:spacing w:line="400" w:lineRule="exact"/>
        <w:ind w:firstLine="480"/>
        <w:rPr>
          <w:rFonts w:hint="eastAsia" w:ascii="宋体" w:hAnsi="宋体" w:eastAsia="宋体" w:cs="Times New Roman"/>
          <w:bCs/>
          <w:sz w:val="24"/>
          <w:szCs w:val="24"/>
        </w:rPr>
      </w:pPr>
    </w:p>
    <w:p w14:paraId="39837778">
      <w:pPr>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038B0473">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按照《中华人民共和国政府采购法》第二十二条和招标文件的规定，我单位郑重声明如下：</w:t>
      </w:r>
    </w:p>
    <w:p w14:paraId="073658B1">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，具有独立承担民事责任的能力（如属于分公司经总公司授权参与项目，由总公司承担民事责任的，须提供总公司项目授权书）。</w:t>
      </w:r>
    </w:p>
    <w:p w14:paraId="4AF53885">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二、我单位具有良好的商业信誉（指投标人经营状况良好，无本资格声明第五条情形）和健全的财务会计制度。</w:t>
      </w:r>
    </w:p>
    <w:p w14:paraId="3C862553">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0152C749">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5FB3DEBC">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1274BA60">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231EBF48">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6D9CEECA">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3881C015">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九、我单位投标文件中所有关于投标资格的文件、证明、陈述均是真实的、准确的。</w:t>
      </w:r>
    </w:p>
    <w:p w14:paraId="64B2B37A">
      <w:pPr>
        <w:spacing w:line="400" w:lineRule="exact"/>
        <w:ind w:firstLine="480"/>
        <w:rPr>
          <w:rFonts w:hint="eastAsia"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我单位承诺遵守《中华人民共和国政府采购法》第二十二、第七十七条之规定，若有违背，我公司（单位）愿意承担因“提供虚假材料谋取中标的”的一切法律后果，依法接受相应处罚。</w:t>
      </w:r>
    </w:p>
    <w:p w14:paraId="369C44F5">
      <w:pPr>
        <w:spacing w:line="360" w:lineRule="exact"/>
        <w:jc w:val="center"/>
        <w:rPr>
          <w:rFonts w:hint="eastAsia" w:ascii="宋体" w:hAnsi="宋体" w:eastAsia="宋体" w:cs="Times New Roman"/>
          <w:sz w:val="24"/>
          <w:szCs w:val="24"/>
        </w:rPr>
      </w:pPr>
    </w:p>
    <w:p w14:paraId="240E4B97">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53769880">
      <w:pPr>
        <w:spacing w:line="400" w:lineRule="exact"/>
        <w:ind w:firstLine="3600"/>
        <w:jc w:val="left"/>
        <w:rPr>
          <w:rFonts w:hint="eastAsia" w:ascii="宋体" w:hAnsi="宋体" w:eastAsia="宋体" w:cs="Times New Roman"/>
          <w:bCs/>
          <w:sz w:val="24"/>
          <w:szCs w:val="24"/>
        </w:rPr>
      </w:pPr>
    </w:p>
    <w:p w14:paraId="07C54CA2">
      <w:pPr>
        <w:spacing w:line="400" w:lineRule="exact"/>
        <w:ind w:firstLine="3600"/>
        <w:jc w:val="left"/>
        <w:rPr>
          <w:rFonts w:hint="eastAsia" w:ascii="宋体" w:hAnsi="宋体" w:eastAsia="宋体" w:cs="Times New Roman"/>
          <w:sz w:val="24"/>
          <w:szCs w:val="24"/>
        </w:rPr>
      </w:pPr>
      <w:r>
        <w:rPr>
          <w:rFonts w:hint="eastAsia" w:ascii="宋体" w:hAnsi="宋体" w:eastAsia="宋体" w:cs="Times New Roman"/>
          <w:bCs/>
          <w:sz w:val="24"/>
          <w:szCs w:val="24"/>
        </w:rPr>
        <w:t>日期：     年    月    日</w:t>
      </w:r>
    </w:p>
    <w:p w14:paraId="37198612">
      <w:pPr>
        <w:rPr>
          <w:rFonts w:hint="eastAsia" w:ascii="宋体" w:hAnsi="宋体" w:eastAsia="宋体" w:cs="Times New Roman"/>
          <w:b/>
          <w:bCs/>
          <w:sz w:val="24"/>
          <w:szCs w:val="24"/>
        </w:rPr>
      </w:pPr>
    </w:p>
    <w:p w14:paraId="69392240">
      <w:pPr>
        <w:rPr>
          <w:rFonts w:hint="eastAsia" w:ascii="宋体" w:hAnsi="宋体" w:eastAsia="宋体" w:cs="Times New Roman"/>
          <w:b/>
          <w:bCs/>
          <w:szCs w:val="21"/>
        </w:rPr>
      </w:pPr>
      <w:r>
        <w:rPr>
          <w:rFonts w:hint="eastAsia" w:ascii="宋体" w:hAnsi="宋体" w:eastAsia="宋体" w:cs="Times New Roman"/>
          <w:b/>
          <w:bCs/>
          <w:szCs w:val="21"/>
        </w:rPr>
        <w:t>说明：</w:t>
      </w:r>
    </w:p>
    <w:p w14:paraId="4FE3D68D">
      <w:pPr>
        <w:ind w:firstLine="422"/>
        <w:jc w:val="left"/>
        <w:rPr>
          <w:rFonts w:hint="eastAsia" w:ascii="宋体" w:hAnsi="宋体" w:eastAsia="宋体" w:cs="Times New Roman"/>
          <w:b/>
          <w:bCs/>
          <w:szCs w:val="21"/>
        </w:rPr>
      </w:pPr>
      <w:r>
        <w:rPr>
          <w:rFonts w:hint="eastAsia" w:ascii="宋体" w:hAnsi="宋体" w:eastAsia="宋体" w:cs="Times New Roman"/>
          <w:b/>
          <w:bCs/>
          <w:szCs w:val="21"/>
        </w:rPr>
        <w:t>1.无此表或对此表作实质性修改，投标无效。</w:t>
      </w:r>
    </w:p>
    <w:p w14:paraId="72AACF3D">
      <w:pPr>
        <w:ind w:firstLine="422"/>
        <w:jc w:val="left"/>
        <w:rPr>
          <w:rFonts w:hint="eastAsia" w:ascii="宋体" w:hAnsi="宋体" w:eastAsia="宋体" w:cs="Times New Roman"/>
          <w:b/>
          <w:bCs/>
          <w:szCs w:val="21"/>
        </w:rPr>
      </w:pPr>
      <w:r>
        <w:rPr>
          <w:rFonts w:hint="eastAsia" w:ascii="宋体" w:hAnsi="宋体" w:eastAsia="宋体" w:cs="Times New Roman"/>
          <w:b/>
          <w:bCs/>
          <w:szCs w:val="21"/>
        </w:rPr>
        <w:t>2.投标人须对此表中内容作出承诺，否则投标无效。</w:t>
      </w:r>
    </w:p>
    <w:p w14:paraId="1DDD4635">
      <w:pPr>
        <w:ind w:firstLine="422"/>
        <w:jc w:val="left"/>
        <w:rPr>
          <w:rFonts w:hint="eastAsia" w:ascii="宋体" w:hAnsi="宋体" w:eastAsia="宋体" w:cs="Times New Roman"/>
          <w:b/>
          <w:bCs/>
          <w:szCs w:val="21"/>
        </w:rPr>
        <w:sectPr>
          <w:pgSz w:w="11906" w:h="16838"/>
          <w:pgMar w:top="1247" w:right="1247" w:bottom="1247" w:left="1247" w:header="680" w:footer="992" w:gutter="0"/>
          <w:cols w:space="720" w:num="1"/>
          <w:docGrid w:linePitch="360" w:charSpace="0"/>
        </w:sectPr>
      </w:pPr>
      <w:r>
        <w:rPr>
          <w:rFonts w:hint="eastAsia" w:ascii="宋体" w:hAnsi="宋体" w:eastAsia="宋体" w:cs="Times New Roman"/>
          <w:b/>
          <w:bCs/>
          <w:szCs w:val="21"/>
        </w:rPr>
        <w:t>3.采购中心或采购人保留核查以上承诺事项真实性的权利。</w:t>
      </w:r>
    </w:p>
    <w:p w14:paraId="4CDB1A39">
      <w:pPr>
        <w:spacing w:line="400" w:lineRule="exact"/>
        <w:rPr>
          <w:rFonts w:hint="eastAsia" w:ascii="黑体" w:hAnsi="黑体" w:eastAsia="黑体" w:cs="Times New Roman"/>
          <w:sz w:val="28"/>
          <w:szCs w:val="28"/>
        </w:rPr>
      </w:pPr>
    </w:p>
    <w:p w14:paraId="36376A4B">
      <w:pPr>
        <w:spacing w:line="400" w:lineRule="exact"/>
        <w:rPr>
          <w:rFonts w:ascii="黑体" w:hAnsi="黑体" w:eastAsia="黑体" w:cs="Times New Roman"/>
          <w:sz w:val="28"/>
          <w:szCs w:val="28"/>
        </w:rPr>
      </w:pPr>
      <w:r>
        <w:rPr>
          <w:rFonts w:hint="eastAsia" w:ascii="黑体" w:hAnsi="黑体" w:eastAsia="黑体" w:cs="Times New Roman"/>
          <w:sz w:val="28"/>
          <w:szCs w:val="28"/>
        </w:rPr>
        <w:t>附件：</w:t>
      </w:r>
    </w:p>
    <w:p w14:paraId="08C6023B">
      <w:pPr>
        <w:spacing w:line="400" w:lineRule="exact"/>
        <w:rPr>
          <w:rFonts w:ascii="黑体" w:hAnsi="黑体" w:eastAsia="黑体" w:cs="Times New Roman"/>
          <w:sz w:val="28"/>
          <w:szCs w:val="28"/>
        </w:rPr>
      </w:pPr>
    </w:p>
    <w:p w14:paraId="4EC2BF80">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一、中小企业声明函（货物）</w:t>
      </w:r>
    </w:p>
    <w:p w14:paraId="2B891B05">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（非小微型企业无需填写提供）</w:t>
      </w:r>
    </w:p>
    <w:p w14:paraId="6707ED2F">
      <w:pPr>
        <w:spacing w:line="400" w:lineRule="exact"/>
        <w:ind w:firstLine="560" w:firstLineChars="200"/>
        <w:jc w:val="center"/>
        <w:rPr>
          <w:rFonts w:ascii="宋体" w:hAnsi="宋体" w:eastAsia="宋体" w:cs="宋体"/>
          <w:sz w:val="28"/>
          <w:szCs w:val="28"/>
        </w:rPr>
      </w:pPr>
    </w:p>
    <w:p w14:paraId="4A0E3F7E">
      <w:pPr>
        <w:autoSpaceDE w:val="0"/>
        <w:autoSpaceDN w:val="0"/>
        <w:adjustRightInd w:val="0"/>
        <w:spacing w:line="400" w:lineRule="exact"/>
        <w:ind w:right="158" w:firstLine="480" w:firstLineChars="200"/>
        <w:jc w:val="left"/>
        <w:rPr>
          <w:rFonts w:ascii="宋体" w:hAnsi="宋体" w:eastAsia="宋体" w:cs="仿宋"/>
          <w:kern w:val="0"/>
          <w:sz w:val="24"/>
          <w:szCs w:val="24"/>
          <w:lang w:eastAsia="zh-TW"/>
        </w:rPr>
      </w:pPr>
      <w:r>
        <w:rPr>
          <w:rFonts w:hint="eastAsia" w:ascii="宋体" w:hAnsi="宋体" w:eastAsia="宋体" w:cs="仿宋"/>
          <w:kern w:val="0"/>
          <w:sz w:val="24"/>
          <w:szCs w:val="24"/>
          <w:lang w:eastAsia="zh-TW"/>
        </w:rPr>
        <w:t>本公司（联合体）郑重声明，根据《政府采购促进中小企业发展管理办法》（财库</w:t>
      </w:r>
      <w:r>
        <w:rPr>
          <w:rFonts w:hint="eastAsia" w:ascii="宋体" w:hAnsi="宋体" w:eastAsia="宋体" w:cs="宋体"/>
          <w:kern w:val="0"/>
          <w:sz w:val="24"/>
          <w:szCs w:val="24"/>
          <w:lang w:eastAsia="zh-TW"/>
        </w:rPr>
        <w:t>﹝</w:t>
      </w:r>
      <w:r>
        <w:rPr>
          <w:rFonts w:ascii="宋体" w:hAnsi="宋体" w:eastAsia="宋体" w:cs="仿宋"/>
          <w:kern w:val="0"/>
          <w:sz w:val="24"/>
          <w:szCs w:val="24"/>
          <w:lang w:eastAsia="zh-TW"/>
        </w:rPr>
        <w:t>2020</w:t>
      </w:r>
      <w:r>
        <w:rPr>
          <w:rFonts w:hint="eastAsia" w:ascii="宋体" w:hAnsi="宋体" w:eastAsia="宋体" w:cs="宋体"/>
          <w:kern w:val="0"/>
          <w:sz w:val="24"/>
          <w:szCs w:val="24"/>
          <w:lang w:eastAsia="zh-TW"/>
        </w:rPr>
        <w:t>﹞</w:t>
      </w:r>
      <w:r>
        <w:rPr>
          <w:rFonts w:ascii="宋体" w:hAnsi="宋体" w:eastAsia="宋体" w:cs="仿宋"/>
          <w:kern w:val="0"/>
          <w:sz w:val="24"/>
          <w:szCs w:val="24"/>
          <w:lang w:eastAsia="zh-TW"/>
        </w:rPr>
        <w:t>46</w:t>
      </w:r>
      <w:r>
        <w:rPr>
          <w:rFonts w:hint="eastAsia" w:ascii="宋体" w:hAnsi="宋体" w:eastAsia="宋体" w:cs="仿宋"/>
          <w:kern w:val="0"/>
          <w:sz w:val="24"/>
          <w:szCs w:val="24"/>
          <w:lang w:eastAsia="zh-TW"/>
        </w:rPr>
        <w:t>号）的规定，本公司（联合体）参加</w:t>
      </w:r>
      <w:r>
        <w:rPr>
          <w:rFonts w:hint="eastAsia" w:ascii="宋体" w:hAnsi="宋体" w:eastAsia="宋体" w:cs="仿宋"/>
          <w:sz w:val="24"/>
          <w:szCs w:val="24"/>
          <w:u w:val="single"/>
          <w:lang w:eastAsia="zh-TW"/>
        </w:rPr>
        <w:t>江阴市</w:t>
      </w:r>
      <w:r>
        <w:rPr>
          <w:rFonts w:hint="eastAsia" w:ascii="宋体" w:hAnsi="宋体" w:eastAsia="宋体" w:cs="仿宋"/>
          <w:sz w:val="24"/>
          <w:szCs w:val="24"/>
          <w:u w:val="single"/>
          <w:lang w:eastAsia="zh-CN"/>
        </w:rPr>
        <w:t>人民医院</w:t>
      </w:r>
      <w:r>
        <w:rPr>
          <w:rFonts w:hint="eastAsia" w:ascii="宋体" w:hAnsi="宋体" w:eastAsia="宋体" w:cs="仿宋"/>
          <w:sz w:val="24"/>
          <w:szCs w:val="24"/>
          <w:lang w:eastAsia="zh-TW"/>
        </w:rPr>
        <w:t>的</w:t>
      </w:r>
      <w:r>
        <w:rPr>
          <w:rFonts w:hint="eastAsia" w:ascii="宋体" w:hAnsi="宋体" w:eastAsia="宋体" w:cs="仿宋"/>
          <w:sz w:val="24"/>
          <w:szCs w:val="24"/>
          <w:u w:val="single"/>
          <w:lang w:eastAsia="zh-CN"/>
        </w:rPr>
        <w:t>江阴市人民医院经皮氧、二氧化碳监测仪项目</w:t>
      </w:r>
      <w:r>
        <w:rPr>
          <w:rFonts w:hint="eastAsia" w:ascii="宋体" w:hAnsi="宋体" w:eastAsia="宋体" w:cs="仿宋"/>
          <w:kern w:val="0"/>
          <w:sz w:val="24"/>
          <w:szCs w:val="24"/>
          <w:lang w:eastAsia="zh-TW"/>
        </w:rPr>
        <w:t>采购活动，提供的货物全部由符合政策要求的中小企业制造。相关企业（含联合体中的中小企业、签订分包意向协议的中小企业）的具体情况如下：</w:t>
      </w:r>
    </w:p>
    <w:p w14:paraId="28779EBC">
      <w:pPr>
        <w:autoSpaceDE w:val="0"/>
        <w:autoSpaceDN w:val="0"/>
        <w:adjustRightInd w:val="0"/>
        <w:spacing w:line="400" w:lineRule="exact"/>
        <w:ind w:firstLine="480" w:firstLineChars="200"/>
        <w:jc w:val="left"/>
        <w:rPr>
          <w:rFonts w:ascii="宋体" w:hAnsi="宋体" w:eastAsia="宋体" w:cs="Times New Roman"/>
          <w:kern w:val="0"/>
          <w:sz w:val="24"/>
          <w:szCs w:val="24"/>
        </w:rPr>
      </w:pPr>
      <w:r>
        <w:rPr>
          <w:rFonts w:hint="eastAsia" w:ascii="宋体" w:hAnsi="宋体" w:eastAsia="宋体" w:cs="仿宋"/>
          <w:kern w:val="0"/>
          <w:sz w:val="24"/>
          <w:szCs w:val="24"/>
        </w:rPr>
        <w:t>1</w:t>
      </w:r>
      <w:r>
        <w:rPr>
          <w:rFonts w:ascii="宋体" w:hAnsi="宋体" w:eastAsia="宋体" w:cs="仿宋"/>
          <w:kern w:val="0"/>
          <w:sz w:val="24"/>
          <w:szCs w:val="24"/>
        </w:rPr>
        <w:t>.</w:t>
      </w:r>
      <w:r>
        <w:rPr>
          <w:rFonts w:hint="eastAsia" w:ascii="宋体" w:hAnsi="宋体" w:eastAsia="宋体" w:cs="仿宋"/>
          <w:kern w:val="0"/>
          <w:sz w:val="24"/>
          <w:szCs w:val="24"/>
          <w:u w:val="single"/>
        </w:rPr>
        <w:t>（标的名称）</w:t>
      </w:r>
      <w:r>
        <w:rPr>
          <w:rFonts w:hint="eastAsia" w:ascii="宋体" w:hAnsi="宋体" w:eastAsia="宋体" w:cs="仿宋"/>
          <w:kern w:val="0"/>
          <w:sz w:val="24"/>
          <w:szCs w:val="24"/>
        </w:rPr>
        <w:t>，属于</w:t>
      </w:r>
      <w:r>
        <w:rPr>
          <w:rFonts w:hint="eastAsia" w:ascii="宋体" w:hAnsi="宋体" w:eastAsia="宋体" w:cs="仿宋"/>
          <w:kern w:val="0"/>
          <w:sz w:val="24"/>
          <w:szCs w:val="24"/>
          <w:u w:val="single"/>
        </w:rPr>
        <w:t>工业</w:t>
      </w:r>
      <w:r>
        <w:rPr>
          <w:rFonts w:hint="eastAsia" w:ascii="宋体" w:hAnsi="宋体" w:eastAsia="宋体" w:cs="仿宋"/>
          <w:kern w:val="0"/>
          <w:sz w:val="24"/>
          <w:szCs w:val="24"/>
        </w:rPr>
        <w:t>；制造商为</w:t>
      </w:r>
      <w:r>
        <w:rPr>
          <w:rFonts w:hint="eastAsia" w:ascii="宋体" w:hAnsi="宋体" w:eastAsia="宋体" w:cs="仿宋"/>
          <w:kern w:val="0"/>
          <w:sz w:val="24"/>
          <w:szCs w:val="24"/>
          <w:u w:val="single"/>
        </w:rPr>
        <w:t xml:space="preserve">  （企业名称）  </w:t>
      </w:r>
      <w:r>
        <w:rPr>
          <w:rFonts w:hint="eastAsia" w:ascii="宋体" w:hAnsi="宋体" w:eastAsia="宋体" w:cs="仿宋"/>
          <w:kern w:val="0"/>
          <w:sz w:val="24"/>
          <w:szCs w:val="24"/>
        </w:rPr>
        <w:t>，从业人员</w:t>
      </w:r>
      <w:r>
        <w:rPr>
          <w:rFonts w:hint="eastAsia" w:ascii="宋体" w:hAnsi="宋体" w:eastAsia="宋体" w:cs="Times New Roman"/>
          <w:kern w:val="0"/>
          <w:sz w:val="24"/>
          <w:szCs w:val="24"/>
          <w:u w:val="single"/>
        </w:rPr>
        <w:t>　　</w:t>
      </w:r>
      <w:r>
        <w:rPr>
          <w:rFonts w:hint="eastAsia" w:ascii="宋体" w:hAnsi="宋体" w:eastAsia="宋体" w:cs="仿宋"/>
          <w:kern w:val="0"/>
          <w:sz w:val="24"/>
          <w:szCs w:val="24"/>
        </w:rPr>
        <w:t>人，营业</w:t>
      </w:r>
      <w:r>
        <w:rPr>
          <w:rFonts w:hint="eastAsia" w:ascii="宋体" w:hAnsi="宋体" w:eastAsia="宋体" w:cs="Times New Roman"/>
          <w:kern w:val="0"/>
          <w:sz w:val="24"/>
          <w:szCs w:val="24"/>
        </w:rPr>
        <w:t>收入为</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万元，资产总额为</w:t>
      </w:r>
      <w:r>
        <w:rPr>
          <w:rFonts w:hint="eastAsia" w:ascii="宋体" w:hAnsi="宋体" w:eastAsia="宋体" w:cs="Times New Roman"/>
          <w:kern w:val="0"/>
          <w:sz w:val="24"/>
          <w:szCs w:val="24"/>
          <w:u w:val="single"/>
        </w:rPr>
        <w:t>　　</w:t>
      </w:r>
      <w:r>
        <w:rPr>
          <w:rFonts w:hint="eastAsia" w:ascii="宋体" w:hAnsi="宋体" w:eastAsia="宋体" w:cs="Times New Roman"/>
          <w:kern w:val="0"/>
          <w:sz w:val="24"/>
          <w:szCs w:val="24"/>
        </w:rPr>
        <w:t>万元</w:t>
      </w:r>
      <w:r>
        <w:rPr>
          <w:rFonts w:hint="eastAsia" w:ascii="宋体" w:hAnsi="宋体" w:eastAsia="宋体" w:cs="Times New Roman"/>
          <w:kern w:val="0"/>
          <w:sz w:val="24"/>
          <w:szCs w:val="24"/>
          <w:vertAlign w:val="superscript"/>
        </w:rPr>
        <w:t>１</w:t>
      </w:r>
      <w:r>
        <w:rPr>
          <w:rFonts w:hint="eastAsia" w:ascii="宋体" w:hAnsi="宋体" w:eastAsia="宋体" w:cs="Times New Roman"/>
          <w:kern w:val="0"/>
          <w:sz w:val="24"/>
          <w:szCs w:val="24"/>
        </w:rPr>
        <w:t>，属于</w:t>
      </w:r>
      <w:r>
        <w:rPr>
          <w:rFonts w:hint="eastAsia" w:ascii="宋体" w:hAnsi="宋体" w:eastAsia="宋体" w:cs="Times New Roman"/>
          <w:kern w:val="0"/>
          <w:sz w:val="24"/>
          <w:szCs w:val="24"/>
          <w:u w:val="single"/>
        </w:rPr>
        <w:t>（中型企业、小型企业、微型企业）</w:t>
      </w:r>
      <w:r>
        <w:rPr>
          <w:rFonts w:hint="eastAsia" w:ascii="宋体" w:hAnsi="宋体" w:eastAsia="宋体" w:cs="Times New Roman"/>
          <w:kern w:val="0"/>
          <w:sz w:val="24"/>
          <w:szCs w:val="24"/>
        </w:rPr>
        <w:t>；</w:t>
      </w:r>
    </w:p>
    <w:p w14:paraId="68333953">
      <w:pPr>
        <w:autoSpaceDE w:val="0"/>
        <w:autoSpaceDN w:val="0"/>
        <w:adjustRightInd w:val="0"/>
        <w:spacing w:line="400" w:lineRule="exact"/>
        <w:ind w:firstLine="480" w:firstLineChars="200"/>
        <w:jc w:val="left"/>
        <w:rPr>
          <w:rFonts w:ascii="宋体" w:hAnsi="宋体" w:eastAsia="宋体" w:cs="Times New Roman"/>
          <w:kern w:val="0"/>
          <w:sz w:val="24"/>
          <w:szCs w:val="24"/>
          <w:lang w:eastAsia="zh-TW"/>
        </w:rPr>
      </w:pPr>
      <w:r>
        <w:rPr>
          <w:rFonts w:ascii="宋体" w:hAnsi="宋体" w:eastAsia="宋体" w:cs="仿宋"/>
          <w:kern w:val="0"/>
          <w:sz w:val="24"/>
          <w:szCs w:val="24"/>
          <w:lang w:eastAsia="zh-TW"/>
        </w:rPr>
        <w:t>2.</w:t>
      </w:r>
      <w:r>
        <w:rPr>
          <w:rFonts w:hint="eastAsia" w:ascii="宋体" w:hAnsi="宋体" w:eastAsia="宋体" w:cs="仿宋"/>
          <w:kern w:val="0"/>
          <w:sz w:val="24"/>
          <w:szCs w:val="24"/>
          <w:u w:val="single"/>
          <w:lang w:eastAsia="zh-TW"/>
        </w:rPr>
        <w:t>（标的名称）</w:t>
      </w:r>
      <w:r>
        <w:rPr>
          <w:rFonts w:hint="eastAsia" w:ascii="宋体" w:hAnsi="宋体" w:eastAsia="宋体" w:cs="仿宋"/>
          <w:kern w:val="0"/>
          <w:sz w:val="24"/>
          <w:szCs w:val="24"/>
          <w:lang w:eastAsia="zh-TW"/>
        </w:rPr>
        <w:t>，属于</w:t>
      </w:r>
      <w:r>
        <w:rPr>
          <w:rFonts w:hint="eastAsia" w:ascii="宋体" w:hAnsi="宋体" w:eastAsia="宋体" w:cs="仿宋"/>
          <w:kern w:val="0"/>
          <w:sz w:val="24"/>
          <w:szCs w:val="24"/>
          <w:u w:val="single"/>
        </w:rPr>
        <w:t>工业</w:t>
      </w:r>
      <w:r>
        <w:rPr>
          <w:rFonts w:hint="eastAsia" w:ascii="宋体" w:hAnsi="宋体" w:eastAsia="宋体" w:cs="仿宋"/>
          <w:kern w:val="0"/>
          <w:sz w:val="24"/>
          <w:szCs w:val="24"/>
          <w:lang w:eastAsia="zh-TW"/>
        </w:rPr>
        <w:t>；制造商为</w:t>
      </w:r>
      <w:r>
        <w:rPr>
          <w:rFonts w:hint="eastAsia" w:ascii="宋体" w:hAnsi="宋体" w:eastAsia="宋体" w:cs="仿宋"/>
          <w:kern w:val="0"/>
          <w:sz w:val="24"/>
          <w:szCs w:val="24"/>
          <w:u w:val="single"/>
        </w:rPr>
        <w:t xml:space="preserve">  （企业名称）  </w:t>
      </w:r>
      <w:r>
        <w:rPr>
          <w:rFonts w:hint="eastAsia" w:ascii="宋体" w:hAnsi="宋体" w:eastAsia="宋体" w:cs="仿宋"/>
          <w:kern w:val="0"/>
          <w:sz w:val="24"/>
          <w:szCs w:val="24"/>
          <w:lang w:eastAsia="zh-TW"/>
        </w:rPr>
        <w:t>，从业人员</w:t>
      </w:r>
      <w:r>
        <w:rPr>
          <w:rFonts w:hint="eastAsia" w:ascii="宋体" w:hAnsi="宋体" w:eastAsia="宋体" w:cs="Times New Roman"/>
          <w:kern w:val="0"/>
          <w:sz w:val="24"/>
          <w:szCs w:val="24"/>
          <w:u w:val="single"/>
          <w:lang w:eastAsia="zh-TW"/>
        </w:rPr>
        <w:t>　　</w:t>
      </w:r>
      <w:r>
        <w:rPr>
          <w:rFonts w:hint="eastAsia" w:ascii="宋体" w:hAnsi="宋体" w:eastAsia="宋体" w:cs="仿宋"/>
          <w:kern w:val="0"/>
          <w:sz w:val="24"/>
          <w:szCs w:val="24"/>
          <w:lang w:eastAsia="zh-TW"/>
        </w:rPr>
        <w:t>人，营业</w:t>
      </w:r>
      <w:r>
        <w:rPr>
          <w:rFonts w:hint="eastAsia" w:ascii="宋体" w:hAnsi="宋体" w:eastAsia="宋体" w:cs="Times New Roman"/>
          <w:kern w:val="0"/>
          <w:sz w:val="24"/>
          <w:szCs w:val="24"/>
          <w:lang w:eastAsia="zh-TW"/>
        </w:rPr>
        <w:t>收入为</w:t>
      </w:r>
      <w:r>
        <w:rPr>
          <w:rFonts w:hint="eastAsia" w:ascii="宋体" w:hAnsi="宋体" w:eastAsia="宋体" w:cs="Times New Roman"/>
          <w:kern w:val="0"/>
          <w:sz w:val="24"/>
          <w:szCs w:val="24"/>
          <w:u w:val="single"/>
          <w:lang w:eastAsia="zh-TW"/>
        </w:rPr>
        <w:t>　　</w:t>
      </w:r>
      <w:r>
        <w:rPr>
          <w:rFonts w:hint="eastAsia" w:ascii="宋体" w:hAnsi="宋体" w:eastAsia="宋体" w:cs="Times New Roman"/>
          <w:kern w:val="0"/>
          <w:sz w:val="24"/>
          <w:szCs w:val="24"/>
          <w:lang w:eastAsia="zh-TW"/>
        </w:rPr>
        <w:t>万元，资产总额为</w:t>
      </w:r>
      <w:r>
        <w:rPr>
          <w:rFonts w:hint="eastAsia" w:ascii="宋体" w:hAnsi="宋体" w:eastAsia="宋体" w:cs="Times New Roman"/>
          <w:kern w:val="0"/>
          <w:sz w:val="24"/>
          <w:szCs w:val="24"/>
          <w:u w:val="single"/>
          <w:lang w:eastAsia="zh-TW"/>
        </w:rPr>
        <w:t>　　</w:t>
      </w:r>
      <w:r>
        <w:rPr>
          <w:rFonts w:hint="eastAsia" w:ascii="宋体" w:hAnsi="宋体" w:eastAsia="宋体" w:cs="Times New Roman"/>
          <w:kern w:val="0"/>
          <w:sz w:val="24"/>
          <w:szCs w:val="24"/>
          <w:lang w:eastAsia="zh-TW"/>
        </w:rPr>
        <w:t>万元</w:t>
      </w:r>
      <w:r>
        <w:rPr>
          <w:rFonts w:hint="eastAsia" w:ascii="宋体" w:hAnsi="宋体" w:eastAsia="宋体" w:cs="Times New Roman"/>
          <w:kern w:val="0"/>
          <w:sz w:val="24"/>
          <w:szCs w:val="24"/>
          <w:vertAlign w:val="superscript"/>
          <w:lang w:eastAsia="zh-TW"/>
        </w:rPr>
        <w:t>１</w:t>
      </w:r>
      <w:r>
        <w:rPr>
          <w:rFonts w:hint="eastAsia" w:ascii="宋体" w:hAnsi="宋体" w:eastAsia="宋体" w:cs="Times New Roman"/>
          <w:kern w:val="0"/>
          <w:sz w:val="24"/>
          <w:szCs w:val="24"/>
          <w:lang w:eastAsia="zh-TW"/>
        </w:rPr>
        <w:t>，属于</w:t>
      </w:r>
      <w:r>
        <w:rPr>
          <w:rFonts w:hint="eastAsia" w:ascii="宋体" w:hAnsi="宋体" w:eastAsia="宋体" w:cs="Times New Roman"/>
          <w:kern w:val="0"/>
          <w:sz w:val="24"/>
          <w:szCs w:val="24"/>
          <w:u w:val="single"/>
          <w:lang w:eastAsia="zh-TW"/>
        </w:rPr>
        <w:t>（中型企业、小型企业、微型企业）</w:t>
      </w:r>
      <w:r>
        <w:rPr>
          <w:rFonts w:hint="eastAsia" w:ascii="宋体" w:hAnsi="宋体" w:eastAsia="宋体" w:cs="Times New Roman"/>
          <w:kern w:val="0"/>
          <w:sz w:val="24"/>
          <w:szCs w:val="24"/>
          <w:lang w:eastAsia="zh-TW"/>
        </w:rPr>
        <w:t>；</w:t>
      </w:r>
    </w:p>
    <w:p w14:paraId="3CAFBC2E">
      <w:pPr>
        <w:autoSpaceDE w:val="0"/>
        <w:autoSpaceDN w:val="0"/>
        <w:adjustRightInd w:val="0"/>
        <w:spacing w:line="400" w:lineRule="exact"/>
        <w:ind w:firstLine="480" w:firstLineChars="200"/>
        <w:jc w:val="left"/>
        <w:rPr>
          <w:rFonts w:ascii="宋体" w:hAnsi="宋体" w:eastAsia="宋体" w:cs="仿宋"/>
          <w:kern w:val="0"/>
          <w:sz w:val="24"/>
          <w:szCs w:val="24"/>
          <w:lang w:eastAsia="zh-TW"/>
        </w:rPr>
      </w:pPr>
      <w:r>
        <w:rPr>
          <w:rFonts w:hint="eastAsia" w:ascii="宋体" w:hAnsi="宋体" w:eastAsia="宋体" w:cs="仿宋"/>
          <w:kern w:val="0"/>
          <w:sz w:val="24"/>
          <w:szCs w:val="24"/>
          <w:lang w:eastAsia="zh-TW"/>
        </w:rPr>
        <w:t>……</w:t>
      </w:r>
    </w:p>
    <w:p w14:paraId="7CE29F7B">
      <w:pPr>
        <w:autoSpaceDE w:val="0"/>
        <w:autoSpaceDN w:val="0"/>
        <w:adjustRightInd w:val="0"/>
        <w:spacing w:line="400" w:lineRule="exact"/>
        <w:ind w:right="158" w:firstLine="480" w:firstLineChars="200"/>
        <w:jc w:val="left"/>
        <w:rPr>
          <w:rFonts w:ascii="宋体" w:hAnsi="宋体" w:eastAsia="宋体" w:cs="仿宋"/>
          <w:kern w:val="0"/>
          <w:sz w:val="24"/>
          <w:szCs w:val="24"/>
          <w:lang w:eastAsia="zh-TW"/>
        </w:rPr>
      </w:pPr>
      <w:r>
        <w:rPr>
          <w:rFonts w:hint="eastAsia" w:ascii="宋体" w:hAnsi="宋体" w:eastAsia="宋体" w:cs="仿宋"/>
          <w:kern w:val="0"/>
          <w:sz w:val="24"/>
          <w:szCs w:val="24"/>
          <w:lang w:eastAsia="zh-TW"/>
        </w:rPr>
        <w:t>以上企业，不属于大企业的分支机构，不存在控股股东为大企业的情形，也不存在与大企业的负责人为同一人的情形。</w:t>
      </w:r>
    </w:p>
    <w:p w14:paraId="66F305D0">
      <w:pPr>
        <w:autoSpaceDE w:val="0"/>
        <w:autoSpaceDN w:val="0"/>
        <w:adjustRightInd w:val="0"/>
        <w:spacing w:line="400" w:lineRule="exact"/>
        <w:ind w:firstLine="480" w:firstLineChars="200"/>
        <w:jc w:val="left"/>
        <w:rPr>
          <w:rFonts w:ascii="宋体" w:hAnsi="宋体" w:eastAsia="宋体" w:cs="仿宋"/>
          <w:sz w:val="24"/>
          <w:szCs w:val="24"/>
          <w:lang w:eastAsia="zh-TW"/>
        </w:rPr>
      </w:pPr>
      <w:r>
        <w:rPr>
          <w:rFonts w:hint="eastAsia" w:ascii="宋体" w:hAnsi="宋体" w:eastAsia="宋体" w:cs="仿宋"/>
          <w:kern w:val="0"/>
          <w:sz w:val="24"/>
          <w:szCs w:val="24"/>
          <w:lang w:eastAsia="zh-TW"/>
        </w:rPr>
        <w:t>本企业对上述声明内容的真实性负责。如有虚假，将依法承担相应责任。</w:t>
      </w:r>
    </w:p>
    <w:p w14:paraId="41DFF04F">
      <w:pPr>
        <w:spacing w:line="400" w:lineRule="exact"/>
        <w:jc w:val="center"/>
        <w:rPr>
          <w:rFonts w:ascii="宋体" w:hAnsi="宋体" w:eastAsia="宋体" w:cs="Times New Roman"/>
          <w:sz w:val="28"/>
          <w:szCs w:val="28"/>
        </w:rPr>
      </w:pPr>
    </w:p>
    <w:p w14:paraId="04A19726">
      <w:pPr>
        <w:spacing w:line="400" w:lineRule="exact"/>
        <w:jc w:val="center"/>
        <w:rPr>
          <w:rFonts w:ascii="宋体" w:hAnsi="宋体" w:eastAsia="宋体" w:cs="Times New Roman"/>
          <w:sz w:val="28"/>
          <w:szCs w:val="28"/>
        </w:rPr>
      </w:pPr>
    </w:p>
    <w:p w14:paraId="350FEFE5">
      <w:pPr>
        <w:spacing w:line="400" w:lineRule="exact"/>
        <w:ind w:firstLine="3600" w:firstLineChars="1500"/>
        <w:jc w:val="left"/>
        <w:outlineLvl w:val="1"/>
        <w:rPr>
          <w:rFonts w:ascii="宋体" w:hAnsi="宋体" w:eastAsia="宋体" w:cs="Times New Roman"/>
          <w:bCs/>
          <w:sz w:val="24"/>
          <w:szCs w:val="24"/>
        </w:rPr>
      </w:pPr>
      <w:r>
        <w:rPr>
          <w:rFonts w:hint="eastAsia" w:ascii="宋体" w:hAnsi="宋体" w:eastAsia="宋体" w:cs="Times New Roman"/>
          <w:bCs/>
          <w:sz w:val="24"/>
          <w:szCs w:val="24"/>
        </w:rPr>
        <w:t>投标单位（电子签章）：</w:t>
      </w:r>
    </w:p>
    <w:p w14:paraId="09249BF7">
      <w:pPr>
        <w:spacing w:line="400" w:lineRule="exact"/>
        <w:ind w:firstLine="3600" w:firstLineChars="1500"/>
        <w:jc w:val="left"/>
        <w:outlineLvl w:val="1"/>
        <w:rPr>
          <w:rFonts w:ascii="宋体" w:hAnsi="宋体" w:eastAsia="宋体" w:cs="Times New Roman"/>
          <w:bCs/>
          <w:sz w:val="24"/>
          <w:szCs w:val="24"/>
        </w:rPr>
      </w:pPr>
    </w:p>
    <w:p w14:paraId="1406EB32">
      <w:pPr>
        <w:spacing w:line="400" w:lineRule="exact"/>
        <w:ind w:firstLine="3600" w:firstLineChars="1500"/>
        <w:jc w:val="left"/>
        <w:outlineLvl w:val="1"/>
        <w:rPr>
          <w:rFonts w:ascii="宋体" w:hAnsi="宋体" w:eastAsia="宋体" w:cs="Times New Roman"/>
          <w:sz w:val="28"/>
          <w:szCs w:val="28"/>
        </w:rPr>
      </w:pPr>
      <w:r>
        <w:rPr>
          <w:rFonts w:hint="eastAsia" w:ascii="宋体" w:hAnsi="宋体" w:eastAsia="宋体" w:cs="Times New Roman"/>
          <w:bCs/>
          <w:sz w:val="24"/>
          <w:szCs w:val="24"/>
        </w:rPr>
        <w:t>日期：     年    月    日</w:t>
      </w:r>
    </w:p>
    <w:p w14:paraId="5516FC0F">
      <w:pPr>
        <w:spacing w:line="400" w:lineRule="exact"/>
        <w:rPr>
          <w:rFonts w:ascii="宋体" w:hAnsi="宋体" w:eastAsia="宋体" w:cs="Times New Roman"/>
          <w:b/>
          <w:bCs/>
          <w:szCs w:val="24"/>
        </w:rPr>
      </w:pPr>
    </w:p>
    <w:p w14:paraId="52CD0D49">
      <w:pPr>
        <w:autoSpaceDE w:val="0"/>
        <w:autoSpaceDN w:val="0"/>
        <w:adjustRightInd w:val="0"/>
        <w:ind w:left="1680" w:hanging="420"/>
        <w:jc w:val="left"/>
        <w:rPr>
          <w:rFonts w:ascii="仿宋_GB2312" w:hAnsi="Times New Roman" w:eastAsia="仿宋_GB2312" w:cs="仿宋_GB2312"/>
          <w:kern w:val="0"/>
          <w:sz w:val="24"/>
          <w:szCs w:val="24"/>
        </w:rPr>
      </w:pPr>
    </w:p>
    <w:p w14:paraId="65F0D913">
      <w:pPr>
        <w:autoSpaceDE w:val="0"/>
        <w:autoSpaceDN w:val="0"/>
        <w:adjustRightInd w:val="0"/>
        <w:ind w:left="1680" w:hanging="420"/>
        <w:jc w:val="left"/>
        <w:rPr>
          <w:rFonts w:ascii="仿宋_GB2312" w:hAnsi="Times New Roman" w:eastAsia="仿宋_GB2312" w:cs="仿宋_GB2312"/>
          <w:kern w:val="0"/>
          <w:sz w:val="24"/>
          <w:szCs w:val="24"/>
        </w:rPr>
      </w:pPr>
    </w:p>
    <w:p w14:paraId="435CC57C">
      <w:pPr>
        <w:autoSpaceDE w:val="0"/>
        <w:autoSpaceDN w:val="0"/>
        <w:adjustRightInd w:val="0"/>
        <w:ind w:left="1680" w:hanging="420"/>
        <w:jc w:val="left"/>
        <w:rPr>
          <w:rFonts w:ascii="仿宋_GB2312" w:hAnsi="Times New Roman" w:eastAsia="仿宋_GB2312" w:cs="仿宋_GB2312"/>
          <w:kern w:val="0"/>
          <w:sz w:val="24"/>
          <w:szCs w:val="24"/>
        </w:rPr>
      </w:pPr>
    </w:p>
    <w:p w14:paraId="6DED1ACC">
      <w:pPr>
        <w:autoSpaceDE w:val="0"/>
        <w:autoSpaceDN w:val="0"/>
        <w:adjustRightInd w:val="0"/>
        <w:spacing w:line="360" w:lineRule="exact"/>
        <w:jc w:val="left"/>
        <w:rPr>
          <w:rFonts w:ascii="宋体" w:hAnsi="宋体" w:eastAsia="宋体" w:cs="仿宋_GB2312"/>
          <w:kern w:val="0"/>
          <w:sz w:val="24"/>
          <w:szCs w:val="24"/>
        </w:rPr>
      </w:pPr>
      <w:r>
        <w:rPr>
          <w:rFonts w:hint="eastAsia" w:ascii="宋体" w:hAnsi="宋体" w:eastAsia="宋体" w:cs="仿宋_GB2312"/>
          <w:kern w:val="0"/>
          <w:sz w:val="18"/>
          <w:szCs w:val="18"/>
        </w:rPr>
        <w:t>注：</w:t>
      </w:r>
      <w:r>
        <w:rPr>
          <w:rFonts w:ascii="宋体" w:hAnsi="宋体" w:eastAsia="宋体" w:cs="仿宋_GB2312"/>
          <w:kern w:val="0"/>
          <w:position w:val="6"/>
          <w:sz w:val="18"/>
          <w:szCs w:val="18"/>
          <w:vertAlign w:val="superscript"/>
        </w:rPr>
        <w:t>1</w:t>
      </w:r>
      <w:r>
        <w:rPr>
          <w:rFonts w:hint="eastAsia" w:ascii="宋体" w:hAnsi="宋体" w:eastAsia="宋体" w:cs="宋体"/>
          <w:kern w:val="0"/>
          <w:sz w:val="18"/>
          <w:szCs w:val="18"/>
        </w:rPr>
        <w:t>从业人员、营业收入、资产总额填报上一年度数据，无上一年度数据的新成立企业可不填报。</w:t>
      </w:r>
    </w:p>
    <w:p w14:paraId="47A0E898">
      <w:pPr>
        <w:spacing w:line="360" w:lineRule="exact"/>
        <w:ind w:firstLine="360" w:firstLineChars="20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AD8D1B2">
      <w:pPr>
        <w:spacing w:line="360" w:lineRule="exact"/>
        <w:ind w:firstLine="360" w:firstLineChars="200"/>
        <w:rPr>
          <w:rFonts w:hint="eastAsia" w:ascii="宋体" w:hAnsi="宋体" w:eastAsia="宋体" w:cs="Times New Roman"/>
          <w:spacing w:val="6"/>
          <w:sz w:val="28"/>
          <w:szCs w:val="28"/>
        </w:rPr>
        <w:sectPr>
          <w:pgSz w:w="11906" w:h="16838"/>
          <w:pgMar w:top="1247" w:right="1247" w:bottom="1247" w:left="1247" w:header="680" w:footer="992" w:gutter="0"/>
          <w:cols w:space="720" w:num="1"/>
          <w:docGrid w:linePitch="360" w:charSpace="0"/>
        </w:sectPr>
      </w:pPr>
      <w:r>
        <w:rPr>
          <w:rFonts w:hint="eastAsia" w:ascii="宋体" w:hAnsi="宋体" w:eastAsia="宋体" w:cs="Times New Roman"/>
          <w:position w:val="6"/>
          <w:sz w:val="18"/>
          <w:szCs w:val="18"/>
          <w:vertAlign w:val="superscript"/>
        </w:rPr>
        <w:t>3</w:t>
      </w:r>
      <w:r>
        <w:rPr>
          <w:rFonts w:hint="eastAsia" w:ascii="宋体" w:hAnsi="宋体" w:eastAsia="宋体" w:cs="宋体"/>
          <w:sz w:val="18"/>
          <w:szCs w:val="18"/>
        </w:rPr>
        <w:t>本表由投标（报价）供应商填写盖章。</w:t>
      </w:r>
    </w:p>
    <w:p w14:paraId="4327701B">
      <w:pPr>
        <w:spacing w:line="400" w:lineRule="exact"/>
        <w:jc w:val="both"/>
        <w:rPr>
          <w:rFonts w:hint="eastAsia" w:ascii="黑体" w:hAnsi="黑体" w:eastAsia="黑体" w:cs="Times New Roman"/>
          <w:sz w:val="28"/>
          <w:szCs w:val="28"/>
        </w:rPr>
      </w:pPr>
    </w:p>
    <w:p w14:paraId="5B04A6F4">
      <w:pPr>
        <w:spacing w:line="400" w:lineRule="exact"/>
        <w:jc w:val="center"/>
        <w:rPr>
          <w:rFonts w:hint="eastAsia" w:ascii="黑体" w:hAnsi="黑体" w:eastAsia="黑体" w:cs="Times New Roman"/>
          <w:sz w:val="28"/>
          <w:szCs w:val="28"/>
        </w:rPr>
      </w:pPr>
      <w:r>
        <w:rPr>
          <w:rFonts w:hint="eastAsia" w:ascii="黑体" w:hAnsi="黑体" w:eastAsia="黑体" w:cs="Times New Roman"/>
          <w:sz w:val="28"/>
          <w:szCs w:val="28"/>
        </w:rPr>
        <w:t>二、残疾人福利性单位声明函</w:t>
      </w:r>
    </w:p>
    <w:p w14:paraId="5C85D51A">
      <w:pPr>
        <w:spacing w:line="400" w:lineRule="exact"/>
        <w:jc w:val="center"/>
        <w:rPr>
          <w:rFonts w:hint="eastAsia"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154D26F5">
      <w:pPr>
        <w:spacing w:line="400" w:lineRule="exact"/>
        <w:ind w:firstLine="504"/>
        <w:rPr>
          <w:rFonts w:hint="eastAsia" w:ascii="宋体" w:hAnsi="宋体" w:eastAsia="宋体" w:cs="Times New Roman"/>
          <w:spacing w:val="6"/>
          <w:sz w:val="24"/>
          <w:szCs w:val="24"/>
        </w:rPr>
      </w:pPr>
    </w:p>
    <w:p w14:paraId="4BDC36AE">
      <w:pPr>
        <w:spacing w:line="400" w:lineRule="exact"/>
        <w:ind w:firstLine="504"/>
        <w:rPr>
          <w:rFonts w:hint="eastAsia"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5A2A9B75">
      <w:pPr>
        <w:spacing w:line="400" w:lineRule="exact"/>
        <w:ind w:firstLine="504"/>
        <w:rPr>
          <w:rFonts w:hint="eastAsia"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2F9AC713">
      <w:pPr>
        <w:spacing w:line="400" w:lineRule="exact"/>
        <w:ind w:firstLine="504"/>
        <w:rPr>
          <w:rFonts w:hint="eastAsia" w:ascii="宋体" w:hAnsi="宋体" w:eastAsia="宋体" w:cs="Times New Roman"/>
          <w:spacing w:val="6"/>
          <w:sz w:val="24"/>
          <w:szCs w:val="24"/>
        </w:rPr>
      </w:pPr>
    </w:p>
    <w:p w14:paraId="5FD3E922">
      <w:pPr>
        <w:spacing w:line="400" w:lineRule="exact"/>
        <w:jc w:val="center"/>
        <w:rPr>
          <w:rFonts w:hint="eastAsia" w:ascii="宋体" w:hAnsi="宋体" w:eastAsia="宋体" w:cs="Times New Roman"/>
          <w:sz w:val="28"/>
          <w:szCs w:val="28"/>
        </w:rPr>
      </w:pPr>
    </w:p>
    <w:p w14:paraId="5FA3B742">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投标单位（电子签章）：</w:t>
      </w:r>
    </w:p>
    <w:p w14:paraId="26BA4D1F">
      <w:pPr>
        <w:spacing w:line="400" w:lineRule="exact"/>
        <w:ind w:firstLine="3600"/>
        <w:jc w:val="left"/>
        <w:rPr>
          <w:rFonts w:hint="eastAsia" w:ascii="宋体" w:hAnsi="宋体" w:eastAsia="宋体" w:cs="Times New Roman"/>
          <w:bCs/>
          <w:sz w:val="24"/>
          <w:szCs w:val="24"/>
        </w:rPr>
      </w:pPr>
    </w:p>
    <w:p w14:paraId="542D788D">
      <w:pPr>
        <w:spacing w:line="400" w:lineRule="exact"/>
        <w:ind w:firstLine="3600"/>
        <w:jc w:val="left"/>
        <w:rPr>
          <w:rFonts w:hint="eastAsia" w:ascii="宋体" w:hAnsi="宋体" w:eastAsia="宋体" w:cs="Times New Roman"/>
          <w:bCs/>
          <w:sz w:val="24"/>
          <w:szCs w:val="24"/>
        </w:rPr>
      </w:pPr>
      <w:r>
        <w:rPr>
          <w:rFonts w:hint="eastAsia" w:ascii="宋体" w:hAnsi="宋体" w:eastAsia="宋体" w:cs="Times New Roman"/>
          <w:bCs/>
          <w:sz w:val="24"/>
          <w:szCs w:val="24"/>
        </w:rPr>
        <w:t>日期：     年    月    日</w:t>
      </w:r>
    </w:p>
    <w:p w14:paraId="082A0A0C">
      <w:pPr>
        <w:rPr>
          <w:rFonts w:hint="eastAsia" w:ascii="宋体" w:hAnsi="宋体" w:eastAsia="宋体" w:cs="Times New Roman"/>
          <w:bCs/>
          <w:sz w:val="24"/>
          <w:szCs w:val="24"/>
        </w:rPr>
      </w:pPr>
      <w:r>
        <w:rPr>
          <w:rFonts w:hint="eastAsia" w:ascii="宋体" w:hAnsi="宋体" w:eastAsia="宋体" w:cs="Times New Roman"/>
          <w:bCs/>
          <w:sz w:val="24"/>
          <w:szCs w:val="24"/>
        </w:rPr>
        <w:br w:type="page"/>
      </w:r>
    </w:p>
    <w:p w14:paraId="262E4F98">
      <w:pPr>
        <w:spacing w:line="400" w:lineRule="exact"/>
        <w:ind w:firstLine="3600"/>
        <w:jc w:val="left"/>
        <w:rPr>
          <w:rFonts w:hint="eastAsia" w:ascii="宋体" w:hAnsi="宋体" w:eastAsia="宋体" w:cs="Times New Roman"/>
          <w:bCs/>
          <w:sz w:val="24"/>
          <w:szCs w:val="24"/>
        </w:rPr>
      </w:pPr>
    </w:p>
    <w:p w14:paraId="0DAD9DDE">
      <w:pPr>
        <w:spacing w:line="400" w:lineRule="exact"/>
        <w:jc w:val="center"/>
        <w:rPr>
          <w:rFonts w:ascii="宋体" w:hAnsi="宋体"/>
          <w:bCs/>
          <w:sz w:val="24"/>
          <w:highlight w:val="none"/>
        </w:rPr>
      </w:pPr>
      <w:r>
        <w:rPr>
          <w:rFonts w:hint="eastAsia" w:ascii="黑体" w:hAnsi="黑体" w:eastAsia="黑体"/>
          <w:sz w:val="28"/>
          <w:szCs w:val="28"/>
          <w:highlight w:val="none"/>
        </w:rPr>
        <w:t>三、关于符合本国产品标准的声明函</w:t>
      </w:r>
    </w:p>
    <w:p w14:paraId="6A997EB7">
      <w:pPr>
        <w:widowControl/>
        <w:spacing w:line="400" w:lineRule="exact"/>
        <w:ind w:firstLine="420"/>
        <w:jc w:val="left"/>
        <w:rPr>
          <w:rFonts w:ascii="宋体" w:hAnsi="宋体" w:cs="方正魏碑_GBK"/>
          <w:kern w:val="0"/>
          <w:sz w:val="24"/>
          <w:highlight w:val="none"/>
        </w:rPr>
      </w:pPr>
    </w:p>
    <w:p w14:paraId="5C7227C4">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BF42456">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mc:AlternateContent>
          <mc:Choice Requires="wps">
            <w:drawing>
              <wp:anchor distT="0" distB="0" distL="114300" distR="114300" simplePos="0" relativeHeight="251671552" behindDoc="0" locked="0" layoutInCell="1" allowOverlap="1">
                <wp:simplePos x="0" y="0"/>
                <wp:positionH relativeFrom="column">
                  <wp:posOffset>4669155</wp:posOffset>
                </wp:positionH>
                <wp:positionV relativeFrom="paragraph">
                  <wp:posOffset>46990</wp:posOffset>
                </wp:positionV>
                <wp:extent cx="876300" cy="120015"/>
                <wp:effectExtent l="635" t="4445" r="18415" b="8890"/>
                <wp:wrapNone/>
                <wp:docPr id="35" name="直接箭头连接符 35"/>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7.65pt;margin-top:3.7pt;height:9.45pt;width:69pt;z-index:251671552;mso-width-relative:page;mso-height-relative:page;" filled="f" stroked="t" coordsize="21600,21600" o:gfxdata="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qsmHhdYAAAAIAQAADwAAAAAAAAABACAAAAAiAAAAZHJzL2Rvd25y&#10;ZXYueG1sUEsBAhQAFAAAAAgAh07iQBYuxvwAAgAAzgMAAA4AAAAAAAAAAQAgAAAAJQEAAGRycy9l&#10;Mm9Eb2MueG1sUEsFBgAAAAAGAAYAWQEAAJcFA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0528" behindDoc="0" locked="0" layoutInCell="1" allowOverlap="1">
                <wp:simplePos x="0" y="0"/>
                <wp:positionH relativeFrom="column">
                  <wp:posOffset>4476115</wp:posOffset>
                </wp:positionH>
                <wp:positionV relativeFrom="paragraph">
                  <wp:posOffset>276860</wp:posOffset>
                </wp:positionV>
                <wp:extent cx="816610" cy="147320"/>
                <wp:effectExtent l="635" t="4445" r="1905" b="19685"/>
                <wp:wrapNone/>
                <wp:docPr id="34" name="直接箭头连接符 34"/>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2.45pt;margin-top:21.8pt;height:11.6pt;width:64.3pt;z-index:251670528;mso-width-relative:page;mso-height-relative:page;" filled="f" stroked="t" coordsize="21600,21600" o:gfxdata="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XcsFL1wAAAAkBAAAPAAAAAAAAAAEAIAAAACIAAABkcnMvZG93&#10;bnJldi54bWxQSwECFAAUAAAACACHTuJAHBV25A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9504" behindDoc="0" locked="0" layoutInCell="1" allowOverlap="1">
                <wp:simplePos x="0" y="0"/>
                <wp:positionH relativeFrom="column">
                  <wp:posOffset>1849120</wp:posOffset>
                </wp:positionH>
                <wp:positionV relativeFrom="paragraph">
                  <wp:posOffset>558800</wp:posOffset>
                </wp:positionV>
                <wp:extent cx="816610" cy="147320"/>
                <wp:effectExtent l="635" t="4445" r="1905" b="19685"/>
                <wp:wrapNone/>
                <wp:docPr id="31" name="直接箭头连接符 31"/>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45.6pt;margin-top:44pt;height:11.6pt;width:64.3pt;z-index:251669504;mso-width-relative:page;mso-height-relative:page;" filled="f" stroked="t" coordsize="21600,21600" o:gfxdata="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NdN3c1gAAAAoBAAAPAAAAAAAAAAEAIAAAACIAAABkcnMvZG93&#10;bnJldi54bWxQSwECFAAUAAAACACHTuJAmHFt3AICAADOAwAADgAAAAAAAAABACAAAAAl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4384" behindDoc="0" locked="0" layoutInCell="1" allowOverlap="1">
                <wp:simplePos x="0" y="0"/>
                <wp:positionH relativeFrom="column">
                  <wp:posOffset>640080</wp:posOffset>
                </wp:positionH>
                <wp:positionV relativeFrom="paragraph">
                  <wp:posOffset>561340</wp:posOffset>
                </wp:positionV>
                <wp:extent cx="876300" cy="120015"/>
                <wp:effectExtent l="635" t="4445" r="18415" b="8890"/>
                <wp:wrapNone/>
                <wp:docPr id="28" name="直接箭头连接符 28"/>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50.4pt;margin-top:44.2pt;height:9.45pt;width:69pt;z-index:251664384;mso-width-relative:page;mso-height-relative:page;" filled="f" stroked="t" coordsize="21600,21600" o:gfxdata="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Uk8G7WAAAACgEAAA8AAAAAAAAAAQAgAAAAIgAAAGRycy9kb3ducmV2&#10;LnhtbFBLAQIUABQAAAAIAIdO4kC0UPwv/gEAAM4DAAAOAAAAAAAAAAEAIAAAACUBAABkcnMvZTJv&#10;RG9jLnhtbFBLBQYAAAAABgAGAFkBAACV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3360" behindDoc="0" locked="0" layoutInCell="1" allowOverlap="1">
                <wp:simplePos x="0" y="0"/>
                <wp:positionH relativeFrom="column">
                  <wp:posOffset>3390265</wp:posOffset>
                </wp:positionH>
                <wp:positionV relativeFrom="paragraph">
                  <wp:posOffset>323215</wp:posOffset>
                </wp:positionV>
                <wp:extent cx="816610" cy="103505"/>
                <wp:effectExtent l="635" t="4445" r="1905" b="6350"/>
                <wp:wrapNone/>
                <wp:docPr id="27" name="直接箭头连接符 27"/>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66.95pt;margin-top:25.45pt;height:8.15pt;width:64.3pt;z-index:251663360;mso-width-relative:page;mso-height-relative:page;" filled="f" stroked="t" coordsize="21600,21600" o:gfxdata="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IH8KotcAAAAJAQAADwAAAAAAAAABACAAAAAiAAAAZHJzL2Rvd25y&#10;ZXYueG1sUEsBAhQAFAAAAAgAh07iQN/vdiP/AQAAzgMAAA4AAAAAAAAAAQAgAAAAJgEAAGRycy9l&#10;Mm9Eb2MueG1sUEsFBgAAAAAGAAYAWQEAAJcFA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2336" behindDoc="0" locked="0" layoutInCell="1" allowOverlap="1">
                <wp:simplePos x="0" y="0"/>
                <wp:positionH relativeFrom="column">
                  <wp:posOffset>2153285</wp:posOffset>
                </wp:positionH>
                <wp:positionV relativeFrom="paragraph">
                  <wp:posOffset>320675</wp:posOffset>
                </wp:positionV>
                <wp:extent cx="816610" cy="76200"/>
                <wp:effectExtent l="635" t="4445" r="1905" b="14605"/>
                <wp:wrapNone/>
                <wp:docPr id="26" name="直接箭头连接符 26"/>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69.55pt;margin-top:25.25pt;height:6pt;width:64.3pt;z-index:251662336;mso-width-relative:page;mso-height-relative:page;" filled="f" stroked="t" coordsize="21600,21600" o:gfxdata="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GyxmP2AAAAAkBAAAPAAAAAAAAAAEAIAAAACIAAABkcnMvZG93bnJl&#10;di54bWxQSwECFAAUAAAACACHTuJAJlPAdv0BAADNAwAADgAAAAAAAAABACAAAAAn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shd w:val="clear" w:color="auto" w:fill="FFFFFF"/>
        </w:rPr>
        <w:t>1.</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vertAlign w:val="superscript"/>
        </w:rPr>
        <w:t>1</w:t>
      </w:r>
      <w:r>
        <w:rPr>
          <w:rFonts w:hint="eastAsia" w:ascii="宋体" w:hAnsi="宋体" w:cs="方正魏碑_GBK"/>
          <w:kern w:val="0"/>
          <w:sz w:val="24"/>
          <w:highlight w:val="none"/>
          <w:shd w:val="clear" w:color="auto" w:fill="FFFFFF"/>
        </w:rPr>
        <w:t>，生产厂为</w:t>
      </w:r>
      <w:r>
        <w:rPr>
          <w:rFonts w:hint="eastAsia" w:ascii="宋体" w:hAnsi="宋体" w:cs="方正魏碑_GBK"/>
          <w:kern w:val="0"/>
          <w:sz w:val="24"/>
          <w:highlight w:val="none"/>
          <w:u w:val="single"/>
          <w:shd w:val="clear" w:color="auto" w:fill="FFFFFF"/>
        </w:rPr>
        <w:t>（厂名）</w:t>
      </w:r>
      <w:r>
        <w:rPr>
          <w:rFonts w:hint="eastAsia" w:ascii="宋体" w:hAnsi="宋体" w:cs="方正魏碑_GBK"/>
          <w:kern w:val="0"/>
          <w:sz w:val="24"/>
          <w:highlight w:val="none"/>
          <w:shd w:val="clear" w:color="auto" w:fill="FFFFFF"/>
          <w:vertAlign w:val="superscript"/>
        </w:rPr>
        <w:t>2</w:t>
      </w:r>
      <w:r>
        <w:rPr>
          <w:rFonts w:hint="eastAsia" w:ascii="宋体" w:hAnsi="宋体" w:cs="方正魏碑_GBK"/>
          <w:kern w:val="0"/>
          <w:sz w:val="24"/>
          <w:highlight w:val="none"/>
          <w:shd w:val="clear" w:color="auto" w:fill="FFFFFF"/>
        </w:rPr>
        <w:t>，厂址为</w:t>
      </w:r>
      <w:r>
        <w:rPr>
          <w:rFonts w:hint="eastAsia" w:ascii="宋体" w:hAnsi="宋体" w:cs="方正魏碑_GBK"/>
          <w:kern w:val="0"/>
          <w:sz w:val="24"/>
          <w:highlight w:val="none"/>
          <w:u w:val="single"/>
          <w:shd w:val="clear" w:color="auto" w:fill="FFFFFF"/>
        </w:rPr>
        <w:t>（生产厂址）</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 xml:space="preserve"> （产品名称1） </w:t>
      </w:r>
      <w:r>
        <w:rPr>
          <w:rFonts w:hint="eastAsia" w:ascii="宋体" w:hAnsi="宋体" w:cs="方正魏碑_GBK"/>
          <w:kern w:val="0"/>
          <w:sz w:val="24"/>
          <w:highlight w:val="none"/>
          <w:shd w:val="clear" w:color="auto" w:fill="FFFFFF"/>
        </w:rPr>
        <w:t>的中国境内生产的组件成本占比≥</w:t>
      </w:r>
      <w:r>
        <w:rPr>
          <w:rFonts w:hint="eastAsia" w:ascii="宋体" w:hAnsi="宋体" w:cs="方正魏碑_GBK"/>
          <w:kern w:val="0"/>
          <w:sz w:val="24"/>
          <w:highlight w:val="none"/>
          <w:u w:val="single"/>
          <w:shd w:val="clear" w:color="auto" w:fill="FFFFFF"/>
        </w:rPr>
        <w:t>（规定</w:t>
      </w:r>
      <w:r>
        <w:rPr>
          <w:rFonts w:ascii="宋体" w:hAnsi="宋体" w:cs="方正魏碑_GBK"/>
          <w:kern w:val="0"/>
          <w:sz w:val="24"/>
          <w:highlight w:val="none"/>
          <w:u w:val="single"/>
          <w:shd w:val="clear" w:color="auto" w:fill="FFFFFF"/>
        </w:rPr>
        <w:t>比例</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vertAlign w:val="superscript"/>
        </w:rPr>
        <w:t>3</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w:t>
      </w:r>
      <w:r>
        <w:rPr>
          <w:rFonts w:ascii="宋体" w:hAnsi="宋体" w:cs="方正魏碑_GBK"/>
          <w:kern w:val="0"/>
          <w:sz w:val="24"/>
          <w:highlight w:val="none"/>
          <w:u w:val="single"/>
          <w:shd w:val="clear" w:color="auto" w:fill="FFFFFF"/>
        </w:rPr>
        <w:t>组件</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vertAlign w:val="superscript"/>
        </w:rPr>
        <w:t>4</w:t>
      </w:r>
      <w:r>
        <w:rPr>
          <w:rFonts w:hint="eastAsia" w:ascii="宋体" w:hAnsi="宋体" w:cs="方正魏碑_GBK"/>
          <w:kern w:val="0"/>
          <w:sz w:val="24"/>
          <w:highlight w:val="none"/>
          <w:shd w:val="clear" w:color="auto" w:fill="FFFFFF"/>
        </w:rPr>
        <w:t>在中国境内生产。</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（关键工序）</w:t>
      </w:r>
      <w:r>
        <w:rPr>
          <w:rFonts w:hint="eastAsia" w:ascii="宋体" w:hAnsi="宋体" w:cs="方正魏碑_GBK"/>
          <w:kern w:val="0"/>
          <w:sz w:val="24"/>
          <w:highlight w:val="none"/>
          <w:shd w:val="clear" w:color="auto" w:fill="FFFFFF"/>
          <w:vertAlign w:val="superscript"/>
        </w:rPr>
        <w:t>5</w:t>
      </w:r>
      <w:r>
        <w:rPr>
          <w:rFonts w:hint="eastAsia" w:ascii="宋体" w:hAnsi="宋体" w:cs="方正魏碑_GBK"/>
          <w:kern w:val="0"/>
          <w:sz w:val="24"/>
          <w:highlight w:val="none"/>
          <w:shd w:val="clear" w:color="auto" w:fill="FFFFFF"/>
        </w:rPr>
        <w:t>在中国境内完成。</w:t>
      </w:r>
    </w:p>
    <w:p w14:paraId="216CBC85">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rPr>
        <mc:AlternateContent>
          <mc:Choice Requires="wps">
            <w:drawing>
              <wp:anchor distT="0" distB="0" distL="114300" distR="114300" simplePos="0" relativeHeight="251668480" behindDoc="0" locked="0" layoutInCell="1" allowOverlap="1">
                <wp:simplePos x="0" y="0"/>
                <wp:positionH relativeFrom="column">
                  <wp:posOffset>1570990</wp:posOffset>
                </wp:positionH>
                <wp:positionV relativeFrom="paragraph">
                  <wp:posOffset>568960</wp:posOffset>
                </wp:positionV>
                <wp:extent cx="821690" cy="102870"/>
                <wp:effectExtent l="635" t="4445" r="15875" b="6985"/>
                <wp:wrapNone/>
                <wp:docPr id="20" name="直接箭头连接符 20"/>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23.7pt;margin-top:44.8pt;height:8.1pt;width:64.7pt;z-index:251668480;mso-width-relative:page;mso-height-relative:page;" filled="f" stroked="t" coordsize="21600,21600" o:gfxdata="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01u+tcAAAAKAQAADwAAAAAAAAABACAAAAAiAAAAZHJzL2Rvd25y&#10;ZXYueG1sUEsBAhQAFAAAAAgAh07iQFxVrMX/AQAAzgMAAA4AAAAAAAAAAQAgAAAAJgEAAGRycy9l&#10;Mm9Eb2MueG1sUEsFBgAAAAAGAAYAWQEAAJcFA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7456" behindDoc="0" locked="0" layoutInCell="1" allowOverlap="1">
                <wp:simplePos x="0" y="0"/>
                <wp:positionH relativeFrom="column">
                  <wp:posOffset>353060</wp:posOffset>
                </wp:positionH>
                <wp:positionV relativeFrom="paragraph">
                  <wp:posOffset>528955</wp:posOffset>
                </wp:positionV>
                <wp:extent cx="908685" cy="140970"/>
                <wp:effectExtent l="635" t="4445" r="5080" b="6985"/>
                <wp:wrapNone/>
                <wp:docPr id="21" name="直接箭头连接符 21"/>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7.8pt;margin-top:41.65pt;height:11.1pt;width:71.55pt;z-index:251667456;mso-width-relative:page;mso-height-relative:page;" filled="f" stroked="t" coordsize="21600,21600" o:gfxdata="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pfCys1wAAAAkBAAAPAAAAAAAAAAEAIAAAACIAAABkcnMvZG93&#10;bnJldi54bWxQSwECFAAUAAAACACHTuJAozJE1Q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3600" behindDoc="0" locked="0" layoutInCell="1" allowOverlap="1">
                <wp:simplePos x="0" y="0"/>
                <wp:positionH relativeFrom="column">
                  <wp:posOffset>4104640</wp:posOffset>
                </wp:positionH>
                <wp:positionV relativeFrom="paragraph">
                  <wp:posOffset>286385</wp:posOffset>
                </wp:positionV>
                <wp:extent cx="816610" cy="147320"/>
                <wp:effectExtent l="635" t="4445" r="1905" b="19685"/>
                <wp:wrapNone/>
                <wp:docPr id="37" name="直接箭头连接符 37"/>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23.2pt;margin-top:22.55pt;height:11.6pt;width:64.3pt;z-index:251673600;mso-width-relative:page;mso-height-relative:page;" filled="f" stroked="t" coordsize="21600,21600" o:gfxdata="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dfTwZ1wAAAAkBAAAPAAAAAAAAAAEAIAAAACIAAABkcnMvZG93&#10;bnJldi54bWxQSwECFAAUAAAACACHTuJAYMmA8w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6432" behindDoc="0" locked="0" layoutInCell="1" allowOverlap="1">
                <wp:simplePos x="0" y="0"/>
                <wp:positionH relativeFrom="column">
                  <wp:posOffset>3053715</wp:posOffset>
                </wp:positionH>
                <wp:positionV relativeFrom="paragraph">
                  <wp:posOffset>322580</wp:posOffset>
                </wp:positionV>
                <wp:extent cx="849630" cy="120015"/>
                <wp:effectExtent l="635" t="4445" r="6985" b="8890"/>
                <wp:wrapNone/>
                <wp:docPr id="19" name="直接箭头连接符 19"/>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40.45pt;margin-top:25.4pt;height:9.45pt;width:66.9pt;z-index:251666432;mso-width-relative:page;mso-height-relative:page;" filled="f" stroked="t" coordsize="21600,21600" o:gfxdata="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GVYyk1wAAAAkBAAAPAAAAAAAAAAEAIAAAACIAAABkcnMvZG93bnJl&#10;di54bWxQSwECFAAUAAAACACHTuJAotg9E/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65408" behindDoc="0" locked="0" layoutInCell="1" allowOverlap="1">
                <wp:simplePos x="0" y="0"/>
                <wp:positionH relativeFrom="column">
                  <wp:posOffset>1916430</wp:posOffset>
                </wp:positionH>
                <wp:positionV relativeFrom="paragraph">
                  <wp:posOffset>304165</wp:posOffset>
                </wp:positionV>
                <wp:extent cx="843915" cy="125730"/>
                <wp:effectExtent l="635" t="4445" r="12700" b="22225"/>
                <wp:wrapNone/>
                <wp:docPr id="18" name="直接箭头连接符 18"/>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50.9pt;margin-top:23.95pt;height:9.9pt;width:66.45pt;z-index:251665408;mso-width-relative:page;mso-height-relative:page;" filled="f" stroked="t" coordsize="21600,21600" o:gfxdata="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cfivXAAAACQEAAA8AAAAAAAAAAQAgAAAAIgAAAGRycy9kb3du&#10;cmV2LnhtbFBLAQIUABQAAAAIAIdO4kDTtUWQAAIAAM4DAAAOAAAAAAAAAAEAIAAAACY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highlight w:val="none"/>
        </w:rPr>
        <mc:AlternateContent>
          <mc:Choice Requires="wps">
            <w:drawing>
              <wp:anchor distT="0" distB="0" distL="114300" distR="114300" simplePos="0" relativeHeight="251672576" behindDoc="0" locked="0" layoutInCell="1" allowOverlap="1">
                <wp:simplePos x="0" y="0"/>
                <wp:positionH relativeFrom="column">
                  <wp:posOffset>4545330</wp:posOffset>
                </wp:positionH>
                <wp:positionV relativeFrom="paragraph">
                  <wp:posOffset>43180</wp:posOffset>
                </wp:positionV>
                <wp:extent cx="876300" cy="120015"/>
                <wp:effectExtent l="635" t="4445" r="18415" b="8890"/>
                <wp:wrapNone/>
                <wp:docPr id="36" name="直接箭头连接符 36"/>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57.9pt;margin-top:3.4pt;height:9.45pt;width:69pt;z-index:251672576;mso-width-relative:page;mso-height-relative:page;" filled="f" stroked="t" coordsize="21600,21600" o:gfxdata="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qzjq81wAAAAgBAAAPAAAAAAAAAAEAIAAAACIAAABkcnMvZG93bnJl&#10;di54bWxQSwECFAAUAAAACACHTuJAavIw6/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highlight w:val="none"/>
          <w:shd w:val="clear" w:color="auto" w:fill="FFFFFF"/>
        </w:rPr>
        <w:t>2.</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，生产厂为</w:t>
      </w:r>
      <w:r>
        <w:rPr>
          <w:rFonts w:hint="eastAsia" w:ascii="宋体" w:hAnsi="宋体" w:cs="方正魏碑_GBK"/>
          <w:kern w:val="0"/>
          <w:sz w:val="24"/>
          <w:highlight w:val="none"/>
          <w:u w:val="single"/>
          <w:shd w:val="clear" w:color="auto" w:fill="FFFFFF"/>
        </w:rPr>
        <w:t>（厂名）</w:t>
      </w:r>
      <w:r>
        <w:rPr>
          <w:rFonts w:hint="eastAsia" w:ascii="宋体" w:hAnsi="宋体" w:cs="方正魏碑_GBK"/>
          <w:kern w:val="0"/>
          <w:sz w:val="24"/>
          <w:highlight w:val="none"/>
          <w:shd w:val="clear" w:color="auto" w:fill="FFFFFF"/>
        </w:rPr>
        <w:t>，厂址为</w:t>
      </w:r>
      <w:r>
        <w:rPr>
          <w:rFonts w:hint="eastAsia" w:ascii="宋体" w:hAnsi="宋体" w:cs="方正魏碑_GBK"/>
          <w:kern w:val="0"/>
          <w:sz w:val="24"/>
          <w:highlight w:val="none"/>
          <w:u w:val="single"/>
          <w:shd w:val="clear" w:color="auto" w:fill="FFFFFF"/>
        </w:rPr>
        <w:t>（生产厂址）</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的中国境内生产的组件成本占比≥</w:t>
      </w:r>
      <w:r>
        <w:rPr>
          <w:rFonts w:hint="eastAsia" w:ascii="宋体" w:hAnsi="宋体" w:cs="方正魏碑_GBK"/>
          <w:kern w:val="0"/>
          <w:sz w:val="24"/>
          <w:highlight w:val="none"/>
          <w:u w:val="single"/>
          <w:shd w:val="clear" w:color="auto" w:fill="FFFFFF"/>
        </w:rPr>
        <w:t>（规定</w:t>
      </w:r>
      <w:r>
        <w:rPr>
          <w:rFonts w:ascii="宋体" w:hAnsi="宋体" w:cs="方正魏碑_GBK"/>
          <w:kern w:val="0"/>
          <w:sz w:val="24"/>
          <w:highlight w:val="none"/>
          <w:u w:val="single"/>
          <w:shd w:val="clear" w:color="auto" w:fill="FFFFFF"/>
        </w:rPr>
        <w:t>比例</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rPr>
        <w:t>。</w:t>
      </w:r>
      <w:r>
        <w:rPr>
          <w:rFonts w:hint="eastAsia" w:ascii="宋体" w:hAnsi="宋体" w:cs="方正魏碑_GBK"/>
          <w:kern w:val="0"/>
          <w:sz w:val="24"/>
          <w:highlight w:val="none"/>
          <w:u w:val="single"/>
          <w:shd w:val="clear" w:color="auto" w:fill="FFFFFF"/>
        </w:rPr>
        <w:t>（产品名称2）</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w:t>
      </w:r>
      <w:r>
        <w:rPr>
          <w:rFonts w:ascii="宋体" w:hAnsi="宋体" w:cs="方正魏碑_GBK"/>
          <w:kern w:val="0"/>
          <w:sz w:val="24"/>
          <w:highlight w:val="none"/>
          <w:u w:val="single"/>
          <w:shd w:val="clear" w:color="auto" w:fill="FFFFFF"/>
        </w:rPr>
        <w:t>组件</w:t>
      </w:r>
      <w:r>
        <w:rPr>
          <w:rFonts w:hint="eastAsia" w:ascii="宋体" w:hAnsi="宋体" w:cs="方正魏碑_GBK"/>
          <w:kern w:val="0"/>
          <w:sz w:val="24"/>
          <w:highlight w:val="none"/>
          <w:u w:val="single"/>
          <w:shd w:val="clear" w:color="auto" w:fill="FFFFFF"/>
        </w:rPr>
        <w:t>）</w:t>
      </w:r>
      <w:r>
        <w:rPr>
          <w:rFonts w:hint="eastAsia" w:ascii="宋体" w:hAnsi="宋体" w:cs="方正魏碑_GBK"/>
          <w:kern w:val="0"/>
          <w:sz w:val="24"/>
          <w:highlight w:val="none"/>
          <w:shd w:val="clear" w:color="auto" w:fill="FFFFFF"/>
        </w:rPr>
        <w:t>在中国境内生产。</w:t>
      </w:r>
      <w:r>
        <w:rPr>
          <w:rFonts w:hint="eastAsia" w:ascii="宋体" w:hAnsi="宋体" w:cs="方正魏碑_GBK"/>
          <w:kern w:val="0"/>
          <w:sz w:val="24"/>
          <w:highlight w:val="none"/>
          <w:u w:val="single"/>
          <w:shd w:val="clear" w:color="auto" w:fill="FFFFFF"/>
        </w:rPr>
        <w:t>（产品名称1）</w:t>
      </w:r>
      <w:r>
        <w:rPr>
          <w:rFonts w:hint="eastAsia" w:ascii="宋体" w:hAnsi="宋体" w:cs="方正魏碑_GBK"/>
          <w:kern w:val="0"/>
          <w:sz w:val="24"/>
          <w:highlight w:val="none"/>
          <w:shd w:val="clear" w:color="auto" w:fill="FFFFFF"/>
        </w:rPr>
        <w:t>的</w:t>
      </w:r>
      <w:r>
        <w:rPr>
          <w:rFonts w:hint="eastAsia" w:ascii="宋体" w:hAnsi="宋体" w:cs="方正魏碑_GBK"/>
          <w:kern w:val="0"/>
          <w:sz w:val="24"/>
          <w:highlight w:val="none"/>
          <w:u w:val="single"/>
          <w:shd w:val="clear" w:color="auto" w:fill="FFFFFF"/>
        </w:rPr>
        <w:t>（关键工序）</w:t>
      </w:r>
      <w:r>
        <w:rPr>
          <w:rFonts w:hint="eastAsia" w:ascii="宋体" w:hAnsi="宋体" w:cs="方正魏碑_GBK"/>
          <w:kern w:val="0"/>
          <w:sz w:val="24"/>
          <w:highlight w:val="none"/>
          <w:shd w:val="clear" w:color="auto" w:fill="FFFFFF"/>
        </w:rPr>
        <w:t>在中国境内完成。</w:t>
      </w:r>
    </w:p>
    <w:p w14:paraId="622B6A4E">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shd w:val="clear" w:color="auto" w:fill="FFFFFF"/>
        </w:rPr>
        <w:t>……</w:t>
      </w:r>
    </w:p>
    <w:p w14:paraId="57EC4E6B">
      <w:pPr>
        <w:widowControl/>
        <w:spacing w:line="400" w:lineRule="exact"/>
        <w:ind w:firstLine="420"/>
        <w:jc w:val="left"/>
        <w:rPr>
          <w:rFonts w:ascii="宋体" w:hAnsi="宋体" w:cs="方正魏碑_GBK"/>
          <w:kern w:val="0"/>
          <w:sz w:val="24"/>
          <w:highlight w:val="none"/>
        </w:rPr>
      </w:pPr>
      <w:r>
        <w:rPr>
          <w:rFonts w:hint="eastAsia" w:ascii="宋体" w:hAnsi="宋体" w:cs="方正魏碑_GBK"/>
          <w:kern w:val="0"/>
          <w:sz w:val="24"/>
          <w:highlight w:val="none"/>
          <w:shd w:val="clear" w:color="auto" w:fill="FFFFFF"/>
        </w:rPr>
        <w:t>本公司（单位）对上述声明内容的真实性负责。如有虚假，愿承担相应法律责任。</w:t>
      </w:r>
    </w:p>
    <w:p w14:paraId="4DE5057E">
      <w:pPr>
        <w:widowControl/>
        <w:spacing w:line="400" w:lineRule="exact"/>
        <w:jc w:val="left"/>
        <w:rPr>
          <w:rFonts w:ascii="宋体" w:hAnsi="宋体" w:cs="方正魏碑_GBK"/>
          <w:kern w:val="0"/>
          <w:sz w:val="24"/>
          <w:highlight w:val="none"/>
        </w:rPr>
      </w:pPr>
    </w:p>
    <w:p w14:paraId="5E380A44">
      <w:pPr>
        <w:spacing w:line="400" w:lineRule="exact"/>
        <w:jc w:val="center"/>
        <w:rPr>
          <w:rFonts w:ascii="宋体" w:hAnsi="宋体"/>
          <w:sz w:val="28"/>
          <w:szCs w:val="28"/>
          <w:highlight w:val="none"/>
        </w:rPr>
      </w:pPr>
    </w:p>
    <w:p w14:paraId="07B65CC5">
      <w:pPr>
        <w:spacing w:line="400" w:lineRule="exact"/>
        <w:ind w:firstLine="3600" w:firstLineChars="1500"/>
        <w:jc w:val="left"/>
        <w:rPr>
          <w:rFonts w:ascii="宋体" w:hAnsi="宋体"/>
          <w:bCs/>
          <w:sz w:val="24"/>
          <w:highlight w:val="none"/>
        </w:rPr>
      </w:pPr>
      <w:r>
        <w:rPr>
          <w:rFonts w:hint="eastAsia" w:ascii="宋体" w:hAnsi="宋体"/>
          <w:bCs/>
          <w:sz w:val="24"/>
          <w:highlight w:val="none"/>
        </w:rPr>
        <w:t>投标单位（电子签章）：</w:t>
      </w:r>
    </w:p>
    <w:p w14:paraId="65B0F6FB">
      <w:pPr>
        <w:spacing w:line="400" w:lineRule="exact"/>
        <w:ind w:firstLine="3600" w:firstLineChars="1500"/>
        <w:jc w:val="left"/>
        <w:rPr>
          <w:rFonts w:ascii="宋体" w:hAnsi="宋体"/>
          <w:bCs/>
          <w:sz w:val="24"/>
          <w:highlight w:val="none"/>
        </w:rPr>
      </w:pPr>
    </w:p>
    <w:p w14:paraId="16DE6F89">
      <w:pPr>
        <w:spacing w:line="400" w:lineRule="exact"/>
        <w:ind w:firstLine="3600" w:firstLineChars="1500"/>
        <w:jc w:val="left"/>
        <w:rPr>
          <w:rFonts w:ascii="宋体" w:hAnsi="宋体"/>
          <w:bCs/>
          <w:sz w:val="24"/>
          <w:highlight w:val="none"/>
        </w:rPr>
      </w:pPr>
      <w:r>
        <w:rPr>
          <w:rFonts w:hint="eastAsia" w:ascii="宋体" w:hAnsi="宋体"/>
          <w:bCs/>
          <w:sz w:val="24"/>
          <w:highlight w:val="none"/>
        </w:rPr>
        <w:t>日期：     年    月    日</w:t>
      </w:r>
    </w:p>
    <w:p w14:paraId="614A5EE9">
      <w:pPr>
        <w:widowControl/>
        <w:spacing w:line="400" w:lineRule="exact"/>
        <w:jc w:val="center"/>
        <w:rPr>
          <w:rFonts w:ascii="方正魏碑_GBK" w:hAnsi="方正魏碑_GBK" w:eastAsia="方正魏碑_GBK" w:cs="方正魏碑_GBK"/>
          <w:color w:val="FF0000"/>
          <w:kern w:val="0"/>
          <w:sz w:val="24"/>
          <w:highlight w:val="none"/>
          <w:shd w:val="clear" w:color="auto" w:fill="FFFFFF"/>
        </w:rPr>
      </w:pPr>
    </w:p>
    <w:p w14:paraId="77607D00">
      <w:pPr>
        <w:widowControl/>
        <w:spacing w:line="400" w:lineRule="exact"/>
        <w:jc w:val="center"/>
        <w:rPr>
          <w:rFonts w:ascii="方正魏碑_GBK" w:hAnsi="方正魏碑_GBK" w:eastAsia="方正魏碑_GBK" w:cs="方正魏碑_GBK"/>
          <w:color w:val="FF0000"/>
          <w:kern w:val="0"/>
          <w:sz w:val="24"/>
          <w:highlight w:val="none"/>
          <w:shd w:val="clear" w:color="auto" w:fill="FFFFFF"/>
        </w:rPr>
      </w:pPr>
    </w:p>
    <w:p w14:paraId="3CF35F29">
      <w:pPr>
        <w:widowControl/>
        <w:spacing w:line="400" w:lineRule="exact"/>
        <w:jc w:val="center"/>
        <w:rPr>
          <w:rFonts w:ascii="方正魏碑_GBK" w:hAnsi="方正魏碑_GBK" w:eastAsia="方正魏碑_GBK" w:cs="方正魏碑_GBK"/>
          <w:color w:val="FF0000"/>
          <w:kern w:val="0"/>
          <w:sz w:val="24"/>
          <w:highlight w:val="none"/>
          <w:shd w:val="clear" w:color="auto" w:fill="FFFFFF"/>
        </w:rPr>
      </w:pPr>
    </w:p>
    <w:p w14:paraId="3712B40B">
      <w:pPr>
        <w:widowControl/>
        <w:spacing w:line="400" w:lineRule="exact"/>
        <w:jc w:val="center"/>
        <w:rPr>
          <w:rFonts w:ascii="方正魏碑_GBK" w:hAnsi="方正魏碑_GBK" w:eastAsia="方正魏碑_GBK" w:cs="方正魏碑_GBK"/>
          <w:color w:val="FF0000"/>
          <w:kern w:val="0"/>
          <w:sz w:val="24"/>
          <w:highlight w:val="none"/>
          <w:shd w:val="clear" w:color="auto" w:fill="FFFFFF"/>
        </w:rPr>
      </w:pPr>
    </w:p>
    <w:p w14:paraId="0C9F6F31">
      <w:pPr>
        <w:autoSpaceDE w:val="0"/>
        <w:autoSpaceDN w:val="0"/>
        <w:adjustRightInd w:val="0"/>
        <w:spacing w:line="360" w:lineRule="exact"/>
        <w:jc w:val="left"/>
        <w:rPr>
          <w:rFonts w:ascii="宋体" w:hAnsi="宋体" w:cs="仿宋_GB2312"/>
          <w:kern w:val="0"/>
          <w:sz w:val="24"/>
          <w:highlight w:val="none"/>
        </w:rPr>
      </w:pPr>
      <w:r>
        <w:rPr>
          <w:rFonts w:hint="eastAsia" w:ascii="宋体" w:hAnsi="宋体" w:cs="仿宋_GB2312"/>
          <w:kern w:val="0"/>
          <w:sz w:val="18"/>
          <w:szCs w:val="18"/>
          <w:highlight w:val="none"/>
        </w:rPr>
        <w:t>注：</w:t>
      </w:r>
      <w:r>
        <w:rPr>
          <w:rFonts w:ascii="宋体" w:hAnsi="宋体" w:cs="仿宋_GB2312"/>
          <w:kern w:val="0"/>
          <w:position w:val="6"/>
          <w:sz w:val="18"/>
          <w:szCs w:val="18"/>
          <w:highlight w:val="none"/>
          <w:vertAlign w:val="superscript"/>
        </w:rPr>
        <w:t>1</w:t>
      </w:r>
      <w:r>
        <w:rPr>
          <w:rFonts w:hint="eastAsia" w:ascii="宋体" w:hAnsi="宋体" w:cs="宋体"/>
          <w:kern w:val="0"/>
          <w:sz w:val="18"/>
          <w:szCs w:val="18"/>
          <w:highlight w:val="none"/>
        </w:rPr>
        <w:t>产品如有型号，请在“产品名称”栏一并填写。</w:t>
      </w:r>
    </w:p>
    <w:p w14:paraId="11BE1E55">
      <w:pPr>
        <w:spacing w:line="360" w:lineRule="exact"/>
        <w:ind w:firstLine="360" w:firstLineChars="200"/>
        <w:rPr>
          <w:rFonts w:ascii="宋体" w:hAnsi="宋体" w:cs="宋体"/>
          <w:sz w:val="18"/>
          <w:szCs w:val="18"/>
          <w:highlight w:val="none"/>
        </w:rPr>
      </w:pPr>
      <w:r>
        <w:rPr>
          <w:rFonts w:hint="eastAsia" w:ascii="宋体" w:hAnsi="宋体"/>
          <w:position w:val="6"/>
          <w:sz w:val="18"/>
          <w:szCs w:val="18"/>
          <w:highlight w:val="none"/>
          <w:vertAlign w:val="superscript"/>
        </w:rPr>
        <w:t>2</w:t>
      </w:r>
      <w:r>
        <w:rPr>
          <w:rFonts w:hint="eastAsia" w:ascii="宋体" w:hAnsi="宋体" w:cs="宋体"/>
          <w:sz w:val="18"/>
          <w:szCs w:val="18"/>
          <w:highlight w:val="none"/>
        </w:rPr>
        <w:t>生产厂名与厂址应与生产厂营业执照载明的相关信息保持一致。</w:t>
      </w:r>
    </w:p>
    <w:p w14:paraId="66CCD28A">
      <w:pPr>
        <w:spacing w:line="360" w:lineRule="exact"/>
        <w:ind w:firstLine="360" w:firstLineChars="200"/>
        <w:rPr>
          <w:rFonts w:ascii="宋体" w:hAnsi="宋体" w:cs="宋体"/>
          <w:sz w:val="18"/>
          <w:szCs w:val="18"/>
          <w:highlight w:val="none"/>
        </w:rPr>
      </w:pPr>
      <w:r>
        <w:rPr>
          <w:rFonts w:hint="eastAsia" w:ascii="宋体" w:hAnsi="宋体"/>
          <w:position w:val="6"/>
          <w:sz w:val="18"/>
          <w:szCs w:val="18"/>
          <w:highlight w:val="none"/>
          <w:vertAlign w:val="superscript"/>
        </w:rPr>
        <w:t>3</w:t>
      </w:r>
      <w:r>
        <w:rPr>
          <w:rFonts w:hint="eastAsia" w:ascii="宋体" w:hAnsi="宋体" w:cs="宋体"/>
          <w:sz w:val="18"/>
          <w:szCs w:val="18"/>
          <w:highlight w:val="none"/>
        </w:rPr>
        <w:t>该产品的中国境内生产的组件成本占比相关要求实施前，“规定比例”栏可不填，下同。</w:t>
      </w:r>
    </w:p>
    <w:p w14:paraId="3FE27330">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4</w:t>
      </w:r>
      <w:r>
        <w:rPr>
          <w:rFonts w:hint="eastAsia" w:ascii="宋体" w:hAnsi="宋体" w:cs="宋体"/>
          <w:kern w:val="0"/>
          <w:sz w:val="18"/>
          <w:szCs w:val="18"/>
          <w:highlight w:val="none"/>
        </w:rPr>
        <w:t>该产品的关键组件要求实施前，“关键组件”栏可不填，下同。</w:t>
      </w:r>
    </w:p>
    <w:p w14:paraId="32260459">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5</w:t>
      </w:r>
      <w:r>
        <w:rPr>
          <w:rFonts w:hint="eastAsia" w:ascii="宋体" w:hAnsi="宋体" w:cs="宋体"/>
          <w:kern w:val="0"/>
          <w:sz w:val="18"/>
          <w:szCs w:val="18"/>
          <w:highlight w:val="none"/>
        </w:rPr>
        <w:t>该产品的关键工序要求实施前，“关键工序”栏可不填，下同。</w:t>
      </w:r>
    </w:p>
    <w:p w14:paraId="481F3E55">
      <w:pPr>
        <w:spacing w:line="360" w:lineRule="exact"/>
        <w:ind w:firstLine="360" w:firstLineChars="200"/>
        <w:rPr>
          <w:rFonts w:ascii="宋体" w:hAnsi="宋体" w:cs="宋体"/>
          <w:kern w:val="0"/>
          <w:sz w:val="18"/>
          <w:szCs w:val="18"/>
          <w:highlight w:val="none"/>
        </w:rPr>
      </w:pPr>
      <w:r>
        <w:rPr>
          <w:rFonts w:hint="eastAsia" w:ascii="宋体" w:hAnsi="宋体" w:cs="仿宋_GB2312"/>
          <w:kern w:val="0"/>
          <w:position w:val="6"/>
          <w:sz w:val="18"/>
          <w:szCs w:val="18"/>
          <w:highlight w:val="none"/>
          <w:vertAlign w:val="superscript"/>
        </w:rPr>
        <w:t>6</w:t>
      </w:r>
      <w:r>
        <w:rPr>
          <w:rFonts w:hint="eastAsia" w:ascii="宋体" w:hAnsi="宋体" w:cs="宋体"/>
          <w:kern w:val="0"/>
          <w:sz w:val="18"/>
          <w:szCs w:val="18"/>
          <w:highlight w:val="none"/>
        </w:rPr>
        <w:t>用斜线划除的地方无需填写。</w:t>
      </w:r>
    </w:p>
    <w:p w14:paraId="10127F63">
      <w:pPr>
        <w:spacing w:line="400" w:lineRule="exact"/>
        <w:ind w:firstLine="3600"/>
        <w:jc w:val="left"/>
        <w:rPr>
          <w:rFonts w:hint="eastAsia" w:ascii="宋体" w:hAnsi="宋体" w:eastAsia="宋体" w:cs="Times New Roman"/>
          <w:bCs/>
          <w:sz w:val="24"/>
          <w:szCs w:val="24"/>
        </w:rPr>
      </w:pPr>
    </w:p>
    <w:sectPr>
      <w:pgSz w:w="11906" w:h="16838"/>
      <w:pgMar w:top="1247" w:right="1247" w:bottom="1247" w:left="1247" w:header="680"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Batang">
    <w:panose1 w:val="02030600000101010101"/>
    <w:charset w:val="81"/>
    <w:family w:val="auto"/>
    <w:pitch w:val="default"/>
    <w:sig w:usb0="B00002AF" w:usb1="69D77CFB" w:usb2="00000030" w:usb3="00000000" w:csb0="4008009F" w:csb1="DFD7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06F" w:usb1="1200FBEF" w:usb2="0064C000" w:usb3="00000002" w:csb0="00000001" w:csb1="40000000"/>
  </w:font>
  <w:font w:name="仿宋_GB2312">
    <w:panose1 w:val="02010609030101010101"/>
    <w:charset w:val="86"/>
    <w:family w:val="modern"/>
    <w:pitch w:val="default"/>
    <w:sig w:usb0="00000001" w:usb1="080E0000" w:usb2="00000000" w:usb3="00000000" w:csb0="00040000" w:csb1="00000000"/>
  </w:font>
  <w:font w:name="方正魏碑_GBK">
    <w:altName w:val="宋体"/>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139F6">
    <w:pPr>
      <w:pStyle w:val="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6958"/>
                          </w:sdtPr>
                          <w:sdtContent>
                            <w:p w14:paraId="72DD6935">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331A01ED"/>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147456958"/>
                    </w:sdtPr>
                    <w:sdtContent>
                      <w:p w14:paraId="72DD6935">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331A01ED"/>
                </w:txbxContent>
              </v:textbox>
            </v:shape>
          </w:pict>
        </mc:Fallback>
      </mc:AlternateContent>
    </w:r>
  </w:p>
  <w:p w14:paraId="16C96730">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AECD0">
    <w:pPr>
      <w:pStyle w:val="21"/>
      <w:framePr w:wrap="around" w:vAnchor="text" w:hAnchor="margin" w:xAlign="center" w:y="1"/>
      <w:rPr>
        <w:rStyle w:val="37"/>
      </w:rPr>
    </w:pPr>
    <w:r>
      <w:fldChar w:fldCharType="begin"/>
    </w:r>
    <w:r>
      <w:rPr>
        <w:rStyle w:val="37"/>
      </w:rPr>
      <w:instrText xml:space="preserve">PAGE  </w:instrText>
    </w:r>
    <w:r>
      <w:fldChar w:fldCharType="separate"/>
    </w:r>
    <w:r>
      <w:rPr>
        <w:rStyle w:val="37"/>
      </w:rPr>
      <w:t>1</w:t>
    </w:r>
    <w:r>
      <w:fldChar w:fldCharType="end"/>
    </w:r>
  </w:p>
  <w:p w14:paraId="735BC30C">
    <w:pPr>
      <w:pStyle w:val="2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E043D">
    <w:pPr>
      <w:pStyle w:val="2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1669"/>
                          </w:sdtPr>
                          <w:sdtContent>
                            <w:p w14:paraId="56B3E653">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4E97E2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sdt>
                    <w:sdtPr>
                      <w:id w:val="147471669"/>
                    </w:sdtPr>
                    <w:sdtContent>
                      <w:p w14:paraId="56B3E653">
                        <w:pPr>
                          <w:pStyle w:val="21"/>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4E97E242"/>
                </w:txbxContent>
              </v:textbox>
            </v:shape>
          </w:pict>
        </mc:Fallback>
      </mc:AlternateContent>
    </w:r>
  </w:p>
  <w:p w14:paraId="10958988">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2B80A">
    <w:pPr>
      <w:pBdr>
        <w:bottom w:val="single" w:color="auto" w:sz="6" w:space="1"/>
      </w:pBdr>
      <w:tabs>
        <w:tab w:val="center" w:pos="4153"/>
        <w:tab w:val="right" w:pos="8306"/>
      </w:tabs>
      <w:jc w:val="left"/>
      <w:rPr>
        <w:rFonts w:hint="eastAsia" w:ascii="黑体" w:hAnsi="黑体" w:eastAsia="黑体" w:cs="Times New Roman"/>
        <w:sz w:val="16"/>
        <w:szCs w:val="18"/>
      </w:rPr>
    </w:pPr>
    <w:r>
      <w:rPr>
        <w:rFonts w:hint="eastAsia" w:ascii="黑体" w:hAnsi="黑体" w:eastAsia="黑体" w:cs="Times New Roman"/>
        <w:bCs/>
        <w:sz w:val="16"/>
        <w:szCs w:val="18"/>
        <w:lang w:eastAsia="zh-CN"/>
      </w:rPr>
      <w:t>JSZC-320281-JZCG-G2026-0017江阴市人民医院经皮氧、二氧化碳监测仪项目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75091">
    <w:pPr>
      <w:pBdr>
        <w:bottom w:val="single" w:color="auto" w:sz="6" w:space="1"/>
      </w:pBdr>
      <w:tabs>
        <w:tab w:val="center" w:pos="4153"/>
        <w:tab w:val="right" w:pos="8306"/>
      </w:tabs>
      <w:snapToGrid w:val="0"/>
      <w:jc w:val="left"/>
      <w:rPr>
        <w:rFonts w:hint="eastAsia" w:ascii="黑体" w:hAnsi="黑体" w:eastAsia="黑体" w:cs="Times New Roman"/>
        <w:sz w:val="16"/>
        <w:szCs w:val="18"/>
      </w:rPr>
    </w:pPr>
    <w:r>
      <w:rPr>
        <w:rFonts w:hint="eastAsia" w:ascii="黑体" w:hAnsi="黑体" w:eastAsia="黑体" w:cs="Times New Roman"/>
        <w:bCs/>
        <w:sz w:val="16"/>
        <w:szCs w:val="18"/>
        <w:lang w:eastAsia="zh-CN"/>
      </w:rPr>
      <w:t>JSZC-320281-JZCG-G2026-0017江阴市人民医院经皮氧、二氧化碳监测仪项目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江阴市政</w:t>
    </w:r>
    <w:r>
      <w:rPr>
        <w:rFonts w:ascii="黑体" w:hAnsi="黑体" w:eastAsia="黑体" w:cs="Times New Roman"/>
        <w:bCs/>
        <w:sz w:val="16"/>
        <w:szCs w:val="18"/>
      </w:rPr>
      <w:t>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25EC18"/>
    <w:multiLevelType w:val="multilevel"/>
    <w:tmpl w:val="0A25EC18"/>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283"/>
      </w:pPr>
      <w:rPr>
        <w:rFonts w:hint="default"/>
      </w:rPr>
    </w:lvl>
    <w:lvl w:ilvl="2" w:tentative="0">
      <w:start w:val="1"/>
      <w:numFmt w:val="decimal"/>
      <w:suff w:val="space"/>
      <w:lvlText w:val="%1.%2.%3."/>
      <w:lvlJc w:val="left"/>
      <w:pPr>
        <w:ind w:left="0" w:firstLine="567"/>
      </w:pPr>
      <w:rPr>
        <w:rFonts w:hint="default"/>
      </w:rPr>
    </w:lvl>
    <w:lvl w:ilvl="3" w:tentative="0">
      <w:start w:val="1"/>
      <w:numFmt w:val="decimal"/>
      <w:suff w:val="space"/>
      <w:lvlText w:val="%1.%2.%3.%4."/>
      <w:lvlJc w:val="left"/>
      <w:pPr>
        <w:ind w:left="0" w:firstLine="85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F08"/>
    <w:rsid w:val="00246F08"/>
    <w:rsid w:val="00305E57"/>
    <w:rsid w:val="004339D2"/>
    <w:rsid w:val="00574C0A"/>
    <w:rsid w:val="007F2D51"/>
    <w:rsid w:val="00903ABA"/>
    <w:rsid w:val="00AC66DD"/>
    <w:rsid w:val="00BA05D3"/>
    <w:rsid w:val="00BF2B85"/>
    <w:rsid w:val="00CF11FA"/>
    <w:rsid w:val="00D3299A"/>
    <w:rsid w:val="02DD6E97"/>
    <w:rsid w:val="03B2163A"/>
    <w:rsid w:val="04B9131C"/>
    <w:rsid w:val="04D000AC"/>
    <w:rsid w:val="09291C5D"/>
    <w:rsid w:val="0CA27F6D"/>
    <w:rsid w:val="0FC30926"/>
    <w:rsid w:val="10004E6D"/>
    <w:rsid w:val="116573B5"/>
    <w:rsid w:val="147A07F8"/>
    <w:rsid w:val="1B023706"/>
    <w:rsid w:val="207A7985"/>
    <w:rsid w:val="21554611"/>
    <w:rsid w:val="227E1992"/>
    <w:rsid w:val="2944442E"/>
    <w:rsid w:val="32DF445D"/>
    <w:rsid w:val="34190265"/>
    <w:rsid w:val="34C05DF3"/>
    <w:rsid w:val="360B1EAF"/>
    <w:rsid w:val="39D66997"/>
    <w:rsid w:val="3A125E82"/>
    <w:rsid w:val="3AD35612"/>
    <w:rsid w:val="3CC714D9"/>
    <w:rsid w:val="3E02501A"/>
    <w:rsid w:val="426479D7"/>
    <w:rsid w:val="49C205B5"/>
    <w:rsid w:val="532D11DF"/>
    <w:rsid w:val="5BE05DA9"/>
    <w:rsid w:val="5D397694"/>
    <w:rsid w:val="5D746389"/>
    <w:rsid w:val="60E20F97"/>
    <w:rsid w:val="6364265F"/>
    <w:rsid w:val="64610254"/>
    <w:rsid w:val="657955DF"/>
    <w:rsid w:val="65970D91"/>
    <w:rsid w:val="66AA4BC9"/>
    <w:rsid w:val="68407A25"/>
    <w:rsid w:val="6A2746F1"/>
    <w:rsid w:val="6A6B1E5D"/>
    <w:rsid w:val="6AF723A7"/>
    <w:rsid w:val="72074EAB"/>
    <w:rsid w:val="7A1108A9"/>
    <w:rsid w:val="7A8C07BB"/>
    <w:rsid w:val="7C9515B9"/>
    <w:rsid w:val="7DD86068"/>
    <w:rsid w:val="7F17334B"/>
    <w:rsid w:val="7FA36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206"/>
    <w:qFormat/>
    <w:uiPriority w:val="9"/>
    <w:pPr>
      <w:keepNext/>
      <w:keepLines/>
      <w:spacing w:before="340" w:after="330" w:line="578" w:lineRule="auto"/>
      <w:outlineLvl w:val="0"/>
    </w:pPr>
    <w:rPr>
      <w:b/>
      <w:bCs/>
      <w:sz w:val="44"/>
      <w:szCs w:val="44"/>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193"/>
    <w:semiHidden/>
    <w:unhideWhenUsed/>
    <w:qFormat/>
    <w:uiPriority w:val="99"/>
    <w:pPr>
      <w:jc w:val="left"/>
    </w:pPr>
  </w:style>
  <w:style w:type="paragraph" w:styleId="14">
    <w:name w:val="Body Text"/>
    <w:basedOn w:val="1"/>
    <w:link w:val="196"/>
    <w:qFormat/>
    <w:uiPriority w:val="0"/>
    <w:pPr>
      <w:spacing w:line="360" w:lineRule="auto"/>
    </w:pPr>
    <w:rPr>
      <w:rFonts w:ascii="楷体_GB2312" w:hAnsi="Times New Roman" w:eastAsia="楷体_GB2312" w:cs="Times New Roman"/>
      <w:bCs/>
      <w:sz w:val="28"/>
      <w:szCs w:val="24"/>
    </w:rPr>
  </w:style>
  <w:style w:type="paragraph" w:styleId="15">
    <w:name w:val="Body Text Indent"/>
    <w:basedOn w:val="1"/>
    <w:link w:val="200"/>
    <w:unhideWhenUsed/>
    <w:qFormat/>
    <w:uiPriority w:val="0"/>
    <w:pPr>
      <w:spacing w:after="120"/>
      <w:ind w:left="420"/>
    </w:pPr>
  </w:style>
  <w:style w:type="paragraph" w:styleId="16">
    <w:name w:val="toc 5"/>
    <w:basedOn w:val="1"/>
    <w:next w:val="1"/>
    <w:unhideWhenUsed/>
    <w:qFormat/>
    <w:uiPriority w:val="39"/>
    <w:pPr>
      <w:ind w:left="840"/>
      <w:jc w:val="left"/>
    </w:pPr>
    <w:rPr>
      <w:sz w:val="18"/>
      <w:szCs w:val="18"/>
    </w:rPr>
  </w:style>
  <w:style w:type="paragraph" w:styleId="17">
    <w:name w:val="toc 3"/>
    <w:basedOn w:val="1"/>
    <w:next w:val="1"/>
    <w:unhideWhenUsed/>
    <w:qFormat/>
    <w:uiPriority w:val="39"/>
    <w:pPr>
      <w:ind w:left="420"/>
      <w:jc w:val="left"/>
    </w:pPr>
    <w:rPr>
      <w:i/>
      <w:iCs/>
      <w:sz w:val="20"/>
      <w:szCs w:val="20"/>
    </w:rPr>
  </w:style>
  <w:style w:type="paragraph" w:styleId="18">
    <w:name w:val="toc 8"/>
    <w:basedOn w:val="1"/>
    <w:next w:val="1"/>
    <w:unhideWhenUsed/>
    <w:qFormat/>
    <w:uiPriority w:val="39"/>
    <w:pPr>
      <w:ind w:left="1470"/>
      <w:jc w:val="left"/>
    </w:pPr>
    <w:rPr>
      <w:sz w:val="18"/>
      <w:szCs w:val="18"/>
    </w:rPr>
  </w:style>
  <w:style w:type="paragraph" w:styleId="19">
    <w:name w:val="endnote text"/>
    <w:basedOn w:val="1"/>
    <w:link w:val="186"/>
    <w:semiHidden/>
    <w:unhideWhenUsed/>
    <w:qFormat/>
    <w:uiPriority w:val="99"/>
    <w:rPr>
      <w:sz w:val="20"/>
    </w:rPr>
  </w:style>
  <w:style w:type="paragraph" w:styleId="20">
    <w:name w:val="Balloon Text"/>
    <w:basedOn w:val="1"/>
    <w:link w:val="191"/>
    <w:semiHidden/>
    <w:unhideWhenUsed/>
    <w:qFormat/>
    <w:uiPriority w:val="99"/>
    <w:rPr>
      <w:sz w:val="18"/>
      <w:szCs w:val="18"/>
    </w:rPr>
  </w:style>
  <w:style w:type="paragraph" w:styleId="21">
    <w:name w:val="footer"/>
    <w:basedOn w:val="1"/>
    <w:link w:val="189"/>
    <w:unhideWhenUsed/>
    <w:qFormat/>
    <w:uiPriority w:val="0"/>
    <w:pPr>
      <w:tabs>
        <w:tab w:val="center" w:pos="4153"/>
        <w:tab w:val="right" w:pos="8306"/>
      </w:tabs>
      <w:jc w:val="left"/>
    </w:pPr>
    <w:rPr>
      <w:sz w:val="18"/>
      <w:szCs w:val="18"/>
    </w:rPr>
  </w:style>
  <w:style w:type="paragraph" w:styleId="22">
    <w:name w:val="header"/>
    <w:basedOn w:val="1"/>
    <w:link w:val="188"/>
    <w:unhideWhenUsed/>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before="120" w:after="120"/>
      <w:jc w:val="left"/>
    </w:pPr>
    <w:rPr>
      <w:b/>
      <w:bCs/>
      <w:caps/>
      <w:sz w:val="20"/>
      <w:szCs w:val="20"/>
    </w:rPr>
  </w:style>
  <w:style w:type="paragraph" w:styleId="24">
    <w:name w:val="toc 4"/>
    <w:basedOn w:val="1"/>
    <w:next w:val="1"/>
    <w:unhideWhenUsed/>
    <w:qFormat/>
    <w:uiPriority w:val="39"/>
    <w:pPr>
      <w:ind w:left="630"/>
      <w:jc w:val="left"/>
    </w:pPr>
    <w:rPr>
      <w:sz w:val="18"/>
      <w:szCs w:val="18"/>
    </w:r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pPr>
    <w:rPr>
      <w:sz w:val="18"/>
    </w:rPr>
  </w:style>
  <w:style w:type="paragraph" w:styleId="27">
    <w:name w:val="toc 6"/>
    <w:basedOn w:val="1"/>
    <w:next w:val="1"/>
    <w:unhideWhenUsed/>
    <w:qFormat/>
    <w:uiPriority w:val="39"/>
    <w:pPr>
      <w:ind w:left="1050"/>
      <w:jc w:val="left"/>
    </w:pPr>
    <w:rPr>
      <w:sz w:val="18"/>
      <w:szCs w:val="18"/>
    </w:rPr>
  </w:style>
  <w:style w:type="paragraph" w:styleId="28">
    <w:name w:val="table of figures"/>
    <w:basedOn w:val="1"/>
    <w:next w:val="1"/>
    <w:unhideWhenUsed/>
    <w:qFormat/>
    <w:uiPriority w:val="99"/>
  </w:style>
  <w:style w:type="paragraph" w:styleId="29">
    <w:name w:val="toc 2"/>
    <w:basedOn w:val="1"/>
    <w:next w:val="1"/>
    <w:unhideWhenUsed/>
    <w:qFormat/>
    <w:uiPriority w:val="39"/>
    <w:pPr>
      <w:ind w:left="210"/>
      <w:jc w:val="left"/>
    </w:pPr>
    <w:rPr>
      <w:smallCaps/>
      <w:sz w:val="20"/>
      <w:szCs w:val="20"/>
    </w:rPr>
  </w:style>
  <w:style w:type="paragraph" w:styleId="30">
    <w:name w:val="toc 9"/>
    <w:basedOn w:val="1"/>
    <w:next w:val="1"/>
    <w:unhideWhenUsed/>
    <w:qFormat/>
    <w:uiPriority w:val="39"/>
    <w:pPr>
      <w:ind w:left="1680"/>
      <w:jc w:val="left"/>
    </w:pPr>
    <w:rPr>
      <w:sz w:val="18"/>
      <w:szCs w:val="18"/>
    </w:rPr>
  </w:style>
  <w:style w:type="paragraph" w:styleId="31">
    <w:name w:val="Title"/>
    <w:basedOn w:val="1"/>
    <w:next w:val="1"/>
    <w:link w:val="187"/>
    <w:qFormat/>
    <w:uiPriority w:val="10"/>
    <w:pPr>
      <w:spacing w:line="400" w:lineRule="exact"/>
      <w:jc w:val="center"/>
      <w:outlineLvl w:val="0"/>
    </w:pPr>
    <w:rPr>
      <w:rFonts w:eastAsia="黑体" w:asciiTheme="majorHAnsi" w:hAnsiTheme="majorHAnsi" w:cstheme="majorBidi"/>
      <w:bCs/>
      <w:sz w:val="30"/>
      <w:szCs w:val="32"/>
    </w:rPr>
  </w:style>
  <w:style w:type="paragraph" w:styleId="32">
    <w:name w:val="annotation subject"/>
    <w:basedOn w:val="13"/>
    <w:next w:val="13"/>
    <w:link w:val="194"/>
    <w:semiHidden/>
    <w:unhideWhenUsed/>
    <w:qFormat/>
    <w:uiPriority w:val="99"/>
    <w:rPr>
      <w:b/>
      <w:bCs/>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endnote reference"/>
    <w:basedOn w:val="35"/>
    <w:semiHidden/>
    <w:unhideWhenUsed/>
    <w:qFormat/>
    <w:uiPriority w:val="99"/>
    <w:rPr>
      <w:vertAlign w:val="superscript"/>
    </w:rPr>
  </w:style>
  <w:style w:type="character" w:styleId="37">
    <w:name w:val="page number"/>
    <w:qFormat/>
    <w:uiPriority w:val="0"/>
  </w:style>
  <w:style w:type="character" w:styleId="38">
    <w:name w:val="Hyperlink"/>
    <w:basedOn w:val="35"/>
    <w:unhideWhenUsed/>
    <w:qFormat/>
    <w:uiPriority w:val="99"/>
    <w:rPr>
      <w:color w:val="0000FF" w:themeColor="hyperlink"/>
      <w:u w:val="single"/>
      <w14:textFill>
        <w14:solidFill>
          <w14:schemeClr w14:val="hlink"/>
        </w14:solidFill>
      </w14:textFill>
    </w:rPr>
  </w:style>
  <w:style w:type="character" w:styleId="39">
    <w:name w:val="annotation reference"/>
    <w:basedOn w:val="35"/>
    <w:semiHidden/>
    <w:unhideWhenUsed/>
    <w:qFormat/>
    <w:uiPriority w:val="99"/>
    <w:rPr>
      <w:sz w:val="21"/>
      <w:szCs w:val="21"/>
    </w:rPr>
  </w:style>
  <w:style w:type="character" w:styleId="40">
    <w:name w:val="footnote reference"/>
    <w:basedOn w:val="35"/>
    <w:unhideWhenUsed/>
    <w:qFormat/>
    <w:uiPriority w:val="99"/>
    <w:rPr>
      <w:vertAlign w:val="superscript"/>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标题 2 字符"/>
    <w:basedOn w:val="35"/>
    <w:link w:val="3"/>
    <w:qFormat/>
    <w:uiPriority w:val="9"/>
    <w:rPr>
      <w:rFonts w:ascii="Arial" w:hAnsi="Arial" w:eastAsia="Arial" w:cs="Arial"/>
      <w:sz w:val="34"/>
    </w:rPr>
  </w:style>
  <w:style w:type="character" w:customStyle="1" w:styleId="43">
    <w:name w:val="标题 3 字符"/>
    <w:basedOn w:val="35"/>
    <w:link w:val="4"/>
    <w:qFormat/>
    <w:uiPriority w:val="9"/>
    <w:rPr>
      <w:rFonts w:ascii="Arial" w:hAnsi="Arial" w:eastAsia="Arial" w:cs="Arial"/>
      <w:sz w:val="30"/>
      <w:szCs w:val="30"/>
    </w:rPr>
  </w:style>
  <w:style w:type="character" w:customStyle="1" w:styleId="44">
    <w:name w:val="标题 4 字符"/>
    <w:basedOn w:val="35"/>
    <w:link w:val="5"/>
    <w:qFormat/>
    <w:uiPriority w:val="9"/>
    <w:rPr>
      <w:rFonts w:ascii="Arial" w:hAnsi="Arial" w:eastAsia="Arial" w:cs="Arial"/>
      <w:b/>
      <w:bCs/>
      <w:sz w:val="26"/>
      <w:szCs w:val="26"/>
    </w:rPr>
  </w:style>
  <w:style w:type="character" w:customStyle="1" w:styleId="45">
    <w:name w:val="标题 5 字符"/>
    <w:basedOn w:val="35"/>
    <w:link w:val="6"/>
    <w:qFormat/>
    <w:uiPriority w:val="9"/>
    <w:rPr>
      <w:rFonts w:ascii="Arial" w:hAnsi="Arial" w:eastAsia="Arial" w:cs="Arial"/>
      <w:b/>
      <w:bCs/>
      <w:sz w:val="24"/>
      <w:szCs w:val="24"/>
    </w:rPr>
  </w:style>
  <w:style w:type="character" w:customStyle="1" w:styleId="46">
    <w:name w:val="标题 6 字符"/>
    <w:basedOn w:val="35"/>
    <w:link w:val="7"/>
    <w:qFormat/>
    <w:uiPriority w:val="9"/>
    <w:rPr>
      <w:rFonts w:ascii="Arial" w:hAnsi="Arial" w:eastAsia="Arial" w:cs="Arial"/>
      <w:b/>
      <w:bCs/>
      <w:sz w:val="22"/>
      <w:szCs w:val="22"/>
    </w:rPr>
  </w:style>
  <w:style w:type="character" w:customStyle="1" w:styleId="47">
    <w:name w:val="标题 7 字符"/>
    <w:basedOn w:val="35"/>
    <w:link w:val="8"/>
    <w:qFormat/>
    <w:uiPriority w:val="9"/>
    <w:rPr>
      <w:rFonts w:ascii="Arial" w:hAnsi="Arial" w:eastAsia="Arial" w:cs="Arial"/>
      <w:b/>
      <w:bCs/>
      <w:i/>
      <w:iCs/>
      <w:sz w:val="22"/>
      <w:szCs w:val="22"/>
    </w:rPr>
  </w:style>
  <w:style w:type="character" w:customStyle="1" w:styleId="48">
    <w:name w:val="标题 8 字符"/>
    <w:basedOn w:val="35"/>
    <w:link w:val="9"/>
    <w:qFormat/>
    <w:uiPriority w:val="9"/>
    <w:rPr>
      <w:rFonts w:ascii="Arial" w:hAnsi="Arial" w:eastAsia="Arial" w:cs="Arial"/>
      <w:i/>
      <w:iCs/>
      <w:sz w:val="22"/>
      <w:szCs w:val="22"/>
    </w:rPr>
  </w:style>
  <w:style w:type="character" w:customStyle="1" w:styleId="49">
    <w:name w:val="标题 9 字符"/>
    <w:basedOn w:val="35"/>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character" w:customStyle="1" w:styleId="51">
    <w:name w:val="Title Char"/>
    <w:basedOn w:val="35"/>
    <w:qFormat/>
    <w:uiPriority w:val="10"/>
    <w:rPr>
      <w:sz w:val="48"/>
      <w:szCs w:val="48"/>
    </w:rPr>
  </w:style>
  <w:style w:type="character" w:customStyle="1" w:styleId="52">
    <w:name w:val="副标题 字符"/>
    <w:basedOn w:val="35"/>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字符"/>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字符"/>
    <w:link w:val="55"/>
    <w:qFormat/>
    <w:uiPriority w:val="30"/>
    <w:rPr>
      <w:i/>
    </w:rPr>
  </w:style>
  <w:style w:type="character" w:customStyle="1" w:styleId="57">
    <w:name w:val="Header Char"/>
    <w:basedOn w:val="35"/>
    <w:qFormat/>
    <w:uiPriority w:val="99"/>
  </w:style>
  <w:style w:type="character" w:customStyle="1" w:styleId="58">
    <w:name w:val="Footer Char"/>
    <w:basedOn w:val="35"/>
    <w:qFormat/>
    <w:uiPriority w:val="99"/>
  </w:style>
  <w:style w:type="character" w:customStyle="1" w:styleId="59">
    <w:name w:val="Caption Char"/>
    <w:qFormat/>
    <w:uiPriority w:val="99"/>
  </w:style>
  <w:style w:type="table" w:customStyle="1" w:styleId="60">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1">
    <w:name w:val="无格式表格 11"/>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basedOn w:val="3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basedOn w:val="3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basedOn w:val="3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basedOn w:val="3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basedOn w:val="3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basedOn w:val="3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basedOn w:val="3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basedOn w:val="3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basedOn w:val="3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网格表 2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basedOn w:val="3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basedOn w:val="3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basedOn w:val="3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basedOn w:val="3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basedOn w:val="3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basedOn w:val="3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网格表 3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basedOn w:val="3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basedOn w:val="3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basedOn w:val="3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basedOn w:val="3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basedOn w:val="3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basedOn w:val="3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网格表 41"/>
    <w:basedOn w:val="3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basedOn w:val="3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basedOn w:val="3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basedOn w:val="3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basedOn w:val="3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basedOn w:val="3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basedOn w:val="3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5 深色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basedOn w:val="3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网格表 6 彩色1"/>
    <w:basedOn w:val="3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basedOn w:val="3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basedOn w:val="3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basedOn w:val="3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5">
    <w:name w:val="Grid Table 6 Colorful - Accent 4"/>
    <w:basedOn w:val="3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basedOn w:val="3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basedOn w:val="3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网格表 7 彩色1"/>
    <w:basedOn w:val="3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basedOn w:val="3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basedOn w:val="3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basedOn w:val="3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2">
    <w:name w:val="Grid Table 7 Colorful - Accent 4"/>
    <w:basedOn w:val="3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basedOn w:val="3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basedOn w:val="3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清单表 1 浅色1"/>
    <w:basedOn w:val="3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basedOn w:val="3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basedOn w:val="3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basedOn w:val="3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basedOn w:val="3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basedOn w:val="3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basedOn w:val="3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清单表 21"/>
    <w:basedOn w:val="3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basedOn w:val="3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basedOn w:val="3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basedOn w:val="3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basedOn w:val="3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basedOn w:val="3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basedOn w:val="3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清单表 3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basedOn w:val="3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basedOn w:val="3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basedOn w:val="3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basedOn w:val="3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basedOn w:val="3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basedOn w:val="3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清单表 41"/>
    <w:basedOn w:val="3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basedOn w:val="3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basedOn w:val="3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basedOn w:val="3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basedOn w:val="3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basedOn w:val="3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basedOn w:val="3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5 深色1"/>
    <w:basedOn w:val="3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basedOn w:val="3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basedOn w:val="3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basedOn w:val="3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basedOn w:val="3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basedOn w:val="3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basedOn w:val="3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清单表 6 彩色1"/>
    <w:basedOn w:val="3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basedOn w:val="3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basedOn w:val="3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basedOn w:val="3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basedOn w:val="3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basedOn w:val="3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basedOn w:val="3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清单表 7 彩色1"/>
    <w:basedOn w:val="3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basedOn w:val="3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basedOn w:val="3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basedOn w:val="3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basedOn w:val="3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basedOn w:val="3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basedOn w:val="3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basedOn w:val="3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basedOn w:val="3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basedOn w:val="3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basedOn w:val="3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basedOn w:val="3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basedOn w:val="3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basedOn w:val="3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basedOn w:val="3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basedOn w:val="3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basedOn w:val="3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basedOn w:val="3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basedOn w:val="3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basedOn w:val="3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basedOn w:val="3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basedOn w:val="3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basedOn w:val="3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basedOn w:val="3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basedOn w:val="3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basedOn w:val="3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basedOn w:val="3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basedOn w:val="3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字符"/>
    <w:link w:val="26"/>
    <w:qFormat/>
    <w:uiPriority w:val="99"/>
    <w:rPr>
      <w:sz w:val="18"/>
    </w:rPr>
  </w:style>
  <w:style w:type="character" w:customStyle="1" w:styleId="186">
    <w:name w:val="尾注文本 字符"/>
    <w:link w:val="19"/>
    <w:qFormat/>
    <w:uiPriority w:val="99"/>
    <w:rPr>
      <w:sz w:val="20"/>
    </w:rPr>
  </w:style>
  <w:style w:type="character" w:customStyle="1" w:styleId="187">
    <w:name w:val="标题 字符"/>
    <w:basedOn w:val="35"/>
    <w:link w:val="31"/>
    <w:qFormat/>
    <w:uiPriority w:val="10"/>
    <w:rPr>
      <w:rFonts w:eastAsia="黑体" w:asciiTheme="majorHAnsi" w:hAnsiTheme="majorHAnsi" w:cstheme="majorBidi"/>
      <w:bCs/>
      <w:sz w:val="30"/>
      <w:szCs w:val="32"/>
    </w:rPr>
  </w:style>
  <w:style w:type="character" w:customStyle="1" w:styleId="188">
    <w:name w:val="页眉 字符"/>
    <w:basedOn w:val="35"/>
    <w:link w:val="22"/>
    <w:qFormat/>
    <w:uiPriority w:val="0"/>
    <w:rPr>
      <w:sz w:val="18"/>
      <w:szCs w:val="18"/>
    </w:rPr>
  </w:style>
  <w:style w:type="character" w:customStyle="1" w:styleId="189">
    <w:name w:val="页脚 字符"/>
    <w:basedOn w:val="35"/>
    <w:link w:val="21"/>
    <w:qFormat/>
    <w:uiPriority w:val="0"/>
    <w:rPr>
      <w:sz w:val="18"/>
      <w:szCs w:val="18"/>
    </w:rPr>
  </w:style>
  <w:style w:type="character" w:customStyle="1" w:styleId="190">
    <w:name w:val="font2800"/>
    <w:basedOn w:val="35"/>
    <w:qFormat/>
    <w:uiPriority w:val="0"/>
  </w:style>
  <w:style w:type="character" w:customStyle="1" w:styleId="191">
    <w:name w:val="批注框文本 字符"/>
    <w:basedOn w:val="35"/>
    <w:link w:val="20"/>
    <w:semiHidden/>
    <w:qFormat/>
    <w:uiPriority w:val="99"/>
    <w:rPr>
      <w:sz w:val="18"/>
      <w:szCs w:val="18"/>
    </w:rPr>
  </w:style>
  <w:style w:type="table" w:customStyle="1" w:styleId="192">
    <w:name w:val="网格型1"/>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93">
    <w:name w:val="批注文字 字符"/>
    <w:basedOn w:val="35"/>
    <w:link w:val="13"/>
    <w:semiHidden/>
    <w:qFormat/>
    <w:uiPriority w:val="99"/>
  </w:style>
  <w:style w:type="character" w:customStyle="1" w:styleId="194">
    <w:name w:val="批注主题 字符"/>
    <w:basedOn w:val="193"/>
    <w:link w:val="32"/>
    <w:semiHidden/>
    <w:qFormat/>
    <w:uiPriority w:val="99"/>
    <w:rPr>
      <w:b/>
      <w:bCs/>
    </w:rPr>
  </w:style>
  <w:style w:type="character" w:customStyle="1" w:styleId="195">
    <w:name w:val="正文文本 Char"/>
    <w:basedOn w:val="35"/>
    <w:semiHidden/>
    <w:qFormat/>
    <w:uiPriority w:val="99"/>
  </w:style>
  <w:style w:type="character" w:customStyle="1" w:styleId="196">
    <w:name w:val="正文文本 字符"/>
    <w:link w:val="14"/>
    <w:qFormat/>
    <w:uiPriority w:val="0"/>
    <w:rPr>
      <w:rFonts w:ascii="楷体_GB2312" w:hAnsi="Times New Roman" w:eastAsia="楷体_GB2312" w:cs="Times New Roman"/>
      <w:bCs/>
      <w:sz w:val="28"/>
      <w:szCs w:val="24"/>
    </w:rPr>
  </w:style>
  <w:style w:type="paragraph" w:customStyle="1" w:styleId="197">
    <w:name w:val="Table Paragraph"/>
    <w:basedOn w:val="1"/>
    <w:qFormat/>
    <w:uiPriority w:val="1"/>
    <w:pPr>
      <w:spacing w:line="360" w:lineRule="auto"/>
      <w:ind w:firstLine="260"/>
      <w:jc w:val="left"/>
    </w:pPr>
    <w:rPr>
      <w:rFonts w:ascii="Calibri" w:hAnsi="Calibri" w:eastAsia="仿宋" w:cs="Times New Roman"/>
      <w:sz w:val="28"/>
      <w:lang w:eastAsia="en-US"/>
    </w:rPr>
  </w:style>
  <w:style w:type="paragraph" w:styleId="198">
    <w:name w:val="No Spacing"/>
    <w:link w:val="199"/>
    <w:qFormat/>
    <w:uiPriority w:val="1"/>
    <w:pPr>
      <w:widowControl w:val="0"/>
      <w:spacing w:line="360" w:lineRule="auto"/>
      <w:jc w:val="both"/>
    </w:pPr>
    <w:rPr>
      <w:rFonts w:ascii="宋体" w:hAnsi="宋体" w:eastAsiaTheme="minorEastAsia" w:cstheme="minorBidi"/>
      <w:sz w:val="24"/>
      <w:szCs w:val="22"/>
      <w:lang w:val="en-US" w:eastAsia="zh-CN" w:bidi="ar-SA"/>
    </w:rPr>
  </w:style>
  <w:style w:type="character" w:customStyle="1" w:styleId="199">
    <w:name w:val="无间隔 字符"/>
    <w:link w:val="198"/>
    <w:qFormat/>
    <w:uiPriority w:val="1"/>
    <w:rPr>
      <w:rFonts w:ascii="宋体" w:hAnsi="宋体"/>
      <w:sz w:val="24"/>
    </w:rPr>
  </w:style>
  <w:style w:type="character" w:customStyle="1" w:styleId="200">
    <w:name w:val="正文文本缩进 字符"/>
    <w:basedOn w:val="35"/>
    <w:link w:val="15"/>
    <w:qFormat/>
    <w:uiPriority w:val="0"/>
  </w:style>
  <w:style w:type="table" w:customStyle="1" w:styleId="201">
    <w:name w:val="网格型2"/>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02">
    <w:name w:val="修订1"/>
    <w:hidden/>
    <w:unhideWhenUsed/>
    <w:qFormat/>
    <w:uiPriority w:val="99"/>
    <w:rPr>
      <w:rFonts w:asciiTheme="minorHAnsi" w:hAnsiTheme="minorHAnsi" w:eastAsiaTheme="minorEastAsia" w:cstheme="minorBidi"/>
      <w:sz w:val="21"/>
      <w:szCs w:val="22"/>
      <w:lang w:val="en-US" w:eastAsia="zh-CN" w:bidi="ar-SA"/>
    </w:rPr>
  </w:style>
  <w:style w:type="table" w:customStyle="1" w:styleId="203">
    <w:name w:val="网格型3"/>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4">
    <w:name w:val="网格型4"/>
    <w:basedOn w:val="3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5">
    <w:name w:val="Table Normal"/>
    <w:semiHidden/>
    <w:unhideWhenUsed/>
    <w:qFormat/>
    <w:uiPriority w:val="0"/>
    <w:tblPr>
      <w:tblCellMar>
        <w:top w:w="0" w:type="dxa"/>
        <w:left w:w="0" w:type="dxa"/>
        <w:bottom w:w="0" w:type="dxa"/>
        <w:right w:w="0" w:type="dxa"/>
      </w:tblCellMar>
    </w:tblPr>
  </w:style>
  <w:style w:type="character" w:customStyle="1" w:styleId="206">
    <w:name w:val="标题 1 字符"/>
    <w:basedOn w:val="35"/>
    <w:link w:val="2"/>
    <w:qFormat/>
    <w:uiPriority w:val="9"/>
    <w:rPr>
      <w:b/>
      <w:bCs/>
      <w:sz w:val="44"/>
      <w:szCs w:val="44"/>
    </w:rPr>
  </w:style>
  <w:style w:type="paragraph" w:customStyle="1" w:styleId="207">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sz w:val="28"/>
      <w:szCs w:val="28"/>
    </w:rPr>
  </w:style>
  <w:style w:type="character" w:customStyle="1" w:styleId="208">
    <w:name w:val="font21"/>
    <w:basedOn w:val="35"/>
    <w:qFormat/>
    <w:uiPriority w:val="0"/>
    <w:rPr>
      <w:rFonts w:ascii="Calibri" w:hAnsi="Calibri" w:cs="Calibri"/>
      <w:color w:val="000000"/>
      <w:sz w:val="21"/>
      <w:szCs w:val="21"/>
      <w:u w:val="none"/>
    </w:rPr>
  </w:style>
  <w:style w:type="character" w:customStyle="1" w:styleId="209">
    <w:name w:val="font11"/>
    <w:basedOn w:val="3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E6412-89FA-46F5-BDE9-D9434CEB0EB8}">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41</Pages>
  <Words>76</Words>
  <Characters>102</Characters>
  <Lines>215</Lines>
  <Paragraphs>60</Paragraphs>
  <TotalTime>0</TotalTime>
  <ScaleCrop>false</ScaleCrop>
  <LinksUpToDate>false</LinksUpToDate>
  <CharactersWithSpaces>117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2024-05-14T07:17:00Z</dcterms:created>
  <dc:creator>Administrator</dc:creator>
  <cp:lastModifiedBy>Administrator</cp:lastModifiedBy>
  <cp:lastPrinted>2026-01-27T02:29:00Z</cp:lastPrinted>
  <dcterms:modified xsi:type="dcterms:W3CDTF">2026-03-05T00:52:42Z</dcterms:modified>
  <cp:revision>671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2052-12.1.0.25225</vt:lpwstr>
  </property>
  <property fmtid="{D5CDD505-2E9C-101B-9397-08002B2CF9AE}" pid="4" name="ICV">
    <vt:lpwstr>650D9C1F7D0A43F8BB6BCFF472889EC4_13</vt:lpwstr>
  </property>
</Properties>
</file>