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color w:val="auto"/>
          <w:sz w:val="60"/>
          <w:szCs w:val="60"/>
          <w:highlight w:val="none"/>
        </w:rPr>
        <w:outlineLvl w:val="9"/>
      </w:pPr>
      <w:r>
        <w:rPr>
          <w:color w:val="auto"/>
          <w:sz w:val="60"/>
          <w:szCs w:val="60"/>
          <w:highlight w:val="none"/>
        </w:rPr>
      </w:r>
      <w:r/>
    </w:p>
    <w:p>
      <w:pPr>
        <w:jc w:val="center"/>
        <w:rPr>
          <w:rFonts w:hint="eastAsia" w:eastAsia="宋体"/>
          <w:b/>
          <w:bCs/>
          <w:color w:val="auto"/>
          <w:sz w:val="60"/>
          <w:szCs w:val="60"/>
          <w:highlight w:val="none"/>
          <w:lang w:eastAsia="zh-CN"/>
        </w:rPr>
        <w:outlineLvl w:val="9"/>
      </w:pPr>
      <w:r>
        <w:rPr>
          <w:rFonts w:hint="eastAsia"/>
          <w:b/>
          <w:bCs/>
          <w:color w:val="auto"/>
          <w:sz w:val="60"/>
          <w:szCs w:val="60"/>
          <w:highlight w:val="none"/>
          <w:lang w:eastAsia="zh-CN"/>
        </w:rPr>
        <w:t xml:space="preserve">新北区联防联控指挥部保障项目</w:t>
      </w:r>
      <w:r/>
    </w:p>
    <w:p>
      <w:pPr>
        <w:jc w:val="center"/>
        <w:rPr>
          <w:b/>
          <w:bCs/>
          <w:color w:val="auto"/>
          <w:sz w:val="60"/>
          <w:szCs w:val="60"/>
          <w:highlight w:val="none"/>
        </w:rPr>
        <w:outlineLvl w:val="9"/>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outlineLvl w:val="9"/>
      </w:pPr>
      <w:r>
        <w:rPr>
          <w:rFonts w:ascii="宋体" w:hAnsi="宋体"/>
          <w:b/>
          <w:bCs/>
          <w:color w:val="auto"/>
          <w:sz w:val="60"/>
          <w:szCs w:val="60"/>
          <w:highlight w:val="none"/>
        </w:rPr>
      </w:r>
      <w:r/>
    </w:p>
    <w:p>
      <w:pPr>
        <w:jc w:val="center"/>
        <w:spacing w:line="360" w:lineRule="auto"/>
        <w:rPr>
          <w:rFonts w:ascii="宋体" w:hAnsi="宋体"/>
          <w:b/>
          <w:bCs/>
          <w:color w:val="auto"/>
          <w:sz w:val="60"/>
          <w:szCs w:val="60"/>
          <w:highlight w:val="none"/>
        </w:rPr>
        <w:outlineLvl w:val="9"/>
      </w:pPr>
      <w:r>
        <w:rPr>
          <w:rFonts w:ascii="宋体" w:hAnsi="宋体"/>
          <w:b/>
          <w:bCs/>
          <w:color w:val="auto"/>
          <w:sz w:val="60"/>
          <w:szCs w:val="60"/>
          <w:highlight w:val="none"/>
        </w:rPr>
      </w:r>
      <w:r/>
    </w:p>
    <w:p>
      <w:pPr>
        <w:ind w:left="2832" w:hanging="1900"/>
        <w:jc w:val="left"/>
        <w:spacing w:line="360" w:lineRule="auto"/>
        <w:tabs>
          <w:tab w:val="left" w:pos="5609" w:leader="none"/>
        </w:tabs>
        <w:rPr>
          <w:rFonts w:hint="eastAsia" w:eastAsia="宋体"/>
          <w:bCs/>
          <w:color w:val="auto"/>
          <w:sz w:val="36"/>
          <w:szCs w:val="36"/>
          <w:highlight w:val="none"/>
          <w:lang w:eastAsia="zh-CN"/>
        </w:rPr>
        <w:outlineLvl w:val="9"/>
      </w:pPr>
      <w:r>
        <w:rPr>
          <w:bCs/>
          <w:color w:val="auto"/>
          <w:sz w:val="36"/>
          <w:szCs w:val="36"/>
          <w:highlight w:val="none"/>
        </w:rPr>
        <w:t xml:space="preserve">项目名称：</w:t>
      </w:r>
      <w:r>
        <w:rPr>
          <w:rFonts w:hint="eastAsia"/>
          <w:bCs/>
          <w:color w:val="auto"/>
          <w:sz w:val="36"/>
          <w:szCs w:val="36"/>
          <w:highlight w:val="none"/>
          <w:lang w:eastAsia="zh-CN"/>
        </w:rPr>
        <w:t xml:space="preserve">新北区联防联控指挥部保障项目</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outlineLvl w:val="9"/>
      </w:pPr>
      <w:r>
        <w:rPr>
          <w:bCs/>
          <w:color w:val="auto"/>
          <w:sz w:val="36"/>
          <w:szCs w:val="36"/>
          <w:highlight w:val="none"/>
        </w:rPr>
        <w:t xml:space="preserve">项目编号：</w:t>
      </w:r>
      <w:r>
        <w:rPr>
          <w:rFonts w:hint="eastAsia"/>
          <w:bCs/>
          <w:color w:val="auto"/>
          <w:sz w:val="36"/>
          <w:szCs w:val="36"/>
          <w:highlight w:val="none"/>
          <w:lang w:eastAsia="zh-CN"/>
        </w:rPr>
        <w:t xml:space="preserve">JSZC-320411-SYZB-C2026-0011</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val="en-US" w:eastAsia="zh-CN"/>
        </w:rPr>
        <w:outlineLvl w:val="9"/>
      </w:pPr>
      <w:r>
        <w:rPr>
          <w:bCs/>
          <w:color w:val="auto"/>
          <w:sz w:val="36"/>
          <w:szCs w:val="36"/>
          <w:highlight w:val="none"/>
        </w:rPr>
        <w:t xml:space="preserve">采 购 人：</w:t>
      </w:r>
      <w:r>
        <w:rPr>
          <w:rFonts w:hint="eastAsia"/>
          <w:bCs/>
          <w:color w:val="auto"/>
          <w:sz w:val="36"/>
          <w:szCs w:val="36"/>
          <w:highlight w:val="none"/>
          <w:lang w:val="en-US" w:eastAsia="zh-CN"/>
        </w:rPr>
        <w:t xml:space="preserve">常州高新技术产业开发区（新北）生态环境局</w:t>
      </w:r>
      <w:r/>
    </w:p>
    <w:p>
      <w:pPr>
        <w:ind w:left="2832" w:hanging="1900"/>
        <w:jc w:val="left"/>
        <w:spacing w:line="360" w:lineRule="auto"/>
        <w:tabs>
          <w:tab w:val="left" w:pos="3240" w:leader="none"/>
          <w:tab w:val="left" w:pos="3420" w:leader="none"/>
        </w:tabs>
        <w:rPr>
          <w:bCs/>
          <w:color w:val="auto"/>
          <w:sz w:val="36"/>
          <w:szCs w:val="36"/>
          <w:highlight w:val="none"/>
        </w:rPr>
        <w:outlineLvl w:val="9"/>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before="100" w:after="240" w:line="500" w:lineRule="exact"/>
        <w:rPr>
          <w:b/>
          <w:bCs/>
          <w:color w:val="auto"/>
          <w:sz w:val="44"/>
          <w:highlight w:val="none"/>
        </w:rPr>
        <w:outlineLvl w:val="9"/>
      </w:pPr>
      <w:r>
        <w:rPr>
          <w:b/>
          <w:bCs/>
          <w:color w:val="auto"/>
          <w:sz w:val="44"/>
          <w:highlight w:val="none"/>
        </w:rPr>
        <w:br w:type="page" w:clear="all"/>
      </w:r>
      <w:bookmarkStart w:id="0" w:name="_Toc104818924"/>
      <w:r/>
      <w:r/>
    </w:p>
    <w:p>
      <w:pPr>
        <w:jc w:val="center"/>
        <w:spacing w:before="100" w:after="240" w:line="500" w:lineRule="exact"/>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t xml:space="preserve">目      录</w:t>
      </w:r>
      <w:bookmarkEnd w:id="0"/>
      <w:r/>
      <w:r/>
    </w:p>
    <w:p>
      <w:pPr>
        <w:keepLines w:val="0"/>
        <w:keepNext w:val="0"/>
        <w:pageBreakBefore w:val="0"/>
        <w:spacing w:line="360" w:lineRule="auto"/>
        <w:widowControl w:val="off"/>
        <w:rPr>
          <w:rStyle w:val="1076"/>
          <w:rFonts w:hint="eastAsia" w:ascii="宋体" w:hAnsi="宋体" w:eastAsia="宋体" w:cs="宋体"/>
          <w:b/>
          <w:color w:val="auto"/>
          <w:sz w:val="32"/>
          <w:szCs w:val="32"/>
          <w:highlight w:val="none"/>
          <w:u w:val="none"/>
          <w:lang w:val="en-US" w:eastAsia="zh-CN" w:bidi="ar-SA"/>
        </w:rPr>
        <w:outlineLvl w:val="9"/>
      </w:pPr>
      <w:r>
        <w:rPr>
          <w:rFonts w:hint="eastAsia" w:ascii="宋体" w:hAnsi="宋体" w:eastAsia="宋体" w:cs="宋体"/>
          <w:b/>
          <w:color w:val="auto"/>
          <w:sz w:val="32"/>
          <w:szCs w:val="32"/>
          <w:highlight w:val="none"/>
          <w:u w:val="none"/>
          <w:lang w:val="en-US" w:eastAsia="zh-CN" w:bidi="ar-SA"/>
        </w:rPr>
      </w:r>
      <w:r/>
    </w:p>
    <w:p>
      <w:pPr>
        <w:pStyle w:val="835"/>
        <w:tabs>
          <w:tab w:val="right" w:pos="9072" w:leader="dot"/>
        </w:tabs>
        <w:rPr>
          <w:rStyle w:val="1076"/>
          <w:rFonts w:hint="eastAsia"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TOC \o "1-1" \h \u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_Toc13300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第一章   采购邀请</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PAGEREF _Toc13300 \h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1</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eastAsia="宋体" w:cs="宋体"/>
          <w:b/>
          <w:color w:val="auto"/>
          <w:sz w:val="32"/>
          <w:szCs w:val="32"/>
          <w:highlight w:val="none"/>
          <w:u w:val="none"/>
          <w:lang w:val="en-US" w:eastAsia="zh-CN" w:bidi="ar-SA"/>
        </w:rPr>
        <w:fldChar w:fldCharType="end"/>
      </w:r>
      <w:r/>
    </w:p>
    <w:p>
      <w:pPr>
        <w:pStyle w:val="835"/>
        <w:tabs>
          <w:tab w:val="right" w:pos="9072" w:leader="dot"/>
        </w:tabs>
        <w:rPr>
          <w:rStyle w:val="1076"/>
          <w:rFonts w:hint="eastAsia"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_Toc2237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第二章   供应商须知</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PAGEREF _Toc2237 \h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5</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eastAsia="宋体" w:cs="宋体"/>
          <w:b/>
          <w:color w:val="auto"/>
          <w:sz w:val="32"/>
          <w:szCs w:val="32"/>
          <w:highlight w:val="none"/>
          <w:u w:val="none"/>
          <w:lang w:val="en-US" w:eastAsia="zh-CN" w:bidi="ar-SA"/>
        </w:rPr>
        <w:fldChar w:fldCharType="end"/>
      </w:r>
      <w:r/>
    </w:p>
    <w:p>
      <w:pPr>
        <w:pStyle w:val="835"/>
        <w:tabs>
          <w:tab w:val="right" w:pos="9072" w:leader="dot"/>
        </w:tabs>
        <w:rPr>
          <w:rStyle w:val="1076"/>
          <w:rFonts w:hint="default"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_Toc17685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第三章   评审程序、评审方法和评审标准</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cs="宋体"/>
          <w:b/>
          <w:color w:val="auto"/>
          <w:sz w:val="32"/>
          <w:szCs w:val="32"/>
          <w:highlight w:val="none"/>
          <w:u w:val="none"/>
          <w:lang w:val="en-US" w:eastAsia="zh-CN" w:bidi="ar-SA"/>
        </w:rPr>
        <w:t xml:space="preserve">2</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cs="宋体"/>
          <w:b/>
          <w:color w:val="auto"/>
          <w:sz w:val="32"/>
          <w:szCs w:val="32"/>
          <w:highlight w:val="none"/>
          <w:u w:val="none"/>
          <w:lang w:val="en-US" w:eastAsia="zh-CN" w:bidi="ar-SA"/>
        </w:rPr>
        <w:t xml:space="preserve">2</w:t>
      </w:r>
      <w:r/>
    </w:p>
    <w:p>
      <w:pPr>
        <w:pStyle w:val="835"/>
        <w:tabs>
          <w:tab w:val="right" w:pos="9072" w:leader="dot"/>
        </w:tabs>
        <w:rPr>
          <w:rStyle w:val="1076"/>
          <w:rFonts w:hint="default"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_Toc20962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第四章   采购需求</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cs="宋体"/>
          <w:b/>
          <w:color w:val="auto"/>
          <w:sz w:val="32"/>
          <w:szCs w:val="32"/>
          <w:highlight w:val="none"/>
          <w:u w:val="none"/>
          <w:lang w:val="en-US" w:eastAsia="zh-CN" w:bidi="ar-SA"/>
        </w:rPr>
        <w:t xml:space="preserve">3</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cs="宋体"/>
          <w:b/>
          <w:color w:val="auto"/>
          <w:sz w:val="32"/>
          <w:szCs w:val="32"/>
          <w:highlight w:val="none"/>
          <w:u w:val="none"/>
          <w:lang w:val="en-US" w:eastAsia="zh-CN" w:bidi="ar-SA"/>
        </w:rPr>
        <w:t xml:space="preserve">5</w:t>
      </w:r>
      <w:r/>
    </w:p>
    <w:p>
      <w:pPr>
        <w:pStyle w:val="835"/>
        <w:tabs>
          <w:tab w:val="right" w:pos="9072" w:leader="dot"/>
        </w:tabs>
        <w:rPr>
          <w:rStyle w:val="1076"/>
          <w:rFonts w:hint="default"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_Toc20525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第五章   合同草案条款</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cs="宋体"/>
          <w:b/>
          <w:color w:val="auto"/>
          <w:sz w:val="32"/>
          <w:szCs w:val="32"/>
          <w:highlight w:val="none"/>
          <w:u w:val="none"/>
          <w:lang w:val="en-US" w:eastAsia="zh-CN" w:bidi="ar-SA"/>
        </w:rPr>
        <w:t xml:space="preserve">3</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cs="宋体"/>
          <w:b/>
          <w:color w:val="auto"/>
          <w:sz w:val="32"/>
          <w:szCs w:val="32"/>
          <w:highlight w:val="none"/>
          <w:u w:val="none"/>
          <w:lang w:val="en-US" w:eastAsia="zh-CN" w:bidi="ar-SA"/>
        </w:rPr>
        <w:t xml:space="preserve">8</w:t>
      </w:r>
      <w:r/>
    </w:p>
    <w:p>
      <w:pPr>
        <w:pStyle w:val="835"/>
        <w:tabs>
          <w:tab w:val="right" w:pos="9072" w:leader="dot"/>
        </w:tabs>
        <w:rPr>
          <w:rStyle w:val="1076"/>
          <w:rFonts w:hint="default" w:ascii="宋体" w:hAnsi="宋体" w:eastAsia="宋体" w:cs="宋体"/>
          <w:b/>
          <w:color w:val="auto"/>
          <w:sz w:val="32"/>
          <w:szCs w:val="32"/>
          <w:highlight w:val="none"/>
          <w:u w:val="none"/>
          <w:lang w:val="en-US" w:eastAsia="zh-CN" w:bidi="ar-SA"/>
        </w:rPr>
      </w:pPr>
      <w:r>
        <w:rPr>
          <w:rStyle w:val="1076"/>
          <w:rFonts w:hint="eastAsia" w:ascii="宋体" w:hAnsi="宋体" w:eastAsia="宋体" w:cs="宋体"/>
          <w:b/>
          <w:color w:val="auto"/>
          <w:sz w:val="32"/>
          <w:szCs w:val="32"/>
          <w:highlight w:val="none"/>
          <w:u w:val="none"/>
          <w:lang w:val="en-US" w:eastAsia="zh-CN" w:bidi="ar-SA"/>
        </w:rPr>
        <w:fldChar w:fldCharType="begin"/>
      </w:r>
      <w:r>
        <w:rPr>
          <w:rStyle w:val="1076"/>
          <w:rFonts w:hint="eastAsia" w:ascii="宋体" w:hAnsi="宋体" w:eastAsia="宋体" w:cs="宋体"/>
          <w:b/>
          <w:color w:val="auto"/>
          <w:sz w:val="32"/>
          <w:szCs w:val="32"/>
          <w:highlight w:val="none"/>
          <w:u w:val="none"/>
          <w:lang w:val="en-US" w:eastAsia="zh-CN" w:bidi="ar-SA"/>
        </w:rPr>
        <w:instrText xml:space="preserve"> HYPERLINK \l _Toc26791 </w:instrText>
      </w:r>
      <w:r>
        <w:rPr>
          <w:rStyle w:val="1076"/>
          <w:rFonts w:hint="eastAsia" w:ascii="宋体" w:hAnsi="宋体" w:eastAsia="宋体" w:cs="宋体"/>
          <w:b/>
          <w:color w:val="auto"/>
          <w:sz w:val="32"/>
          <w:szCs w:val="32"/>
          <w:highlight w:val="none"/>
          <w:u w:val="none"/>
          <w:lang w:val="en-US" w:eastAsia="zh-CN" w:bidi="ar-SA"/>
        </w:rPr>
        <w:fldChar w:fldCharType="separate"/>
      </w:r>
      <w:r>
        <w:rPr>
          <w:rStyle w:val="1076"/>
          <w:rFonts w:hint="eastAsia" w:ascii="宋体" w:hAnsi="宋体" w:eastAsia="宋体" w:cs="宋体"/>
          <w:b/>
          <w:color w:val="auto"/>
          <w:sz w:val="32"/>
          <w:szCs w:val="32"/>
          <w:highlight w:val="none"/>
          <w:u w:val="none"/>
          <w:lang w:val="en-US" w:eastAsia="zh-CN" w:bidi="ar-SA"/>
        </w:rPr>
        <w:t xml:space="preserve">第六章   响应文件格式</w:t>
      </w:r>
      <w:r>
        <w:rPr>
          <w:rStyle w:val="1076"/>
          <w:rFonts w:hint="eastAsia" w:ascii="宋体" w:hAnsi="宋体" w:eastAsia="宋体" w:cs="宋体"/>
          <w:b/>
          <w:color w:val="auto"/>
          <w:sz w:val="32"/>
          <w:szCs w:val="32"/>
          <w:highlight w:val="none"/>
          <w:u w:val="none"/>
          <w:lang w:val="en-US" w:eastAsia="zh-CN" w:bidi="ar-SA"/>
        </w:rPr>
        <w:tab/>
      </w:r>
      <w:r>
        <w:rPr>
          <w:rStyle w:val="1076"/>
          <w:rFonts w:hint="eastAsia" w:ascii="宋体" w:hAnsi="宋体" w:cs="宋体"/>
          <w:b/>
          <w:color w:val="auto"/>
          <w:sz w:val="32"/>
          <w:szCs w:val="32"/>
          <w:highlight w:val="none"/>
          <w:u w:val="none"/>
          <w:lang w:val="en-US" w:eastAsia="zh-CN" w:bidi="ar-SA"/>
        </w:rPr>
        <w:t xml:space="preserve">4</w:t>
      </w:r>
      <w:r>
        <w:rPr>
          <w:rStyle w:val="1076"/>
          <w:rFonts w:hint="eastAsia" w:ascii="宋体" w:hAnsi="宋体" w:eastAsia="宋体" w:cs="宋体"/>
          <w:b/>
          <w:color w:val="auto"/>
          <w:sz w:val="32"/>
          <w:szCs w:val="32"/>
          <w:highlight w:val="none"/>
          <w:u w:val="none"/>
          <w:lang w:val="en-US" w:eastAsia="zh-CN" w:bidi="ar-SA"/>
        </w:rPr>
        <w:fldChar w:fldCharType="end"/>
      </w:r>
      <w:r>
        <w:rPr>
          <w:rStyle w:val="1076"/>
          <w:rFonts w:hint="eastAsia" w:ascii="宋体" w:hAnsi="宋体" w:cs="宋体"/>
          <w:b/>
          <w:color w:val="auto"/>
          <w:sz w:val="32"/>
          <w:szCs w:val="32"/>
          <w:highlight w:val="none"/>
          <w:u w:val="none"/>
          <w:lang w:val="en-US" w:eastAsia="zh-CN" w:bidi="ar-SA"/>
        </w:rPr>
        <w:t xml:space="preserve">2</w:t>
      </w:r>
      <w:r/>
    </w:p>
    <w:p>
      <w:pPr>
        <w:pStyle w:val="1051"/>
        <w:keepLines w:val="0"/>
        <w:keepNext w:val="0"/>
        <w:pageBreakBefore w:val="0"/>
        <w:spacing w:line="360" w:lineRule="auto"/>
        <w:widowControl w:val="off"/>
        <w:rPr>
          <w:rFonts w:hint="eastAsia" w:ascii="宋体" w:hAnsi="宋体" w:eastAsia="宋体" w:cs="宋体"/>
          <w:b w:val="0"/>
          <w:color w:val="auto"/>
          <w:sz w:val="32"/>
          <w:szCs w:val="32"/>
          <w:highlight w:val="none"/>
        </w:rPr>
        <w:outlineLvl w:val="9"/>
      </w:pPr>
      <w:r>
        <w:rPr>
          <w:rStyle w:val="1076"/>
          <w:rFonts w:hint="eastAsia" w:ascii="宋体" w:hAnsi="宋体" w:eastAsia="宋体" w:cs="宋体"/>
          <w:b/>
          <w:color w:val="auto"/>
          <w:sz w:val="32"/>
          <w:szCs w:val="32"/>
          <w:highlight w:val="none"/>
          <w:u w:val="none"/>
          <w:lang w:val="en-US" w:eastAsia="zh-CN" w:bidi="ar-SA"/>
        </w:rPr>
        <w:fldChar w:fldCharType="end"/>
      </w:r>
      <w:r/>
    </w:p>
    <w:p>
      <w:pPr>
        <w:pStyle w:val="1051"/>
        <w:keepLines w:val="0"/>
        <w:keepNext w:val="0"/>
        <w:pageBreakBefore w:val="0"/>
        <w:spacing w:line="360" w:lineRule="auto"/>
        <w:widowControl w:val="off"/>
        <w:rPr>
          <w:rFonts w:hint="eastAsia" w:ascii="宋体" w:hAnsi="宋体" w:eastAsia="宋体" w:cs="宋体"/>
          <w:b w:val="0"/>
          <w:color w:val="auto"/>
          <w:sz w:val="32"/>
          <w:szCs w:val="32"/>
          <w:highlight w:val="none"/>
        </w:rPr>
        <w:outlineLvl w:val="9"/>
      </w:pPr>
      <w:r>
        <w:rPr>
          <w:rFonts w:hint="eastAsia" w:ascii="宋体" w:hAnsi="宋体" w:eastAsia="宋体" w:cs="宋体"/>
          <w:b w:val="0"/>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9"/>
      </w:pPr>
      <w:r>
        <w:rPr>
          <w:rFonts w:hint="eastAsia" w:ascii="宋体" w:hAnsi="宋体" w:eastAsia="宋体" w:cs="宋体"/>
          <w:b/>
          <w:color w:val="auto"/>
          <w:sz w:val="32"/>
          <w:szCs w:val="32"/>
          <w:highlight w:val="none"/>
        </w:rPr>
        <w:br w:type="page" w:clear="all"/>
      </w:r>
      <w:r/>
    </w:p>
    <w:p>
      <w:pPr>
        <w:jc w:val="center"/>
        <w:spacing w:line="360" w:lineRule="auto"/>
        <w:rPr>
          <w:b/>
          <w:color w:val="auto"/>
          <w:sz w:val="36"/>
          <w:szCs w:val="36"/>
          <w:highlight w:val="none"/>
        </w:rPr>
        <w:outlineLvl w:val="0"/>
      </w:pPr>
      <w:r/>
      <w:bookmarkStart w:id="1" w:name="_Toc13300"/>
      <w:r/>
      <w:bookmarkStart w:id="2" w:name="_Toc104818925"/>
      <w:r>
        <w:rPr>
          <w:b/>
          <w:color w:val="auto"/>
          <w:sz w:val="36"/>
          <w:szCs w:val="36"/>
          <w:highlight w:val="none"/>
        </w:rPr>
        <w:t xml:space="preserve">第一章   采购邀请</w:t>
      </w:r>
      <w:bookmarkEnd w:id="1"/>
      <w:r/>
      <w:bookmarkEnd w:id="2"/>
      <w:r/>
      <w:bookmarkStart w:id="3" w:name="_Toc28359002"/>
      <w:r/>
      <w:bookmarkStart w:id="4" w:name="_Toc35393621"/>
      <w:r/>
      <w:bookmarkStart w:id="5" w:name="_Toc35393790"/>
      <w:r/>
      <w:bookmarkStart w:id="6" w:name="_Toc28359079"/>
      <w:r/>
      <w:bookmarkStart w:id="7" w:name="_Hlk24379207"/>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一、项目基本情况</w:t>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JSZC-320411-SYZB-C2026-0011</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新北区联防联控指挥部保障项目</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3.采购方式：竞争性磋商</w:t>
      </w:r>
      <w:bookmarkEnd w:id="7"/>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120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120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5.采购需求：</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1"/>
        <w:gridCol w:w="1860"/>
        <w:gridCol w:w="1275"/>
        <w:gridCol w:w="3742"/>
      </w:tblGrid>
      <w:tr>
        <w:trPr>
          <w:trHeight w:val="454"/>
        </w:trPr>
        <w:tc>
          <w:tcPr>
            <w:tcW w:w="2411"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标的名称</w:t>
            </w:r>
            <w:r/>
          </w:p>
        </w:tc>
        <w:tc>
          <w:tcPr>
            <w:tcW w:w="1860"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采购预算金额</w:t>
            </w:r>
            <w:r/>
          </w:p>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（万元）</w:t>
            </w:r>
            <w:r/>
          </w:p>
        </w:tc>
        <w:tc>
          <w:tcPr>
            <w:tcW w:w="1275"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数量</w:t>
            </w:r>
            <w:r/>
          </w:p>
        </w:tc>
        <w:tc>
          <w:tcPr>
            <w:tcW w:w="3742"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简要技术需求或服务要求</w:t>
            </w:r>
            <w:r/>
          </w:p>
        </w:tc>
      </w:tr>
      <w:tr>
        <w:trPr>
          <w:trHeight w:val="454"/>
        </w:trPr>
        <w:tc>
          <w:tcPr>
            <w:tcW w:w="2411"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eastAsia="zh-CN"/>
              </w:rPr>
              <w:outlineLvl w:val="9"/>
            </w:pPr>
            <w:r>
              <w:rPr>
                <w:rFonts w:hint="eastAsia" w:ascii="宋体" w:hAnsi="宋体" w:cs="宋体"/>
                <w:bCs/>
                <w:color w:val="auto"/>
                <w:sz w:val="24"/>
                <w:szCs w:val="24"/>
                <w:highlight w:val="none"/>
                <w:lang w:val="en-US" w:eastAsia="zh-CN"/>
              </w:rPr>
              <w:t xml:space="preserve">新北区联防联控指挥部保障</w:t>
            </w:r>
            <w:r/>
          </w:p>
        </w:tc>
        <w:tc>
          <w:tcPr>
            <w:tcW w:w="1860" w:type="dxa"/>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120</w:t>
            </w:r>
            <w:r/>
          </w:p>
        </w:tc>
        <w:tc>
          <w:tcPr>
            <w:tcW w:w="1275"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1</w:t>
            </w:r>
            <w:r/>
          </w:p>
        </w:tc>
        <w:tc>
          <w:tcPr>
            <w:tcW w:w="3742" w:type="dxa"/>
            <w:vAlign w:val="center"/>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服务内容包括为保障新北区大气环境质量考核任务完成，构建“精准监测、智能预警、高效处置、系统治理”的闭环保障体系，通过常态化专班值守、多维度数据分析及全流程后勤保障，全面提升新北区大气污染防控的精细化、科学化水平，确保PM2.5浓度、O3超标天数等核心指标达到考核要求。</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自合同签订之日起1年。</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7.本项目是否接受联合体：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bookmarkStart w:id="8" w:name="_Toc28359080"/>
      <w:r/>
      <w:bookmarkStart w:id="9" w:name="_Toc35393622"/>
      <w:r/>
      <w:bookmarkStart w:id="10" w:name="_Toc35393791"/>
      <w:r/>
      <w:bookmarkStart w:id="11" w:name="_Toc28359003"/>
      <w:r>
        <w:rPr>
          <w:rFonts w:hint="eastAsia" w:ascii="宋体" w:hAnsi="宋体" w:eastAsia="宋体" w:cs="Times New Roman"/>
          <w:b/>
          <w:bCs/>
          <w:color w:val="auto"/>
          <w:sz w:val="24"/>
          <w:szCs w:val="24"/>
          <w:highlight w:val="none"/>
        </w:rPr>
        <w:t xml:space="preserve">二、申请人的资格要求（须同时满足）</w:t>
      </w:r>
      <w:bookmarkEnd w:id="8"/>
      <w:r/>
      <w:bookmarkEnd w:id="9"/>
      <w:r/>
      <w:bookmarkEnd w:id="10"/>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2" w:name="_Toc28359081"/>
      <w:r/>
      <w:bookmarkStart w:id="13" w:name="_Toc28359004"/>
      <w:r>
        <w:rPr>
          <w:rFonts w:hint="eastAsia" w:ascii="宋体" w:hAnsi="宋体" w:eastAsia="宋体" w:cs="宋体"/>
          <w:color w:val="auto"/>
          <w:sz w:val="24"/>
          <w:szCs w:val="24"/>
          <w:highlight w:val="none"/>
        </w:rPr>
        <w:t xml:space="preserve">1.满足《中华人民共和国政府采购法》第二十二条规定以及下列情形：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中小企业政策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□本项目不专门面向中小企业预留采购份额。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■本项目专门面向  ■中小 □小微企业  采购。即：提供的服务全部由符合政策要求的中小企业承接。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□本项目预留部分采购项目预算专门面向中小企业采购。对于预留份额，服务由符合政策要求的中小企业承接。预留份额通过以下措施进行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其它落实政府采购政策的资格要求：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outlineLvl w:val="9"/>
      </w:pPr>
      <w:r>
        <w:rPr>
          <w:rFonts w:hint="eastAsia" w:ascii="宋体" w:hAnsi="宋体" w:eastAsia="宋体" w:cs="宋体"/>
          <w:color w:val="auto"/>
          <w:sz w:val="24"/>
          <w:szCs w:val="24"/>
          <w:highlight w:val="none"/>
        </w:rPr>
        <w:t xml:space="preserve">3.本项目的特定资格要求：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3.1本项目是否接受分支机构参与响应：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本项目是否属于政府购买服务：</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□否</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■是，公益一类事业单位、使用事业编制且由财政拨款保障的群团组织，不得作为承接主体；</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3.3其他特定资格要求：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bookmarkEnd w:id="12"/>
      <w:bookmarkEnd w:id="13"/>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bookmarkStart w:id="14" w:name="_Toc35393623"/>
      <w:r/>
      <w:bookmarkStart w:id="15" w:name="_Toc35393792"/>
      <w:r>
        <w:rPr>
          <w:rFonts w:hint="eastAsia" w:ascii="宋体" w:hAnsi="宋体" w:eastAsia="宋体" w:cs="Times New Roman"/>
          <w:b/>
          <w:bCs/>
          <w:color w:val="auto"/>
          <w:sz w:val="24"/>
          <w:szCs w:val="24"/>
          <w:highlight w:val="none"/>
        </w:rPr>
        <w:t xml:space="preserve">三、获取采购文件</w:t>
      </w:r>
      <w:bookmarkEnd w:id="14"/>
      <w:r/>
      <w:bookmarkEnd w:id="15"/>
      <w:r/>
      <w:r/>
    </w:p>
    <w:p>
      <w:pPr>
        <w:ind w:firstLine="480"/>
        <w:keepLines w:val="0"/>
        <w:keepNext w:val="0"/>
        <w:pageBreakBefore w:val="0"/>
        <w:spacing w:line="360" w:lineRule="auto"/>
        <w:rPr>
          <w:rFonts w:hint="eastAsia" w:ascii="宋体" w:hAnsi="宋体" w:eastAsia="宋体" w:cs="宋体"/>
          <w:color w:val="auto"/>
          <w:sz w:val="24"/>
          <w:highlight w:val="none"/>
          <w:u w:val="none"/>
          <w:lang w:bidi="ar"/>
        </w:rPr>
        <w:outlineLvl w:val="9"/>
      </w:pPr>
      <w:r/>
      <w:bookmarkStart w:id="16" w:name="_Toc28359082"/>
      <w:r/>
      <w:bookmarkStart w:id="17" w:name="_Toc28359005"/>
      <w:r/>
      <w:bookmarkStart w:id="18" w:name="_Toc35393624"/>
      <w:r/>
      <w:bookmarkStart w:id="19" w:name="_Toc35393793"/>
      <w:r>
        <w:rPr>
          <w:rFonts w:hint="eastAsia" w:ascii="宋体" w:hAnsi="宋体" w:eastAsia="宋体" w:cs="宋体"/>
          <w:color w:val="auto"/>
          <w:sz w:val="24"/>
          <w:highlight w:val="none"/>
          <w:u w:val="none"/>
          <w:lang w:bidi="ar"/>
        </w:rPr>
        <w:t xml:space="preserve">1.时间：</w:t>
      </w:r>
      <w:r>
        <w:rPr>
          <w:rFonts w:hint="eastAsia" w:ascii="宋体" w:hAnsi="宋体" w:eastAsia="宋体" w:cs="宋体"/>
          <w:color w:val="auto"/>
          <w:sz w:val="24"/>
          <w:highlight w:val="none"/>
          <w:u w:val="none"/>
        </w:rPr>
        <w:t xml:space="preserve">自磋商公告发布之日起5个工作日</w:t>
      </w:r>
      <w:r>
        <w:rPr>
          <w:rFonts w:hint="eastAsia" w:ascii="宋体" w:hAnsi="宋体" w:eastAsia="宋体" w:cs="宋体"/>
          <w:color w:val="auto"/>
          <w:sz w:val="24"/>
          <w:highlight w:val="none"/>
          <w:u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outlineLvl w:val="9"/>
      </w:pPr>
      <w:r>
        <w:rPr>
          <w:rFonts w:hint="eastAsia" w:ascii="宋体" w:hAnsi="宋体" w:eastAsia="宋体" w:cs="宋体"/>
          <w:color w:val="auto"/>
          <w:sz w:val="24"/>
          <w:highlight w:val="none"/>
          <w:lang w:bidi="ar"/>
        </w:rPr>
        <w:t xml:space="preserve">2.地点：</w:t>
      </w:r>
      <w:r>
        <w:rPr>
          <w:rFonts w:hint="eastAsia" w:ascii="宋体" w:hAnsi="宋体" w:eastAsia="宋体" w:cs="宋体"/>
          <w:color w:val="auto"/>
          <w:sz w:val="24"/>
          <w:szCs w:val="24"/>
          <w:highlight w:val="none"/>
        </w:rPr>
        <w:t xml:space="preserve">“苏采云”政府采购一体化平台。</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3.方式：</w:t>
      </w:r>
      <w:r>
        <w:rPr>
          <w:rFonts w:hint="eastAsia" w:ascii="宋体" w:hAnsi="宋体" w:eastAsia="宋体" w:cs="宋体"/>
          <w:color w:val="auto"/>
          <w:sz w:val="24"/>
          <w:szCs w:val="24"/>
          <w:highlight w:val="none"/>
          <w:lang w:val="en-US" w:eastAsia="zh-CN"/>
        </w:rPr>
        <w:t xml:space="preserve">供应商登</w:t>
      </w:r>
      <w:r>
        <w:rPr>
          <w:rFonts w:hint="eastAsia" w:ascii="宋体" w:hAnsi="宋体" w:cs="宋体"/>
          <w:color w:val="auto"/>
          <w:sz w:val="24"/>
          <w:szCs w:val="24"/>
          <w:highlight w:val="none"/>
          <w:lang w:val="en-US" w:eastAsia="zh-CN"/>
        </w:rPr>
        <w:t xml:space="preserve">录</w:t>
      </w:r>
      <w:r>
        <w:rPr>
          <w:rFonts w:hint="eastAsia" w:ascii="宋体" w:hAnsi="宋体" w:eastAsia="宋体" w:cs="宋体"/>
          <w:color w:val="auto"/>
          <w:sz w:val="24"/>
          <w:szCs w:val="24"/>
          <w:highlight w:val="none"/>
          <w:lang w:val="en-US" w:eastAsia="zh-CN"/>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 xml:space="preserve">元。</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四、</w:t>
      </w:r>
      <w:bookmarkEnd w:id="16"/>
      <w:r/>
      <w:bookmarkEnd w:id="17"/>
      <w:r/>
      <w:bookmarkEnd w:id="18"/>
      <w:r/>
      <w:bookmarkEnd w:id="19"/>
      <w:r>
        <w:rPr>
          <w:rFonts w:hint="eastAsia" w:ascii="宋体" w:hAnsi="宋体" w:eastAsia="宋体" w:cs="Times New Roman"/>
          <w:b/>
          <w:bCs/>
          <w:color w:val="auto"/>
          <w:sz w:val="24"/>
          <w:szCs w:val="24"/>
          <w:highlight w:val="none"/>
        </w:rPr>
        <w:t xml:space="preserve">响应文件提交</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17</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本项目采用远程“不见面”交易方式，无需到现场提交，请供应商在</w:t>
      </w:r>
      <w:r>
        <w:rPr>
          <w:rFonts w:hint="eastAsia" w:ascii="宋体" w:hAnsi="宋体"/>
          <w:color w:val="auto"/>
          <w:sz w:val="24"/>
          <w:highlight w:val="none"/>
          <w:u w:val="single"/>
          <w:lang w:val="en-US" w:eastAsia="zh-CN"/>
        </w:rPr>
        <w:t xml:space="preserve">提交</w:t>
      </w:r>
      <w:r>
        <w:rPr>
          <w:rFonts w:hint="eastAsia" w:ascii="宋体" w:hAnsi="宋体"/>
          <w:color w:val="auto"/>
          <w:sz w:val="24"/>
          <w:highlight w:val="none"/>
          <w:u w:val="single"/>
          <w:lang w:eastAsia="zh-CN"/>
        </w:rPr>
        <w:t xml:space="preserve">时间截止前提前登入“苏采云”，通过系统在线提交电子磋商响应文件</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17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14</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0</w:t>
      </w:r>
      <w:r>
        <w:rPr>
          <w:rFonts w:hint="eastAsia" w:ascii="宋体" w:hAnsi="宋体" w:eastAsia="宋体" w:cs="宋体"/>
          <w:color w:val="auto"/>
          <w:sz w:val="24"/>
          <w:highlight w:val="none"/>
          <w:u w:val="single"/>
          <w:lang w:val="en-US" w:eastAsia="zh-CN"/>
        </w:rPr>
        <w:t xml:space="preserve">0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bookmarkStart w:id="20" w:name="_Toc35393625"/>
      <w:r/>
      <w:bookmarkStart w:id="21" w:name="_Toc28359084"/>
      <w:r/>
      <w:bookmarkStart w:id="22" w:name="_Toc35393794"/>
      <w:r/>
      <w:bookmarkStart w:id="23" w:name="_Toc28359007"/>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“苏采云”政府采购交易系统网上开标大厅</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六、公告期限</w:t>
      </w:r>
      <w:bookmarkEnd w:id="20"/>
      <w:r/>
      <w:bookmarkEnd w:id="21"/>
      <w:r/>
      <w:bookmarkEnd w:id="22"/>
      <w:r/>
      <w:bookmarkEnd w:id="23"/>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自本公告发布之日起3个工作日。</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bookmarkStart w:id="24" w:name="_Toc35393626"/>
      <w:r/>
      <w:bookmarkStart w:id="25" w:name="_Toc35393795"/>
      <w:r>
        <w:rPr>
          <w:rFonts w:hint="eastAsia" w:ascii="宋体" w:hAnsi="宋体" w:eastAsia="宋体" w:cs="Times New Roman"/>
          <w:b/>
          <w:bCs/>
          <w:color w:val="auto"/>
          <w:sz w:val="24"/>
          <w:szCs w:val="24"/>
          <w:highlight w:val="none"/>
        </w:rPr>
        <w:t xml:space="preserve">七、其他补充事宜</w:t>
      </w:r>
      <w:bookmarkEnd w:id="24"/>
      <w:r/>
      <w:bookmarkEnd w:id="25"/>
      <w:r/>
      <w:r/>
    </w:p>
    <w:p>
      <w:pPr>
        <w:ind w:firstLine="480"/>
        <w:keepLines w:val="0"/>
        <w:keepNext w:val="0"/>
        <w:pageBreakBefore w:val="0"/>
        <w:spacing w:line="360" w:lineRule="auto"/>
        <w:rPr>
          <w:rFonts w:hint="eastAsia" w:ascii="宋体" w:hAnsi="宋体" w:eastAsia="宋体" w:cs="宋体"/>
          <w:b w:val="0"/>
          <w:bCs w:val="0"/>
          <w:color w:val="auto"/>
          <w:sz w:val="24"/>
          <w:highlight w:val="none"/>
        </w:rPr>
        <w:outlineLvl w:val="9"/>
      </w:pPr>
      <w:r>
        <w:rPr>
          <w:rFonts w:hint="eastAsia" w:ascii="宋体" w:hAnsi="宋体" w:eastAsia="宋体" w:cs="宋体"/>
          <w:b w:val="0"/>
          <w:bCs w:val="0"/>
          <w:color w:val="auto"/>
          <w:sz w:val="24"/>
          <w:highlight w:val="none"/>
        </w:rPr>
        <w:t xml:space="preserve">1.本项目需要落实的政府采购政策：</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highlight w:val="none"/>
        </w:rPr>
        <w:t xml:space="preserve">。</w:t>
      </w:r>
      <w:bookmarkStart w:id="26" w:name="_Toc35393796"/>
      <w:r/>
      <w:bookmarkStart w:id="27" w:name="_Toc28359008"/>
      <w:r/>
      <w:bookmarkStart w:id="28" w:name="_Toc28359085"/>
      <w:r/>
      <w:bookmarkStart w:id="29" w:name="_Toc35393627"/>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通过苏采云系统参与政府采购项目，需要更换CA数字证书和电子签章。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 xml:space="preserve">磋商响应文件</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.有关本次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的事项若存在变动或修改，敬请及时关注“江苏政府采购网”、“常州市政府采购网”发布的更正公告。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不收取</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保证金。</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.注意事项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自行承担。</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numPr>
          <w:ilvl w:val="0"/>
          <w:numId w:val="0"/>
        </w:numPr>
        <w:ind w:firstLine="480"/>
        <w:jc w:val="left"/>
        <w:keepLines w:val="0"/>
        <w:keepNext w:val="0"/>
        <w:pageBreakBefore w:val="0"/>
        <w:spacing w:line="360" w:lineRule="auto"/>
        <w:widowControl/>
        <w:rPr>
          <w:rFonts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.如潜在供应商未按上述要求操作，将自行承担所产生的风险。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.关于常州市中小企业政府采购信用融资：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lang w:val="en-US" w:eastAsia="zh-CN"/>
        </w:rPr>
        <w:t xml:space="preserve">.关于深入开展常州市政府采购线上合同信用融资：</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八、对本项目提出询问，请按以下方式联系。</w:t>
      </w:r>
      <w:bookmarkEnd w:id="26"/>
      <w:r/>
      <w:bookmarkEnd w:id="27"/>
      <w:r/>
      <w:bookmarkEnd w:id="28"/>
      <w:r/>
      <w:bookmarkEnd w:id="29"/>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val="zh-TW" w:bidi="ar"/>
        </w:rPr>
        <w:outlineLvl w:val="9"/>
      </w:pPr>
      <w:r>
        <w:rPr>
          <w:rFonts w:hint="eastAsia" w:ascii="宋体" w:hAnsi="宋体" w:eastAsia="宋体" w:cs="宋体"/>
          <w:b/>
          <w:bCs/>
          <w:color w:val="auto"/>
          <w:sz w:val="24"/>
          <w:highlight w:val="none"/>
          <w:lang w:val="zh-TW" w:bidi="ar"/>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名    称：</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常州高新技术产业开发区（新北）生态环境局</w:t>
      </w:r>
      <w:r>
        <w:rPr>
          <w:rFonts w:hint="eastAsia" w:ascii="宋体" w:hAnsi="宋体" w:eastAsia="宋体" w:cs="宋体"/>
          <w:color w:val="auto"/>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szCs w:val="24"/>
          <w:highlight w:val="none"/>
          <w:u w:val="single"/>
          <w:rtl w:val="0"/>
          <w:lang w:val="zh-TW" w:eastAsia="zh-TW"/>
        </w:rPr>
        <w:t xml:space="preserve">常州市新北区崇义北路2号绿创大厦</w:t>
      </w:r>
      <w:r>
        <w:rPr>
          <w:rFonts w:hint="eastAsia" w:ascii="宋体" w:hAnsi="宋体" w:eastAsia="宋体" w:cs="宋体"/>
          <w:color w:val="auto"/>
          <w:sz w:val="24"/>
          <w:highlight w:val="none"/>
          <w:u w:val="single"/>
          <w:lang w:val="en-US" w:eastAsia="zh-CN" w:bidi="ar"/>
        </w:rPr>
        <w:t xml:space="preserve"> </w:t>
      </w:r>
      <w:r/>
    </w:p>
    <w:p>
      <w:pPr>
        <w:ind w:firstLine="480"/>
        <w:jc w:val="left"/>
        <w:keepLines w:val="0"/>
        <w:keepNext w:val="0"/>
        <w:pageBreakBefore w:val="0"/>
        <w:spacing w:line="360" w:lineRule="auto"/>
        <w:widowControl/>
        <w:rPr>
          <w:rFonts w:ascii="宋体" w:hAnsi="宋体" w:eastAsia="宋体" w:cs="宋体"/>
          <w:color w:val="auto"/>
          <w:sz w:val="24"/>
          <w:highlight w:val="none"/>
          <w:u w:val="single"/>
          <w:lang w:val="en-US" w:eastAsia="zh-CN"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szCs w:val="24"/>
          <w:highlight w:val="none"/>
          <w:u w:val="single"/>
          <w:rtl w:val="0"/>
          <w:lang w:val="en-US" w:eastAsia="zh-CN"/>
        </w:rPr>
        <w:t xml:space="preserve">殷女士</w:t>
      </w:r>
      <w:r>
        <w:rPr>
          <w:rFonts w:ascii="宋体" w:hAnsi="宋体" w:eastAsia="宋体" w:cs="宋体"/>
          <w:color w:val="auto"/>
          <w:sz w:val="24"/>
          <w:szCs w:val="24"/>
          <w:highlight w:val="none"/>
          <w:u w:val="single"/>
          <w:rtl w:val="0"/>
          <w:lang w:val="zh-TW" w:eastAsia="zh-TW"/>
        </w:rPr>
        <w:t xml:space="preserve">、</w:t>
      </w:r>
      <w:r>
        <w:rPr>
          <w:rFonts w:hint="eastAsia" w:ascii="宋体" w:hAnsi="宋体" w:eastAsia="宋体" w:cs="宋体"/>
          <w:color w:val="auto"/>
          <w:sz w:val="24"/>
          <w:szCs w:val="24"/>
          <w:highlight w:val="none"/>
          <w:u w:val="single"/>
          <w:rtl w:val="0"/>
          <w:lang w:val="en-US" w:eastAsia="zh-CN"/>
        </w:rPr>
        <w:t xml:space="preserve">0519-85163005</w:t>
      </w:r>
      <w:r>
        <w:rPr>
          <w:rFonts w:hint="eastAsia" w:ascii="宋体" w:hAnsi="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val="zh-TW" w:bidi="ar"/>
        </w:rPr>
        <w:outlineLvl w:val="9"/>
      </w:pPr>
      <w:r>
        <w:rPr>
          <w:rFonts w:hint="eastAsia" w:ascii="宋体" w:hAnsi="宋体" w:eastAsia="宋体" w:cs="宋体"/>
          <w:b/>
          <w:bCs/>
          <w:color w:val="auto"/>
          <w:sz w:val="24"/>
          <w:highlight w:val="none"/>
          <w:lang w:val="zh-TW"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名    称：</w:t>
      </w:r>
      <w:r>
        <w:rPr>
          <w:rFonts w:hint="eastAsia" w:ascii="宋体" w:hAnsi="宋体" w:eastAsia="宋体" w:cs="宋体"/>
          <w:color w:val="auto"/>
          <w:sz w:val="24"/>
          <w:highlight w:val="none"/>
          <w:u w:val="single"/>
          <w:lang w:val="zh-TW" w:bidi="ar"/>
        </w:rPr>
        <w:t xml:space="preserve"> 江苏尚阳工程管理有限公司</w:t>
      </w:r>
      <w:r>
        <w:rPr>
          <w:rFonts w:hint="eastAsia" w:ascii="宋体" w:hAnsi="宋体" w:eastAsia="宋体" w:cs="宋体"/>
          <w:color w:val="auto"/>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zh-TW" w:eastAsia="zh-CN" w:bidi="ar"/>
        </w:rPr>
        <w:t xml:space="preserve">常州市新北区嵩山路1-301号</w:t>
      </w:r>
      <w:r>
        <w:rPr>
          <w:rFonts w:hint="eastAsia" w:ascii="宋体" w:hAnsi="宋体" w:eastAsia="宋体" w:cs="宋体"/>
          <w:color w:val="auto"/>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联系方式：</w:t>
      </w:r>
      <w:r>
        <w:rPr>
          <w:rFonts w:hint="eastAsia" w:ascii="宋体" w:hAnsi="宋体" w:eastAsia="宋体" w:cs="宋体"/>
          <w:color w:val="auto"/>
          <w:sz w:val="24"/>
          <w:highlight w:val="none"/>
          <w:u w:val="single"/>
          <w:lang w:val="zh-TW" w:bidi="ar"/>
        </w:rPr>
        <w:t xml:space="preserve"> 0519-88818225</w:t>
      </w:r>
      <w:r>
        <w:rPr>
          <w:rFonts w:hint="eastAsia" w:ascii="宋体" w:hAnsi="宋体" w:eastAsia="宋体" w:cs="宋体"/>
          <w:color w:val="auto"/>
          <w:sz w:val="24"/>
          <w:highlight w:val="none"/>
          <w:u w:val="single"/>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val="zh-TW" w:bidi="ar"/>
        </w:rPr>
        <w:outlineLvl w:val="9"/>
      </w:pPr>
      <w:r>
        <w:rPr>
          <w:rFonts w:hint="eastAsia" w:ascii="宋体" w:hAnsi="宋体" w:eastAsia="宋体" w:cs="宋体"/>
          <w:b/>
          <w:bCs/>
          <w:color w:val="auto"/>
          <w:sz w:val="24"/>
          <w:highlight w:val="none"/>
          <w:lang w:val="zh-TW"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项目联系人：</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 xml:space="preserve">王涛</w:t>
      </w:r>
      <w:r>
        <w:rPr>
          <w:rFonts w:hint="eastAsia" w:ascii="宋体" w:hAnsi="宋体" w:eastAsia="宋体" w:cs="宋体"/>
          <w:color w:val="auto"/>
          <w:sz w:val="24"/>
          <w:highlight w:val="none"/>
          <w:u w:val="singl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bidi="ar"/>
        </w:rPr>
        <w:t xml:space="preserve">电      话：</w:t>
      </w:r>
      <w:r>
        <w:rPr>
          <w:rFonts w:hint="eastAsia" w:ascii="宋体" w:hAnsi="宋体" w:eastAsia="宋体" w:cs="宋体"/>
          <w:color w:val="auto"/>
          <w:sz w:val="24"/>
          <w:highlight w:val="none"/>
          <w:u w:val="single"/>
          <w:lang w:val="zh-TW" w:bidi="ar"/>
        </w:rPr>
        <w:t xml:space="preserve"> </w:t>
      </w:r>
      <w:r>
        <w:rPr>
          <w:rFonts w:hint="eastAsia" w:ascii="宋体" w:hAnsi="宋体" w:cs="宋体"/>
          <w:color w:val="auto"/>
          <w:sz w:val="24"/>
          <w:highlight w:val="none"/>
          <w:u w:val="single"/>
          <w:lang w:val="zh-TW" w:eastAsia="zh-CN" w:bidi="ar"/>
        </w:rPr>
        <w:t xml:space="preserve">0519-88818292-（8000）</w:t>
      </w:r>
      <w:r>
        <w:rPr>
          <w:rFonts w:hint="eastAsia" w:ascii="宋体" w:hAnsi="宋体" w:eastAsia="宋体" w:cs="宋体"/>
          <w:color w:val="auto"/>
          <w:sz w:val="24"/>
          <w:highlight w:val="none"/>
          <w:u w:val="single"/>
          <w:lang w:val="en-US" w:eastAsia="zh-CN" w:bidi="ar"/>
        </w:rPr>
        <w:t xml:space="preserve"> </w:t>
      </w:r>
      <w:r/>
    </w:p>
    <w:p>
      <w:pPr>
        <w:pStyle w:val="1024"/>
        <w:rPr>
          <w:rFonts w:hint="eastAsia"/>
          <w:color w:val="auto"/>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outlineLvl w:val="9"/>
      </w:pPr>
      <w:r>
        <w:rPr>
          <w:rFonts w:hint="eastAsia"/>
          <w:color w:val="auto"/>
          <w:highlight w:val="none"/>
        </w:rPr>
      </w:r>
      <w:r/>
    </w:p>
    <w:p>
      <w:pPr>
        <w:jc w:val="center"/>
        <w:keepLines w:val="0"/>
        <w:keepNext w:val="0"/>
        <w:pageBreakBefore w:val="0"/>
        <w:spacing w:line="360" w:lineRule="auto"/>
        <w:rPr>
          <w:b/>
          <w:color w:val="auto"/>
          <w:sz w:val="36"/>
          <w:szCs w:val="36"/>
          <w:highlight w:val="none"/>
        </w:rPr>
        <w:outlineLvl w:val="0"/>
      </w:pPr>
      <w:r/>
      <w:bookmarkStart w:id="30" w:name="_Toc195842950"/>
      <w:r/>
      <w:bookmarkStart w:id="31" w:name="_Toc264969275"/>
      <w:r/>
      <w:bookmarkStart w:id="32" w:name="_Toc150774783"/>
      <w:r/>
      <w:bookmarkStart w:id="33" w:name="_Toc127161488"/>
      <w:r/>
      <w:bookmarkStart w:id="34" w:name="_Toc305158928"/>
      <w:r/>
      <w:bookmarkStart w:id="35" w:name="_Toc2237"/>
      <w:r/>
      <w:bookmarkStart w:id="36" w:name="_Toc353873938"/>
      <w:r/>
      <w:bookmarkStart w:id="37" w:name="_Toc265228423"/>
      <w:r/>
      <w:bookmarkStart w:id="38" w:name="_Toc104818926"/>
      <w:r/>
      <w:bookmarkStart w:id="39" w:name="_Toc305158854"/>
      <w:r/>
      <w:bookmarkStart w:id="40" w:name="_Toc512937850"/>
      <w:r/>
      <w:bookmarkStart w:id="41" w:name="_Toc127151777"/>
      <w:r/>
      <w:bookmarkStart w:id="42" w:name="_Toc353825548"/>
      <w:r/>
      <w:bookmarkStart w:id="43" w:name="_Toc226965856"/>
      <w:r>
        <w:rPr>
          <w:b/>
          <w:color w:val="auto"/>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44" w:name="_Toc149720812"/>
      <w:r/>
      <w:bookmarkStart w:id="45" w:name="_Toc150509270"/>
      <w:r/>
      <w:bookmarkStart w:id="46" w:name="_Toc226309763"/>
      <w:r/>
      <w:bookmarkStart w:id="47" w:name="_Toc520356144"/>
      <w:r/>
      <w:bookmarkStart w:id="48" w:name="_Toc164351613"/>
      <w:r/>
      <w:bookmarkStart w:id="49" w:name="_Toc127151519"/>
      <w:r/>
      <w:bookmarkStart w:id="50" w:name="_Toc151193617"/>
      <w:r/>
      <w:bookmarkStart w:id="51" w:name="_Toc151190146"/>
      <w:r/>
      <w:bookmarkStart w:id="52" w:name="_Toc164608788"/>
      <w:r/>
      <w:bookmarkStart w:id="53" w:name="_Toc150774724"/>
      <w:r/>
      <w:bookmarkStart w:id="54" w:name="_Toc226965792"/>
      <w:r/>
      <w:bookmarkStart w:id="55" w:name="_Toc150480757"/>
      <w:r/>
      <w:bookmarkStart w:id="56" w:name="_Toc164229214"/>
      <w:r/>
      <w:bookmarkStart w:id="57" w:name="_Toc150774619"/>
      <w:r/>
      <w:bookmarkStart w:id="58" w:name="_Toc226337215"/>
      <w:r/>
      <w:bookmarkStart w:id="59" w:name="_Toc226965709"/>
      <w:r/>
      <w:bookmarkStart w:id="60" w:name="_Toc151193689"/>
      <w:r/>
      <w:bookmarkStart w:id="61" w:name="_Toc164608633"/>
      <w:r/>
      <w:bookmarkStart w:id="62" w:name="_Toc151193907"/>
      <w:r/>
      <w:bookmarkStart w:id="63" w:name="_Toc142311021"/>
      <w:r/>
      <w:bookmarkStart w:id="64" w:name="_Toc151193833"/>
      <w:r/>
      <w:bookmarkStart w:id="65" w:name="_Toc151193761"/>
      <w:r/>
      <w:bookmarkStart w:id="66" w:name="_Toc127161433"/>
      <w:r/>
      <w:bookmarkStart w:id="67" w:name="_Toc195842884"/>
      <w:r/>
      <w:bookmarkStart w:id="68" w:name="_Toc164229360"/>
      <w:r/>
      <w:bookmarkStart w:id="69" w:name="_Toc127151720"/>
      <w:r>
        <w:rPr>
          <w:rFonts w:hint="eastAsia" w:ascii="宋体" w:hAnsi="宋体" w:eastAsia="宋体" w:cs="Times New Roman"/>
          <w:b/>
          <w:bCs/>
          <w:color w:val="auto"/>
          <w:sz w:val="28"/>
          <w:szCs w:val="28"/>
          <w:highlight w:val="none"/>
          <w:lang w:val="en-US" w:eastAsia="zh-CN"/>
        </w:rPr>
        <w:t xml:space="preserve">供应商须知资料表</w:t>
      </w:r>
      <w:r/>
    </w:p>
    <w:p>
      <w:pPr>
        <w:jc w:val="center"/>
        <w:rPr>
          <w:b/>
          <w:color w:val="auto"/>
          <w:sz w:val="28"/>
          <w:szCs w:val="28"/>
          <w:highlight w:val="none"/>
        </w:rPr>
        <w:outlineLvl w:val="9"/>
      </w:pPr>
      <w:r>
        <w:rPr>
          <w:b/>
          <w:color w:val="auto"/>
          <w:sz w:val="28"/>
          <w:szCs w:val="28"/>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zh-TW" w:bidi="ar"/>
        </w:rPr>
        <w:outlineLvl w:val="9"/>
      </w:pPr>
      <w:r>
        <w:rPr>
          <w:rFonts w:hint="eastAsia" w:ascii="宋体" w:hAnsi="宋体" w:eastAsia="宋体" w:cs="宋体"/>
          <w:color w:val="auto"/>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szCs w:val="24"/>
                <w:highlight w:val="none"/>
              </w:rPr>
              <w:outlineLvl w:val="9"/>
            </w:pPr>
            <w:r>
              <w:rPr>
                <w:rFonts w:hint="eastAsia" w:ascii="宋体" w:hAnsi="宋体" w:eastAsia="宋体" w:cs="宋体"/>
                <w:b/>
                <w:color w:val="auto"/>
                <w:sz w:val="24"/>
                <w:szCs w:val="24"/>
                <w:highlight w:val="none"/>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内容</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项目属性</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项目属性：</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w:t>
            </w:r>
            <w:r/>
          </w:p>
          <w:p>
            <w:pPr>
              <w:jc w:val="lef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□工程</w:t>
            </w:r>
            <w:r/>
          </w:p>
        </w:tc>
      </w:tr>
      <w:tr>
        <w:trPr>
          <w:jc w:val="center"/>
          <w:trHeight w:val="20"/>
        </w:trPr>
        <w:tc>
          <w:tcPr>
            <w:tcW w:w="988" w:type="dxa"/>
            <w:vAlign w:val="center"/>
            <w:vMerge w:val="restart"/>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现场考察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■不组织</w:t>
            </w:r>
            <w:r/>
          </w:p>
          <w:p>
            <w:pPr>
              <w:jc w:val="left"/>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□组织，考察时间：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分</w:t>
            </w:r>
            <w:r/>
          </w:p>
          <w:p>
            <w:pPr>
              <w:pStyle w:val="1038"/>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考察地点：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■不召开</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□召开，召开时间：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bidi="ar"/>
              </w:rPr>
              <w:t xml:space="preserve">分</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召开地点：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tc>
      </w:tr>
      <w:tr>
        <w:trPr>
          <w:jc w:val="center"/>
          <w:trHeight w:val="55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标的所属行业</w:t>
            </w:r>
            <w:r/>
          </w:p>
        </w:tc>
        <w:tc>
          <w:tcPr>
            <w:tcW w:w="7253" w:type="dxa"/>
            <w:vAlign w:val="center"/>
            <w:textDirection w:val="lrTb"/>
            <w:noWrap w:val="false"/>
          </w:tcPr>
          <w:p>
            <w:pPr>
              <w:jc w:val="left"/>
              <w:rPr>
                <w:rFonts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 其他未列明行业 </w:t>
            </w:r>
            <w:r/>
          </w:p>
        </w:tc>
      </w:tr>
      <w:tr>
        <w:trPr>
          <w:jc w:val="center"/>
          <w:trHeight w:val="89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报价的特殊规定：</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□有，具体情形：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免收</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自提交响应文件的截止之日起算</w:t>
            </w:r>
            <w:r>
              <w:rPr>
                <w:rFonts w:hint="eastAsia" w:ascii="宋体" w:hAnsi="宋体" w:eastAsia="宋体" w:cs="宋体"/>
                <w:color w:val="auto"/>
                <w:sz w:val="24"/>
                <w:szCs w:val="24"/>
                <w:highlight w:val="none"/>
                <w:u w:val="single"/>
                <w:lang w:val="en-US" w:eastAsia="zh-CN"/>
              </w:rPr>
              <w:t xml:space="preserve"> 60 </w:t>
            </w:r>
            <w:r>
              <w:rPr>
                <w:rFonts w:hint="eastAsia" w:ascii="宋体" w:hAnsi="宋体" w:eastAsia="宋体" w:cs="宋体"/>
                <w:color w:val="auto"/>
                <w:sz w:val="24"/>
                <w:szCs w:val="24"/>
                <w:highlight w:val="none"/>
              </w:rPr>
              <w:t xml:space="preserve">日历天。</w:t>
            </w:r>
            <w:r/>
          </w:p>
        </w:tc>
      </w:tr>
      <w:tr>
        <w:trPr>
          <w:jc w:val="center"/>
          <w:trHeight w:val="179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分包</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本项目是否允许分包： </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□不允许</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■允许，具体要求：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劳务外包、餐饮油烟</w:t>
            </w:r>
            <w:r>
              <w:rPr>
                <w:rFonts w:hint="eastAsia" w:ascii="宋体" w:hAnsi="宋体" w:cs="宋体"/>
                <w:color w:val="auto"/>
                <w:sz w:val="24"/>
                <w:szCs w:val="24"/>
                <w:highlight w:val="none"/>
                <w:u w:val="single"/>
                <w:lang w:val="en-US" w:eastAsia="zh-CN"/>
              </w:rPr>
              <w:t xml:space="preserve">监测</w:t>
            </w:r>
            <w:r>
              <w:rPr>
                <w:rFonts w:hint="eastAsia" w:ascii="宋体" w:hAnsi="宋体" w:eastAsia="宋体" w:cs="宋体"/>
                <w:color w:val="auto"/>
                <w:sz w:val="24"/>
                <w:szCs w:val="24"/>
                <w:highlight w:val="none"/>
                <w:u w:val="single"/>
                <w:lang w:val="en-US" w:eastAsia="zh-CN"/>
              </w:rPr>
              <w:t xml:space="preserve">设备</w:t>
            </w:r>
            <w:r>
              <w:rPr>
                <w:rFonts w:hint="eastAsia" w:ascii="宋体" w:hAnsi="宋体" w:cs="宋体"/>
                <w:color w:val="auto"/>
                <w:sz w:val="24"/>
                <w:szCs w:val="24"/>
                <w:highlight w:val="none"/>
                <w:u w:val="single"/>
                <w:lang w:val="en-US" w:eastAsia="zh-CN"/>
              </w:rPr>
              <w:t xml:space="preserve">等非主体关键性内容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（1）可以分包履行的具体内容：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（2）允许分包的金额或者比例：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（3）其他要求：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24.1.1</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询问</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询问送达形式：</w:t>
            </w:r>
            <w:r>
              <w:rPr>
                <w:rFonts w:hint="eastAsia" w:ascii="宋体" w:hAnsi="宋体" w:eastAsia="宋体" w:cs="宋体"/>
                <w:color w:val="auto"/>
                <w:sz w:val="24"/>
                <w:szCs w:val="24"/>
                <w:highlight w:val="none"/>
                <w:u w:val="single"/>
                <w:lang w:val="en-US" w:eastAsia="zh-CN"/>
              </w:rPr>
              <w:t xml:space="preserve"> 于202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接收询问和质疑的联系方式</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王涛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0519-88818292-（8000）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常州市新北区嵩山路1-301号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r>
        <w:trPr>
          <w:jc w:val="center"/>
          <w:trHeight w:val="20"/>
        </w:trPr>
        <w:tc>
          <w:tcPr>
            <w:tcW w:w="988" w:type="dxa"/>
            <w:vAlign w:val="center"/>
            <w:textDirection w:val="lrTb"/>
            <w:noWrap w:val="false"/>
          </w:tcPr>
          <w:p>
            <w:pPr>
              <w:pStyle w:val="1038"/>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w:t>
            </w:r>
            <w:r/>
          </w:p>
        </w:tc>
        <w:tc>
          <w:tcPr>
            <w:tcW w:w="1701" w:type="dxa"/>
            <w:vAlign w:val="center"/>
            <w:textDirection w:val="lrTb"/>
            <w:noWrap w:val="false"/>
          </w:tcPr>
          <w:p>
            <w:pPr>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收费对象：</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■成交供应商</w:t>
            </w:r>
            <w:r/>
          </w:p>
          <w:p>
            <w:pPr>
              <w:jc w:val="left"/>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收费标准：</w:t>
            </w:r>
            <w:r>
              <w:rPr>
                <w:rFonts w:hint="eastAsia" w:ascii="宋体" w:hAnsi="宋体" w:eastAsia="宋体" w:cs="宋体"/>
                <w:color w:val="auto"/>
                <w:sz w:val="24"/>
                <w:szCs w:val="24"/>
                <w:highlight w:val="none"/>
                <w:u w:val="single"/>
              </w:rPr>
              <w:t xml:space="preserve"> 收费比例按差额定率分档累进法计算，收费差额费率：成交金额在100万元(含)以下的为1.5%，成交金额在100万元（不含）至500万元（含）的为0.8%</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服务收费按上述计算方法</w:t>
            </w:r>
            <w:r>
              <w:rPr>
                <w:rFonts w:hint="eastAsia" w:ascii="宋体" w:hAnsi="宋体" w:eastAsia="宋体" w:cs="宋体"/>
                <w:color w:val="auto"/>
                <w:sz w:val="24"/>
                <w:szCs w:val="24"/>
                <w:highlight w:val="none"/>
                <w:u w:val="single"/>
                <w:shd w:val="clear" w:color="auto" w:fill="auto"/>
                <w:lang w:val="en-US" w:eastAsia="zh-CN"/>
              </w:rPr>
              <w:t xml:space="preserve">收取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缴纳时间：</w:t>
            </w:r>
            <w:r>
              <w:rPr>
                <w:rFonts w:hint="eastAsia" w:ascii="宋体" w:hAnsi="宋体" w:eastAsia="宋体" w:cs="宋体"/>
                <w:color w:val="auto"/>
                <w:sz w:val="24"/>
                <w:szCs w:val="24"/>
                <w:highlight w:val="none"/>
                <w:u w:val="single"/>
              </w:rPr>
              <w:t xml:space="preserve"> 成交供应商应在领取成交通知书时将成交服务费付至采购代理机构的</w:t>
            </w:r>
            <w:r>
              <w:rPr>
                <w:rFonts w:hint="eastAsia" w:ascii="宋体" w:hAnsi="宋体" w:eastAsia="宋体" w:cs="宋体"/>
                <w:color w:val="auto"/>
                <w:sz w:val="24"/>
                <w:szCs w:val="24"/>
                <w:highlight w:val="none"/>
                <w:u w:val="single"/>
                <w:lang w:eastAsia="zh-CN"/>
              </w:rPr>
              <w:t xml:space="preserve">账</w:t>
            </w:r>
            <w:r>
              <w:rPr>
                <w:rFonts w:hint="eastAsia" w:ascii="宋体" w:hAnsi="宋体" w:eastAsia="宋体" w:cs="宋体"/>
                <w:color w:val="auto"/>
                <w:sz w:val="24"/>
                <w:szCs w:val="24"/>
                <w:highlight w:val="none"/>
                <w:u w:val="single"/>
              </w:rPr>
              <w:t xml:space="preserve">户并备注项目编号 </w:t>
            </w:r>
            <w:r>
              <w:rPr>
                <w:rFonts w:hint="eastAsia" w:ascii="宋体" w:hAnsi="宋体" w:eastAsia="宋体" w:cs="宋体"/>
                <w:color w:val="auto"/>
                <w:sz w:val="24"/>
                <w:szCs w:val="24"/>
                <w:highlight w:val="none"/>
              </w:rPr>
              <w:t xml:space="preserve">。</w:t>
            </w:r>
            <w:r/>
          </w:p>
          <w:p>
            <w:pPr>
              <w:jc w:val="lef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收款单位：江苏尚阳工程管理有限公司</w:t>
            </w:r>
            <w:r/>
          </w:p>
          <w:p>
            <w:pPr>
              <w:jc w:val="left"/>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银行账号：406010100100626575</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开户银行：兴业银行股份有限公司常州分行</w:t>
            </w:r>
            <w:r/>
          </w:p>
        </w:tc>
      </w:tr>
      <w:tr>
        <w:trPr>
          <w:jc w:val="center"/>
          <w:trHeight w:val="20"/>
        </w:trPr>
        <w:tc>
          <w:tcPr>
            <w:tcW w:w="988" w:type="dxa"/>
            <w:vAlign w:val="center"/>
            <w:textDirection w:val="lrTb"/>
            <w:noWrap w:val="false"/>
          </w:tcPr>
          <w:p>
            <w:pPr>
              <w:pStyle w:val="1149"/>
              <w:jc w:val="center"/>
              <w:rPr>
                <w:rFonts w:hint="eastAsia" w:ascii="宋体" w:hAnsi="宋体" w:eastAsia="宋体" w:cs="宋体"/>
                <w:color w:val="auto"/>
                <w:sz w:val="24"/>
                <w:szCs w:val="24"/>
                <w:highlight w:val="none"/>
              </w:rPr>
            </w:pPr>
            <w:r>
              <w:rPr>
                <w:color w:val="auto"/>
                <w:sz w:val="24"/>
                <w:szCs w:val="24"/>
                <w:highlight w:val="none"/>
                <w:rtl w:val="0"/>
                <w:lang w:val="en-US"/>
              </w:rPr>
              <w:t xml:space="preserve">26</w:t>
            </w:r>
            <w:r/>
          </w:p>
        </w:tc>
        <w:tc>
          <w:tcPr>
            <w:tcW w:w="1701" w:type="dxa"/>
            <w:vAlign w:val="center"/>
            <w:textDirection w:val="lrTb"/>
            <w:noWrap w:val="false"/>
          </w:tcPr>
          <w:p>
            <w:pPr>
              <w:pStyle w:val="1158"/>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tl w:val="0"/>
                <w:lang w:val="zh-TW" w:eastAsia="zh-TW"/>
              </w:rPr>
              <w:t xml:space="preserve">电子系统意外情况处理条款</w:t>
            </w:r>
            <w:r/>
          </w:p>
        </w:tc>
        <w:tc>
          <w:tcPr>
            <w:tcW w:w="7253" w:type="dxa"/>
            <w:vAlign w:val="center"/>
            <w:textDirection w:val="lrTb"/>
            <w:noWrap w:val="false"/>
          </w:tcPr>
          <w:p>
            <w:pPr>
              <w:pStyle w:val="1158"/>
              <w:jc w:val="left"/>
              <w:rPr>
                <w:rFonts w:ascii="宋体" w:hAnsi="宋体" w:eastAsia="宋体" w:cs="宋体"/>
                <w:color w:val="auto"/>
                <w:sz w:val="24"/>
                <w:szCs w:val="24"/>
                <w:highlight w:val="none"/>
              </w:rPr>
            </w:pPr>
            <w:r>
              <w:rPr>
                <w:rFonts w:ascii="宋体" w:hAnsi="宋体" w:eastAsia="宋体" w:cs="宋体"/>
                <w:color w:val="auto"/>
                <w:sz w:val="24"/>
                <w:szCs w:val="24"/>
                <w:highlight w:val="none"/>
                <w:rtl w:val="0"/>
                <w:lang w:val="zh-TW" w:eastAsia="zh-TW"/>
              </w:rPr>
              <w:t xml:space="preserve">为确保本项目电子化采购活动顺利进行，防范化解采购风险，特制定相关情形处置举措。所有潜在投标人及参与各方均应知悉并遵守以下规定：</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1.</w:t>
            </w:r>
            <w:r>
              <w:rPr>
                <w:rFonts w:ascii="宋体" w:hAnsi="宋体" w:eastAsia="宋体" w:cs="宋体"/>
                <w:color w:val="auto"/>
                <w:sz w:val="24"/>
                <w:szCs w:val="24"/>
                <w:highlight w:val="none"/>
                <w:rtl w:val="0"/>
                <w:lang w:val="zh-TW" w:eastAsia="zh-TW"/>
              </w:rPr>
              <w:t xml:space="preserve">意外情况定义：本条款所称</w:t>
            </w:r>
            <w:r>
              <w:rPr>
                <w:rFonts w:ascii="宋体" w:hAnsi="宋体" w:eastAsia="宋体" w:cs="宋体"/>
                <w:color w:val="auto"/>
                <w:sz w:val="24"/>
                <w:szCs w:val="24"/>
                <w:highlight w:val="none"/>
                <w:rtl w:val="0"/>
                <w:lang w:val="en-US"/>
              </w:rPr>
              <w:t xml:space="preserve">“</w:t>
            </w:r>
            <w:r>
              <w:rPr>
                <w:rFonts w:ascii="宋体" w:hAnsi="宋体" w:eastAsia="宋体" w:cs="宋体"/>
                <w:color w:val="auto"/>
                <w:sz w:val="24"/>
                <w:szCs w:val="24"/>
                <w:highlight w:val="none"/>
                <w:rtl w:val="0"/>
                <w:lang w:val="zh-TW" w:eastAsia="zh-TW"/>
              </w:rPr>
              <w:t xml:space="preserve">电子交易系统无法访问等意外情况</w:t>
            </w:r>
            <w:r>
              <w:rPr>
                <w:rFonts w:ascii="宋体" w:hAnsi="宋体" w:eastAsia="宋体" w:cs="宋体"/>
                <w:color w:val="auto"/>
                <w:sz w:val="24"/>
                <w:szCs w:val="24"/>
                <w:highlight w:val="none"/>
                <w:rtl w:val="0"/>
                <w:lang w:val="en-US"/>
              </w:rPr>
              <w:t xml:space="preserve">”</w:t>
            </w:r>
            <w:r>
              <w:rPr>
                <w:rFonts w:ascii="宋体" w:hAnsi="宋体" w:eastAsia="宋体" w:cs="宋体"/>
                <w:color w:val="auto"/>
                <w:sz w:val="24"/>
                <w:szCs w:val="24"/>
                <w:highlight w:val="none"/>
                <w:rtl w:val="0"/>
                <w:lang w:val="zh-TW" w:eastAsia="zh-TW"/>
              </w:rPr>
              <w:t xml:space="preserve">，是指在政府采购电子交易平台使用过程中，出现包括但不限于网络中断、服务器故障、应用软件或数据库错误等情形，导致采购活动无法正常进行。</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2.</w:t>
            </w:r>
            <w:r>
              <w:rPr>
                <w:rFonts w:ascii="宋体" w:hAnsi="宋体" w:eastAsia="宋体" w:cs="宋体"/>
                <w:color w:val="auto"/>
                <w:sz w:val="24"/>
                <w:szCs w:val="24"/>
                <w:highlight w:val="none"/>
                <w:rtl w:val="0"/>
                <w:lang w:val="zh-TW" w:eastAsia="zh-TW"/>
              </w:rPr>
              <w:t xml:space="preserve">开标前环节故障处置：在供应商报名、投标（响应）文件上传、投标（响应）文件解密及唱标环节等开标活动开始前的任何环节出现系统无法访问的情形，采购代理机构将按照以下原则处置：</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（一）若故障可在短时间内排除，采购代理机构将等待系统修复后，继续开展采购活动。</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（二）若故障无法在预定开标时间前排除，或故障情况严重影响公平竞争，采购代理机构将通过发布更正公告推迟开标。</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（三）若因故障导致有效投标人不足法定家数或出现其他法定废标情形，采购代理机构将发布废标（终止）公告，重新开展采购活动。</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特别说明：本项目投标（响应）文件递交方式以招标文件载明为准。在电子系统发生故障时，采购代理机构仅依据上述程序处理，不接受任何现场提交的纸质、</w:t>
            </w:r>
            <w:r>
              <w:rPr>
                <w:rFonts w:ascii="宋体" w:hAnsi="宋体" w:eastAsia="宋体" w:cs="宋体"/>
                <w:color w:val="auto"/>
                <w:sz w:val="24"/>
                <w:szCs w:val="24"/>
                <w:highlight w:val="none"/>
                <w:rtl w:val="0"/>
                <w:lang w:val="en-US"/>
              </w:rPr>
              <w:t xml:space="preserve">U</w:t>
            </w:r>
            <w:r>
              <w:rPr>
                <w:rFonts w:ascii="宋体" w:hAnsi="宋体" w:eastAsia="宋体" w:cs="宋体"/>
                <w:color w:val="auto"/>
                <w:sz w:val="24"/>
                <w:szCs w:val="24"/>
                <w:highlight w:val="none"/>
                <w:rtl w:val="0"/>
                <w:lang w:val="zh-TW" w:eastAsia="zh-TW"/>
              </w:rPr>
              <w:t xml:space="preserve">盘等非招标文件规定的投标（响应）文件。</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3.</w:t>
            </w:r>
            <w:r>
              <w:rPr>
                <w:rFonts w:ascii="宋体" w:hAnsi="宋体" w:eastAsia="宋体" w:cs="宋体"/>
                <w:color w:val="auto"/>
                <w:sz w:val="24"/>
                <w:szCs w:val="24"/>
                <w:highlight w:val="none"/>
                <w:rtl w:val="0"/>
                <w:lang w:val="zh-TW" w:eastAsia="zh-TW"/>
              </w:rPr>
              <w:t xml:space="preserve">评审过程中故障处置：在评审委员会组建后至评审报告出具前的评审过程中出现系统无法访问的情形，采购代理机构将按照以下原则处置：</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（一）立即暂停评审：采购代理机构将立即宣布暂停评审活动，并采取必要措施封存所有投标（响应）文件及评审记录。</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（二）处置方案：视故障排除情况，采购代理机构将选择：</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1.</w:t>
            </w:r>
            <w:r>
              <w:rPr>
                <w:rFonts w:ascii="宋体" w:hAnsi="宋体" w:eastAsia="宋体" w:cs="宋体"/>
                <w:color w:val="auto"/>
                <w:sz w:val="24"/>
                <w:szCs w:val="24"/>
                <w:highlight w:val="none"/>
                <w:rtl w:val="0"/>
                <w:lang w:val="zh-TW" w:eastAsia="zh-TW"/>
              </w:rPr>
              <w:t xml:space="preserve">若故障可在短时间内排除，采购代理机构将等待系统修复后，由原评审委员会继续完成评审；</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2. </w:t>
            </w:r>
            <w:r>
              <w:rPr>
                <w:rFonts w:ascii="宋体" w:hAnsi="宋体" w:eastAsia="宋体" w:cs="宋体"/>
                <w:color w:val="auto"/>
                <w:sz w:val="24"/>
                <w:szCs w:val="24"/>
                <w:highlight w:val="none"/>
                <w:rtl w:val="0"/>
                <w:lang w:val="zh-TW" w:eastAsia="zh-TW"/>
              </w:rPr>
              <w:t xml:space="preserve">若故障无法在当日排除，或故障导致评审无法公正进行，将发布废标（终止）公告，重新开展采购活动；</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en-US"/>
              </w:rPr>
              <w:t xml:space="preserve">3.</w:t>
            </w:r>
            <w:r>
              <w:rPr>
                <w:rFonts w:ascii="宋体" w:hAnsi="宋体" w:eastAsia="宋体" w:cs="宋体"/>
                <w:color w:val="auto"/>
                <w:sz w:val="24"/>
                <w:szCs w:val="24"/>
                <w:highlight w:val="none"/>
                <w:rtl w:val="0"/>
                <w:lang w:val="zh-TW" w:eastAsia="zh-TW"/>
              </w:rPr>
              <w:t xml:space="preserve">若需在第二日继续评审，采购代理机构将重新从政府采购评审专家库中抽取专家，组建新的评审委员会，在系统修复后继续评审活动。</w:t>
            </w:r>
            <w:r/>
          </w:p>
          <w:p>
            <w:pPr>
              <w:pStyle w:val="1158"/>
              <w:ind w:left="0" w:right="0" w:firstLine="0"/>
              <w:jc w:val="left"/>
              <w:rPr>
                <w:rFonts w:ascii="宋体" w:hAnsi="宋体" w:eastAsia="宋体" w:cs="宋体"/>
                <w:color w:val="auto"/>
                <w:sz w:val="24"/>
                <w:szCs w:val="24"/>
                <w:highlight w:val="none"/>
                <w:rtl w:val="0"/>
              </w:rPr>
            </w:pPr>
            <w:r>
              <w:rPr>
                <w:rFonts w:ascii="宋体" w:hAnsi="宋体" w:eastAsia="宋体" w:cs="宋体"/>
                <w:color w:val="auto"/>
                <w:sz w:val="24"/>
                <w:szCs w:val="24"/>
                <w:highlight w:val="none"/>
                <w:rtl w:val="0"/>
                <w:lang w:val="zh-TW" w:eastAsia="zh-TW"/>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pStyle w:val="1158"/>
              <w:ind w:left="0" w:right="0" w:firstLine="0"/>
              <w:jc w:val="left"/>
              <w:rPr>
                <w:rFonts w:hint="eastAsia" w:ascii="宋体" w:hAnsi="宋体" w:eastAsia="宋体" w:cs="宋体"/>
                <w:color w:val="auto"/>
                <w:sz w:val="24"/>
                <w:szCs w:val="24"/>
                <w:highlight w:val="none"/>
                <w:u w:val="single"/>
              </w:rPr>
            </w:pPr>
            <w:r>
              <w:rPr>
                <w:rFonts w:ascii="宋体" w:hAnsi="宋体" w:eastAsia="宋体" w:cs="宋体"/>
                <w:color w:val="auto"/>
                <w:sz w:val="24"/>
                <w:szCs w:val="24"/>
                <w:highlight w:val="none"/>
                <w:u w:val="none"/>
                <w:rtl w:val="0"/>
                <w:lang w:val="zh-TW" w:eastAsia="zh-TW"/>
              </w:rPr>
              <w:t xml:space="preserve">（四）供应商责任：供应商有责任确保自身网络环境、设备及数字证书（</w:t>
            </w:r>
            <w:r>
              <w:rPr>
                <w:rFonts w:ascii="宋体" w:hAnsi="宋体" w:eastAsia="宋体" w:cs="宋体"/>
                <w:color w:val="auto"/>
                <w:sz w:val="24"/>
                <w:szCs w:val="24"/>
                <w:highlight w:val="none"/>
                <w:u w:val="none"/>
                <w:rtl w:val="0"/>
                <w:lang w:val="en-US"/>
              </w:rPr>
              <w:t xml:space="preserve">CA</w:t>
            </w:r>
            <w:r>
              <w:rPr>
                <w:rFonts w:ascii="宋体" w:hAnsi="宋体" w:eastAsia="宋体" w:cs="宋体"/>
                <w:color w:val="auto"/>
                <w:sz w:val="24"/>
                <w:szCs w:val="24"/>
                <w:highlight w:val="none"/>
                <w:u w:val="none"/>
                <w:rtl w:val="0"/>
                <w:lang w:val="zh-TW" w:eastAsia="zh-TW"/>
              </w:rPr>
              <w:t xml:space="preserve">）的正常，并在招标文件规定的期限内完成文件上传、解密等操作。因供应商自身原因导致的操作失败，不适用本意外情况处理条款。</w:t>
            </w:r>
            <w:r/>
          </w:p>
        </w:tc>
      </w:tr>
    </w:tbl>
    <w:p>
      <w:pPr>
        <w:jc w:val="both"/>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titlePg/>
        </w:sectPr>
        <w:outlineLvl w:val="9"/>
      </w:pPr>
      <w:r>
        <w:rPr>
          <w:color w:val="auto"/>
          <w:sz w:val="24"/>
          <w:highlight w:val="none"/>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供应商须知</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70" w:name="_Toc127151518"/>
      <w:r/>
      <w:bookmarkStart w:id="71" w:name="_Toc264969208"/>
      <w:r/>
      <w:bookmarkStart w:id="72" w:name="_Toc151193832"/>
      <w:r/>
      <w:bookmarkStart w:id="73" w:name="_Toc151193906"/>
      <w:r/>
      <w:bookmarkStart w:id="74" w:name="_Toc226965708"/>
      <w:r/>
      <w:bookmarkStart w:id="75" w:name="_Toc150774723"/>
      <w:r/>
      <w:bookmarkStart w:id="76" w:name="_Toc305158786"/>
      <w:r/>
      <w:bookmarkStart w:id="77" w:name="_Toc150480756"/>
      <w:r/>
      <w:bookmarkStart w:id="78" w:name="_Toc142311020"/>
      <w:r/>
      <w:bookmarkStart w:id="79" w:name="_Toc151190145"/>
      <w:r/>
      <w:bookmarkStart w:id="80" w:name="_Toc195842883"/>
      <w:r/>
      <w:bookmarkStart w:id="81" w:name="_Toc520356143"/>
      <w:r/>
      <w:bookmarkStart w:id="82" w:name="_Toc226965791"/>
      <w:r/>
      <w:bookmarkStart w:id="83" w:name="_Toc226309762"/>
      <w:r/>
      <w:bookmarkStart w:id="84" w:name="_Toc150509269"/>
      <w:r/>
      <w:bookmarkStart w:id="85" w:name="_Toc151193760"/>
      <w:r/>
      <w:bookmarkStart w:id="86" w:name="_Toc265228356"/>
      <w:r/>
      <w:bookmarkStart w:id="87" w:name="_Toc150774618"/>
      <w:r/>
      <w:bookmarkStart w:id="88" w:name="_Toc226337214"/>
      <w:r/>
      <w:bookmarkStart w:id="89" w:name="_Toc151193616"/>
      <w:r/>
      <w:bookmarkStart w:id="90" w:name="_Toc151193688"/>
      <w:r/>
      <w:bookmarkStart w:id="91" w:name="_Toc305158860"/>
      <w:r>
        <w:rPr>
          <w:rFonts w:hint="eastAsia" w:ascii="宋体" w:hAnsi="宋体" w:eastAsia="宋体" w:cs="Times New Roman"/>
          <w:b/>
          <w:bCs/>
          <w:color w:val="auto"/>
          <w:sz w:val="28"/>
          <w:szCs w:val="28"/>
          <w:highlight w:val="none"/>
          <w:lang w:val="en-US" w:eastAsia="zh-CN"/>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92" w:name="_Toc265228357"/>
      <w:r/>
      <w:bookmarkStart w:id="93" w:name="_Toc264969209"/>
      <w:r/>
      <w:bookmarkStart w:id="94" w:name="_Toc305158861"/>
      <w:r/>
      <w:bookmarkStart w:id="95" w:name="_Toc305158787"/>
      <w:r>
        <w:rPr>
          <w:rFonts w:hint="eastAsia" w:ascii="宋体" w:hAnsi="宋体" w:eastAsia="宋体" w:cs="宋体"/>
          <w:color w:val="auto"/>
          <w:sz w:val="24"/>
          <w:szCs w:val="24"/>
          <w:highlight w:val="none"/>
        </w:rPr>
        <w:t xml:space="preserve">采购人、采购代理机构、供应商</w:t>
      </w:r>
      <w:bookmarkEnd w:id="92"/>
      <w:r/>
      <w:bookmarkEnd w:id="93"/>
      <w:r/>
      <w:bookmarkEnd w:id="94"/>
      <w:r/>
      <w:bookmarkEnd w:id="95"/>
      <w:r>
        <w:rPr>
          <w:rFonts w:hint="eastAsia" w:ascii="宋体" w:hAnsi="宋体" w:eastAsia="宋体" w:cs="宋体"/>
          <w:color w:val="auto"/>
          <w:sz w:val="24"/>
          <w:szCs w:val="24"/>
          <w:highlight w:val="none"/>
        </w:rPr>
        <w:t xml:space="preserve">、联合体</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供应商（也称“申请人”）：指向采购人提供货物、工程或者服务的法人、其他组织或者自然人。</w:t>
      </w:r>
      <w:r/>
    </w:p>
    <w:p>
      <w:pPr>
        <w:numPr>
          <w:ilvl w:val="1"/>
          <w:numId w:val="8"/>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联合体：指两个以上的自然人、法人或者其他组织组成一个联合体，以一个供应商的身份共同参加政府采购。</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96" w:name="_Toc305158788"/>
      <w:r/>
      <w:bookmarkStart w:id="97" w:name="_Toc142311022"/>
      <w:r/>
      <w:bookmarkStart w:id="98" w:name="_Toc226309764"/>
      <w:r/>
      <w:bookmarkStart w:id="99" w:name="_Toc264969210"/>
      <w:r/>
      <w:bookmarkStart w:id="100" w:name="_Toc151193834"/>
      <w:r/>
      <w:bookmarkStart w:id="101" w:name="_Toc127151721"/>
      <w:r/>
      <w:bookmarkStart w:id="102" w:name="_Toc127151520"/>
      <w:r/>
      <w:bookmarkStart w:id="103" w:name="_Toc150774725"/>
      <w:r/>
      <w:bookmarkStart w:id="104" w:name="_Toc151193762"/>
      <w:r/>
      <w:bookmarkStart w:id="105" w:name="_Toc226337216"/>
      <w:r/>
      <w:bookmarkStart w:id="106" w:name="_Toc150774620"/>
      <w:r/>
      <w:bookmarkStart w:id="107" w:name="_Toc150480758"/>
      <w:r/>
      <w:bookmarkStart w:id="108" w:name="_Toc127161434"/>
      <w:r/>
      <w:bookmarkStart w:id="109" w:name="_Toc305158862"/>
      <w:r/>
      <w:bookmarkStart w:id="110" w:name="_Toc151193908"/>
      <w:r/>
      <w:bookmarkStart w:id="111" w:name="_Toc149720813"/>
      <w:r/>
      <w:bookmarkStart w:id="112" w:name="_Toc151193618"/>
      <w:r/>
      <w:bookmarkStart w:id="113" w:name="_Toc195842885"/>
      <w:r/>
      <w:bookmarkStart w:id="114" w:name="_Toc265228358"/>
      <w:r/>
      <w:bookmarkStart w:id="115" w:name="_Toc226965793"/>
      <w:r/>
      <w:bookmarkStart w:id="116" w:name="_Toc164229215"/>
      <w:r/>
      <w:bookmarkStart w:id="117" w:name="_Toc164229361"/>
      <w:r/>
      <w:bookmarkStart w:id="118" w:name="_Toc151193690"/>
      <w:r/>
      <w:bookmarkStart w:id="119" w:name="_Toc164608789"/>
      <w:r/>
      <w:bookmarkStart w:id="120" w:name="_Toc150509271"/>
      <w:r/>
      <w:bookmarkStart w:id="121" w:name="_Toc151190147"/>
      <w:r/>
      <w:bookmarkStart w:id="122" w:name="_Toc164608634"/>
      <w:r/>
      <w:bookmarkStart w:id="123" w:name="_Toc164351614"/>
      <w:r/>
      <w:bookmarkStart w:id="124" w:name="_Toc226965710"/>
      <w:r>
        <w:rPr>
          <w:rFonts w:hint="eastAsia" w:ascii="宋体" w:hAnsi="宋体" w:eastAsia="宋体" w:cs="宋体"/>
          <w:color w:val="auto"/>
          <w:sz w:val="24"/>
          <w:szCs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color w:val="auto"/>
          <w:sz w:val="24"/>
          <w:szCs w:val="24"/>
          <w:highlight w:val="none"/>
        </w:rPr>
        <w:t xml:space="preserve">、项目属性、科研仪器设备采购</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资金来源为财政性资金和/或本项目采购中无法与财政性资金分割的非财政性资金。</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项目属性见《供应商须知资料表》。</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是否属于科研仪器设备采购见《供应商须知资料表》。</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现场考察、磋商前答疑会</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若《供应商须知资料表》中规定了组织现场考察、召开磋商前答疑会，则供应商应按要求在规定的时间和地点参加。</w:t>
      </w:r>
      <w:bookmarkStart w:id="125" w:name="_Toc195842887"/>
      <w:r/>
      <w:bookmarkStart w:id="126" w:name="_Toc150509273"/>
      <w:r/>
      <w:bookmarkStart w:id="127" w:name="_Toc226337218"/>
      <w:r/>
      <w:bookmarkStart w:id="128" w:name="_Toc520356146"/>
      <w:r/>
      <w:bookmarkStart w:id="129" w:name="_Toc226965712"/>
      <w:r/>
      <w:bookmarkStart w:id="130" w:name="_Toc150774727"/>
      <w:r/>
      <w:bookmarkStart w:id="131" w:name="_Toc265228360"/>
      <w:r/>
      <w:bookmarkStart w:id="132" w:name="_Toc150774622"/>
      <w:r/>
      <w:bookmarkStart w:id="133" w:name="_Toc150480760"/>
      <w:r/>
      <w:bookmarkStart w:id="134" w:name="_Toc264969212"/>
      <w:r/>
      <w:bookmarkStart w:id="135" w:name="_Toc305158864"/>
      <w:r/>
      <w:bookmarkStart w:id="136" w:name="_Toc127151522"/>
      <w:r/>
      <w:bookmarkStart w:id="137" w:name="_Toc305158790"/>
      <w:r/>
      <w:bookmarkStart w:id="138" w:name="_Toc151190149"/>
      <w:r/>
      <w:bookmarkStart w:id="139" w:name="_Toc151193692"/>
      <w:r/>
      <w:bookmarkStart w:id="140" w:name="_Toc151193764"/>
      <w:r/>
      <w:bookmarkStart w:id="141" w:name="_Toc142311024"/>
      <w:r/>
      <w:bookmarkStart w:id="142" w:name="_Toc151193910"/>
      <w:r/>
      <w:bookmarkStart w:id="143" w:name="_Toc151193836"/>
      <w:r/>
      <w:bookmarkStart w:id="144" w:name="_Toc151193620"/>
      <w:r/>
      <w:bookmarkStart w:id="145" w:name="_Toc226309766"/>
      <w:r/>
      <w:bookmarkStart w:id="146" w:name="_Toc226965795"/>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政府采购政策（包括但不限于下列具体政策要求）</w:t>
      </w:r>
      <w:r/>
    </w:p>
    <w:p>
      <w:pPr>
        <w:numPr>
          <w:ilvl w:val="1"/>
          <w:numId w:val="9"/>
        </w:numPr>
        <w:ind w:left="1468" w:hanging="900"/>
        <w:spacing w:line="360" w:lineRule="auto"/>
        <w:tabs>
          <w:tab w:val="clear" w:pos="1589" w:leader="none"/>
          <w:tab w:val="left" w:pos="201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政府采购中实施本国产品标准及相关政策</w:t>
      </w:r>
      <w:r/>
    </w:p>
    <w:p>
      <w:pPr>
        <w:numPr>
          <w:ilvl w:val="2"/>
          <w:numId w:val="9"/>
        </w:numPr>
        <w:ind w:left="1980" w:hanging="900"/>
        <w:spacing w:line="360" w:lineRule="auto"/>
        <w:tabs>
          <w:tab w:val="clear" w:pos="19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本项目对采购本国产品给予政策支持，具体内容见</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文件“评标标准”。</w:t>
      </w:r>
      <w:r/>
    </w:p>
    <w:p>
      <w:pPr>
        <w:numPr>
          <w:ilvl w:val="2"/>
          <w:numId w:val="9"/>
        </w:numPr>
        <w:ind w:left="1980" w:hanging="900"/>
        <w:spacing w:line="360" w:lineRule="auto"/>
        <w:tabs>
          <w:tab w:val="clear" w:pos="19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9"/>
        </w:numPr>
        <w:ind w:left="1980" w:hanging="900"/>
        <w:spacing w:line="360" w:lineRule="auto"/>
        <w:tabs>
          <w:tab w:val="clear" w:pos="19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36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中小企业、监狱企业及残疾人福利性单位</w:t>
      </w:r>
      <w:r/>
    </w:p>
    <w:p>
      <w:pPr>
        <w:numPr>
          <w:ilvl w:val="0"/>
          <w:numId w:val="0"/>
        </w:numPr>
        <w:ind w:left="10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4.2.2</w:t>
      </w:r>
      <w:r>
        <w:rPr>
          <w:rFonts w:hint="eastAsia" w:ascii="宋体" w:hAnsi="宋体" w:eastAsia="宋体" w:cs="宋体"/>
          <w:color w:val="auto"/>
          <w:sz w:val="24"/>
          <w:szCs w:val="24"/>
          <w:highlight w:val="none"/>
        </w:rPr>
        <w:t xml:space="preserve">中小企业定义：</w:t>
      </w:r>
      <w:r/>
    </w:p>
    <w:p>
      <w:pPr>
        <w:pStyle w:val="1115"/>
        <w:numPr>
          <w:ilvl w:val="0"/>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0"/>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0"/>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0"/>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1"/>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1"/>
          <w:numId w:val="10"/>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2"/>
          <w:numId w:val="10"/>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供应商提供的货物、工程或者服务符合下列情形的，享受中小企业扶持政策：</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残疾人福利单位定义：享受政府采购支持政策的残疾人福利性单位应当同时满足以下条件：</w:t>
      </w:r>
      <w:r/>
    </w:p>
    <w:p>
      <w:pPr>
        <w:pStyle w:val="1115"/>
        <w:numPr>
          <w:ilvl w:val="2"/>
          <w:numId w:val="10"/>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pStyle w:val="1115"/>
        <w:numPr>
          <w:ilvl w:val="2"/>
          <w:numId w:val="10"/>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rPr>
        <w:outlineLvl w:val="9"/>
      </w:pPr>
      <w:r>
        <w:rPr>
          <w:rFonts w:hint="eastAsia" w:ascii="宋体" w:hAnsi="宋体" w:eastAsia="宋体" w:cs="宋体"/>
          <w:vanish/>
          <w:color w:val="auto"/>
          <w:sz w:val="24"/>
          <w:szCs w:val="24"/>
          <w:highlight w:val="none"/>
        </w:rPr>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安置的残疾人占本单位在职职工人数的比例不低于25%（含25%），并且安置的残疾人人数不少于10 人（含10 人）；</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依法与安置的每位残疾人签订了一年以上（含一年）的劳动合同或服务协议；</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为安置的每位残疾人按月足额缴纳了基本养老保险、基本医疗保险、失业保险、工伤保险和生育保险等社会保险费；</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本项目是否专门面向中小企业预留采购份额见第一章《采购邀请》。</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采购标的对应的中小企业划分标准所属行业见《供应商须知资料表》。</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小微企业价格评审优惠的政策调整：见第三章《评审方法和评审标准》。</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政府采购节能产品、环境标志产品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本项目不涉及</w:t>
      </w:r>
      <w:r>
        <w:rPr>
          <w:rFonts w:hint="eastAsia" w:ascii="宋体" w:hAnsi="宋体" w:eastAsia="宋体" w:cs="宋体"/>
          <w:color w:val="auto"/>
          <w:sz w:val="24"/>
          <w:szCs w:val="24"/>
          <w:highlight w:val="none"/>
          <w:lang w:eastAsia="zh-CN"/>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非政府强制采购的节能产品或环境标志产品，依据品目清单和认证证书实施政府优先采购。优先采购的具体规定见第三章《评审方法和评审标准》。</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依据《关于印发〈商品包装政府采购需求标准（试行）〉、〈快递包装政府采购需求标准（试行）〉的通知》（财办库〔2020〕123号）</w:t>
      </w:r>
      <w:r>
        <w:rPr>
          <w:rFonts w:hint="eastAsia" w:ascii="宋体" w:hAnsi="宋体" w:cs="宋体"/>
          <w:color w:val="auto"/>
          <w:sz w:val="24"/>
          <w:szCs w:val="24"/>
          <w:highlight w:val="none"/>
          <w:lang w:eastAsia="zh-CN"/>
        </w:rPr>
        <w:t xml:space="preserve">、财政部 生态环境部 工业和信息化部关于印发《绿色数据中心政府采购需求标准(试行)"的通知(财库{2023}7号)</w:t>
      </w:r>
      <w:r>
        <w:rPr>
          <w:rFonts w:hint="eastAsia" w:ascii="宋体" w:hAnsi="宋体" w:eastAsia="宋体" w:cs="宋体"/>
          <w:color w:val="auto"/>
          <w:sz w:val="24"/>
          <w:szCs w:val="24"/>
          <w:highlight w:val="none"/>
        </w:rPr>
        <w:t xml:space="preserve">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支持乡村产业振兴管理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本项目不涉及</w:t>
      </w:r>
      <w:r>
        <w:rPr>
          <w:rFonts w:hint="eastAsia" w:ascii="宋体" w:hAnsi="宋体" w:eastAsia="宋体" w:cs="宋体"/>
          <w:color w:val="auto"/>
          <w:sz w:val="24"/>
          <w:szCs w:val="24"/>
          <w:highlight w:val="none"/>
          <w:lang w:eastAsia="zh-CN"/>
        </w:rPr>
        <w:t xml:space="preserve">）</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正版软件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本项目不涉及</w:t>
      </w:r>
      <w:r>
        <w:rPr>
          <w:rFonts w:hint="eastAsia" w:ascii="宋体" w:hAnsi="宋体" w:eastAsia="宋体" w:cs="宋体"/>
          <w:color w:val="auto"/>
          <w:sz w:val="24"/>
          <w:szCs w:val="24"/>
          <w:highlight w:val="none"/>
          <w:lang w:eastAsia="zh-CN"/>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政府采购创新产品政策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本项目不涉及</w:t>
      </w:r>
      <w:r>
        <w:rPr>
          <w:rFonts w:hint="eastAsia" w:ascii="宋体" w:hAnsi="宋体" w:eastAsia="宋体" w:cs="宋体"/>
          <w:color w:val="auto"/>
          <w:sz w:val="24"/>
          <w:szCs w:val="24"/>
          <w:highlight w:val="none"/>
          <w:lang w:eastAsia="zh-CN"/>
        </w:rPr>
        <w:t xml:space="preserve">）</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绿色采购政策</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绿色数据中心政策 </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依据《绿色数据中心政府采购需求标准（试行）》（财办库〔2023〕7 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推广应用绿色建材</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优先使用低挥发性有机化合物产品</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应当提供符合国家和江苏省相关VOCs 含量限制标准的产品；属于推荐性标准的，应当在采购文件中载明低VOCs的优惠幅度、评审标准等，以体现优先采购。</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响应费用</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供应商应自行承担所有与准备和参加磋商有关的费用，无论磋商的结果如何，采购人或采购代理机构在任何情况下均无承担这些费用的义务和责任。</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147" w:name="_1.8_计量单位"/>
      <w:r/>
      <w:bookmarkEnd w:id="147"/>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148" w:name="_Toc164608637"/>
      <w:r/>
      <w:bookmarkStart w:id="149" w:name="_Toc520356147"/>
      <w:r/>
      <w:bookmarkStart w:id="150" w:name="_Toc127151523"/>
      <w:r/>
      <w:bookmarkStart w:id="151" w:name="_Toc150480761"/>
      <w:r/>
      <w:bookmarkStart w:id="152" w:name="_Toc151193621"/>
      <w:r/>
      <w:bookmarkStart w:id="153" w:name="_Toc164351617"/>
      <w:r/>
      <w:bookmarkStart w:id="154" w:name="_Toc142311025"/>
      <w:r/>
      <w:bookmarkStart w:id="155" w:name="_Toc151193693"/>
      <w:r/>
      <w:bookmarkStart w:id="156" w:name="_Toc164229364"/>
      <w:r/>
      <w:bookmarkStart w:id="157" w:name="_Toc164229218"/>
      <w:r/>
      <w:bookmarkStart w:id="158" w:name="_Toc264969213"/>
      <w:r/>
      <w:bookmarkStart w:id="159" w:name="_Toc151190150"/>
      <w:r/>
      <w:bookmarkStart w:id="160" w:name="_Toc149720816"/>
      <w:r/>
      <w:bookmarkStart w:id="161" w:name="_Toc226965796"/>
      <w:r/>
      <w:bookmarkStart w:id="162" w:name="_Toc305158865"/>
      <w:r/>
      <w:bookmarkStart w:id="163" w:name="_Toc164608792"/>
      <w:r/>
      <w:bookmarkStart w:id="164" w:name="_Toc226309767"/>
      <w:r/>
      <w:bookmarkStart w:id="165" w:name="_Toc226965713"/>
      <w:r/>
      <w:bookmarkStart w:id="166" w:name="_Toc150774728"/>
      <w:r/>
      <w:bookmarkStart w:id="167" w:name="_Toc151193765"/>
      <w:r/>
      <w:bookmarkStart w:id="168" w:name="_Toc151193837"/>
      <w:r/>
      <w:bookmarkStart w:id="169" w:name="_Toc127161437"/>
      <w:r/>
      <w:bookmarkStart w:id="170" w:name="_Toc195842888"/>
      <w:r/>
      <w:bookmarkStart w:id="171" w:name="_Toc150774623"/>
      <w:r/>
      <w:bookmarkStart w:id="172" w:name="_Toc150509274"/>
      <w:r/>
      <w:bookmarkStart w:id="173" w:name="_Toc265228361"/>
      <w:r/>
      <w:bookmarkStart w:id="174" w:name="_Toc151193911"/>
      <w:r/>
      <w:bookmarkStart w:id="175" w:name="_Toc226337219"/>
      <w:r/>
      <w:bookmarkStart w:id="176" w:name="_Toc305158791"/>
      <w:r/>
      <w:bookmarkStart w:id="177" w:name="_Toc127151724"/>
      <w:r>
        <w:rPr>
          <w:rFonts w:hint="eastAsia" w:ascii="宋体" w:hAnsi="宋体" w:eastAsia="宋体" w:cs="宋体"/>
          <w:color w:val="auto"/>
          <w:sz w:val="24"/>
          <w:szCs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成</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竞争性磋商文件包括以下部分：</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采购邀请</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评审程序、评审方法和评审标准</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合同草案条款</w:t>
      </w:r>
      <w:r/>
    </w:p>
    <w:p>
      <w:pPr>
        <w:numPr>
          <w:ilvl w:val="0"/>
          <w:numId w:val="11"/>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rPr>
        <w:t xml:space="preserve">响应无效</w:t>
      </w:r>
      <w:r>
        <w:rPr>
          <w:rFonts w:hint="eastAsia" w:ascii="宋体" w:hAnsi="宋体" w:eastAsia="宋体" w:cs="宋体"/>
          <w:color w:val="auto"/>
          <w:sz w:val="24"/>
          <w:szCs w:val="24"/>
          <w:highlight w:val="none"/>
        </w:rPr>
        <w:t xml:space="preserve">。</w:t>
      </w:r>
      <w:r/>
    </w:p>
    <w:p>
      <w:pPr>
        <w:numPr>
          <w:ilvl w:val="0"/>
          <w:numId w:val="8"/>
        </w:numPr>
        <w:ind w:left="357" w:hanging="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对竞争性磋商文件的澄清或修改</w:t>
      </w:r>
      <w:r/>
    </w:p>
    <w:p>
      <w:pPr>
        <w:numPr>
          <w:ilvl w:val="1"/>
          <w:numId w:val="8"/>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178" w:name="_Toc516367020"/>
      <w:r/>
      <w:bookmarkStart w:id="179" w:name="_Toc151193840"/>
      <w:r/>
      <w:bookmarkStart w:id="180" w:name="_Toc151193768"/>
      <w:r/>
      <w:bookmarkStart w:id="181" w:name="_Toc195842891"/>
      <w:r/>
      <w:bookmarkStart w:id="182" w:name="_Toc305158868"/>
      <w:r/>
      <w:bookmarkStart w:id="183" w:name="_Toc226309770"/>
      <w:r/>
      <w:bookmarkStart w:id="184" w:name="_Toc127151526"/>
      <w:r/>
      <w:bookmarkStart w:id="185" w:name="_Toc150509277"/>
      <w:r/>
      <w:bookmarkStart w:id="186" w:name="_Toc150774731"/>
      <w:r/>
      <w:bookmarkStart w:id="187" w:name="_Toc265228364"/>
      <w:r/>
      <w:bookmarkStart w:id="188" w:name="_Toc150774626"/>
      <w:r/>
      <w:bookmarkStart w:id="189" w:name="_Toc142311028"/>
      <w:r/>
      <w:bookmarkStart w:id="190" w:name="_Toc520356150"/>
      <w:r/>
      <w:bookmarkStart w:id="191" w:name="_Toc226965716"/>
      <w:r/>
      <w:bookmarkStart w:id="192" w:name="_Toc305158794"/>
      <w:r/>
      <w:bookmarkStart w:id="193" w:name="_Toc226965799"/>
      <w:r/>
      <w:bookmarkStart w:id="194" w:name="_Toc151193624"/>
      <w:r/>
      <w:bookmarkStart w:id="195" w:name="_Toc150480764"/>
      <w:r/>
      <w:bookmarkStart w:id="196" w:name="_Toc151193914"/>
      <w:r/>
      <w:bookmarkStart w:id="197" w:name="_Toc264969216"/>
      <w:r/>
      <w:bookmarkStart w:id="198" w:name="_Toc151190153"/>
      <w:r/>
      <w:bookmarkStart w:id="199" w:name="_Toc151193696"/>
      <w:r/>
      <w:bookmarkStart w:id="200" w:name="_Toc226337222"/>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三   响应文件</w:t>
      </w:r>
      <w:bookmarkEnd w:id="178"/>
      <w:r>
        <w:rPr>
          <w:rFonts w:hint="eastAsia" w:ascii="宋体" w:hAnsi="宋体" w:eastAsia="宋体" w:cs="Times New Roman"/>
          <w:b/>
          <w:bCs/>
          <w:color w:val="auto"/>
          <w:sz w:val="28"/>
          <w:szCs w:val="28"/>
          <w:highlight w:val="none"/>
          <w:lang w:val="en-US" w:eastAsia="zh-CN"/>
        </w:rPr>
        <w:t xml:space="preserve">的编制</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201" w:name="_Toc149720820"/>
      <w:r/>
      <w:bookmarkStart w:id="202" w:name="_Toc150774627"/>
      <w:r/>
      <w:bookmarkStart w:id="203" w:name="_Toc164608641"/>
      <w:r/>
      <w:bookmarkStart w:id="204" w:name="_Toc127151527"/>
      <w:r/>
      <w:bookmarkStart w:id="205" w:name="_Toc520356151"/>
      <w:r/>
      <w:bookmarkStart w:id="206" w:name="_Toc150480765"/>
      <w:r/>
      <w:bookmarkStart w:id="207" w:name="_Toc151193915"/>
      <w:r/>
      <w:bookmarkStart w:id="208" w:name="_Toc265228365"/>
      <w:r/>
      <w:bookmarkStart w:id="209" w:name="_Toc226337223"/>
      <w:r/>
      <w:bookmarkStart w:id="210" w:name="_Toc305158795"/>
      <w:r/>
      <w:bookmarkStart w:id="211" w:name="_Toc151193841"/>
      <w:r/>
      <w:bookmarkStart w:id="212" w:name="_Toc164229368"/>
      <w:r/>
      <w:bookmarkStart w:id="213" w:name="_Toc127151728"/>
      <w:r/>
      <w:bookmarkStart w:id="214" w:name="_Toc142311029"/>
      <w:r/>
      <w:bookmarkStart w:id="215" w:name="_Toc195842892"/>
      <w:r/>
      <w:bookmarkStart w:id="216" w:name="_Toc226965800"/>
      <w:r/>
      <w:bookmarkStart w:id="217" w:name="_Toc151193697"/>
      <w:r/>
      <w:bookmarkStart w:id="218" w:name="_Toc164608796"/>
      <w:r/>
      <w:bookmarkStart w:id="219" w:name="_Toc151193625"/>
      <w:r/>
      <w:bookmarkStart w:id="220" w:name="_Toc226309771"/>
      <w:r/>
      <w:bookmarkStart w:id="221" w:name="_Toc164351621"/>
      <w:r/>
      <w:bookmarkStart w:id="222" w:name="_Toc151193769"/>
      <w:r/>
      <w:bookmarkStart w:id="223" w:name="_Toc150509278"/>
      <w:r/>
      <w:bookmarkStart w:id="224" w:name="_Toc226965717"/>
      <w:r/>
      <w:bookmarkStart w:id="225" w:name="_Toc150774732"/>
      <w:r/>
      <w:bookmarkStart w:id="226" w:name="_Toc516367021"/>
      <w:r/>
      <w:bookmarkStart w:id="227" w:name="_Toc127161441"/>
      <w:r/>
      <w:bookmarkStart w:id="228" w:name="_Toc264969217"/>
      <w:r/>
      <w:bookmarkStart w:id="229" w:name="_Toc151190154"/>
      <w:r/>
      <w:bookmarkStart w:id="230" w:name="_Toc305158869"/>
      <w:r/>
      <w:bookmarkStart w:id="231" w:name="_Toc164229222"/>
      <w:r>
        <w:rPr>
          <w:rFonts w:hint="eastAsia" w:ascii="宋体" w:hAnsi="宋体" w:eastAsia="宋体" w:cs="宋体"/>
          <w:color w:val="auto"/>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auto"/>
          <w:sz w:val="24"/>
          <w:highlight w:val="none"/>
        </w:rPr>
        <w:t xml:space="preserve">及磋商语言</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232" w:name="_Ref467306676"/>
      <w:r/>
      <w:bookmarkStart w:id="233" w:name="_Ref467306195"/>
      <w:r/>
      <w:bookmarkStart w:id="234" w:name="_Toc516367022"/>
      <w:r/>
      <w:bookmarkStart w:id="235" w:name="_Toc127151528"/>
      <w:r/>
      <w:bookmarkStart w:id="236" w:name="_Toc164608797"/>
      <w:r/>
      <w:bookmarkStart w:id="237" w:name="_Toc164229223"/>
      <w:r/>
      <w:bookmarkStart w:id="238" w:name="_Toc151193842"/>
      <w:r/>
      <w:bookmarkStart w:id="239" w:name="_Toc149720821"/>
      <w:r/>
      <w:bookmarkStart w:id="240" w:name="_Toc226965801"/>
      <w:r/>
      <w:bookmarkStart w:id="241" w:name="_Toc151193698"/>
      <w:r/>
      <w:bookmarkStart w:id="242" w:name="_Toc151193626"/>
      <w:r/>
      <w:bookmarkStart w:id="243" w:name="_Toc164608642"/>
      <w:r/>
      <w:bookmarkStart w:id="244" w:name="_Toc127151729"/>
      <w:r/>
      <w:bookmarkStart w:id="245" w:name="_Toc150509279"/>
      <w:r/>
      <w:bookmarkStart w:id="246" w:name="_Toc226965718"/>
      <w:r/>
      <w:bookmarkStart w:id="247" w:name="_Toc150480766"/>
      <w:r/>
      <w:bookmarkStart w:id="248" w:name="_Toc226337224"/>
      <w:r/>
      <w:bookmarkStart w:id="249" w:name="_Toc151190155"/>
      <w:r/>
      <w:bookmarkStart w:id="250" w:name="_Toc305158870"/>
      <w:r/>
      <w:bookmarkStart w:id="251" w:name="_Toc164351622"/>
      <w:r/>
      <w:bookmarkStart w:id="252" w:name="_Toc520356152"/>
      <w:r/>
      <w:bookmarkStart w:id="253" w:name="_Toc265228366"/>
      <w:r/>
      <w:bookmarkStart w:id="254" w:name="_Toc305158796"/>
      <w:r/>
      <w:bookmarkStart w:id="255" w:name="_Toc264969218"/>
      <w:r/>
      <w:bookmarkStart w:id="256" w:name="_Toc195842893"/>
      <w:r/>
      <w:bookmarkStart w:id="257" w:name="_Toc226309772"/>
      <w:r/>
      <w:bookmarkStart w:id="258" w:name="_Toc142311030"/>
      <w:r/>
      <w:bookmarkStart w:id="259" w:name="_Toc127161442"/>
      <w:r/>
      <w:bookmarkStart w:id="260" w:name="_Toc150774628"/>
      <w:r/>
      <w:bookmarkStart w:id="261" w:name="_Toc150774733"/>
      <w:r/>
      <w:bookmarkStart w:id="262" w:name="_Toc164229369"/>
      <w:r/>
      <w:bookmarkStart w:id="263" w:name="_Toc151193770"/>
      <w:r/>
      <w:bookmarkStart w:id="264" w:name="_Toc151193916"/>
      <w:r>
        <w:rPr>
          <w:rFonts w:hint="eastAsia" w:ascii="宋体" w:hAnsi="宋体" w:eastAsia="宋体" w:cs="宋体"/>
          <w:color w:val="auto"/>
          <w:sz w:val="24"/>
          <w:highlight w:val="none"/>
        </w:rPr>
        <w:t xml:space="preserve">响应文件</w:t>
      </w:r>
      <w:bookmarkEnd w:id="232"/>
      <w:r/>
      <w:bookmarkEnd w:id="233"/>
      <w:r/>
      <w:bookmarkEnd w:id="234"/>
      <w:r>
        <w:rPr>
          <w:rFonts w:hint="eastAsia" w:ascii="宋体" w:hAnsi="宋体" w:eastAsia="宋体" w:cs="宋体"/>
          <w:color w:val="auto"/>
          <w:sz w:val="24"/>
          <w:highlight w:val="none"/>
        </w:rPr>
        <w:t xml:space="preserve">构成</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bookmarkStart w:id="265" w:name="_Ref467052588"/>
      <w:r>
        <w:rPr>
          <w:rFonts w:hint="eastAsia" w:ascii="宋体" w:hAnsi="宋体" w:eastAsia="宋体" w:cs="宋体"/>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rPr>
        <w:t xml:space="preserve">否则响应无效</w:t>
      </w:r>
      <w:r>
        <w:rPr>
          <w:rFonts w:hint="eastAsia" w:ascii="宋体" w:hAnsi="宋体" w:eastAsia="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第三章《评审方法和评审标准》中涉及的证明文件。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供应商认为应附的其他材料。</w:t>
      </w:r>
      <w:bookmarkEnd w:id="265"/>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266" w:name="_Toc151193844"/>
      <w:r/>
      <w:bookmarkStart w:id="267" w:name="_Toc150774735"/>
      <w:r/>
      <w:bookmarkStart w:id="268" w:name="_Toc151193772"/>
      <w:r/>
      <w:bookmarkStart w:id="269" w:name="_Toc151193700"/>
      <w:r/>
      <w:bookmarkStart w:id="270" w:name="_Toc520356155"/>
      <w:r/>
      <w:bookmarkStart w:id="271" w:name="_Toc142311032"/>
      <w:r/>
      <w:bookmarkStart w:id="272" w:name="_Toc164608644"/>
      <w:r/>
      <w:bookmarkStart w:id="273" w:name="_Toc150480768"/>
      <w:r/>
      <w:bookmarkStart w:id="274" w:name="_Toc127151530"/>
      <w:r/>
      <w:bookmarkStart w:id="275" w:name="_Toc149720823"/>
      <w:r/>
      <w:bookmarkStart w:id="276" w:name="_Toc150774630"/>
      <w:r/>
      <w:bookmarkStart w:id="277" w:name="_Toc127161444"/>
      <w:r/>
      <w:bookmarkStart w:id="278" w:name="_Toc151190157"/>
      <w:r/>
      <w:bookmarkStart w:id="279" w:name="_Toc151193628"/>
      <w:r/>
      <w:bookmarkStart w:id="280" w:name="_Toc127151731"/>
      <w:r/>
      <w:bookmarkStart w:id="281" w:name="_Toc164608799"/>
      <w:r/>
      <w:bookmarkStart w:id="282" w:name="_Toc151193918"/>
      <w:r/>
      <w:bookmarkStart w:id="283" w:name="_Toc150509281"/>
      <w:r/>
      <w:bookmarkStart w:id="284" w:name="_Toc164229225"/>
      <w:r/>
      <w:bookmarkStart w:id="285" w:name="_Toc164229371"/>
      <w:r/>
      <w:bookmarkStart w:id="286" w:name="_Toc195842895"/>
      <w:r/>
      <w:bookmarkStart w:id="287" w:name="_Toc164351624"/>
      <w:r>
        <w:rPr>
          <w:rFonts w:hint="eastAsia" w:ascii="宋体" w:hAnsi="宋体" w:eastAsia="宋体" w:cs="宋体"/>
          <w:color w:val="auto"/>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所有响应均以人民币报价。</w:t>
      </w:r>
      <w:r/>
    </w:p>
    <w:p>
      <w:pPr>
        <w:numPr>
          <w:ilvl w:val="1"/>
          <w:numId w:val="8"/>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8"/>
        </w:num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按照竞争性磋商文件要求完成本项目的全部相关服务费用。</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供应商不能提供任何有选择性或可调整的最终报价（竞争性磋商文件另有规定的除外），否则其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磋商保证金</w:t>
      </w:r>
      <w:r/>
    </w:p>
    <w:p>
      <w:pPr>
        <w:ind w:firstLine="360"/>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根据江苏省和常州市的相关文件规定，免收保证金。</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响应有效期</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288" w:name="_Toc164608802"/>
      <w:r/>
      <w:bookmarkStart w:id="289" w:name="_Toc151193921"/>
      <w:r/>
      <w:bookmarkStart w:id="290" w:name="_Toc195842898"/>
      <w:r/>
      <w:bookmarkStart w:id="291" w:name="_Toc164351627"/>
      <w:r/>
      <w:bookmarkStart w:id="292" w:name="_Toc226309777"/>
      <w:r/>
      <w:bookmarkStart w:id="293" w:name="_Toc305158801"/>
      <w:r/>
      <w:bookmarkStart w:id="294" w:name="_Toc164229228"/>
      <w:r/>
      <w:bookmarkStart w:id="295" w:name="_Toc127151533"/>
      <w:r/>
      <w:bookmarkStart w:id="296" w:name="_Toc150774633"/>
      <w:r/>
      <w:bookmarkStart w:id="297" w:name="_Toc151193703"/>
      <w:r/>
      <w:bookmarkStart w:id="298" w:name="_Toc150509284"/>
      <w:r/>
      <w:bookmarkStart w:id="299" w:name="_Toc265228371"/>
      <w:r/>
      <w:bookmarkStart w:id="300" w:name="_Toc520356158"/>
      <w:r/>
      <w:bookmarkStart w:id="301" w:name="_Toc151193847"/>
      <w:r/>
      <w:bookmarkStart w:id="302" w:name="_Toc127151734"/>
      <w:r/>
      <w:bookmarkStart w:id="303" w:name="_Toc226965806"/>
      <w:r/>
      <w:bookmarkStart w:id="304" w:name="_Toc164229374"/>
      <w:r/>
      <w:bookmarkStart w:id="305" w:name="_Toc151190160"/>
      <w:r/>
      <w:bookmarkStart w:id="306" w:name="_Toc150480771"/>
      <w:r/>
      <w:bookmarkStart w:id="307" w:name="_Toc149720826"/>
      <w:r/>
      <w:bookmarkStart w:id="308" w:name="_Toc151193775"/>
      <w:r/>
      <w:bookmarkStart w:id="309" w:name="_Toc305158875"/>
      <w:r/>
      <w:bookmarkStart w:id="310" w:name="_Toc264969223"/>
      <w:r/>
      <w:bookmarkStart w:id="311" w:name="_Toc164608647"/>
      <w:r/>
      <w:bookmarkStart w:id="312" w:name="_Toc127161447"/>
      <w:r/>
      <w:bookmarkStart w:id="313" w:name="_Toc150774738"/>
      <w:r/>
      <w:bookmarkStart w:id="314" w:name="_Toc142311035"/>
      <w:r/>
      <w:bookmarkStart w:id="315" w:name="_Toc226965723"/>
      <w:r/>
      <w:bookmarkStart w:id="316" w:name="_Toc226337229"/>
      <w:r/>
      <w:bookmarkStart w:id="317" w:name="_Toc151193631"/>
      <w:r>
        <w:rPr>
          <w:rFonts w:hint="eastAsia" w:ascii="宋体" w:hAnsi="宋体" w:eastAsia="宋体" w:cs="宋体"/>
          <w:color w:val="auto"/>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ascii="宋体" w:hAnsi="宋体" w:eastAsia="宋体" w:cs="宋体"/>
          <w:color w:val="auto"/>
          <w:sz w:val="24"/>
          <w:highlight w:val="none"/>
        </w:rPr>
        <w:t xml:space="preserve">、盖章</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竞争性磋商文件要求盖章的内容，一般通过</w:t>
      </w:r>
      <w:r>
        <w:rPr>
          <w:rFonts w:hint="eastAsia" w:ascii="宋体" w:hAnsi="宋体" w:eastAsia="宋体" w:cs="宋体"/>
          <w:color w:val="auto"/>
          <w:sz w:val="24"/>
          <w:highlight w:val="none"/>
          <w:lang w:val="en-US" w:eastAsia="zh-CN"/>
        </w:rPr>
        <w:t xml:space="preserve">磋商响应文件</w:t>
      </w:r>
      <w:r>
        <w:rPr>
          <w:rFonts w:hint="eastAsia" w:ascii="宋体" w:hAnsi="宋体" w:eastAsia="宋体" w:cs="宋体"/>
          <w:color w:val="auto"/>
          <w:sz w:val="24"/>
          <w:highlight w:val="none"/>
        </w:rPr>
        <w:t xml:space="preserve">编制工具加盖电子签章。</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318" w:name="_Toc151193632"/>
      <w:r/>
      <w:bookmarkStart w:id="319" w:name="_Toc305158876"/>
      <w:r/>
      <w:bookmarkStart w:id="320" w:name="_Toc127151534"/>
      <w:r/>
      <w:bookmarkStart w:id="321" w:name="_Toc226309778"/>
      <w:r/>
      <w:bookmarkStart w:id="322" w:name="_Toc150774739"/>
      <w:r/>
      <w:bookmarkStart w:id="323" w:name="_Toc150509285"/>
      <w:r/>
      <w:bookmarkStart w:id="324" w:name="_Toc226965724"/>
      <w:r/>
      <w:bookmarkStart w:id="325" w:name="_Toc226965807"/>
      <w:r/>
      <w:bookmarkStart w:id="326" w:name="_Toc520356159"/>
      <w:r/>
      <w:bookmarkStart w:id="327" w:name="_Toc151193848"/>
      <w:r/>
      <w:bookmarkStart w:id="328" w:name="_Toc264969224"/>
      <w:r/>
      <w:bookmarkStart w:id="329" w:name="_Toc150480772"/>
      <w:r/>
      <w:bookmarkStart w:id="330" w:name="_Toc151193922"/>
      <w:r/>
      <w:bookmarkStart w:id="331" w:name="_Toc150774634"/>
      <w:r/>
      <w:bookmarkStart w:id="332" w:name="_Toc151190161"/>
      <w:r/>
      <w:bookmarkStart w:id="333" w:name="_Toc195842899"/>
      <w:r/>
      <w:bookmarkStart w:id="334" w:name="_Toc305158802"/>
      <w:r/>
      <w:bookmarkStart w:id="335" w:name="_Toc142311036"/>
      <w:r/>
      <w:bookmarkStart w:id="336" w:name="_Toc226337230"/>
      <w:r/>
      <w:bookmarkStart w:id="337" w:name="_Toc265228372"/>
      <w:r/>
      <w:bookmarkStart w:id="338" w:name="_Toc151193704"/>
      <w:r/>
      <w:bookmarkStart w:id="339" w:name="_Toc151193776"/>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340" w:name="_Toc151193705"/>
      <w:r/>
      <w:bookmarkStart w:id="341" w:name="_Toc265228373"/>
      <w:r/>
      <w:bookmarkStart w:id="342" w:name="_Toc226337231"/>
      <w:r/>
      <w:bookmarkStart w:id="343" w:name="_Toc127151535"/>
      <w:r/>
      <w:bookmarkStart w:id="344" w:name="_Toc195842900"/>
      <w:r/>
      <w:bookmarkStart w:id="345" w:name="_Toc142311037"/>
      <w:r/>
      <w:bookmarkStart w:id="346" w:name="_Toc151190162"/>
      <w:r/>
      <w:bookmarkStart w:id="347" w:name="_Toc226965808"/>
      <w:r/>
      <w:bookmarkStart w:id="348" w:name="_Toc127151736"/>
      <w:r/>
      <w:bookmarkStart w:id="349" w:name="_Toc150774635"/>
      <w:r/>
      <w:bookmarkStart w:id="350" w:name="_Toc226309779"/>
      <w:r/>
      <w:bookmarkStart w:id="351" w:name="_Toc164351629"/>
      <w:r/>
      <w:bookmarkStart w:id="352" w:name="_Toc151193923"/>
      <w:r/>
      <w:bookmarkStart w:id="353" w:name="_Toc305158877"/>
      <w:r/>
      <w:bookmarkStart w:id="354" w:name="_Toc150509286"/>
      <w:r/>
      <w:bookmarkStart w:id="355" w:name="_Toc264969225"/>
      <w:r/>
      <w:bookmarkStart w:id="356" w:name="_Toc149720828"/>
      <w:r/>
      <w:bookmarkStart w:id="357" w:name="_Toc127161449"/>
      <w:r/>
      <w:bookmarkStart w:id="358" w:name="_Toc164608649"/>
      <w:r/>
      <w:bookmarkStart w:id="359" w:name="_Toc226965725"/>
      <w:r/>
      <w:bookmarkStart w:id="360" w:name="_Toc520356160"/>
      <w:r/>
      <w:bookmarkStart w:id="361" w:name="_Toc164229376"/>
      <w:r/>
      <w:bookmarkStart w:id="362" w:name="_Toc151193849"/>
      <w:r/>
      <w:bookmarkStart w:id="363" w:name="_Toc150480773"/>
      <w:r/>
      <w:bookmarkStart w:id="364" w:name="_Toc150774740"/>
      <w:r/>
      <w:bookmarkStart w:id="365" w:name="_Toc164229230"/>
      <w:r/>
      <w:bookmarkStart w:id="366" w:name="_Toc151193777"/>
      <w:r/>
      <w:bookmarkStart w:id="367" w:name="_Toc151193633"/>
      <w:r/>
      <w:bookmarkStart w:id="368" w:name="_Toc164608804"/>
      <w:r/>
      <w:bookmarkStart w:id="369" w:name="_Toc305158803"/>
      <w:r>
        <w:rPr>
          <w:rFonts w:hint="eastAsia" w:ascii="宋体" w:hAnsi="宋体" w:eastAsia="宋体" w:cs="宋体"/>
          <w:color w:val="auto"/>
          <w:sz w:val="24"/>
          <w:highlight w:val="none"/>
        </w:rPr>
        <w:t xml:space="preserve">响应文件的提交</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本项目使用</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。供应商根据竞争性磋商文件及</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供应商操作手册要求编制、生成并提交电子响应文件。</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采购人及采购代理机构拒绝接受通过电子交易平台以外任何形式提交的响应文件。</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响应文件截止时间</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供应商应在竞争性磋商文件要求提交响应文件截止时间前，将电子响应文件提交至</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响应文件的修改与撤回</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提交响应文件截止时间前，供应商可以通过电子交易平台对所提交的响应文件进行补充、修改或者撤回。</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370" w:name="_Toc305158806"/>
      <w:r/>
      <w:bookmarkStart w:id="371" w:name="_Toc226309782"/>
      <w:r/>
      <w:bookmarkStart w:id="372" w:name="_Toc305158880"/>
      <w:r/>
      <w:bookmarkStart w:id="373" w:name="_Toc520356163"/>
      <w:r/>
      <w:bookmarkStart w:id="374" w:name="_Toc142311040"/>
      <w:r/>
      <w:bookmarkStart w:id="375" w:name="_Toc264969228"/>
      <w:r/>
      <w:bookmarkStart w:id="376" w:name="_Toc226965728"/>
      <w:r/>
      <w:bookmarkStart w:id="377" w:name="_Toc151193852"/>
      <w:r/>
      <w:bookmarkStart w:id="378" w:name="_Toc151193636"/>
      <w:r/>
      <w:bookmarkStart w:id="379" w:name="_Toc150774638"/>
      <w:r/>
      <w:bookmarkStart w:id="380" w:name="_Toc127151538"/>
      <w:r/>
      <w:bookmarkStart w:id="381" w:name="_Toc195842903"/>
      <w:r/>
      <w:bookmarkStart w:id="382" w:name="_Toc150774743"/>
      <w:r/>
      <w:bookmarkStart w:id="383" w:name="_Toc151190165"/>
      <w:r/>
      <w:bookmarkStart w:id="384" w:name="_Toc226965811"/>
      <w:r/>
      <w:bookmarkStart w:id="385" w:name="_Toc150509289"/>
      <w:r/>
      <w:bookmarkStart w:id="386" w:name="_Toc226337234"/>
      <w:r/>
      <w:bookmarkStart w:id="387" w:name="_Toc265228376"/>
      <w:r/>
      <w:bookmarkStart w:id="388" w:name="_Toc151193708"/>
      <w:r/>
      <w:bookmarkStart w:id="389" w:name="_Toc151193780"/>
      <w:r/>
      <w:bookmarkStart w:id="390" w:name="_Toc150480776"/>
      <w:r/>
      <w:bookmarkStart w:id="391" w:name="_Toc151193926"/>
      <w:r>
        <w:rPr>
          <w:rFonts w:hint="eastAsia" w:ascii="宋体" w:hAnsi="宋体" w:eastAsia="宋体" w:cs="Times New Roman"/>
          <w:b/>
          <w:bCs/>
          <w:color w:val="auto"/>
          <w:sz w:val="28"/>
          <w:szCs w:val="28"/>
          <w:highlight w:val="none"/>
          <w:lang w:val="en-US" w:eastAsia="zh-CN"/>
        </w:rPr>
        <w:t xml:space="preserve">五   </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Pr>
          <w:rFonts w:hint="eastAsia" w:ascii="宋体" w:hAnsi="宋体" w:eastAsia="宋体" w:cs="Times New Roman"/>
          <w:b/>
          <w:bCs/>
          <w:color w:val="auto"/>
          <w:sz w:val="28"/>
          <w:szCs w:val="28"/>
          <w:highlight w:val="none"/>
          <w:lang w:val="en-US" w:eastAsia="zh-CN"/>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92" w:name="_Toc520356169"/>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“苏采云”政府采购一体化平台</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bookmarkStart w:id="393"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eastAsia="zh-CN"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393"/>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394"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394"/>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bookmarkStart w:id="395" w:name="_Toc305158887"/>
      <w:r/>
      <w:bookmarkStart w:id="396" w:name="_Toc150774750"/>
      <w:r/>
      <w:bookmarkStart w:id="397" w:name="_Toc151193859"/>
      <w:r/>
      <w:bookmarkStart w:id="398" w:name="_Toc226965818"/>
      <w:r/>
      <w:bookmarkStart w:id="399" w:name="_Toc264969235"/>
      <w:r/>
      <w:bookmarkStart w:id="400" w:name="_Toc150774645"/>
      <w:r/>
      <w:bookmarkStart w:id="401" w:name="_Toc151190172"/>
      <w:r/>
      <w:bookmarkStart w:id="402" w:name="_Toc151193933"/>
      <w:r/>
      <w:bookmarkStart w:id="403" w:name="_Toc226309789"/>
      <w:r/>
      <w:bookmarkStart w:id="404" w:name="_Toc226965735"/>
      <w:r/>
      <w:bookmarkStart w:id="405" w:name="_Toc195842910"/>
      <w:r/>
      <w:bookmarkStart w:id="406" w:name="_Toc151193715"/>
      <w:r/>
      <w:bookmarkStart w:id="407" w:name="_Toc265228383"/>
      <w:r/>
      <w:bookmarkStart w:id="408" w:name="_Toc150509296"/>
      <w:r/>
      <w:bookmarkStart w:id="409" w:name="_Toc150480783"/>
      <w:r/>
      <w:bookmarkStart w:id="410" w:name="_Toc305158813"/>
      <w:r/>
      <w:bookmarkStart w:id="411" w:name="_Toc151193643"/>
      <w:r/>
      <w:bookmarkStart w:id="412" w:name="_Toc142311047"/>
      <w:r/>
      <w:bookmarkStart w:id="413" w:name="_Toc226337241"/>
      <w:r/>
      <w:bookmarkStart w:id="414" w:name="_Toc151193787"/>
      <w:r/>
      <w:bookmarkStart w:id="415" w:name="_Toc127151545"/>
      <w:r>
        <w:rPr>
          <w:rFonts w:hint="eastAsia" w:ascii="宋体" w:hAnsi="宋体" w:eastAsia="宋体" w:cs="Times New Roman"/>
          <w:b/>
          <w:bCs/>
          <w:color w:val="auto"/>
          <w:sz w:val="28"/>
          <w:szCs w:val="28"/>
          <w:highlight w:val="none"/>
          <w:lang w:val="en-US" w:eastAsia="zh-CN"/>
        </w:rPr>
        <w:t xml:space="preserve">六   </w:t>
      </w:r>
      <w:bookmarkEnd w:id="392"/>
      <w:r>
        <w:rPr>
          <w:rFonts w:hint="eastAsia" w:ascii="宋体" w:hAnsi="宋体" w:eastAsia="宋体" w:cs="Times New Roman"/>
          <w:b/>
          <w:bCs/>
          <w:color w:val="auto"/>
          <w:sz w:val="28"/>
          <w:szCs w:val="28"/>
          <w:highlight w:val="none"/>
          <w:lang w:val="en-US" w:eastAsia="zh-CN"/>
        </w:rPr>
        <w:t xml:space="preserve">确定</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Times New Roman"/>
          <w:b/>
          <w:bCs/>
          <w:color w:val="auto"/>
          <w:sz w:val="28"/>
          <w:szCs w:val="28"/>
          <w:highlight w:val="none"/>
          <w:lang w:val="en-US" w:eastAsia="zh-CN"/>
        </w:rPr>
        <w:t xml:space="preserve">成交</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416" w:name="_Toc150774647"/>
      <w:r/>
      <w:bookmarkStart w:id="417" w:name="_Toc164608661"/>
      <w:r/>
      <w:bookmarkStart w:id="418" w:name="_Toc226965737"/>
      <w:r/>
      <w:bookmarkStart w:id="419" w:name="_Toc127151748"/>
      <w:r/>
      <w:bookmarkStart w:id="420" w:name="_Toc226965820"/>
      <w:r/>
      <w:bookmarkStart w:id="421" w:name="_Toc164351641"/>
      <w:r/>
      <w:bookmarkStart w:id="422" w:name="_Toc164608816"/>
      <w:r/>
      <w:bookmarkStart w:id="423" w:name="_Toc265228385"/>
      <w:r/>
      <w:bookmarkStart w:id="424" w:name="_Toc150774752"/>
      <w:r/>
      <w:bookmarkStart w:id="425" w:name="_Toc127161461"/>
      <w:r/>
      <w:bookmarkStart w:id="426" w:name="_Toc151190174"/>
      <w:r/>
      <w:bookmarkStart w:id="427" w:name="_Toc150509298"/>
      <w:r/>
      <w:bookmarkStart w:id="428" w:name="_Toc151193645"/>
      <w:r/>
      <w:bookmarkStart w:id="429" w:name="_Toc226309791"/>
      <w:r/>
      <w:bookmarkStart w:id="430" w:name="_Toc150480785"/>
      <w:r/>
      <w:bookmarkStart w:id="431" w:name="_Toc226337243"/>
      <w:r/>
      <w:bookmarkStart w:id="432" w:name="_Toc151193717"/>
      <w:r/>
      <w:bookmarkStart w:id="433" w:name="_Toc164229388"/>
      <w:r/>
      <w:bookmarkStart w:id="434" w:name="_Toc149720840"/>
      <w:r/>
      <w:bookmarkStart w:id="435" w:name="_Toc142311049"/>
      <w:r/>
      <w:bookmarkStart w:id="436" w:name="_Toc151193935"/>
      <w:r/>
      <w:bookmarkStart w:id="437" w:name="_Toc264969237"/>
      <w:r/>
      <w:bookmarkStart w:id="438" w:name="_Toc195842912"/>
      <w:r/>
      <w:bookmarkStart w:id="439" w:name="_Toc305158889"/>
      <w:r/>
      <w:bookmarkStart w:id="440" w:name="_Toc151193789"/>
      <w:r/>
      <w:bookmarkStart w:id="441" w:name="_Toc127151547"/>
      <w:r/>
      <w:bookmarkStart w:id="442" w:name="_Toc151193861"/>
      <w:r/>
      <w:bookmarkStart w:id="443" w:name="_Toc305158815"/>
      <w:r/>
      <w:bookmarkStart w:id="444" w:name="_Toc164229242"/>
      <w:r>
        <w:rPr>
          <w:rFonts w:hint="eastAsia" w:ascii="宋体" w:hAnsi="宋体" w:eastAsia="宋体" w:cs="宋体"/>
          <w:color w:val="auto"/>
          <w:sz w:val="24"/>
          <w:szCs w:val="24"/>
          <w:highlight w:val="none"/>
        </w:rPr>
        <w:t xml:space="preserve">确定成交供应商</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445" w:name="_Toc305158891"/>
      <w:r/>
      <w:bookmarkStart w:id="446" w:name="_Toc305158817"/>
      <w:r/>
      <w:bookmarkStart w:id="447" w:name="_Toc151190176"/>
      <w:r/>
      <w:bookmarkStart w:id="448" w:name="_Toc226965739"/>
      <w:r/>
      <w:bookmarkStart w:id="449" w:name="_Toc226337245"/>
      <w:r/>
      <w:bookmarkStart w:id="450" w:name="_Toc151193937"/>
      <w:r/>
      <w:bookmarkStart w:id="451" w:name="_Toc265228387"/>
      <w:r/>
      <w:bookmarkStart w:id="452" w:name="_Toc151193719"/>
      <w:r/>
      <w:bookmarkStart w:id="453" w:name="_Toc195842914"/>
      <w:r/>
      <w:bookmarkStart w:id="454" w:name="_Toc226965822"/>
      <w:r/>
      <w:bookmarkStart w:id="455" w:name="_Toc164229390"/>
      <w:r/>
      <w:bookmarkStart w:id="456" w:name="_Toc150774649"/>
      <w:r/>
      <w:bookmarkStart w:id="457" w:name="_Toc151193647"/>
      <w:r/>
      <w:bookmarkStart w:id="458" w:name="_Toc142311051"/>
      <w:r/>
      <w:bookmarkStart w:id="459" w:name="_Toc127161463"/>
      <w:r/>
      <w:bookmarkStart w:id="460" w:name="_Toc127151750"/>
      <w:r/>
      <w:bookmarkStart w:id="461" w:name="_Toc150480787"/>
      <w:r/>
      <w:bookmarkStart w:id="462" w:name="_Toc149720842"/>
      <w:r/>
      <w:bookmarkStart w:id="463" w:name="_Toc226309793"/>
      <w:r/>
      <w:bookmarkStart w:id="464" w:name="_Toc164608818"/>
      <w:r/>
      <w:bookmarkStart w:id="465" w:name="_Toc164351643"/>
      <w:r/>
      <w:bookmarkStart w:id="466" w:name="_Toc150774754"/>
      <w:r/>
      <w:bookmarkStart w:id="467" w:name="_Toc264969239"/>
      <w:r/>
      <w:bookmarkStart w:id="468" w:name="_Toc127151549"/>
      <w:r/>
      <w:bookmarkStart w:id="469" w:name="_Toc151193863"/>
      <w:r/>
      <w:bookmarkStart w:id="470" w:name="_Toc151193791"/>
      <w:r/>
      <w:bookmarkStart w:id="471" w:name="_Toc150509300"/>
      <w:r/>
      <w:bookmarkStart w:id="472" w:name="_Toc164608663"/>
      <w:r/>
      <w:bookmarkStart w:id="473" w:name="_Toc164229244"/>
      <w:r/>
      <w:bookmarkStart w:id="474" w:name="_Ref467307090"/>
      <w:r/>
      <w:bookmarkStart w:id="475" w:name="_Ref467306425"/>
      <w:r/>
      <w:bookmarkStart w:id="476" w:name="_Toc520356176"/>
      <w:r>
        <w:rPr>
          <w:rFonts w:hint="eastAsia" w:ascii="宋体" w:hAnsi="宋体" w:eastAsia="宋体" w:cs="宋体"/>
          <w:color w:val="auto"/>
          <w:sz w:val="24"/>
          <w:szCs w:val="24"/>
          <w:highlight w:val="none"/>
        </w:rPr>
        <w:t xml:space="preserve">成交公告与成交通知书</w:t>
      </w:r>
      <w:bookmarkEnd w:id="445"/>
      <w:r/>
      <w:bookmarkEnd w:id="446"/>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采购人或采购代理机构将在成交供应商确定后2个工作日内，在</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常州市政府采购网和江苏尚阳工程管理有限公司网公告成交结果，同时向成交供应商发出成交通知书，成交公告期限为1个工作日。</w:t>
      </w:r>
      <w:r/>
    </w:p>
    <w:p>
      <w:pPr>
        <w:numPr>
          <w:ilvl w:val="1"/>
          <w:numId w:val="8"/>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终止</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因情况变化，不再符合规定的竞争性磋商采购方式适用情形的；</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出现影响采购公正的违法、违规行为的；</w:t>
      </w:r>
      <w:r/>
    </w:p>
    <w:p>
      <w:pPr>
        <w:numPr>
          <w:ilvl w:val="2"/>
          <w:numId w:val="8"/>
        </w:numPr>
        <w:spacing w:line="360" w:lineRule="auto"/>
        <w:rPr>
          <w:color w:val="auto"/>
          <w:sz w:val="24"/>
          <w:highlight w:val="none"/>
        </w:rPr>
      </w:pPr>
      <w:r>
        <w:rPr>
          <w:rFonts w:hint="eastAsia" w:ascii="宋体" w:hAnsi="宋体" w:eastAsia="宋体" w:cs="宋体"/>
          <w:color w:val="auto"/>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bookmarkStart w:id="477" w:name="_Toc520356175"/>
      <w:r/>
      <w:bookmarkStart w:id="478" w:name="_Toc151193648"/>
      <w:r/>
      <w:bookmarkStart w:id="479" w:name="_Toc305158892"/>
      <w:r/>
      <w:bookmarkStart w:id="480" w:name="_Toc164608664"/>
      <w:r/>
      <w:bookmarkStart w:id="481" w:name="_Toc164351644"/>
      <w:r/>
      <w:bookmarkStart w:id="482" w:name="_Toc150774650"/>
      <w:r/>
      <w:bookmarkStart w:id="483" w:name="_Ref467306377"/>
      <w:r/>
      <w:bookmarkStart w:id="484" w:name="_Ref467306978"/>
      <w:r/>
      <w:bookmarkStart w:id="485" w:name="_Toc164608819"/>
      <w:r/>
      <w:bookmarkStart w:id="486" w:name="_Ref467307204"/>
      <w:r/>
      <w:bookmarkStart w:id="487" w:name="_Toc195842915"/>
      <w:r/>
      <w:bookmarkStart w:id="488" w:name="_Toc226337246"/>
      <w:r/>
      <w:bookmarkStart w:id="489" w:name="_Toc226309794"/>
      <w:r/>
      <w:bookmarkStart w:id="490" w:name="_Toc127151751"/>
      <w:r/>
      <w:bookmarkStart w:id="491" w:name="_Toc142311052"/>
      <w:r/>
      <w:bookmarkStart w:id="492" w:name="_Toc151193938"/>
      <w:r/>
      <w:bookmarkStart w:id="493" w:name="_Toc151193792"/>
      <w:r/>
      <w:bookmarkStart w:id="494" w:name="_Toc151193720"/>
      <w:r/>
      <w:bookmarkStart w:id="495" w:name="_Toc127161464"/>
      <w:r/>
      <w:bookmarkStart w:id="496" w:name="_Toc264969240"/>
      <w:r/>
      <w:bookmarkStart w:id="497" w:name="_Toc265228388"/>
      <w:r/>
      <w:bookmarkStart w:id="498" w:name="_Toc127151550"/>
      <w:r/>
      <w:bookmarkStart w:id="499" w:name="_Toc305158818"/>
      <w:r/>
      <w:bookmarkStart w:id="500" w:name="_Toc151190177"/>
      <w:r/>
      <w:bookmarkStart w:id="501" w:name="_Toc150480788"/>
      <w:r/>
      <w:bookmarkStart w:id="502" w:name="_Toc164229391"/>
      <w:r/>
      <w:bookmarkStart w:id="503" w:name="_Toc226965740"/>
      <w:r/>
      <w:bookmarkStart w:id="504" w:name="_Toc149720843"/>
      <w:r/>
      <w:bookmarkStart w:id="505" w:name="_Toc150509301"/>
      <w:r/>
      <w:bookmarkStart w:id="506" w:name="_Toc150774755"/>
      <w:r/>
      <w:bookmarkStart w:id="507" w:name="_Ref467307062"/>
      <w:r/>
      <w:bookmarkStart w:id="508" w:name="_Toc151193864"/>
      <w:r/>
      <w:bookmarkStart w:id="509" w:name="_Toc164229245"/>
      <w:r/>
      <w:bookmarkStart w:id="510" w:name="_Toc226965823"/>
      <w:r>
        <w:rPr>
          <w:rFonts w:hint="eastAsia" w:ascii="宋体" w:hAnsi="宋体" w:eastAsia="宋体" w:cs="宋体"/>
          <w:color w:val="auto"/>
          <w:sz w:val="24"/>
          <w:szCs w:val="24"/>
          <w:highlight w:val="none"/>
        </w:rPr>
        <w:t xml:space="preserve">签订合同</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联合体获得成交资格的，联合体各方应当共同与采购人签订合同，就成交项目向采购人承担连带责任。</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政府采购合同不能转包。</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本项目是否允许分包，见《供应商须知资料表》。</w:t>
      </w:r>
      <w:bookmarkEnd w:id="474"/>
      <w:bookmarkEnd w:id="475"/>
      <w:bookmarkEnd w:id="476"/>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询问与质疑</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询问</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供应商对政府采购活动事项有疑问的，可依法提出询问，并按《供应商须知资料表》载明的形式送达采购人或采购代理机构。</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采购人或采购代理机构对供应商依法提出的询问，在3个工作日内作出答复，但答复的内容不得涉及商业秘密。</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质疑函须使用财政部制定的范本文件。（下载网址：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"http://gks.mof.gov.cn/ztztz/zhengfucaigouguanli/201802/t20180201_2804589.htm" </w:instrText>
      </w:r>
      <w:r>
        <w:rPr>
          <w:rFonts w:hint="eastAsia" w:ascii="宋体" w:hAnsi="宋体" w:eastAsia="宋体" w:cs="宋体"/>
          <w:color w:val="auto"/>
          <w:sz w:val="24"/>
          <w:szCs w:val="24"/>
          <w:highlight w:val="none"/>
        </w:rPr>
        <w:fldChar w:fldCharType="separate"/>
      </w:r>
      <w:r>
        <w:rPr>
          <w:rStyle w:val="1076"/>
          <w:rFonts w:hint="eastAsia" w:ascii="宋体" w:hAnsi="宋体" w:eastAsia="宋体" w:cs="宋体"/>
          <w:color w:val="auto"/>
          <w:sz w:val="24"/>
          <w:szCs w:val="24"/>
          <w:highlight w:val="none"/>
        </w:rPr>
        <w:t xml:space="preserve">http://gk</w:t>
      </w:r>
      <w:bookmarkStart w:id="511" w:name="_Hlt100654014"/>
      <w:r>
        <w:rPr>
          <w:rStyle w:val="1076"/>
          <w:rFonts w:hint="eastAsia" w:ascii="宋体" w:hAnsi="宋体" w:eastAsia="宋体" w:cs="宋体"/>
          <w:color w:val="auto"/>
          <w:sz w:val="24"/>
          <w:szCs w:val="24"/>
          <w:highlight w:val="none"/>
        </w:rPr>
        <w:t xml:space="preserve">s</w:t>
      </w:r>
      <w:bookmarkEnd w:id="511"/>
      <w:r>
        <w:rPr>
          <w:rStyle w:val="1076"/>
          <w:rFonts w:hint="eastAsia" w:ascii="宋体" w:hAnsi="宋体" w:eastAsia="宋体" w:cs="宋体"/>
          <w:color w:val="auto"/>
          <w:sz w:val="24"/>
          <w:szCs w:val="24"/>
          <w:highlight w:val="none"/>
        </w:rPr>
        <w:t xml:space="preserve">.m</w:t>
      </w:r>
      <w:bookmarkStart w:id="512" w:name="_Hlt100653993"/>
      <w:r/>
      <w:bookmarkStart w:id="513" w:name="_Hlt100653994"/>
      <w:r>
        <w:rPr>
          <w:rStyle w:val="1076"/>
          <w:rFonts w:hint="eastAsia" w:ascii="宋体" w:hAnsi="宋体" w:eastAsia="宋体" w:cs="宋体"/>
          <w:color w:val="auto"/>
          <w:sz w:val="24"/>
          <w:szCs w:val="24"/>
          <w:highlight w:val="none"/>
        </w:rPr>
        <w:t xml:space="preserve">o</w:t>
      </w:r>
      <w:bookmarkEnd w:id="512"/>
      <w:r/>
      <w:bookmarkEnd w:id="513"/>
      <w:r/>
      <w:bookmarkStart w:id="514" w:name="_Hlt101169156"/>
      <w:r>
        <w:rPr>
          <w:rStyle w:val="1076"/>
          <w:rFonts w:hint="eastAsia" w:ascii="宋体" w:hAnsi="宋体" w:eastAsia="宋体" w:cs="宋体"/>
          <w:color w:val="auto"/>
          <w:sz w:val="24"/>
          <w:szCs w:val="24"/>
          <w:highlight w:val="none"/>
        </w:rPr>
        <w:t xml:space="preserve">f</w:t>
      </w:r>
      <w:bookmarkEnd w:id="514"/>
      <w:r>
        <w:rPr>
          <w:rStyle w:val="1076"/>
          <w:rFonts w:hint="eastAsia" w:ascii="宋体" w:hAnsi="宋体" w:eastAsia="宋体" w:cs="宋体"/>
          <w:color w:val="auto"/>
          <w:sz w:val="24"/>
          <w:szCs w:val="24"/>
          <w:highlight w:val="none"/>
        </w:rPr>
        <w:t xml:space="preserve">.gov.cn/ztztz/zhengfucaigouguanli/201802/t20180201_2804589.htm</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接收询问和质疑的联系部门、联系电话和通讯地址见《供应商须知资料表》。</w:t>
      </w:r>
      <w:r/>
    </w:p>
    <w:p>
      <w:pPr>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代理费</w:t>
      </w:r>
      <w:r/>
    </w:p>
    <w:p>
      <w:pPr>
        <w:numPr>
          <w:ilvl w:val="1"/>
          <w:numId w:val="8"/>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收费对象、收费标准及缴纳时间见《供应商须知资料表》。由成交供应商支付的，成交供应商须一次性向采购代理机构缴纳代理费，报价应包含代理费用。</w:t>
      </w:r>
      <w:r/>
    </w:p>
    <w:p>
      <w:pPr>
        <w:numPr>
          <w:ilvl w:val="0"/>
          <w:numId w:val="0"/>
        </w:numPr>
        <w:jc w:val="both"/>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auto"/>
          <w:sz w:val="24"/>
          <w:szCs w:val="24"/>
          <w:highlight w:val="none"/>
        </w:rPr>
        <w:outlineLvl w:val="9"/>
      </w:pPr>
      <w:r/>
      <w:bookmarkStart w:id="515" w:name="_Toc265228392"/>
      <w:r/>
      <w:bookmarkStart w:id="516" w:name="_Toc142311056"/>
      <w:r/>
      <w:bookmarkStart w:id="517" w:name="_Toc353873664"/>
      <w:r/>
      <w:bookmarkStart w:id="518" w:name="_Toc150774759"/>
      <w:r/>
      <w:bookmarkStart w:id="519" w:name="_Toc353873934"/>
      <w:r/>
      <w:bookmarkStart w:id="520" w:name="_Toc226337250"/>
      <w:r/>
      <w:bookmarkStart w:id="521" w:name="_Toc127151554"/>
      <w:r/>
      <w:bookmarkStart w:id="522" w:name="_Toc226965827"/>
      <w:r/>
      <w:bookmarkStart w:id="523" w:name="_Toc305158896"/>
      <w:r/>
      <w:bookmarkStart w:id="524" w:name="_Toc150480792"/>
      <w:r/>
      <w:bookmarkStart w:id="525" w:name="_Toc264969244"/>
      <w:r/>
      <w:bookmarkStart w:id="526" w:name="_Toc353825544"/>
      <w:r/>
      <w:bookmarkStart w:id="527" w:name="_Toc305158822"/>
      <w:r/>
      <w:r/>
    </w:p>
    <w:p>
      <w:pPr>
        <w:jc w:val="center"/>
        <w:keepLines w:val="0"/>
        <w:keepNext w:val="0"/>
        <w:pageBreakBefore w:val="0"/>
        <w:spacing w:line="360" w:lineRule="auto"/>
        <w:widowControl w:val="off"/>
        <w:rPr>
          <w:b/>
          <w:color w:val="auto"/>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528" w:name="_Toc17685"/>
      <w:r/>
      <w:bookmarkStart w:id="529" w:name="_Toc104818927"/>
      <w:r/>
      <w:r/>
    </w:p>
    <w:p>
      <w:pPr>
        <w:jc w:val="center"/>
        <w:keepLines w:val="0"/>
        <w:keepNext w:val="0"/>
        <w:pageBreakBefore w:val="0"/>
        <w:spacing w:line="360" w:lineRule="auto"/>
        <w:widowControl w:val="off"/>
        <w:rPr>
          <w:b/>
          <w:color w:val="auto"/>
          <w:sz w:val="36"/>
          <w:szCs w:val="36"/>
          <w:highlight w:val="none"/>
        </w:rPr>
        <w:outlineLvl w:val="0"/>
      </w:pPr>
      <w:r>
        <w:rPr>
          <w:b/>
          <w:color w:val="auto"/>
          <w:sz w:val="36"/>
          <w:szCs w:val="36"/>
          <w:highlight w:val="none"/>
        </w:rPr>
        <w:t xml:space="preserve">第三章   </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28"/>
      <w:r/>
      <w:bookmarkEnd w:id="529"/>
      <w:r/>
      <w:bookmarkStart w:id="530" w:name="_Toc487900382"/>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一、评审程序</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r/>
    </w:p>
    <w:p>
      <w:pPr>
        <w:numPr>
          <w:ilvl w:val="0"/>
          <w:numId w:val="12"/>
        </w:numPr>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rPr>
        <w:outlineLvl w:val="9"/>
      </w:pPr>
      <w:r/>
      <w:bookmarkStart w:id="531" w:name="_Toc264969231"/>
      <w:r/>
      <w:bookmarkStart w:id="532" w:name="_Toc142311043"/>
      <w:r/>
      <w:bookmarkStart w:id="533" w:name="_Toc150774641"/>
      <w:r/>
      <w:bookmarkStart w:id="534" w:name="_Toc127151742"/>
      <w:r/>
      <w:bookmarkStart w:id="535" w:name="_Toc151193711"/>
      <w:r/>
      <w:bookmarkStart w:id="536" w:name="_Toc150774746"/>
      <w:r/>
      <w:bookmarkStart w:id="537" w:name="_Toc164608655"/>
      <w:r/>
      <w:bookmarkStart w:id="538" w:name="_Toc164351635"/>
      <w:r/>
      <w:bookmarkStart w:id="539" w:name="_Toc226309785"/>
      <w:r/>
      <w:bookmarkStart w:id="540" w:name="_Toc151193639"/>
      <w:r/>
      <w:bookmarkStart w:id="541" w:name="_Toc226965814"/>
      <w:r/>
      <w:bookmarkStart w:id="542" w:name="_Toc164229236"/>
      <w:r/>
      <w:bookmarkStart w:id="543" w:name="_Toc150480779"/>
      <w:r/>
      <w:bookmarkStart w:id="544" w:name="_Toc226965731"/>
      <w:r/>
      <w:bookmarkStart w:id="545" w:name="_Toc127151541"/>
      <w:r/>
      <w:bookmarkStart w:id="546" w:name="_Toc151193929"/>
      <w:r/>
      <w:bookmarkStart w:id="547" w:name="_Toc149720834"/>
      <w:r/>
      <w:bookmarkStart w:id="548" w:name="_Toc195842906"/>
      <w:r/>
      <w:bookmarkStart w:id="549" w:name="_Toc164229382"/>
      <w:r/>
      <w:bookmarkStart w:id="550" w:name="_Toc151193783"/>
      <w:r/>
      <w:bookmarkStart w:id="551" w:name="_Toc127161455"/>
      <w:r/>
      <w:bookmarkStart w:id="552" w:name="_Toc150509292"/>
      <w:r/>
      <w:bookmarkStart w:id="553" w:name="_Toc151193855"/>
      <w:r/>
      <w:bookmarkStart w:id="554" w:name="_Toc265228379"/>
      <w:r/>
      <w:bookmarkStart w:id="555" w:name="_Toc164608810"/>
      <w:r/>
      <w:bookmarkStart w:id="556" w:name="_Toc305158883"/>
      <w:r/>
      <w:bookmarkStart w:id="557" w:name="_Toc226337237"/>
      <w:r/>
      <w:bookmarkStart w:id="558" w:name="_Toc305158809"/>
      <w:r/>
      <w:bookmarkStart w:id="559" w:name="_Toc151190168"/>
      <w:r/>
      <w:bookmarkStart w:id="560" w:name="_Toc353873941"/>
      <w:r/>
      <w:bookmarkStart w:id="561" w:name="_Toc353825551"/>
      <w:r/>
      <w:bookmarkStart w:id="562" w:name="_Toc226965828"/>
      <w:r/>
      <w:bookmarkStart w:id="563" w:name="_Toc353873935"/>
      <w:r/>
      <w:bookmarkStart w:id="564" w:name="_Toc226337251"/>
      <w:r/>
      <w:bookmarkStart w:id="565" w:name="_Toc264969245"/>
      <w:r/>
      <w:bookmarkStart w:id="566" w:name="_Toc305158823"/>
      <w:r/>
      <w:bookmarkStart w:id="567" w:name="_Toc150480793"/>
      <w:r/>
      <w:bookmarkStart w:id="568" w:name="_Toc353825545"/>
      <w:r/>
      <w:bookmarkStart w:id="569" w:name="_Toc127151555"/>
      <w:r/>
      <w:bookmarkStart w:id="570" w:name="_Toc305158897"/>
      <w:r/>
      <w:bookmarkStart w:id="571" w:name="_Toc150774760"/>
      <w:r/>
      <w:bookmarkStart w:id="572" w:name="_Toc142311057"/>
      <w:r/>
      <w:bookmarkStart w:id="573" w:name="_Toc353873665"/>
      <w:r/>
      <w:bookmarkStart w:id="574" w:name="_Toc195842920"/>
      <w:r/>
      <w:bookmarkStart w:id="575" w:name="_Toc265228393"/>
      <w:r>
        <w:rPr>
          <w:rFonts w:hint="eastAsia" w:ascii="宋体" w:hAnsi="宋体" w:eastAsia="宋体" w:cs="宋体"/>
          <w:color w:val="auto"/>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eastAsia="宋体" w:cs="宋体"/>
          <w:color w:val="auto"/>
          <w:sz w:val="24"/>
          <w:highlight w:val="none"/>
        </w:rPr>
        <w:t xml:space="preserve">资格性检查和符合性审查</w:t>
      </w:r>
      <w:r/>
    </w:p>
    <w:p>
      <w:pPr>
        <w:numPr>
          <w:ilvl w:val="1"/>
          <w:numId w:val="12"/>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rPr>
        <w:t xml:space="preserve">无效响应</w:t>
      </w:r>
      <w:r>
        <w:rPr>
          <w:rFonts w:hint="eastAsia" w:ascii="宋体" w:hAnsi="宋体" w:eastAsia="宋体" w:cs="宋体"/>
          <w:color w:val="auto"/>
          <w:sz w:val="24"/>
          <w:highlight w:val="none"/>
        </w:rPr>
        <w:t xml:space="preserve">处理，磋商小组应当告知提交响应文件的供应商。</w:t>
      </w:r>
      <w:r/>
    </w:p>
    <w:p>
      <w:pPr>
        <w:numPr>
          <w:ilvl w:val="1"/>
          <w:numId w:val="12"/>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《资格性检查要求》中对格式有要求的，除竞争性磋商文件另有规定外，均为“实质性格式”文件。</w:t>
      </w:r>
      <w:r/>
    </w:p>
    <w:p>
      <w:pPr>
        <w:numPr>
          <w:ilvl w:val="1"/>
          <w:numId w:val="12"/>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rPr>
        <w:outlineLvl w:val="9"/>
      </w:pPr>
      <w:r>
        <w:rPr>
          <w:b/>
          <w:color w:val="auto"/>
          <w:sz w:val="24"/>
          <w:highlight w:val="none"/>
        </w:rPr>
        <w:t xml:space="preserve">资格性检查要求</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rPr>
              <w:outlineLvl w:val="9"/>
            </w:pPr>
            <w:r/>
            <w:bookmarkStart w:id="576" w:name="_Hlt487972895"/>
            <w:r/>
            <w:bookmarkEnd w:id="576"/>
            <w:r>
              <w:rPr>
                <w:rFonts w:hint="eastAsia" w:ascii="宋体" w:hAnsi="宋体" w:eastAsia="宋体" w:cs="宋体"/>
                <w:b/>
                <w:color w:val="auto"/>
                <w:sz w:val="24"/>
                <w:highlight w:val="none"/>
              </w:rPr>
              <w:t xml:space="preserve">序号</w:t>
            </w:r>
            <w:r/>
          </w:p>
        </w:tc>
        <w:tc>
          <w:tcPr>
            <w:tcW w:w="1728"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审查因素</w:t>
            </w:r>
            <w:r/>
          </w:p>
        </w:tc>
        <w:tc>
          <w:tcPr>
            <w:tcW w:w="4494"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审查内容</w:t>
            </w:r>
            <w:r/>
          </w:p>
        </w:tc>
        <w:tc>
          <w:tcPr>
            <w:tcW w:w="166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格式要求</w:t>
            </w:r>
            <w:r/>
          </w:p>
        </w:tc>
      </w:tr>
      <w:tr>
        <w:trPr>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满足《中华人民共和国政府采购法》第二十二条规定及法律法规的其他规定</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具体规定见第一章《采购邀请》</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468"/>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供应商资格声明函</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提供了符合采购文件要求的《供应商资格声明函》。</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格式见《响应文件格式》</w:t>
            </w:r>
            <w:r/>
          </w:p>
        </w:tc>
      </w:tr>
      <w:tr>
        <w:trPr>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供应商信用记录</w:t>
            </w:r>
            <w:r/>
          </w:p>
        </w:tc>
        <w:tc>
          <w:tcPr>
            <w:tcW w:w="4494" w:type="dxa"/>
            <w:vAlign w:val="center"/>
            <w:textDirection w:val="lrTb"/>
            <w:noWrap w:val="false"/>
          </w:tcPr>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查询渠道：信用中国网站和中国政府采购网（www.creditchina.gov.cn、www.ccgp.gov.cn）；</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截止时点：提交响应文件截止时间以后、资格审查阶段采购人或采购代理机构的实际查询时间；</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信用信息查询记录和证据留存具体方式：查询结果网页打印页作为查询记录和证据，与其他采购文件一并保存；</w:t>
            </w:r>
            <w:r/>
          </w:p>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无须供应商提供，由采购人查询。</w:t>
            </w:r>
            <w:r/>
          </w:p>
        </w:tc>
      </w:tr>
      <w:tr>
        <w:trPr>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落实政府采购政策需满足的资格要求</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具体要求见第一章《采购邀请》</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中小企业声明函</w:t>
            </w:r>
            <w:r/>
          </w:p>
        </w:tc>
        <w:tc>
          <w:tcPr>
            <w:tcW w:w="4494" w:type="dxa"/>
            <w:vAlign w:val="center"/>
            <w:textDirection w:val="lrTb"/>
            <w:noWrap w:val="false"/>
          </w:tcPr>
          <w:p>
            <w:pPr>
              <w:keepLines w:val="0"/>
              <w:keepNext w:val="0"/>
              <w:pageBreakBefore w:val="0"/>
              <w:widowControl w:val="off"/>
              <w:tabs>
                <w:tab w:val="left" w:pos="1080" w:leader="none"/>
              </w:tabs>
              <w:rPr>
                <w:rFonts w:hint="eastAsia"/>
                <w:color w:val="auto"/>
                <w:highlight w:val="none"/>
              </w:rPr>
              <w:outlineLvl w:val="9"/>
            </w:pPr>
            <w:r>
              <w:rPr>
                <w:rFonts w:hint="eastAsia" w:ascii="宋体" w:hAnsi="宋体" w:eastAsia="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keepLines w:val="0"/>
              <w:keepNext w:val="0"/>
              <w:pageBreakBefore w:val="0"/>
              <w:widowControl w:val="off"/>
              <w:tabs>
                <w:tab w:val="left" w:pos="1080" w:leader="none"/>
              </w:tabs>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注2：残疾人福利性单位须按磋商文件要求提供《残疾人福利性单位声明函》。</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格式见《响应文件格式》</w:t>
            </w:r>
            <w:r/>
          </w:p>
        </w:tc>
      </w:tr>
    </w:tbl>
    <w:p>
      <w:pPr>
        <w:numPr>
          <w:ilvl w:val="1"/>
          <w:numId w:val="12"/>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rPr>
        <w:outlineLvl w:val="9"/>
      </w:pPr>
      <w:r>
        <w:rPr>
          <w:b/>
          <w:color w:val="auto"/>
          <w:sz w:val="24"/>
          <w:highlight w:val="none"/>
        </w:rPr>
        <w:t xml:space="preserve">符合性审查要求</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keepLines w:val="0"/>
              <w:keepNext w:val="0"/>
              <w:pageBreakBefore w:val="0"/>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序号</w:t>
            </w:r>
            <w:r/>
          </w:p>
        </w:tc>
        <w:tc>
          <w:tcPr>
            <w:tcW w:w="1664" w:type="dxa"/>
            <w:vAlign w:val="center"/>
            <w:textDirection w:val="lrTb"/>
            <w:noWrap w:val="false"/>
          </w:tcPr>
          <w:p>
            <w:pPr>
              <w:jc w:val="center"/>
              <w:keepLines w:val="0"/>
              <w:keepNext w:val="0"/>
              <w:pageBreakBefore w:val="0"/>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审查因素</w:t>
            </w:r>
            <w:r/>
          </w:p>
        </w:tc>
        <w:tc>
          <w:tcPr>
            <w:tcW w:w="6170" w:type="dxa"/>
            <w:vAlign w:val="center"/>
            <w:textDirection w:val="lrTb"/>
            <w:noWrap w:val="false"/>
          </w:tcPr>
          <w:p>
            <w:pPr>
              <w:jc w:val="center"/>
              <w:keepLines w:val="0"/>
              <w:keepNext w:val="0"/>
              <w:pageBreakBefore w:val="0"/>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审查内容</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响应函、法定代表人资格证明书和政府采购供应商信用承诺书</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按磋商文件要求提供响应函、法定代表人资格证明书和政府采购供应商信用承诺书；</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响应完整性</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未将一个</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中的内容拆开响应；</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响应报价</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响应报价未超过磋商文件中规定的项目预算金额或者项目最高限价；</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报价唯一性</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响应文件未出现可选择性或可调整的报价（磋商文件另有规定的除外）；</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5</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响应有效期</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6</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签署、加盖公章</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按照磋商文件要求签署、加盖公章的；</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7</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实质性格式</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标记为“实质性格式”的文件均按磋商文件要求提供；</w:t>
            </w:r>
            <w:r/>
          </w:p>
        </w:tc>
      </w:tr>
      <w:tr>
        <w:trPr>
          <w:jc w:val="center"/>
          <w:trHeight w:val="685"/>
        </w:trPr>
        <w:tc>
          <w:tcPr>
            <w:tcW w:w="688" w:type="dxa"/>
            <w:vAlign w:val="center"/>
            <w:textDirection w:val="lrTb"/>
            <w:noWrap w:val="false"/>
          </w:tcPr>
          <w:p>
            <w:pPr>
              <w:jc w:val="center"/>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8</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报价的修正</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响应文件报价出现前后不一致时，供应商对修正后的报价予以确认；</w:t>
            </w:r>
            <w:r/>
          </w:p>
        </w:tc>
      </w:tr>
      <w:tr>
        <w:trPr>
          <w:jc w:val="center"/>
          <w:trHeight w:val="685"/>
        </w:trPr>
        <w:tc>
          <w:tcPr>
            <w:tcW w:w="68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p>
        </w:tc>
        <w:tc>
          <w:tcPr>
            <w:tcW w:w="1664"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报价合理性</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按照财库〔2026〕2号《关于推动解决政府采购异常低价问题的通知》要求：</w:t>
            </w:r>
            <w:r/>
          </w:p>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（一）政府采购评审中出现下列情形之一的，评审委员会应当启动异常低价投标（响应）审查程序：</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3.投标（响应）报价低于采购项目最高限价45%的，即投标（响应）报价&lt;采购项目最高限价×45%；</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采购人可以结合具体项目实际情况，提高上述第1项至第3项中启动异常低价投标（响应）审查的数值标准，但是最高不得超过65%。</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相关法律法规对供应商报价有规定的，从其规定。</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688"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10</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公平竞争</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90"/>
        </w:trPr>
        <w:tc>
          <w:tcPr>
            <w:tcW w:w="688"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11</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串通响应</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jc w:val="center"/>
          <w:trHeight w:val="685"/>
        </w:trPr>
        <w:tc>
          <w:tcPr>
            <w:tcW w:w="688"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12</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附加条件</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w:t>
            </w:r>
            <w:r/>
          </w:p>
        </w:tc>
        <w:tc>
          <w:tcPr>
            <w:tcW w:w="1664"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其他无效情形</w:t>
            </w:r>
            <w:r/>
          </w:p>
        </w:tc>
        <w:tc>
          <w:tcPr>
            <w:tcW w:w="6170" w:type="dxa"/>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供应商、响应文件不存在不符合法律、法规和磋商文件规定的其他无效情形。</w:t>
            </w:r>
            <w:r/>
          </w:p>
        </w:tc>
      </w:tr>
    </w:tbl>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以书面形式同时通知所有参加磋商的供应商。</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2"/>
        </w:numPr>
        <w:ind w:left="1077" w:hanging="720"/>
        <w:spacing w:line="360" w:lineRule="auto"/>
        <w:tabs>
          <w:tab w:val="left" w:pos="1080" w:leader="none"/>
          <w:tab w:val="left" w:pos="1872" w:leader="none"/>
        </w:tabs>
        <w:rPr>
          <w:b/>
          <w:color w:val="auto"/>
          <w:sz w:val="24"/>
          <w:highlight w:val="none"/>
        </w:rPr>
      </w:pP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w:t>
      </w:r>
      <w:r>
        <w:rPr>
          <w:rFonts w:hint="eastAsia"/>
          <w:b/>
          <w:color w:val="auto"/>
          <w:sz w:val="24"/>
          <w:highlight w:val="none"/>
          <w:lang w:eastAsia="zh-CN"/>
        </w:rPr>
        <w:t xml:space="preserve">“苏采云”政府采购一体化平台</w:t>
      </w:r>
      <w:r>
        <w:rPr>
          <w:rFonts w:hint="eastAsia"/>
          <w:b/>
          <w:color w:val="auto"/>
          <w:sz w:val="24"/>
          <w:highlight w:val="none"/>
        </w:rPr>
        <w:t xml:space="preserve">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b/>
          <w:color w:val="auto"/>
          <w:sz w:val="24"/>
          <w:highlight w:val="none"/>
          <w:lang w:eastAsia="zh-CN"/>
        </w:rPr>
        <w:t xml:space="preserve">。</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2"/>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最终报价的算术修正及政策调整</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w:t>
      </w:r>
      <w:r>
        <w:rPr>
          <w:rFonts w:hint="eastAsia" w:ascii="宋体" w:hAnsi="宋体" w:eastAsia="宋体" w:cs="宋体"/>
          <w:color w:val="auto"/>
          <w:sz w:val="24"/>
          <w:highlight w:val="none"/>
          <w:lang w:eastAsia="zh-CN"/>
        </w:rPr>
        <w:t xml:space="preserve">项目</w:t>
      </w:r>
      <w:r>
        <w:rPr>
          <w:rFonts w:hint="eastAsia" w:ascii="宋体" w:hAnsi="宋体" w:eastAsia="宋体" w:cs="宋体"/>
          <w:color w:val="auto"/>
          <w:sz w:val="24"/>
          <w:highlight w:val="none"/>
        </w:rPr>
        <w:t xml:space="preserve">中的内容拆开响应，其</w:t>
      </w:r>
      <w:r>
        <w:rPr>
          <w:rFonts w:hint="eastAsia" w:ascii="宋体" w:hAnsi="宋体" w:eastAsia="宋体" w:cs="宋体"/>
          <w:b/>
          <w:color w:val="auto"/>
          <w:sz w:val="24"/>
          <w:highlight w:val="none"/>
        </w:rPr>
        <w:t xml:space="preserve">响应无效</w:t>
      </w:r>
      <w:r>
        <w:rPr>
          <w:rFonts w:hint="eastAsia" w:ascii="宋体" w:hAnsi="宋体" w:eastAsia="宋体" w:cs="宋体"/>
          <w:color w:val="auto"/>
          <w:sz w:val="24"/>
          <w:highlight w:val="none"/>
        </w:rPr>
        <w:t xml:space="preserve">。</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最终报价出现前后不一致的，按照下列规定修正：</w:t>
      </w:r>
      <w:r/>
    </w:p>
    <w:p>
      <w:pPr>
        <w:numPr>
          <w:ilvl w:val="2"/>
          <w:numId w:val="12"/>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竞争性磋商文件对于报价修正是否另有规定：</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□有，具体规定为：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无，按下述3.2.2-3.2.5项规定修正。</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大写金额和小写金额不一致的，以大写金额为准；</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2"/>
          <w:numId w:val="12"/>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总价金额与按单价汇总金额不一致的，以单价金额计算结果为准。</w:t>
      </w:r>
      <w:r/>
    </w:p>
    <w:p>
      <w:pPr>
        <w:numPr>
          <w:ilvl w:val="2"/>
          <w:numId w:val="12"/>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1"/>
          <w:numId w:val="12"/>
        </w:numPr>
        <w:ind w:left="1077"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numPr>
          <w:ilvl w:val="1"/>
          <w:numId w:val="12"/>
        </w:numPr>
        <w:ind w:left="1077" w:hanging="720"/>
        <w:spacing w:line="360" w:lineRule="auto"/>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采购本国产品的支持政策</w:t>
      </w:r>
      <w:r/>
    </w:p>
    <w:p>
      <w:pPr>
        <w:numPr>
          <w:ilvl w:val="0"/>
          <w:numId w:val="0"/>
        </w:numPr>
        <w:ind w:left="1080"/>
        <w:spacing w:line="360" w:lineRule="auto"/>
        <w:shd w:val="clear" w:color="auto" w:fill="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3.4.1</w:t>
      </w:r>
      <w:r>
        <w:rPr>
          <w:rFonts w:hint="eastAsia" w:ascii="宋体" w:hAnsi="宋体" w:eastAsia="宋体" w:cs="宋体"/>
          <w:color w:val="auto"/>
          <w:sz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供应商需按照招标文件的要求提供《关于符合本国产品标准的声明函》（以下简称《声明函》），如不提供将不享受本国产品价格评审优惠。</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1135"/>
        <w:spacing w:line="360" w:lineRule="auto"/>
        <w:shd w:val="clear" w:color="auto" w:fill="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3.4.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磋商环节及提交最终报价后如出现以下情况的，供应商的</w:t>
      </w:r>
      <w:r>
        <w:rPr>
          <w:rFonts w:hint="eastAsia" w:ascii="宋体" w:hAnsi="宋体" w:eastAsia="宋体" w:cs="宋体"/>
          <w:b/>
          <w:color w:val="auto"/>
          <w:sz w:val="24"/>
          <w:highlight w:val="none"/>
        </w:rPr>
        <w:t xml:space="preserve">响应文件无效</w:t>
      </w:r>
      <w:r>
        <w:rPr>
          <w:rFonts w:hint="eastAsia" w:ascii="宋体" w:hAnsi="宋体" w:eastAsia="宋体" w:cs="宋体"/>
          <w:color w:val="auto"/>
          <w:sz w:val="24"/>
          <w:highlight w:val="none"/>
        </w:rPr>
        <w:t xml:space="preserve">：</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供应商对实质性变动不予确认的；</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不满足磋商文件★号条款或磋商文件技术指标超出磋商文件《采购需求》中主要技术参数允许偏差的最大范围的（如有）；</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未按照磋商小组规定的时间、逾期提交最终报价的；</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如供应商的最终报价超过竞争性磋商文件中规定的项目预算金额或者项目最高限价的；</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响应文件中出现可选择性或可调整的报价的（竞争性磋商文件另有规定的除外）；</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最终报价出现前后不一致，供应商对修正后的报价不予确认的；</w:t>
      </w:r>
      <w:r/>
    </w:p>
    <w:p>
      <w:pPr>
        <w:numPr>
          <w:ilvl w:val="1"/>
          <w:numId w:val="12"/>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bookmarkEnd w:id="560"/>
      <w:bookmarkEnd w:id="561"/>
      <w:r/>
    </w:p>
    <w:p>
      <w:pPr>
        <w:numPr>
          <w:ilvl w:val="0"/>
          <w:numId w:val="12"/>
        </w:numPr>
        <w:keepLines w:val="0"/>
        <w:keepNext w:val="0"/>
        <w:pageBreakBefore w:val="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评审方法和评审标准</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竞争性磋商文件中没有规定的评审标准不得作为评审依据。</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关于无线局域网认证产品政府采购清单中的产品，优先采购的具体规定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highlight w:val="none"/>
        </w:rPr>
        <w:t xml:space="preserve">。</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确定</w:t>
      </w:r>
      <w:bookmarkStart w:id="577" w:name="_Toc151193860"/>
      <w:r/>
      <w:bookmarkStart w:id="578" w:name="_Toc195842911"/>
      <w:r/>
      <w:bookmarkStart w:id="579" w:name="_Toc226309790"/>
      <w:r/>
      <w:bookmarkStart w:id="580" w:name="_Toc520356170"/>
      <w:r/>
      <w:bookmarkStart w:id="581" w:name="_Toc150480784"/>
      <w:r/>
      <w:bookmarkStart w:id="582" w:name="_Toc265228384"/>
      <w:r/>
      <w:bookmarkStart w:id="583" w:name="_Toc150509297"/>
      <w:r/>
      <w:bookmarkStart w:id="584" w:name="_Toc264969236"/>
      <w:r/>
      <w:bookmarkStart w:id="585" w:name="_Toc164608815"/>
      <w:r/>
      <w:bookmarkStart w:id="586" w:name="_Toc305158888"/>
      <w:r/>
      <w:bookmarkStart w:id="587" w:name="_Toc150774751"/>
      <w:r/>
      <w:bookmarkStart w:id="588" w:name="_Toc142311048"/>
      <w:r/>
      <w:bookmarkStart w:id="589" w:name="_Ref467307010"/>
      <w:r/>
      <w:bookmarkStart w:id="590" w:name="_Toc127161460"/>
      <w:r/>
      <w:bookmarkStart w:id="591" w:name="_Toc149720839"/>
      <w:r/>
      <w:bookmarkStart w:id="592" w:name="_Toc226965819"/>
      <w:r/>
      <w:bookmarkStart w:id="593" w:name="_Toc150774646"/>
      <w:r/>
      <w:bookmarkStart w:id="594" w:name="_Toc226965736"/>
      <w:r/>
      <w:bookmarkStart w:id="595" w:name="_Toc305158814"/>
      <w:r/>
      <w:bookmarkStart w:id="596" w:name="_Toc164229387"/>
      <w:r/>
      <w:bookmarkStart w:id="597" w:name="_Toc127151546"/>
      <w:r/>
      <w:bookmarkStart w:id="598" w:name="_Toc151193716"/>
      <w:r/>
      <w:bookmarkStart w:id="599" w:name="_Toc151193788"/>
      <w:r/>
      <w:bookmarkStart w:id="600" w:name="_Toc151190173"/>
      <w:r/>
      <w:bookmarkStart w:id="601" w:name="_Toc164229241"/>
      <w:r/>
      <w:bookmarkStart w:id="602" w:name="_Toc151193934"/>
      <w:r/>
      <w:bookmarkStart w:id="603" w:name="_Toc127151747"/>
      <w:r/>
      <w:bookmarkStart w:id="604" w:name="_Toc164351640"/>
      <w:r/>
      <w:bookmarkStart w:id="605" w:name="_Toc226337242"/>
      <w:r/>
      <w:bookmarkStart w:id="606" w:name="_Toc151193644"/>
      <w:r/>
      <w:bookmarkStart w:id="607" w:name="_Toc164608660"/>
      <w:r>
        <w:rPr>
          <w:rFonts w:hint="eastAsia" w:ascii="宋体" w:hAnsi="宋体" w:eastAsia="宋体" w:cs="宋体"/>
          <w:color w:val="auto"/>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szCs w:val="20"/>
          <w:highlight w:val="none"/>
        </w:rPr>
        <w:t xml:space="preserve">磋商小组根据上述供应商排序，依次推荐排序前</w:t>
      </w:r>
      <w:r>
        <w:rPr>
          <w:rFonts w:hint="eastAsia" w:ascii="宋体" w:hAnsi="宋体" w:eastAsia="宋体" w:cs="宋体"/>
          <w:color w:val="auto"/>
          <w:sz w:val="24"/>
          <w:highlight w:val="none"/>
        </w:rPr>
        <w:t xml:space="preserve">3名</w:t>
      </w:r>
      <w:r>
        <w:rPr>
          <w:rFonts w:hint="eastAsia" w:ascii="宋体" w:hAnsi="宋体" w:eastAsia="宋体" w:cs="宋体"/>
          <w:color w:val="auto"/>
          <w:sz w:val="24"/>
          <w:szCs w:val="20"/>
          <w:highlight w:val="none"/>
        </w:rPr>
        <w:t xml:space="preserve">的供应商为</w:t>
      </w:r>
      <w:r>
        <w:rPr>
          <w:rFonts w:hint="eastAsia" w:ascii="宋体" w:hAnsi="宋体" w:eastAsia="宋体" w:cs="宋体"/>
          <w:color w:val="auto"/>
          <w:sz w:val="24"/>
          <w:szCs w:val="21"/>
          <w:highlight w:val="none"/>
        </w:rPr>
        <w:t xml:space="preserve">成交候选供应商</w:t>
      </w:r>
      <w:r>
        <w:rPr>
          <w:rFonts w:hint="eastAsia" w:ascii="宋体" w:hAnsi="宋体" w:eastAsia="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2"/>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12"/>
        </w:numPr>
        <w:keepLines w:val="0"/>
        <w:keepNext w:val="0"/>
        <w:pageBreakBefore w:val="0"/>
        <w:spacing w:line="360" w:lineRule="auto"/>
        <w:tabs>
          <w:tab w:val="left" w:pos="36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报告违法行为</w:t>
      </w:r>
      <w:r/>
    </w:p>
    <w:p>
      <w:pPr>
        <w:jc w:val="cente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磋商小组在评审过程中发现供应商有行贿、提供虚假材料或者串通等违法行为时，有向采购人、采购代理机构或者有关部门报告的职责。</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宋体"/>
          <w:color w:val="auto"/>
          <w:sz w:val="24"/>
          <w:highlight w:val="none"/>
        </w:rPr>
        <w:br w:type="page" w:clear="all"/>
      </w:r>
      <w:r>
        <w:rPr>
          <w:rFonts w:hint="eastAsia" w:ascii="宋体" w:hAnsi="宋体" w:eastAsia="宋体" w:cs="Times New Roman"/>
          <w:b/>
          <w:bCs/>
          <w:color w:val="auto"/>
          <w:sz w:val="28"/>
          <w:szCs w:val="28"/>
          <w:highlight w:val="none"/>
          <w:lang w:val="en-US" w:eastAsia="zh-CN"/>
        </w:rPr>
        <w:t xml:space="preserve">二、评审标准</w:t>
      </w:r>
      <w:r/>
    </w:p>
    <w:tbl>
      <w:tblPr>
        <w:tblStyle w:val="820"/>
        <w:tblW w:w="55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749"/>
        <w:gridCol w:w="1015"/>
        <w:gridCol w:w="5928"/>
      </w:tblGrid>
      <w:tr>
        <w:trPr>
          <w:jc w:val="center"/>
          <w:trHeight w:val="279"/>
        </w:trPr>
        <w:tc>
          <w:tcPr>
            <w:tcW w:w="383" w:type="pct"/>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929" w:type="pct"/>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评审因素</w:t>
            </w:r>
            <w:r/>
          </w:p>
        </w:tc>
        <w:tc>
          <w:tcPr>
            <w:tcW w:w="539" w:type="pct"/>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分值</w:t>
            </w:r>
            <w:r/>
          </w:p>
        </w:tc>
        <w:tc>
          <w:tcPr>
            <w:tcW w:w="3148" w:type="pct"/>
            <w:vAlign w:val="center"/>
            <w:textDirection w:val="lrTb"/>
            <w:noWrap w:val="false"/>
          </w:tcPr>
          <w:p>
            <w:pPr>
              <w:jc w:val="center"/>
              <w:spacing w:line="360" w:lineRule="auto"/>
              <w:widowControl/>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评分标准</w:t>
            </w:r>
            <w:r/>
          </w:p>
        </w:tc>
      </w:tr>
      <w:tr>
        <w:trPr>
          <w:jc w:val="center"/>
          <w:trHeight w:val="331"/>
        </w:trPr>
        <w:tc>
          <w:tcPr>
            <w:gridSpan w:val="4"/>
            <w:tcW w:w="5000" w:type="pct"/>
            <w:vAlign w:val="center"/>
            <w:textDirection w:val="lrTb"/>
            <w:noWrap w:val="false"/>
          </w:tcPr>
          <w:p>
            <w:pPr>
              <w:jc w:val="left"/>
              <w:spacing w:line="360" w:lineRule="auto"/>
              <w:widowControl/>
              <w:tabs>
                <w:tab w:val="left" w:pos="1200" w:leader="none"/>
              </w:tabs>
              <w:rPr>
                <w:rFonts w:hint="eastAsia"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val="zh-Hans"/>
              </w:rPr>
              <w:t xml:space="preserve">分）</w:t>
            </w:r>
            <w:r/>
          </w:p>
        </w:tc>
      </w:tr>
      <w:tr>
        <w:trPr>
          <w:jc w:val="center"/>
          <w:trHeight w:val="279"/>
        </w:trPr>
        <w:tc>
          <w:tcPr>
            <w:tcW w:w="383" w:type="pct"/>
            <w:vAlign w:val="center"/>
            <w:textDirection w:val="lrTb"/>
            <w:noWrap w:val="false"/>
          </w:tcPr>
          <w:p>
            <w:pPr>
              <w:jc w:val="cente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929" w:type="pct"/>
            <w:vAlign w:val="center"/>
            <w:textDirection w:val="lrTb"/>
            <w:noWrap w:val="false"/>
          </w:tcPr>
          <w:p>
            <w:pPr>
              <w:jc w:val="cente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539"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p>
        </w:tc>
        <w:tc>
          <w:tcPr>
            <w:tcW w:w="3148" w:type="pct"/>
            <w:vAlign w:val="center"/>
            <w:textDirection w:val="lrTb"/>
            <w:noWrap w:val="false"/>
          </w:tcPr>
          <w:p>
            <w:pP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满足磋商文件要求且最终报价最低的报价为评标基准价，其价格分为满分。其他供应商的价格分统一按照下列公式计算：价格分得分＝（评标基准价/最终报价）×分值。</w:t>
            </w:r>
            <w:r/>
          </w:p>
          <w:p>
            <w:pPr>
              <w:spacing w:line="360" w:lineRule="auto"/>
              <w:rPr>
                <w:rFonts w:hint="eastAsia" w:ascii="宋体" w:hAnsi="宋体" w:cs="宋体"/>
                <w:b/>
                <w:bCs/>
                <w:color w:val="auto"/>
                <w:sz w:val="24"/>
                <w:highlight w:val="none"/>
                <w:lang w:val="zh-Hans"/>
              </w:rPr>
            </w:pPr>
            <w:r>
              <w:rPr>
                <w:rFonts w:hint="eastAsia" w:ascii="宋体" w:hAnsi="宋体" w:cs="宋体"/>
                <w:b/>
                <w:bCs/>
                <w:color w:val="auto"/>
                <w:sz w:val="24"/>
                <w:highlight w:val="none"/>
                <w:lang w:val="zh-Hans"/>
              </w:rPr>
              <w:t xml:space="preserve">注：1.此处用于评审比较的最终报价，是指在供应商最终报价的基础上，经过算术修正后，再依据政府采购政策进行价格调整（如本国产品价格扣除）后形成的价格。</w:t>
            </w:r>
            <w:r/>
          </w:p>
          <w:p>
            <w:pPr>
              <w:spacing w:line="360" w:lineRule="auto"/>
              <w:rPr>
                <w:rFonts w:hint="eastAsia" w:ascii="宋体" w:hAnsi="宋体" w:cs="宋体"/>
                <w:b/>
                <w:bCs/>
                <w:color w:val="auto"/>
                <w:sz w:val="24"/>
                <w:highlight w:val="none"/>
                <w:lang w:val="zh-Hans"/>
              </w:rPr>
            </w:pPr>
            <w:r>
              <w:rPr>
                <w:rFonts w:hint="eastAsia" w:ascii="宋体" w:hAnsi="宋体" w:cs="宋体"/>
                <w:b/>
                <w:bCs/>
                <w:color w:val="auto"/>
                <w:sz w:val="24"/>
                <w:highlight w:val="none"/>
                <w:lang w:val="zh-Hans"/>
              </w:rPr>
              <w:t xml:space="preserve">2.本项目涉及货物的采购，适用本国产品标准。根据《国务院办公厅关于在政府采购中实施本国产品标准及相关政策的通知》（国办发〔2025〕34号）的规定，执行价格评审优惠如下：</w:t>
            </w:r>
            <w:r/>
          </w:p>
          <w:p>
            <w:pPr>
              <w:spacing w:line="360" w:lineRule="auto"/>
              <w:rPr>
                <w:rFonts w:hint="eastAsia" w:ascii="宋体" w:hAnsi="宋体" w:cs="宋体"/>
                <w:b/>
                <w:bCs/>
                <w:color w:val="auto"/>
                <w:sz w:val="24"/>
                <w:highlight w:val="none"/>
                <w:lang w:val="zh-Hans"/>
              </w:rPr>
            </w:pPr>
            <w:r>
              <w:rPr>
                <w:rFonts w:hint="eastAsia" w:ascii="宋体" w:hAnsi="宋体" w:cs="宋体"/>
                <w:b/>
                <w:bCs/>
                <w:color w:val="auto"/>
                <w:sz w:val="24"/>
                <w:highlight w:val="none"/>
                <w:lang w:val="zh-Hans"/>
              </w:rPr>
              <w:t xml:space="preserve">本项目政府采购活动中既有本国产品又有非本国产品参与竞争的，依法对本国产品给予价格评审优惠，对本国产品的报价给予20%的价格扣除，用扣除后的价格参与评审。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color w:val="auto"/>
                <w:sz w:val="24"/>
                <w:highlight w:val="none"/>
                <w:lang w:val="zh-Hans"/>
              </w:rPr>
            </w:pPr>
            <w:r>
              <w:rPr>
                <w:rFonts w:hint="eastAsia" w:ascii="宋体" w:hAnsi="宋体" w:cs="宋体"/>
                <w:b/>
                <w:bCs/>
                <w:color w:val="auto"/>
                <w:sz w:val="24"/>
                <w:highlight w:val="none"/>
                <w:lang w:val="zh-Hans"/>
              </w:rPr>
              <w:t xml:space="preserve">3.上述价格扣除优惠，仅适用于采购活动中实际存在“既有本国产品又有非本国产品参与竞争”的情形。“非本国产品”包括虽在中国境内生产但不满足本国产品标准的产品。如果所有有效投标供应商提供的所有产品均被证实为本国产品（即不存在非本国产品竞争），则不执行本国产品的价格扣除政策。</w:t>
            </w:r>
            <w:r/>
          </w:p>
          <w:p>
            <w:pPr>
              <w:spacing w:line="360" w:lineRule="auto"/>
              <w:rPr>
                <w:rFonts w:hint="eastAsia" w:ascii="宋体" w:hAnsi="宋体" w:cs="宋体"/>
                <w:color w:val="auto"/>
                <w:sz w:val="24"/>
                <w:highlight w:val="none"/>
                <w:lang w:val="zh-Hans"/>
              </w:rPr>
            </w:pPr>
            <w:r>
              <w:rPr>
                <w:rFonts w:hint="eastAsia" w:ascii="宋体" w:hAnsi="宋体" w:cs="宋体"/>
                <w:b/>
                <w:bCs/>
                <w:color w:val="auto"/>
                <w:sz w:val="24"/>
                <w:highlight w:val="none"/>
                <w:lang w:val="zh-Hans"/>
              </w:rPr>
              <w:t xml:space="preserve">4.供应商应在响应文件中提供《关于符合本国产品标准的声明函》或财政部会同有关部门规定的有关证明文件，以证明其产品符合本国产品标准。磋商小组将对声明函或证明文件的完整性、准确性进行审查。</w:t>
            </w:r>
            <w:r/>
          </w:p>
        </w:tc>
      </w:tr>
      <w:tr>
        <w:trPr>
          <w:jc w:val="center"/>
          <w:trHeight w:val="279"/>
        </w:trPr>
        <w:tc>
          <w:tcPr>
            <w:gridSpan w:val="4"/>
            <w:tcW w:w="5000" w:type="pct"/>
            <w:vAlign w:val="center"/>
            <w:textDirection w:val="lrTb"/>
            <w:noWrap w:val="false"/>
          </w:tcPr>
          <w:p>
            <w:pPr>
              <w:spacing w:line="360" w:lineRule="auto"/>
              <w:rPr>
                <w:rFonts w:hint="eastAsia" w:ascii="宋体" w:hAnsi="宋体" w:cs="宋体"/>
                <w:b/>
                <w:color w:val="auto"/>
                <w:sz w:val="24"/>
                <w:highlight w:val="none"/>
                <w:lang w:val="zh-Hans"/>
              </w:rPr>
            </w:pPr>
            <w:r>
              <w:rPr>
                <w:rFonts w:hint="eastAsia" w:ascii="宋体" w:hAnsi="宋体" w:cs="宋体"/>
                <w:b/>
                <w:color w:val="auto"/>
                <w:sz w:val="24"/>
                <w:highlight w:val="none"/>
                <w:lang w:val="zh-Hans"/>
              </w:rPr>
              <w:t xml:space="preserve">二、履约能力（</w:t>
            </w:r>
            <w:r>
              <w:rPr>
                <w:rFonts w:hint="eastAsia" w:ascii="宋体" w:hAnsi="宋体" w:cs="宋体"/>
                <w:b/>
                <w:color w:val="auto"/>
                <w:sz w:val="24"/>
                <w:highlight w:val="none"/>
                <w:lang w:val="en-US" w:eastAsia="zh-CN"/>
              </w:rPr>
              <w:t xml:space="preserve">25</w:t>
            </w:r>
            <w:r>
              <w:rPr>
                <w:rFonts w:ascii="宋体" w:hAnsi="宋体" w:eastAsia="PMingLiU" w:cs="宋体"/>
                <w:b/>
                <w:color w:val="auto"/>
                <w:sz w:val="24"/>
                <w:highlight w:val="none"/>
                <w:lang w:val="zh-Hans" w:eastAsia="zh-TW"/>
              </w:rPr>
              <w:t xml:space="preserve">分）</w:t>
            </w:r>
            <w:r/>
          </w:p>
        </w:tc>
      </w:tr>
      <w:tr>
        <w:trPr>
          <w:jc w:val="center"/>
          <w:trHeight w:val="283"/>
        </w:trPr>
        <w:tc>
          <w:tcPr>
            <w:tcW w:w="383" w:type="pct"/>
            <w:vAlign w:val="center"/>
            <w:textDirection w:val="lrTb"/>
            <w:noWrap w:val="false"/>
          </w:tcPr>
          <w:p>
            <w:pPr>
              <w:ind w:firstLine="28"/>
              <w:jc w:val="center"/>
              <w:rPr>
                <w:rFonts w:hint="eastAsia" w:ascii="宋体" w:hAnsi="宋体" w:cs="宋体"/>
                <w:bCs/>
                <w:color w:val="auto"/>
                <w:sz w:val="24"/>
                <w:highlight w:val="none"/>
              </w:rPr>
            </w:pPr>
            <w:r>
              <w:rPr>
                <w:rFonts w:ascii="宋体" w:hAnsi="宋体" w:cs="宋体"/>
                <w:bCs/>
                <w:color w:val="auto"/>
                <w:sz w:val="24"/>
                <w:highlight w:val="none"/>
              </w:rPr>
              <w:t xml:space="preserve">1</w:t>
            </w:r>
            <w:r/>
          </w:p>
        </w:tc>
        <w:tc>
          <w:tcPr>
            <w:tcW w:w="929" w:type="pct"/>
            <w:vAlign w:val="center"/>
            <w:textDirection w:val="lrTb"/>
            <w:noWrap w:val="false"/>
          </w:tcPr>
          <w:p>
            <w:pPr>
              <w:ind w:firstLine="28"/>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相关业务能力</w:t>
            </w:r>
            <w:r/>
          </w:p>
        </w:tc>
        <w:tc>
          <w:tcPr>
            <w:tcW w:w="539" w:type="pct"/>
            <w:vAlign w:val="center"/>
            <w:textDirection w:val="lrTb"/>
            <w:noWrap w:val="false"/>
          </w:tcPr>
          <w:p>
            <w:pPr>
              <w:pStyle w:val="1158"/>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9</w:t>
            </w:r>
            <w:r/>
          </w:p>
        </w:tc>
        <w:tc>
          <w:tcPr>
            <w:tcW w:w="3148" w:type="pct"/>
            <w:vAlign w:val="center"/>
            <w:textDirection w:val="lrTb"/>
            <w:noWrap w:val="false"/>
          </w:tcPr>
          <w:p>
            <w:p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供应商自2023年1月1日（以合同签订时间为准）起承担过以下任一类项目：  </w:t>
            </w:r>
            <w:r/>
          </w:p>
          <w:p>
            <w:p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（1）国家或省级环境空气质量监测网络运维或区域保障服务；</w:t>
            </w:r>
            <w:r/>
          </w:p>
          <w:p>
            <w:p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（2）城市大气污染源排查与溯源分析服务。</w:t>
            </w:r>
            <w:r/>
          </w:p>
          <w:p>
            <w:p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每提供1份合同得3分，最高9分。 </w:t>
            </w:r>
            <w:r/>
          </w:p>
          <w:p>
            <w:p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
                <w:bCs w:val="0"/>
                <w:color w:val="auto"/>
                <w:sz w:val="24"/>
                <w:highlight w:val="none"/>
              </w:rPr>
              <w:t xml:space="preserve">注：供应商须在响应文件中提供业绩合同关键页（合同文本应能清晰证明业绩的服务内容）并加盖供应商公章作为证明。若提供的合同文本中未能清晰体现与评分要求相关的具体服务内容，供应商应同时提供以下补充证明材料（均需加盖供应商公章）：</w:t>
            </w:r>
            <w:r>
              <w:rPr>
                <w:rFonts w:hint="eastAsia" w:ascii="宋体" w:hAnsi="宋体" w:cs="宋体"/>
                <w:b/>
                <w:bCs w:val="0"/>
                <w:color w:val="auto"/>
                <w:sz w:val="24"/>
                <w:highlight w:val="none"/>
                <w:lang w:val="en-US" w:eastAsia="zh-CN"/>
              </w:rPr>
              <w:t xml:space="preserve">项目验收报告或</w:t>
            </w:r>
            <w:r>
              <w:rPr>
                <w:rFonts w:hint="eastAsia" w:ascii="宋体" w:hAnsi="宋体" w:cs="宋体"/>
                <w:b/>
                <w:bCs w:val="0"/>
                <w:color w:val="auto"/>
                <w:sz w:val="24"/>
                <w:highlight w:val="none"/>
              </w:rPr>
              <w:t xml:space="preserve">合同甲方（采购人）出具的书面说明，明确该业绩项目所完成的服务内容。上述提供的所有证明材料应能清晰证明业绩的服务内容，否则不得分。</w:t>
            </w:r>
            <w:r/>
          </w:p>
        </w:tc>
      </w:tr>
      <w:tr>
        <w:trPr>
          <w:jc w:val="center"/>
          <w:trHeight w:val="1160"/>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2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体系认证</w:t>
            </w:r>
            <w:r/>
          </w:p>
        </w:tc>
        <w:tc>
          <w:tcPr>
            <w:tcW w:w="539"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148" w:type="pct"/>
            <w:vAlign w:val="center"/>
            <w:textDirection w:val="lrTb"/>
            <w:noWrap w:val="false"/>
          </w:tcPr>
          <w:p>
            <w:pPr>
              <w:numPr>
                <w:ilvl w:val="0"/>
                <w:numId w:val="0"/>
              </w:num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供应商具有有效的质量管理体系</w:t>
            </w:r>
            <w:r>
              <w:rPr>
                <w:rFonts w:hint="eastAsia" w:ascii="宋体" w:hAnsi="宋体" w:cs="宋体"/>
                <w:bCs/>
                <w:color w:val="auto"/>
                <w:sz w:val="24"/>
                <w:highlight w:val="none"/>
                <w:lang w:val="en-US" w:eastAsia="zh-CN"/>
              </w:rPr>
              <w:t xml:space="preserve">证书</w:t>
            </w:r>
            <w:r>
              <w:rPr>
                <w:rFonts w:hint="eastAsia" w:ascii="宋体" w:hAnsi="宋体" w:cs="宋体"/>
                <w:bCs/>
                <w:color w:val="auto"/>
                <w:sz w:val="24"/>
                <w:highlight w:val="none"/>
              </w:rPr>
              <w:t xml:space="preserve">、环境管理体系证书、职业健康安全管理体系认证证书的，有一个得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分，最高得</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w:t>
            </w:r>
            <w:r/>
          </w:p>
          <w:p>
            <w:pPr>
              <w:numPr>
                <w:ilvl w:val="0"/>
                <w:numId w:val="0"/>
              </w:numPr>
              <w:jc w:val="left"/>
              <w:spacing w:line="360" w:lineRule="auto"/>
              <w:tabs>
                <w:tab w:val="left" w:pos="1200" w:leader="none"/>
              </w:tabs>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 xml:space="preserve">注：</w:t>
            </w:r>
            <w:r>
              <w:rPr>
                <w:rFonts w:hint="eastAsia" w:ascii="宋体" w:hAnsi="宋体" w:cs="宋体"/>
                <w:b/>
                <w:bCs w:val="0"/>
                <w:color w:val="auto"/>
                <w:sz w:val="24"/>
                <w:highlight w:val="none"/>
              </w:rPr>
              <w:t xml:space="preserve">磋商响应文件中提供有效的证书复印件并加盖供应商公章，否则不得分。</w:t>
            </w:r>
            <w:r/>
          </w:p>
        </w:tc>
      </w:tr>
      <w:tr>
        <w:trPr>
          <w:jc w:val="center"/>
          <w:trHeight w:val="1038"/>
        </w:trPr>
        <w:tc>
          <w:tcPr>
            <w:tcW w:w="383" w:type="pct"/>
            <w:vAlign w:val="center"/>
            <w:textDirection w:val="lrTb"/>
            <w:noWrap w:val="false"/>
          </w:tcPr>
          <w:p>
            <w:pPr>
              <w:jc w:val="center"/>
              <w:spacing w:line="360" w:lineRule="auto"/>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929" w:type="pct"/>
            <w:vAlign w:val="center"/>
            <w:textDirection w:val="lrTb"/>
            <w:noWrap w:val="false"/>
          </w:tcPr>
          <w:p>
            <w:pPr>
              <w:ind w:firstLine="28"/>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项目负责人</w:t>
            </w:r>
            <w:r/>
          </w:p>
        </w:tc>
        <w:tc>
          <w:tcPr>
            <w:tcW w:w="539" w:type="pct"/>
            <w:vAlign w:val="center"/>
            <w:textDirection w:val="lrTb"/>
            <w:noWrap w:val="false"/>
          </w:tcPr>
          <w:p>
            <w:pPr>
              <w:ind w:firstLine="28"/>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4</w:t>
            </w:r>
            <w:r/>
          </w:p>
        </w:tc>
        <w:tc>
          <w:tcPr>
            <w:tcW w:w="3148" w:type="pct"/>
            <w:vAlign w:val="center"/>
            <w:textDirection w:val="lrTb"/>
            <w:noWrap w:val="false"/>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项目负责人：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项目负责人具有环境科学与工程、大气科学、地理信息系统、数据分析、环境监测等相关专业高级及以上技术职称的得4分；中级职称得2分。 本项得分按证书最高等级计取，不累计加分。</w:t>
            </w:r>
            <w:r/>
          </w:p>
          <w:p>
            <w:pPr>
              <w:spacing w:line="360" w:lineRule="auto"/>
              <w:rPr>
                <w:rFonts w:hint="eastAsia" w:ascii="宋体" w:hAnsi="宋体" w:cs="宋体"/>
                <w:bCs/>
                <w:color w:val="auto"/>
                <w:sz w:val="24"/>
                <w:highlight w:val="none"/>
              </w:rPr>
            </w:pPr>
            <w:r>
              <w:rPr>
                <w:rFonts w:hint="eastAsia" w:ascii="宋体" w:hAnsi="宋体" w:cs="宋体"/>
                <w:b/>
                <w:bCs/>
                <w:color w:val="auto"/>
                <w:sz w:val="24"/>
                <w:highlight w:val="none"/>
                <w:lang w:val="en-US" w:eastAsia="zh-CN"/>
              </w:rPr>
              <w:t xml:space="preserve">注：磋商</w:t>
            </w:r>
            <w:r>
              <w:rPr>
                <w:rFonts w:hint="eastAsia" w:ascii="宋体" w:hAnsi="宋体" w:cs="宋体"/>
                <w:b/>
                <w:bCs/>
                <w:color w:val="auto"/>
                <w:sz w:val="24"/>
                <w:highlight w:val="none"/>
              </w:rPr>
              <w:t xml:space="preserve">响应文件中提供有效的</w:t>
            </w:r>
            <w:r>
              <w:rPr>
                <w:rFonts w:hint="eastAsia" w:ascii="宋体" w:hAnsi="宋体" w:cs="宋体"/>
                <w:b/>
                <w:bCs/>
                <w:color w:val="auto"/>
                <w:sz w:val="24"/>
                <w:highlight w:val="none"/>
                <w:lang w:val="en-US" w:eastAsia="zh-CN"/>
              </w:rPr>
              <w:t xml:space="preserve">职称</w:t>
            </w:r>
            <w:r>
              <w:rPr>
                <w:rFonts w:hint="eastAsia" w:ascii="宋体" w:hAnsi="宋体" w:cs="宋体"/>
                <w:b/>
                <w:bCs/>
                <w:color w:val="auto"/>
                <w:sz w:val="24"/>
                <w:highlight w:val="none"/>
              </w:rPr>
              <w:t xml:space="preserve">证书复印件及2025年</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rPr>
              <w:t xml:space="preserve">月至202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月中任意一个月供应商为</w:t>
            </w:r>
            <w:r>
              <w:rPr>
                <w:rFonts w:hint="eastAsia" w:ascii="宋体" w:hAnsi="宋体" w:cs="宋体"/>
                <w:b/>
                <w:bCs/>
                <w:color w:val="auto"/>
                <w:sz w:val="24"/>
                <w:highlight w:val="none"/>
                <w:lang w:val="en-US" w:eastAsia="zh-CN"/>
              </w:rPr>
              <w:t xml:space="preserve">项目负责人</w:t>
            </w:r>
            <w:r>
              <w:rPr>
                <w:rFonts w:hint="eastAsia" w:ascii="宋体" w:hAnsi="宋体" w:cs="宋体"/>
                <w:b/>
                <w:bCs/>
                <w:color w:val="auto"/>
                <w:sz w:val="24"/>
                <w:highlight w:val="none"/>
              </w:rPr>
              <w:t xml:space="preserve">缴纳的社保证明材料复印件并加盖供应商公章，否则不得分。</w:t>
            </w:r>
            <w:r/>
          </w:p>
        </w:tc>
      </w:tr>
      <w:tr>
        <w:trPr>
          <w:jc w:val="center"/>
          <w:trHeight w:val="1038"/>
        </w:trPr>
        <w:tc>
          <w:tcPr>
            <w:tcW w:w="383" w:type="pct"/>
            <w:vAlign w:val="center"/>
            <w:textDirection w:val="lrTb"/>
            <w:noWrap w:val="false"/>
          </w:tcPr>
          <w:p>
            <w:pPr>
              <w:jc w:val="center"/>
              <w:spacing w:line="360" w:lineRule="auto"/>
              <w:tabs>
                <w:tab w:val="left" w:pos="1200"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W w:w="929" w:type="pct"/>
            <w:vAlign w:val="center"/>
            <w:textDirection w:val="lrTb"/>
            <w:noWrap w:val="false"/>
          </w:tcPr>
          <w:p>
            <w:pPr>
              <w:ind w:firstLine="28"/>
              <w:jc w:val="center"/>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项目组成员</w:t>
            </w:r>
            <w:r/>
          </w:p>
        </w:tc>
        <w:tc>
          <w:tcPr>
            <w:tcW w:w="539" w:type="pct"/>
            <w:vAlign w:val="center"/>
            <w:textDirection w:val="lrTb"/>
            <w:noWrap w:val="false"/>
          </w:tcPr>
          <w:p>
            <w:pPr>
              <w:ind w:firstLine="28"/>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w:t>
            </w:r>
            <w:r/>
          </w:p>
        </w:tc>
        <w:tc>
          <w:tcPr>
            <w:tcW w:w="3148" w:type="pct"/>
            <w:vAlign w:val="center"/>
            <w:textDirection w:val="lrTb"/>
            <w:noWrap w:val="false"/>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项目组成员（除项目负责人外）：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拟投入本项目的人员（不含项目负责人）具有环境科学与工程类、大气科学类、地理科学类、计算机类、统计学类等与本项目相关的本科及以上学历，每提供1人得3分，按最高等级计分，不重复累加，最高得6分。</w:t>
            </w:r>
            <w:r/>
          </w:p>
          <w:p>
            <w:pPr>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注：磋商</w:t>
            </w:r>
            <w:r>
              <w:rPr>
                <w:rFonts w:hint="eastAsia" w:ascii="宋体" w:hAnsi="宋体" w:cs="宋体"/>
                <w:b/>
                <w:bCs/>
                <w:color w:val="auto"/>
                <w:sz w:val="24"/>
                <w:highlight w:val="none"/>
              </w:rPr>
              <w:t xml:space="preserve">响应文件中提供</w:t>
            </w:r>
            <w:r>
              <w:rPr>
                <w:rFonts w:hint="eastAsia" w:ascii="宋体" w:hAnsi="宋体" w:cs="宋体"/>
                <w:b/>
                <w:bCs/>
                <w:color w:val="auto"/>
                <w:sz w:val="24"/>
                <w:highlight w:val="none"/>
                <w:lang w:val="en-US" w:eastAsia="zh-CN"/>
              </w:rPr>
              <w:t xml:space="preserve">学历</w:t>
            </w:r>
            <w:r>
              <w:rPr>
                <w:rFonts w:hint="eastAsia" w:ascii="宋体" w:hAnsi="宋体" w:cs="宋体"/>
                <w:b/>
                <w:bCs/>
                <w:color w:val="auto"/>
                <w:sz w:val="24"/>
                <w:highlight w:val="none"/>
              </w:rPr>
              <w:t xml:space="preserve">证书复印件及2025年</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rPr>
              <w:t xml:space="preserve">月至202</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月中任意一个月供应商为上述人员缴纳的社保证明材料复印件并加盖供应商公章，否则不得分。</w:t>
            </w:r>
            <w:r/>
          </w:p>
        </w:tc>
      </w:tr>
      <w:tr>
        <w:trPr>
          <w:jc w:val="center"/>
          <w:trHeight w:val="279"/>
        </w:trPr>
        <w:tc>
          <w:tcPr>
            <w:gridSpan w:val="4"/>
            <w:tcW w:w="5000" w:type="pct"/>
            <w:vAlign w:val="center"/>
            <w:textDirection w:val="lrTb"/>
            <w:noWrap w:val="false"/>
          </w:tcPr>
          <w:p>
            <w:pPr>
              <w:jc w:val="left"/>
              <w:spacing w:line="360" w:lineRule="auto"/>
              <w:widowControl/>
              <w:tabs>
                <w:tab w:val="left" w:pos="12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三、服务方案（50分）</w:t>
            </w:r>
            <w:r/>
          </w:p>
        </w:tc>
      </w:tr>
      <w:tr>
        <w:trPr>
          <w:jc w:val="center"/>
          <w:trHeight w:val="178"/>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92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常态化值守方案</w:t>
            </w:r>
            <w:r/>
          </w:p>
        </w:tc>
        <w:tc>
          <w:tcPr>
            <w:tcW w:w="539"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3148" w:type="pct"/>
            <w:vAlign w:val="center"/>
            <w:textDirection w:val="lrTb"/>
            <w:noWrap w:val="false"/>
          </w:tcPr>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szCs w:val="24"/>
                <w:highlight w:val="none"/>
              </w:rPr>
              <w:t xml:space="preserve">磋商小组根据供应商拟制的</w:t>
            </w:r>
            <w:r>
              <w:rPr>
                <w:rFonts w:hint="eastAsia" w:ascii="宋体" w:hAnsi="宋体" w:cs="宋体"/>
                <w:color w:val="auto"/>
                <w:sz w:val="24"/>
                <w:highlight w:val="none"/>
              </w:rPr>
              <w:t xml:space="preserve">常态化值守方案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包含（1）7×24小时排班制度：提供人员轮班表、岗位职责分工及替补机制；</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（2）数据异常判定标准：明确PM₂.₅、O₃小时浓度偏高20%或持续恶化趋势的具体算法或阈值；</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（3）10分钟预警响应机制：说明预警信息生成、推送、接收、确认的流程及时限保障措施；</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（4）30分钟应急调度路径图：列明巡查力量调度路线、责任人、交通工具配置及通讯保障方式；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（5）闭环管理台账模板：提供标准化问题记录表（含时间、坐标、污染源类型、照片编号、整改状态）。</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rPr>
              <w:t xml:space="preserve">进行综合评审，方案完整且具体的得10分；方案基本满足要求，可操作性一般的得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方案不能满足采购需求</w:t>
            </w:r>
            <w:r>
              <w:rPr>
                <w:rFonts w:hint="eastAsia" w:ascii="宋体" w:hAnsi="宋体" w:cs="宋体"/>
                <w:color w:val="auto"/>
                <w:sz w:val="24"/>
                <w:szCs w:val="24"/>
                <w:highlight w:val="none"/>
              </w:rPr>
              <w:t xml:space="preserve">，且没有具体可操作性的得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分。未提供本项不得分。</w:t>
            </w:r>
            <w:r/>
          </w:p>
        </w:tc>
      </w:tr>
      <w:tr>
        <w:trPr>
          <w:jc w:val="center"/>
          <w:trHeight w:val="178"/>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92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污染分析方案</w:t>
            </w:r>
            <w:r/>
          </w:p>
        </w:tc>
        <w:tc>
          <w:tcPr>
            <w:tcW w:w="539"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3148" w:type="pct"/>
            <w:vAlign w:val="center"/>
            <w:textDirection w:val="lrTb"/>
            <w:noWrap w:val="false"/>
          </w:tcPr>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szCs w:val="24"/>
                <w:highlight w:val="none"/>
              </w:rPr>
              <w:t xml:space="preserve">磋商小组根据供应商拟制的</w:t>
            </w:r>
            <w:r>
              <w:rPr>
                <w:rFonts w:hint="eastAsia" w:ascii="宋体" w:hAnsi="宋体" w:cs="宋体"/>
                <w:color w:val="auto"/>
                <w:sz w:val="24"/>
                <w:highlight w:val="none"/>
              </w:rPr>
              <w:t xml:space="preserve">污染分析方案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（1）单次污染事件分析时效机制：明确2小时内完成污染事件分析报告的具体流程，包括数据调取路径、多源数据（雷达、微站、气象）整合方式及报告模板；</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（2）扩散模型应用说明：列明至少1种污染扩散模型名称（如CALPUFF、HYSPLIT或AERMOD），并说明其在跨区域传输路径分析中的参数设置依据；</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（3）污染源贡献量化方法：提供针对工业企业、餐饮油烟、工地扬尘等污染源的贡献率计算公式或算法逻辑（如PMF模型、CMB模型）；</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（4）月度/年度报告框架：包含污染物浓度排名、同比/环比变化图表、重点污染源识别清单及治理建议的标准化模板。</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rPr>
              <w:t xml:space="preserve">进行综合评审，方案完整且具体的得10分；方案基本满足要求，可操作性一般的得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方案不能满足采购需求</w:t>
            </w:r>
            <w:r>
              <w:rPr>
                <w:rFonts w:hint="eastAsia" w:ascii="宋体" w:hAnsi="宋体" w:cs="宋体"/>
                <w:color w:val="auto"/>
                <w:sz w:val="24"/>
                <w:szCs w:val="24"/>
                <w:highlight w:val="none"/>
              </w:rPr>
              <w:t xml:space="preserve">，且没有具体可操作性的得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分。未提供本项不得分。</w:t>
            </w:r>
            <w:r/>
          </w:p>
        </w:tc>
      </w:tr>
      <w:tr>
        <w:trPr>
          <w:jc w:val="center"/>
          <w:trHeight w:val="178"/>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92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Hans"/>
              </w:rPr>
              <w:t xml:space="preserve">后勤保障方案</w:t>
            </w:r>
            <w:r/>
          </w:p>
        </w:tc>
        <w:tc>
          <w:tcPr>
            <w:tcW w:w="539"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3148" w:type="pct"/>
            <w:vAlign w:val="center"/>
            <w:textDirection w:val="lrTb"/>
            <w:noWrap w:val="false"/>
          </w:tcPr>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szCs w:val="24"/>
                <w:highlight w:val="none"/>
              </w:rPr>
              <w:t xml:space="preserve">磋商小组根据供应商拟制的</w:t>
            </w:r>
            <w:r>
              <w:rPr>
                <w:rFonts w:hint="eastAsia" w:ascii="宋体" w:hAnsi="宋体" w:cs="宋体"/>
                <w:color w:val="auto"/>
                <w:sz w:val="24"/>
                <w:highlight w:val="none"/>
                <w:lang w:val="zh-Hans"/>
              </w:rPr>
              <w:t xml:space="preserve">后勤保障方案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（1）日常办公保障清单：列明</w:t>
            </w:r>
            <w:r>
              <w:rPr>
                <w:rFonts w:hint="eastAsia" w:ascii="宋体" w:hAnsi="宋体" w:cs="宋体"/>
                <w:b w:val="0"/>
                <w:bCs w:val="0"/>
                <w:color w:val="auto"/>
                <w:sz w:val="24"/>
                <w:szCs w:val="24"/>
                <w:highlight w:val="none"/>
                <w:lang w:val="en-US" w:eastAsia="zh-CN"/>
              </w:rPr>
              <w:t xml:space="preserve">联防联控指挥部</w:t>
            </w:r>
            <w:r>
              <w:rPr>
                <w:rFonts w:hint="eastAsia" w:ascii="宋体" w:hAnsi="宋体" w:cs="宋体"/>
                <w:color w:val="auto"/>
                <w:sz w:val="24"/>
                <w:highlight w:val="none"/>
                <w:lang w:val="en-US" w:eastAsia="zh-CN"/>
              </w:rPr>
              <w:t xml:space="preserve">办公耗材、水电网络维护、设备维修等费用明细表及月度预算控制机制；</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（2）应急物资储备标准：提供不少于3天用量的应急物资清单（含备用电源、通信设备、防护装备），注明存储位置、更新周期及调用流程；</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（3）后勤服务中断预案：制定办公场地断电、网络中断等场景的替代方案（如备用场地坐标、卫星通信设备配置）；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（4）服务质量监督表：提供后勤保障服务满意度评分表模板（含采购人签字确认栏）及月度改进报告机制。</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rPr>
              <w:t xml:space="preserve">进行综合评审，方案完整且具体的得10分；方案基本满足要求，可操作性一般的得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方案不能满足采购需求</w:t>
            </w:r>
            <w:r>
              <w:rPr>
                <w:rFonts w:hint="eastAsia" w:ascii="宋体" w:hAnsi="宋体" w:cs="宋体"/>
                <w:color w:val="auto"/>
                <w:sz w:val="24"/>
                <w:szCs w:val="24"/>
                <w:highlight w:val="none"/>
              </w:rPr>
              <w:t xml:space="preserve">，且没有具体可操作性的得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分。未提供本项不得分。</w:t>
            </w:r>
            <w:r/>
          </w:p>
        </w:tc>
      </w:tr>
      <w:tr>
        <w:trPr>
          <w:jc w:val="center"/>
          <w:trHeight w:val="1043"/>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929" w:type="pct"/>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zh-Hans"/>
              </w:rPr>
              <w:t xml:space="preserve">工作质量与效率保证方案</w:t>
            </w:r>
            <w:r/>
          </w:p>
        </w:tc>
        <w:tc>
          <w:tcPr>
            <w:tcW w:w="539"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3148"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磋商小组根据供应商拟制的工作质量与效率保证方案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）污染源空间分布图谱：绘制重点管控区域3公里半径范围内工业源、移动源、扬尘源、生活源的GIS分布图，标注重点对象坐标及历史超标记录；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）数据质控三级审核机制：说明原始数据采集→异常值筛查→报告生成的三级责任人、审核标准（如数据完整率≥98%）及签字流程；</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响应时效承诺：书面承诺数据异常核实≤30分钟、污染溯源报告出具≤4小时、整改建议反馈≤24小时，并附超时违约责任条款。）进行综合评审，方案完整且具体的得10分；方案基本满足要求，可操作性一般的得8分；</w:t>
            </w:r>
            <w:r>
              <w:rPr>
                <w:rFonts w:hint="eastAsia" w:ascii="宋体" w:hAnsi="宋体" w:cs="宋体"/>
                <w:color w:val="auto"/>
                <w:sz w:val="24"/>
                <w:szCs w:val="24"/>
                <w:highlight w:val="none"/>
                <w:lang w:eastAsia="zh-CN"/>
              </w:rPr>
              <w:t xml:space="preserve">方案不能满足采购需求</w:t>
            </w:r>
            <w:r>
              <w:rPr>
                <w:rFonts w:hint="eastAsia" w:ascii="宋体" w:hAnsi="宋体" w:cs="宋体"/>
                <w:color w:val="auto"/>
                <w:sz w:val="24"/>
                <w:szCs w:val="24"/>
                <w:highlight w:val="none"/>
              </w:rPr>
              <w:t xml:space="preserve">，且没有具体可操作性的得6分。未提供本项不得分。</w:t>
            </w:r>
            <w:r/>
          </w:p>
        </w:tc>
      </w:tr>
      <w:tr>
        <w:trPr>
          <w:jc w:val="center"/>
          <w:trHeight w:val="1043"/>
        </w:trPr>
        <w:tc>
          <w:tcPr>
            <w:tcW w:w="383"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929" w:type="pct"/>
            <w:vAlign w:val="center"/>
            <w:textDirection w:val="lrTb"/>
            <w:noWrap w:val="false"/>
          </w:tcPr>
          <w:p>
            <w:pPr>
              <w:jc w:val="center"/>
              <w:spacing w:line="360" w:lineRule="auto"/>
              <w:rPr>
                <w:rFonts w:hint="eastAsia" w:ascii="宋体" w:hAnsi="宋体" w:cs="宋体"/>
                <w:color w:val="auto"/>
                <w:sz w:val="24"/>
                <w:highlight w:val="none"/>
                <w:lang w:val="zh-Hans"/>
              </w:rPr>
            </w:pPr>
            <w:r>
              <w:rPr>
                <w:rFonts w:hint="eastAsia" w:ascii="宋体" w:hAnsi="宋体" w:cs="宋体"/>
                <w:color w:val="auto"/>
                <w:sz w:val="24"/>
                <w:highlight w:val="none"/>
                <w:lang w:val="zh-Hans"/>
              </w:rPr>
              <w:t xml:space="preserve">后续服务</w:t>
            </w:r>
            <w:r/>
          </w:p>
        </w:tc>
        <w:tc>
          <w:tcPr>
            <w:tcW w:w="539" w:type="pct"/>
            <w:vAlign w:val="center"/>
            <w:textDirection w:val="lrTb"/>
            <w:noWrap w:val="false"/>
          </w:tcPr>
          <w:p>
            <w:pPr>
              <w:jc w:val="center"/>
              <w:spacing w:line="360" w:lineRule="auto"/>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3148" w:type="pct"/>
            <w:vAlign w:val="center"/>
            <w:textDirection w:val="lrTb"/>
            <w:noWrap w:val="false"/>
          </w:tcPr>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磋商小组根据供应商拟制的后续服务内容</w:t>
            </w:r>
            <w:r>
              <w:rPr>
                <w:rFonts w:hint="eastAsia" w:ascii="宋体" w:hAnsi="宋体" w:cs="宋体"/>
                <w:color w:val="auto"/>
                <w:sz w:val="24"/>
                <w:szCs w:val="24"/>
                <w:highlight w:val="none"/>
                <w:lang w:eastAsia="zh-CN"/>
              </w:rPr>
              <w:t xml:space="preserve">（（1）数据移交机制：明确服务期满后30日内，向采购人移交全部原始监测数据、分析模型参数、污染源清单的电子档案（含数据格式标准、存储介质要求）；</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（2）知识转移安排：提供针对采购人技术人员的操作培训计划（含培训课时≥8学时、教材目录、考核标准）；</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（3）应急响应承诺：书面承诺服务终止后6个月内，对历史数据异常追溯、模型复算等需求提供免费技术支持（响应时限≤4小时）；</w:t>
            </w:r>
            <w:r/>
          </w:p>
          <w:p>
            <w:p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（4）系统维护过渡方案：说明联防联控指挥部监测设备、预警平台账号权限的移交流程及备用接管方案（含过渡期≤15日）；</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（5）服务延续报价清单：列明后续年度服务的分项报价明细（如值守服务、数据分析、设备运维单价），作为采购人续约参考依据。）</w:t>
            </w:r>
            <w:r>
              <w:rPr>
                <w:rFonts w:hint="eastAsia" w:ascii="宋体" w:hAnsi="宋体" w:cs="宋体"/>
                <w:color w:val="auto"/>
                <w:sz w:val="24"/>
                <w:szCs w:val="24"/>
                <w:highlight w:val="none"/>
              </w:rPr>
              <w:t xml:space="preserve">进行综合评审，内容完整且具体的得10分；内容基本满足要求，可操作性一般的得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分；内容不能满足采购人要求，且没有具体可操作性的得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分。未提供本项不得分。</w:t>
            </w:r>
            <w:r/>
          </w:p>
        </w:tc>
      </w:tr>
    </w:tbl>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注：1.评分细则中要求提供的证明文件及资料等在磋商响应文件中提供并加盖公章，否则不得分。</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2.评审时，未能按以上要求提供相应证明的，不作为评审依据，不得分。</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auto"/>
          <w:sz w:val="24"/>
          <w:szCs w:val="24"/>
          <w:highlight w:val="none"/>
        </w:rPr>
      </w:r>
      <w:r/>
    </w:p>
    <w:p>
      <w:pPr>
        <w:contextualSpacing/>
        <w:jc w:val="center"/>
        <w:keepLines w:val="0"/>
        <w:keepNext w:val="0"/>
        <w:pageBreakBefore w:val="0"/>
        <w:spacing w:line="360" w:lineRule="auto"/>
        <w:widowControl w:val="off"/>
        <w:rPr>
          <w:b/>
          <w:color w:val="auto"/>
          <w:sz w:val="36"/>
          <w:szCs w:val="36"/>
          <w:highlight w:val="none"/>
        </w:rPr>
        <w:outlineLvl w:val="0"/>
      </w:pPr>
      <w:r/>
      <w:bookmarkStart w:id="608" w:name="_Toc104818928"/>
      <w:r/>
      <w:bookmarkStart w:id="609" w:name="_Toc20962"/>
      <w:r>
        <w:rPr>
          <w:b/>
          <w:color w:val="auto"/>
          <w:sz w:val="36"/>
          <w:szCs w:val="36"/>
          <w:highlight w:val="none"/>
        </w:rPr>
        <w:t xml:space="preserve">第四章   采购需求</w:t>
      </w:r>
      <w:bookmarkEnd w:id="608"/>
      <w:r/>
      <w:bookmarkEnd w:id="609"/>
      <w:r/>
      <w:r/>
    </w:p>
    <w:p>
      <w:pPr>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一、采购标的</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lang w:eastAsia="zh-CN"/>
        </w:rPr>
        <w:outlineLvl w:val="9"/>
      </w:pPr>
      <w:r>
        <w:rPr>
          <w:rFonts w:hint="eastAsia" w:ascii="宋体" w:hAnsi="宋体" w:eastAsia="宋体" w:cs="宋体"/>
          <w:color w:val="auto"/>
          <w:spacing w:val="2"/>
          <w:sz w:val="24"/>
          <w:szCs w:val="24"/>
          <w:highlight w:val="none"/>
          <w:u w:val="none"/>
          <w:lang w:eastAsia="zh-CN"/>
        </w:rPr>
        <w:t xml:space="preserve">本项目为</w:t>
      </w:r>
      <w:r>
        <w:rPr>
          <w:rFonts w:hint="eastAsia" w:ascii="宋体" w:hAnsi="宋体" w:cs="宋体"/>
          <w:color w:val="auto"/>
          <w:spacing w:val="2"/>
          <w:sz w:val="24"/>
          <w:szCs w:val="24"/>
          <w:highlight w:val="none"/>
          <w:u w:val="none"/>
          <w:lang w:eastAsia="zh-CN"/>
        </w:rPr>
        <w:t xml:space="preserve">新北区联防联控指挥部保障项目</w:t>
      </w:r>
      <w:r>
        <w:rPr>
          <w:rFonts w:hint="eastAsia" w:ascii="宋体" w:hAnsi="宋体" w:eastAsia="宋体" w:cs="宋体"/>
          <w:color w:val="auto"/>
          <w:spacing w:val="2"/>
          <w:sz w:val="24"/>
          <w:szCs w:val="24"/>
          <w:highlight w:val="none"/>
          <w:u w:val="none"/>
          <w:lang w:eastAsia="zh-CN"/>
        </w:rPr>
        <w:t xml:space="preserve">，</w:t>
      </w:r>
      <w:r>
        <w:rPr>
          <w:rFonts w:hint="eastAsia" w:ascii="宋体" w:hAnsi="宋体" w:cs="宋体"/>
          <w:color w:val="auto"/>
          <w:sz w:val="24"/>
          <w:szCs w:val="24"/>
          <w:highlight w:val="none"/>
          <w:lang w:eastAsia="zh-CN"/>
        </w:rPr>
        <w:t xml:space="preserve">服务内容包括为保障新北区大气环境质量考核任务完成，构建“精准监测、智能预警、高效处置、系统治理”的闭环保障体系，通过常态化专班值守、多维度数据分析及全流程后勤保障，全面提升新北区大气污染防控的精细化、科学化水平，确保PM2.5浓度、O3超标天数等核心指标达到考核要求。</w:t>
      </w:r>
      <w:r/>
    </w:p>
    <w:p>
      <w:pPr>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二、商务要求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服务期限</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自合同签订之日起1年。</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.付款方式</w:t>
      </w:r>
      <w:r/>
    </w:p>
    <w:p>
      <w:pPr>
        <w:contextualSpacing/>
        <w:ind w:firstLine="48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szCs w:val="24"/>
          <w:highlight w:val="none"/>
          <w:lang w:val="en-US" w:eastAsia="zh-CN"/>
        </w:rPr>
        <w:t xml:space="preserve">合同签订生效、服务开始后，采购人支付合同金额的30%;服务满6个月并提交半年度分析报告后，支付合同金额的30%；服务期满且提交完整的年度综合分析报告及相关成果，经采购人验收合格后，支付合同金额的40%。</w:t>
      </w:r>
      <w:r/>
    </w:p>
    <w:p>
      <w:pPr>
        <w:keepLines w:val="0"/>
        <w:keepNext w:val="0"/>
        <w:pageBreakBefore w:val="0"/>
        <w:spacing w:line="460" w:lineRule="exact"/>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服务内容</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（一）保障服务</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保障新北区联防联控指挥部，确保全天候无间断协同值守。</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核心职责：</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数据盯控：每30分钟查看一次数据，确保数据连续、有效。</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异常预警：当PM2.5、O₃等污染物小时浓度较全市平均偏高20%或出现持续恶化趋势时，10分钟内发布预警信息。</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应急协调：接到预警后30分钟内启动应急处置流程，协调调度巡查力量。</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现场溯源：对周边工业企业、餐饮油烟、工地扬尘等污染源进行动态排查，并记录归档（含问题描述、传感器浓度、现场照片、排查人员）。</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闭环管理：跟踪问题整改进展，形成“预警-排查-处置-反馈”闭环。</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（二）多维度数据分析服务</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单次污染事件分析：针对污染物浓度异常高值事件，结合雷达扫描数据、微站监测数据、气象数据（风速、风向、湿度）及现场排查结果，解析污染成因（如区域传输、企业排放、扬尘贡献、VOCs泄漏等），2小时内编制单次事件污染分析报告，明确影响范围及跨区域协同处置建议。</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2．综合分析：</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月/年度报告：按月/年统计污染物月均/年均浓度、全省排名及同比/环比变化，结合多源数据（走航、飞航、在线监控等），利用扩散模型分析污染扩散路径及传输影响，识别重点污染源及跨区域管控薄弱环节，提出针对性治理建议，形成月度/年度综合分析报告。</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（三）后勤及配套保障服务</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承担新北区联防联控指挥部日常相关费用。</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（四）餐饮油烟及VOCs在线监测设备安装及运维</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在联防联控指挥部周边餐饮聚集区（商业综合体、夜市街区）选取不少于2家大型餐饮单位，安装具备PM2.5、非甲烷总烃（NMHC）监测功能的在线监测设备各1套，各包含1次设备挪点位服务。</w:t>
      </w:r>
      <w:r/>
    </w:p>
    <w:p>
      <w:pPr>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四、服务设备及技术要求</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数据分析能力：供应商需具备强大的大数据分析能力，熟练运用各类大气污染模型，能够高效整合多区域、多源监测数据（含省控站、微站、走航/飞航数据等），开展跨区域污染溯源研判、污染传输路径分析及污染源贡献量化评估，为管控决策提供科学支撑。</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现场巡查设备：配备手持式VOCs检测仪、便携式颗粒物监测仪等设备，支撑多区域周边现场排查及取证。</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在线监测设备：餐饮油烟及VOCs监测设备需符合国家相关技术标准，监测精度满足《固定污染源废气挥发性有机物监测技术规范》《饮食业油烟排放标准》等要求。</w:t>
      </w:r>
      <w:r/>
    </w:p>
    <w:p>
      <w:pPr>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五、验收标准</w:t>
      </w:r>
      <w:r>
        <w:rPr>
          <w:rFonts w:hint="eastAsia" w:ascii="宋体" w:hAnsi="宋体" w:cs="宋体"/>
          <w:b w:val="0"/>
          <w:bCs w:val="0"/>
          <w:color w:val="auto"/>
          <w:sz w:val="24"/>
          <w:szCs w:val="24"/>
          <w:highlight w:val="none"/>
          <w:lang w:val="en-US" w:eastAsia="zh-CN"/>
        </w:rPr>
        <w:t xml:space="preserve"> </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1.半年度/年度报告需包含：数据完整性≥95%、模型分析准确率≥90%、污染源定位误差≤500米、整改闭环率≥90%；  </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2.所有分析报告、模型成果归采购人所有；</w:t>
      </w:r>
      <w:r/>
    </w:p>
    <w:p>
      <w:pPr>
        <w:ind w:firstLine="480"/>
        <w:keepLines w:val="0"/>
        <w:keepNext w:val="0"/>
        <w:pageBreakBefore w:val="0"/>
        <w:spacing w:line="460" w:lineRule="exact"/>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3.必要时供应商应签署保密协议，符合《数据安全法》。</w:t>
      </w:r>
      <w:r/>
    </w:p>
    <w:p>
      <w:pPr>
        <w:keepLines w:val="0"/>
        <w:keepNext w:val="0"/>
        <w:pageBreakBefore w:val="0"/>
        <w:spacing w:line="460" w:lineRule="exact"/>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eastAsia" w:ascii="宋体" w:hAnsi="宋体"/>
          <w:b/>
          <w:color w:val="auto"/>
          <w:sz w:val="24"/>
          <w:highlight w:val="none"/>
          <w:lang w:val="en-US" w:eastAsia="zh-CN"/>
        </w:rPr>
        <w:t xml:space="preserve">服务成果</w:t>
      </w:r>
      <w:r/>
    </w:p>
    <w:p>
      <w:pPr>
        <w:pStyle w:val="1255"/>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1．单次污染事件分析报告。</w:t>
      </w:r>
      <w:r/>
    </w:p>
    <w:p>
      <w:pPr>
        <w:pStyle w:val="1255"/>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2．半年度及年度综合分析报告。</w:t>
      </w:r>
      <w:r/>
    </w:p>
    <w:p>
      <w:pPr>
        <w:pStyle w:val="1255"/>
        <w:contextualSpacing/>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3．动态更新的污染源排查清单及整改闭环记录。</w:t>
      </w:r>
      <w:r/>
    </w:p>
    <w:p>
      <w:pPr>
        <w:pStyle w:val="1255"/>
        <w:contextualSpacing/>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4．餐饮油烟在线监测数据及运维记录。</w:t>
      </w:r>
      <w:r/>
    </w:p>
    <w:p>
      <w:pPr>
        <w:pStyle w:val="1115"/>
        <w:contextualSpacing/>
        <w:ind w:lef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w:t>
      </w:r>
      <w:r/>
    </w:p>
    <w:p>
      <w:pPr>
        <w:pStyle w:val="1115"/>
        <w:contextualSpacing/>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lang w:val="en-US" w:eastAsia="zh-CN"/>
        </w:rPr>
        <w:t xml:space="preserve"> 100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210"/>
        <w:jc w:val="left"/>
        <w:keepLines w:val="0"/>
        <w:keepNext w:val="0"/>
        <w:pageBreakBefore w:val="0"/>
        <w:spacing w:line="360" w:lineRule="auto"/>
        <w:widowControl w:val="off"/>
        <w:rPr>
          <w:rFonts w:hint="eastAsia" w:ascii="宋体" w:hAnsi="宋体" w:eastAsia="宋体" w:cs="宋体"/>
          <w:b/>
          <w:color w:val="auto"/>
          <w:sz w:val="24"/>
          <w:szCs w:val="24"/>
          <w:highlight w:val="none"/>
          <w:u w:val="none"/>
        </w:rPr>
        <w:outlineLvl w:val="9"/>
      </w:pPr>
      <w:r>
        <w:rPr>
          <w:rFonts w:hint="eastAsia" w:ascii="宋体" w:hAnsi="宋体" w:cs="宋体"/>
          <w:b/>
          <w:color w:val="auto"/>
          <w:sz w:val="24"/>
          <w:szCs w:val="24"/>
          <w:highlight w:val="none"/>
          <w:u w:val="none"/>
          <w:lang w:val="en-US" w:eastAsia="zh-CN"/>
        </w:rPr>
        <w:t xml:space="preserve">八</w:t>
      </w:r>
      <w:r>
        <w:rPr>
          <w:rFonts w:hint="eastAsia" w:ascii="宋体" w:hAnsi="宋体" w:eastAsia="宋体" w:cs="宋体"/>
          <w:b/>
          <w:color w:val="auto"/>
          <w:sz w:val="24"/>
          <w:szCs w:val="24"/>
          <w:highlight w:val="none"/>
          <w:u w:val="none"/>
        </w:rPr>
        <w:t xml:space="preserve">、报价方式</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lang w:val="en-US" w:eastAsia="zh-CN"/>
        </w:rPr>
        <w:outlineLvl w:val="9"/>
      </w:pPr>
      <w:r>
        <w:rPr>
          <w:rFonts w:hint="eastAsia" w:ascii="宋体" w:hAnsi="宋体" w:eastAsia="宋体" w:cs="宋体"/>
          <w:color w:val="auto"/>
          <w:spacing w:val="2"/>
          <w:sz w:val="24"/>
          <w:szCs w:val="24"/>
          <w:highlight w:val="none"/>
          <w:u w:val="none"/>
          <w:lang w:val="en-US" w:eastAsia="zh-CN"/>
        </w:rPr>
        <w:t xml:space="preserve">本项目报价为</w:t>
      </w:r>
      <w:r>
        <w:rPr>
          <w:rFonts w:hint="eastAsia" w:ascii="宋体" w:hAnsi="宋体" w:eastAsia="宋体" w:cs="宋体"/>
          <w:b/>
          <w:bCs/>
          <w:color w:val="auto"/>
          <w:spacing w:val="2"/>
          <w:sz w:val="24"/>
          <w:szCs w:val="24"/>
          <w:highlight w:val="none"/>
          <w:u w:val="none"/>
          <w:lang w:val="en-US" w:eastAsia="zh-CN"/>
        </w:rPr>
        <w:t xml:space="preserve">固定</w:t>
      </w:r>
      <w:r>
        <w:rPr>
          <w:rFonts w:hint="eastAsia" w:ascii="宋体" w:hAnsi="宋体" w:cs="宋体"/>
          <w:b/>
          <w:bCs/>
          <w:color w:val="auto"/>
          <w:spacing w:val="2"/>
          <w:sz w:val="24"/>
          <w:szCs w:val="24"/>
          <w:highlight w:val="none"/>
          <w:u w:val="none"/>
          <w:lang w:val="en-US" w:eastAsia="zh-CN"/>
        </w:rPr>
        <w:t xml:space="preserve">总</w:t>
      </w:r>
      <w:r>
        <w:rPr>
          <w:rFonts w:hint="eastAsia" w:ascii="宋体" w:hAnsi="宋体" w:eastAsia="宋体" w:cs="宋体"/>
          <w:b/>
          <w:bCs/>
          <w:color w:val="auto"/>
          <w:spacing w:val="2"/>
          <w:sz w:val="24"/>
          <w:szCs w:val="24"/>
          <w:highlight w:val="none"/>
          <w:u w:val="none"/>
          <w:lang w:val="en-US" w:eastAsia="zh-CN"/>
        </w:rPr>
        <w:t xml:space="preserve">价</w:t>
      </w:r>
      <w:r>
        <w:rPr>
          <w:rFonts w:hint="eastAsia" w:ascii="宋体" w:hAnsi="宋体" w:eastAsia="宋体" w:cs="宋体"/>
          <w:color w:val="auto"/>
          <w:spacing w:val="2"/>
          <w:sz w:val="24"/>
          <w:szCs w:val="24"/>
          <w:highlight w:val="none"/>
          <w:u w:val="none"/>
          <w:lang w:val="en-US" w:eastAsia="zh-CN"/>
        </w:rPr>
        <w:t xml:space="preserve">，磋商报价应包括竞争性磋商文件所确定的采购范围相应服务的提供、人员（包括工资和补贴）、</w:t>
      </w:r>
      <w:r>
        <w:rPr>
          <w:rFonts w:hint="eastAsia" w:ascii="宋体" w:hAnsi="宋体" w:cs="宋体"/>
          <w:color w:val="auto"/>
          <w:spacing w:val="2"/>
          <w:sz w:val="24"/>
          <w:szCs w:val="24"/>
          <w:highlight w:val="none"/>
          <w:u w:val="none"/>
          <w:lang w:val="en-US" w:eastAsia="zh-CN"/>
        </w:rPr>
        <w:t xml:space="preserve">设备、</w:t>
      </w:r>
      <w:r>
        <w:rPr>
          <w:rFonts w:hint="eastAsia" w:ascii="宋体" w:hAnsi="宋体" w:eastAsia="宋体" w:cs="宋体"/>
          <w:color w:val="auto"/>
          <w:spacing w:val="2"/>
          <w:sz w:val="24"/>
          <w:szCs w:val="24"/>
          <w:highlight w:val="none"/>
          <w:u w:val="none"/>
          <w:lang w:val="en-US" w:eastAsia="zh-CN"/>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15"/>
        <w:contextualSpacing/>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报价货币为人民币，评审时以人民币为准。</w:t>
      </w:r>
      <w:r/>
    </w:p>
    <w:p>
      <w:pPr>
        <w:ind w:firstLine="488"/>
        <w:keepLines w:val="0"/>
        <w:keepNext w:val="0"/>
        <w:pageBreakBefore w:val="0"/>
        <w:spacing w:line="360" w:lineRule="auto"/>
        <w:rPr>
          <w:rFonts w:hint="eastAsia" w:ascii="宋体" w:hAnsi="宋体" w:eastAsia="宋体" w:cs="宋体"/>
          <w:color w:val="auto"/>
          <w:spacing w:val="2"/>
          <w:sz w:val="24"/>
          <w:szCs w:val="24"/>
          <w:highlight w:val="none"/>
          <w:u w:val="none"/>
          <w:lang w:val="en-US" w:eastAsia="zh-CN"/>
        </w:rPr>
        <w:outlineLvl w:val="9"/>
      </w:pPr>
      <w:r>
        <w:rPr>
          <w:rFonts w:hint="eastAsia" w:ascii="宋体" w:hAnsi="宋体" w:eastAsia="宋体" w:cs="宋体"/>
          <w:color w:val="auto"/>
          <w:spacing w:val="2"/>
          <w:sz w:val="24"/>
          <w:szCs w:val="24"/>
          <w:highlight w:val="none"/>
          <w:u w:val="none"/>
          <w:lang w:val="en-US" w:eastAsia="zh-CN"/>
        </w:rPr>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auto"/>
          <w:sz w:val="24"/>
          <w:szCs w:val="24"/>
          <w:highlight w:val="none"/>
          <w:lang w:val="en-US" w:eastAsia="zh-CN"/>
        </w:rPr>
      </w:r>
      <w:r/>
    </w:p>
    <w:p>
      <w:pPr>
        <w:ind w:firstLine="723"/>
        <w:jc w:val="center"/>
        <w:keepLines w:val="0"/>
        <w:keepNext w:val="0"/>
        <w:pageBreakBefore w:val="0"/>
        <w:spacing w:line="360" w:lineRule="auto"/>
        <w:widowControl w:val="off"/>
        <w:rPr>
          <w:b/>
          <w:color w:val="auto"/>
          <w:sz w:val="36"/>
          <w:szCs w:val="36"/>
          <w:highlight w:val="none"/>
        </w:rPr>
        <w:outlineLvl w:val="0"/>
      </w:pPr>
      <w:r/>
      <w:bookmarkStart w:id="610" w:name="_Toc104818929"/>
      <w:r/>
      <w:bookmarkStart w:id="611" w:name="_Toc20525"/>
      <w:r>
        <w:rPr>
          <w:b/>
          <w:color w:val="auto"/>
          <w:sz w:val="36"/>
          <w:szCs w:val="36"/>
          <w:highlight w:val="none"/>
        </w:rPr>
        <w:t xml:space="preserve">第五章   合同草案条款</w:t>
      </w:r>
      <w:bookmarkEnd w:id="610"/>
      <w:r/>
      <w:bookmarkEnd w:id="611"/>
      <w:r/>
      <w:r/>
    </w:p>
    <w:p>
      <w:pPr>
        <w:pStyle w:val="83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12" w:name="_Toc104818930"/>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人（以下称甲</w:t>
      </w:r>
      <w:r>
        <w:rPr>
          <w:rFonts w:hint="eastAsia" w:ascii="宋体" w:hAnsi="宋体" w:eastAsia="宋体" w:cs="宋体"/>
          <w:b/>
          <w:color w:val="auto"/>
          <w:sz w:val="24"/>
          <w:szCs w:val="24"/>
          <w:highlight w:val="none"/>
        </w:rPr>
        <w:t xml:space="preserve">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常州高新技术产业开发区（新北）生态环境局</w:t>
      </w:r>
      <w:r>
        <w:rPr>
          <w:rFonts w:hint="eastAsia" w:ascii="宋体" w:hAnsi="宋体" w:eastAsia="宋体" w:cs="宋体"/>
          <w:color w:val="auto"/>
          <w:sz w:val="24"/>
          <w:szCs w:val="24"/>
          <w:highlight w:val="none"/>
          <w:u w:val="single"/>
        </w:rPr>
        <w:t xml:space="preserve"> </w:t>
      </w:r>
      <w:r/>
    </w:p>
    <w:p>
      <w:pPr>
        <w:pStyle w:val="83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 xml:space="preserve">成交供应商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zh-CN"/>
        </w:rPr>
        <w:t xml:space="preserve">以下称</w:t>
      </w:r>
      <w:r>
        <w:rPr>
          <w:rFonts w:hint="eastAsia" w:ascii="宋体" w:hAnsi="宋体" w:eastAsia="宋体" w:cs="宋体"/>
          <w:b/>
          <w:color w:val="auto"/>
          <w:sz w:val="24"/>
          <w:szCs w:val="24"/>
          <w:highlight w:val="none"/>
        </w:rPr>
        <w:t xml:space="preserve">乙方）:</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p>
    <w:p>
      <w:pPr>
        <w:pStyle w:val="821"/>
        <w:ind w:firstLine="9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pStyle w:val="821"/>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821"/>
        <w:jc w:val="righ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甲乙双方依据</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以及有关法律、法规的规定，经协商一致，订立本合同，以便共同遵守。</w:t>
      </w:r>
      <w:r/>
    </w:p>
    <w:p>
      <w:pPr>
        <w:pStyle w:val="830"/>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第一条 合同标的</w:t>
      </w:r>
      <w:r/>
    </w:p>
    <w:p>
      <w:pPr>
        <w:ind w:firstLine="484"/>
        <w:jc w:val="left"/>
        <w:keepLines w:val="0"/>
        <w:keepNext w:val="0"/>
        <w:pageBreakBefore w:val="0"/>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新北区联防联控指挥部保障项目</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系指根据合同规定乙方须承担与服务有关的所有辅助服务</w:t>
      </w:r>
      <w:r>
        <w:rPr>
          <w:rFonts w:hint="eastAsia" w:ascii="宋体" w:hAnsi="宋体" w:eastAsia="宋体" w:cs="宋体"/>
          <w:color w:val="auto"/>
          <w:sz w:val="24"/>
          <w:szCs w:val="24"/>
          <w:highlight w:val="none"/>
          <w:lang w:val="zh-CN"/>
        </w:rPr>
        <w:t xml:space="preserve">。</w:t>
      </w:r>
      <w:r/>
    </w:p>
    <w:p>
      <w:pPr>
        <w:pStyle w:val="830"/>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第二条 合同价格</w:t>
      </w:r>
      <w:r/>
    </w:p>
    <w:p>
      <w:pPr>
        <w:pStyle w:val="830"/>
        <w:ind w:firstLine="487"/>
        <w:jc w:val="left"/>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rPr>
        <w:t xml:space="preserve">签约合同价（人民币，下同）</w:t>
      </w:r>
      <w:r>
        <w:rPr>
          <w:rFonts w:hint="eastAsia" w:ascii="宋体" w:hAnsi="宋体" w:eastAsia="宋体" w:cs="宋体"/>
          <w:b/>
          <w:color w:val="auto"/>
          <w:sz w:val="24"/>
          <w:szCs w:val="24"/>
          <w:highlight w:val="none"/>
          <w:u w:val="single"/>
        </w:rPr>
        <w:t xml:space="preserve">：    元（小写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元）</w:t>
      </w:r>
      <w:r>
        <w:rPr>
          <w:rFonts w:hint="eastAsia" w:ascii="宋体" w:hAnsi="宋体" w:eastAsia="宋体" w:cs="宋体"/>
          <w:b/>
          <w:color w:val="auto"/>
          <w:sz w:val="24"/>
          <w:szCs w:val="24"/>
          <w:highlight w:val="none"/>
        </w:rPr>
        <w:t xml:space="preserve">。</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本合同价</w:t>
      </w:r>
      <w:r>
        <w:rPr>
          <w:rFonts w:hint="eastAsia" w:ascii="宋体" w:hAnsi="宋体" w:eastAsia="宋体" w:cs="宋体"/>
          <w:color w:val="auto"/>
          <w:spacing w:val="2"/>
          <w:sz w:val="24"/>
          <w:szCs w:val="24"/>
          <w:highlight w:val="none"/>
          <w:u w:val="none"/>
          <w:lang w:val="en-US" w:eastAsia="zh-CN"/>
        </w:rPr>
        <w:t xml:space="preserve">包括竞争性磋商文件所确定的采购范围相应服务的提供、人员（包括工资和补贴）、</w:t>
      </w:r>
      <w:r>
        <w:rPr>
          <w:rFonts w:hint="eastAsia" w:hAnsi="宋体" w:cs="宋体"/>
          <w:color w:val="auto"/>
          <w:spacing w:val="2"/>
          <w:sz w:val="24"/>
          <w:szCs w:val="24"/>
          <w:highlight w:val="none"/>
          <w:u w:val="none"/>
          <w:lang w:val="en-US" w:eastAsia="zh-CN"/>
        </w:rPr>
        <w:t xml:space="preserve">设备、</w:t>
      </w:r>
      <w:r>
        <w:rPr>
          <w:rFonts w:hint="eastAsia" w:ascii="宋体" w:hAnsi="宋体" w:eastAsia="宋体" w:cs="宋体"/>
          <w:color w:val="auto"/>
          <w:spacing w:val="2"/>
          <w:sz w:val="24"/>
          <w:szCs w:val="24"/>
          <w:highlight w:val="none"/>
          <w:u w:val="none"/>
          <w:lang w:val="en-US" w:eastAsia="zh-CN"/>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不再支付其他任何费用。</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本合同总价款还包含乙方应当提供的伴随服务/售后服务费用。</w:t>
      </w:r>
      <w:r/>
    </w:p>
    <w:p>
      <w:pPr>
        <w:pStyle w:val="830"/>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 组成本合同的有关文件</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（1）竞争性磋商文件（编号：</w:t>
      </w:r>
      <w:r>
        <w:rPr>
          <w:rFonts w:hint="eastAsia" w:hAnsi="宋体" w:cs="宋体"/>
          <w:color w:val="auto"/>
          <w:sz w:val="24"/>
          <w:szCs w:val="24"/>
          <w:highlight w:val="none"/>
          <w:lang w:eastAsia="zh-CN"/>
        </w:rPr>
        <w:t xml:space="preserve">JSZC-320411-SYZB-C2026-0011</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lang w:eastAsia="zh-CN"/>
        </w:rPr>
        <w:t xml:space="preserve">；</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（2）乙方提供的磋商响应文件；</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（3）成交通知书；</w:t>
      </w:r>
      <w:r/>
    </w:p>
    <w:p>
      <w:pPr>
        <w:pStyle w:val="830"/>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（4）甲乙双方商定的其他文件等。</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条 合同款结算及支付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1.本合同项下所有款项均以人民币支付。</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2.本合同项下的采购资金由甲方自行支付，乙方向甲方开具发票。</w:t>
      </w:r>
      <w:r/>
    </w:p>
    <w:p>
      <w:pPr>
        <w:ind w:firstLine="484"/>
        <w:keepLines w:val="0"/>
        <w:keepNext w:val="0"/>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结算方式：固定总价。</w:t>
      </w:r>
      <w:r/>
    </w:p>
    <w:p>
      <w:pPr>
        <w:ind w:firstLine="484"/>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rPr>
          <w:rFonts w:hint="eastAsia" w:ascii="宋体" w:hAnsi="宋体" w:cs="宋体"/>
          <w:bCs/>
          <w:color w:val="auto"/>
          <w:sz w:val="24"/>
          <w:szCs w:val="24"/>
          <w:highlight w:val="none"/>
          <w:lang w:val="en-US" w:eastAsia="zh-CN"/>
        </w:rPr>
        <w:t xml:space="preserve">合同签订生效、服务开始后，甲方支付合同金额的30%;服务满6个月并提交半年度分析报告后，支付合同金额的30%；服务期满且提交完整的年度综合分析报告及相关成果，经甲方验收合格后，支付合同金额的40%。</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条 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1.如乙方不能按约定进行服务的，甲方有权解除合同，同时有权要求乙方按照合同总价5%的标准支付违约金，解除合同的通知自发出之日生效。</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.乙方未按本合同的规定和“服务承诺”提供伴随服务的，甲方有权提前解除本合同，同时乙方应按合同总价款的5%向甲方承担违约责任。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.乙方有虚假承诺，或是由于乙方的过错造成合同无法继续履行的，应向甲方支付不少于合同总价30%违约金，若该违约金不足以弥补甲方损失，则应当赔偿甲方所有损失。</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.其他未尽事宜，以《中华人民共和国民法典》等有关法律法规规定为准，无相关规定的，双方协商解决。</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条 合同的变更和终止</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1.本合同一经签订，甲乙双方不得擅自变更、中止或终止合同。</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条 合同的转让</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乙方不得擅自部分或全部转让其应履行的合同义务。</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条 不可抗力</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条 争议的解决</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（1）向甲方所在地人民法院提起诉讼；</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（2）向甲方所在地仲裁委员会按其仲裁规则申请仲裁。</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如没有约定，默认采取第2种方式解决争议。</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2.在法院审理和仲裁期间，除有争议部分外，本合同其他部分应继续履行。</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第十条 诚实信用 </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乙方应诚实信用，严格按照竞争性磋商文件要求和磋商承诺履行合同，不向甲方进行商业贿赂或者提供不正当利益。</w:t>
      </w:r>
      <w:r/>
    </w:p>
    <w:p>
      <w:pPr>
        <w:ind w:firstLine="487"/>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 合同生效及其他</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2.本合同一式</w:t>
      </w:r>
      <w:r>
        <w:rPr>
          <w:rFonts w:hint="eastAsia" w:ascii="宋体" w:hAnsi="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份，甲方贰份，乙方伍份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见证方壹份</w:t>
      </w:r>
      <w:r>
        <w:rPr>
          <w:rFonts w:hint="eastAsia" w:ascii="宋体" w:hAnsi="宋体" w:eastAsia="宋体" w:cs="宋体"/>
          <w:color w:val="auto"/>
          <w:sz w:val="24"/>
          <w:szCs w:val="24"/>
          <w:highlight w:val="none"/>
        </w:rPr>
        <w:t xml:space="preserve">。</w:t>
      </w:r>
      <w:r/>
    </w:p>
    <w:p>
      <w:pPr>
        <w:ind w:firstLine="484"/>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3.本合同应按照中华人民共和国的现行法律进行解释。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甲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乙    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单位名称（章）：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     委托代理人：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w:t>
      </w:r>
      <w:r>
        <w:rPr>
          <w:rFonts w:hint="eastAsia" w:ascii="宋体" w:hAnsi="宋体" w:eastAsia="宋体" w:cs="宋体"/>
          <w:color w:val="auto"/>
          <w:sz w:val="24"/>
          <w:szCs w:val="24"/>
          <w:highlight w:val="none"/>
        </w:rPr>
        <w:t xml:space="preserve">号：</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见证方：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代理机构（章）：</w:t>
      </w:r>
      <w:r>
        <w:rPr>
          <w:rFonts w:hint="eastAsia" w:ascii="宋体" w:hAnsi="宋体" w:eastAsia="宋体" w:cs="宋体"/>
          <w:color w:val="auto"/>
          <w:sz w:val="24"/>
          <w:szCs w:val="24"/>
          <w:highlight w:val="none"/>
          <w:lang w:eastAsia="zh-CN"/>
        </w:rPr>
        <w:t xml:space="preserve">江苏尚阳工程管理有限公司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经办人：                               电  话：</w:t>
      </w:r>
      <w:r/>
    </w:p>
    <w:p>
      <w:pPr>
        <w:pStyle w:val="851"/>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color w:val="auto"/>
          <w:highlight w:val="none"/>
          <w:lang w:eastAsia="zh-CN"/>
        </w:rPr>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612"/>
      <w:r/>
    </w:p>
    <w:p>
      <w:pPr>
        <w:ind w:firstLine="723"/>
        <w:jc w:val="center"/>
        <w:keepLines w:val="0"/>
        <w:keepNext w:val="0"/>
        <w:pageBreakBefore w:val="0"/>
        <w:spacing w:line="360" w:lineRule="auto"/>
        <w:widowControl w:val="off"/>
        <w:rPr>
          <w:rFonts w:hint="eastAsia"/>
          <w:b/>
          <w:color w:val="auto"/>
          <w:sz w:val="36"/>
          <w:szCs w:val="36"/>
          <w:highlight w:val="none"/>
        </w:rPr>
        <w:outlineLvl w:val="0"/>
      </w:pPr>
      <w:r/>
      <w:bookmarkStart w:id="613" w:name="_Toc26791"/>
      <w:r>
        <w:rPr>
          <w:rFonts w:hint="eastAsia"/>
          <w:b/>
          <w:color w:val="auto"/>
          <w:sz w:val="36"/>
          <w:szCs w:val="36"/>
          <w:highlight w:val="none"/>
        </w:rPr>
        <w:t xml:space="preserve">第六章   响应文件格式</w:t>
      </w:r>
      <w:bookmarkEnd w:id="613"/>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rPr>
          <w:b/>
          <w:color w:val="auto"/>
          <w:spacing w:val="2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b/>
          <w:color w:val="auto"/>
          <w:spacing w:val="20"/>
          <w:sz w:val="24"/>
          <w:highlight w:val="none"/>
        </w:rPr>
      </w:r>
      <w:r/>
    </w:p>
    <w:p>
      <w:pPr>
        <w:rPr>
          <w:b/>
          <w:color w:val="auto"/>
          <w:sz w:val="24"/>
          <w:highlight w:val="none"/>
        </w:rPr>
        <w:outlineLvl w:val="9"/>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outlineLvl w:val="9"/>
      </w:pPr>
      <w:r>
        <w:rPr>
          <w:color w:val="auto"/>
          <w:szCs w:val="21"/>
          <w:highlight w:val="none"/>
        </w:rPr>
      </w:r>
      <w:r/>
    </w:p>
    <w:p>
      <w:pPr>
        <w:jc w:val="center"/>
        <w:rPr>
          <w:b/>
          <w:color w:val="auto"/>
          <w:spacing w:val="60"/>
          <w:sz w:val="84"/>
          <w:szCs w:val="84"/>
          <w:highlight w:val="none"/>
        </w:rPr>
        <w:outlineLvl w:val="9"/>
      </w:pPr>
      <w:r>
        <w:rPr>
          <w:b/>
          <w:color w:val="auto"/>
          <w:spacing w:val="60"/>
          <w:sz w:val="84"/>
          <w:szCs w:val="84"/>
          <w:highlight w:val="none"/>
        </w:rPr>
        <w:t xml:space="preserve">响 应 文 件</w:t>
      </w:r>
      <w:r/>
    </w:p>
    <w:p>
      <w:pPr>
        <w:jc w:val="center"/>
        <w:rPr>
          <w:b/>
          <w:color w:val="auto"/>
          <w:spacing w:val="60"/>
          <w:sz w:val="52"/>
          <w:szCs w:val="52"/>
          <w:highlight w:val="none"/>
        </w:rPr>
        <w:outlineLvl w:val="9"/>
      </w:pPr>
      <w:r>
        <w:rPr>
          <w:b/>
          <w:color w:val="auto"/>
          <w:spacing w:val="60"/>
          <w:sz w:val="52"/>
          <w:szCs w:val="52"/>
          <w:highlight w:val="none"/>
        </w:rPr>
      </w:r>
      <w:r/>
    </w:p>
    <w:p>
      <w:pPr>
        <w:ind w:firstLine="542"/>
        <w:rPr>
          <w:b/>
          <w:color w:val="auto"/>
          <w:spacing w:val="20"/>
          <w:sz w:val="32"/>
          <w:szCs w:val="32"/>
          <w:highlight w:val="none"/>
        </w:rPr>
        <w:outlineLvl w:val="9"/>
      </w:pPr>
      <w:r>
        <w:rPr>
          <w:b/>
          <w:color w:val="auto"/>
          <w:spacing w:val="20"/>
          <w:sz w:val="32"/>
          <w:szCs w:val="32"/>
          <w:highlight w:val="none"/>
        </w:rPr>
      </w:r>
      <w:r/>
    </w:p>
    <w:p>
      <w:pPr>
        <w:ind w:firstLine="542"/>
        <w:rPr>
          <w:b/>
          <w:color w:val="auto"/>
          <w:spacing w:val="20"/>
          <w:sz w:val="32"/>
          <w:szCs w:val="32"/>
          <w:highlight w:val="none"/>
        </w:rPr>
        <w:outlineLvl w:val="9"/>
      </w:pPr>
      <w:r>
        <w:rPr>
          <w:b/>
          <w:color w:val="auto"/>
          <w:spacing w:val="20"/>
          <w:sz w:val="32"/>
          <w:szCs w:val="32"/>
          <w:highlight w:val="none"/>
        </w:rPr>
      </w:r>
      <w:r/>
    </w:p>
    <w:p>
      <w:pPr>
        <w:ind w:firstLine="1084"/>
        <w:rPr>
          <w:rFonts w:ascii="宋体" w:hAnsi="宋体"/>
          <w:b/>
          <w:color w:val="auto"/>
          <w:sz w:val="36"/>
          <w:highlight w:val="none"/>
        </w:rPr>
        <w:outlineLvl w:val="9"/>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outlineLvl w:val="9"/>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outlineLvl w:val="9"/>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outlineLvl w:val="9"/>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outlineLvl w:val="9"/>
      </w:pPr>
      <w:r>
        <w:rPr>
          <w:b/>
          <w:color w:val="auto"/>
          <w:sz w:val="32"/>
          <w:szCs w:val="32"/>
          <w:highlight w:val="none"/>
        </w:rPr>
      </w:r>
      <w:r/>
    </w:p>
    <w:p>
      <w:pPr>
        <w:rPr>
          <w:color w:val="auto"/>
          <w:sz w:val="24"/>
          <w:szCs w:val="20"/>
          <w:highlight w:val="none"/>
        </w:rPr>
        <w:outlineLvl w:val="9"/>
      </w:pPr>
      <w:r>
        <w:rPr>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rPr>
          <w:rFonts w:ascii="Times New Roman"/>
          <w:b/>
          <w:bCs/>
          <w:color w:val="auto"/>
          <w:highlight w:val="none"/>
          <w:u w:val="none"/>
        </w:rPr>
        <w:outlineLvl w:val="9"/>
      </w:pPr>
      <w:r>
        <w:rPr>
          <w:rFonts w:ascii="Times New Roman"/>
          <w:b/>
          <w:color w:val="auto"/>
          <w:highlight w:val="none"/>
          <w:u w:val="none"/>
        </w:rPr>
        <w:t xml:space="preserve">1-</w:t>
      </w:r>
      <w:r>
        <w:rPr>
          <w:rFonts w:hint="eastAsia" w:ascii="Times New Roman"/>
          <w:b/>
          <w:color w:val="auto"/>
          <w:highlight w:val="none"/>
          <w:u w:val="none"/>
        </w:rPr>
        <w:t xml:space="preserve">1</w:t>
      </w:r>
      <w:r>
        <w:rPr>
          <w:rFonts w:ascii="Times New Roman"/>
          <w:b/>
          <w:color w:val="auto"/>
          <w:highlight w:val="none"/>
          <w:u w:val="none"/>
        </w:rPr>
        <w:t xml:space="preserve"> 供应商资格声明</w:t>
      </w:r>
      <w:r>
        <w:rPr>
          <w:rFonts w:hint="eastAsia" w:ascii="Times New Roman"/>
          <w:b/>
          <w:color w:val="auto"/>
          <w:highlight w:val="none"/>
          <w:u w:val="none"/>
        </w:rPr>
        <w:t xml:space="preserve">函</w:t>
      </w:r>
      <w:r>
        <w:rPr>
          <w:rFonts w:ascii="Times New Roman"/>
          <w:b/>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outlineLvl w:val="9"/>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outlineLvl w:val="9"/>
      </w:pPr>
      <w:r>
        <w:rPr>
          <w:rFonts w:hint="eastAsia" w:ascii="宋体" w:hAnsi="宋体" w:cs="宋体"/>
          <w:b/>
          <w:color w:val="auto"/>
          <w:sz w:val="28"/>
          <w:szCs w:val="28"/>
          <w:highlight w:val="none"/>
        </w:rPr>
        <w:t xml:space="preserve">供应商资格声明函</w:t>
      </w:r>
      <w:r/>
    </w:p>
    <w:p>
      <w:pPr>
        <w:pStyle w:val="1001"/>
        <w:ind w:firstLine="480"/>
        <w:spacing w:line="460" w:lineRule="exact"/>
        <w:rPr>
          <w:color w:val="auto"/>
          <w:highlight w:val="none"/>
        </w:rPr>
        <w:outlineLvl w:val="9"/>
      </w:pPr>
      <w:r>
        <w:rPr>
          <w:color w:val="auto"/>
          <w:highlight w:val="none"/>
        </w:rPr>
      </w:r>
      <w:r/>
    </w:p>
    <w:p>
      <w:pPr>
        <w:pStyle w:val="1001"/>
        <w:ind w:firstLine="480"/>
        <w:spacing w:line="460" w:lineRule="exact"/>
        <w:rPr>
          <w:rFonts w:hint="eastAsia" w:eastAsia="宋体"/>
          <w:color w:val="auto"/>
          <w:highlight w:val="none"/>
          <w:lang w:eastAsia="zh-CN"/>
        </w:rPr>
        <w:outlineLvl w:val="9"/>
      </w:pPr>
      <w:r>
        <w:rPr>
          <w:rFonts w:hint="eastAsia"/>
          <w:color w:val="auto"/>
          <w:highlight w:val="none"/>
        </w:rPr>
        <w:t xml:space="preserve">致：</w:t>
      </w:r>
      <w:r>
        <w:rPr>
          <w:rFonts w:hint="eastAsia"/>
          <w:color w:val="auto"/>
          <w:highlight w:val="none"/>
          <w:lang w:eastAsia="zh-CN"/>
        </w:rPr>
        <w:t xml:space="preserve">江苏尚阳工程管理有限公司</w:t>
      </w:r>
      <w:r/>
    </w:p>
    <w:p>
      <w:pPr>
        <w:pStyle w:val="1001"/>
        <w:ind w:firstLine="960"/>
        <w:spacing w:line="460" w:lineRule="exact"/>
        <w:rPr>
          <w:color w:val="auto"/>
          <w:highlight w:val="none"/>
          <w:u w:val="single"/>
        </w:rPr>
        <w:outlineLvl w:val="9"/>
      </w:pPr>
      <w:r>
        <w:rPr>
          <w:rFonts w:hint="eastAsia"/>
          <w:color w:val="auto"/>
          <w:highlight w:val="none"/>
          <w:u w:val="single"/>
        </w:rPr>
        <w:t xml:space="preserve">（采购人名称）</w:t>
      </w:r>
      <w:r/>
    </w:p>
    <w:p>
      <w:pPr>
        <w:pStyle w:val="1001"/>
        <w:ind w:firstLine="480"/>
        <w:spacing w:line="460" w:lineRule="exact"/>
        <w:rPr>
          <w:color w:val="auto"/>
          <w:highlight w:val="none"/>
        </w:rPr>
        <w:outlineLvl w:val="9"/>
      </w:pPr>
      <w:r>
        <w:rPr>
          <w:color w:val="auto"/>
          <w:highlight w:val="none"/>
        </w:rPr>
      </w:r>
      <w:r/>
    </w:p>
    <w:p>
      <w:pPr>
        <w:pStyle w:val="1001"/>
        <w:ind w:firstLine="480"/>
        <w:spacing w:line="460" w:lineRule="exact"/>
        <w:rPr>
          <w:color w:val="auto"/>
          <w:highlight w:val="none"/>
        </w:rPr>
        <w:outlineLvl w:val="9"/>
      </w:pPr>
      <w:r>
        <w:rPr>
          <w:rFonts w:hint="eastAsia"/>
          <w:color w:val="auto"/>
          <w:highlight w:val="none"/>
        </w:rPr>
        <w:t xml:space="preserve">按照《中华人民共和国政府采购法》第二十二条和磋商文件的规定，我单位郑重声明如下：</w:t>
      </w:r>
      <w:r/>
    </w:p>
    <w:p>
      <w:pPr>
        <w:pStyle w:val="1001"/>
        <w:ind w:firstLine="480"/>
        <w:spacing w:line="460" w:lineRule="exact"/>
        <w:rPr>
          <w:color w:val="auto"/>
          <w:highlight w:val="none"/>
        </w:rPr>
        <w:outlineLvl w:val="9"/>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01"/>
        <w:ind w:firstLine="480"/>
        <w:spacing w:line="460" w:lineRule="exact"/>
        <w:rPr>
          <w:color w:val="auto"/>
          <w:highlight w:val="none"/>
        </w:rPr>
        <w:outlineLvl w:val="9"/>
      </w:pPr>
      <w:r>
        <w:rPr>
          <w:rFonts w:hint="eastAsia"/>
          <w:color w:val="auto"/>
          <w:highlight w:val="none"/>
        </w:rPr>
        <w:t xml:space="preserve">二、我单位未被“国家企业信用信息系统”列入经营异常名录或者严重违法企业名单。</w:t>
      </w:r>
      <w:r/>
    </w:p>
    <w:p>
      <w:pPr>
        <w:pStyle w:val="1001"/>
        <w:ind w:firstLine="480"/>
        <w:spacing w:line="460" w:lineRule="exact"/>
        <w:rPr>
          <w:color w:val="auto"/>
          <w:highlight w:val="none"/>
        </w:rPr>
        <w:outlineLvl w:val="9"/>
      </w:pPr>
      <w:r>
        <w:rPr>
          <w:rFonts w:hint="eastAsia"/>
          <w:color w:val="auto"/>
          <w:highlight w:val="none"/>
        </w:rPr>
        <w:t xml:space="preserve">三、我单位具有良好的商业信誉（指供应商经营状况良好，无本资格声明第十条情形）和健全的财务会计制度。</w:t>
      </w:r>
      <w:r/>
    </w:p>
    <w:p>
      <w:pPr>
        <w:pStyle w:val="1001"/>
        <w:ind w:firstLine="480"/>
        <w:spacing w:line="460" w:lineRule="exact"/>
        <w:rPr>
          <w:color w:val="auto"/>
          <w:highlight w:val="none"/>
        </w:rPr>
        <w:outlineLvl w:val="9"/>
      </w:pPr>
      <w:r>
        <w:rPr>
          <w:rFonts w:hint="eastAsia"/>
          <w:color w:val="auto"/>
          <w:highlight w:val="none"/>
        </w:rPr>
        <w:t xml:space="preserve">四、我单位依法进行纳税和社会保险申报并实际履行了义务。</w:t>
      </w:r>
      <w:r/>
    </w:p>
    <w:p>
      <w:pPr>
        <w:pStyle w:val="1001"/>
        <w:ind w:firstLine="480"/>
        <w:spacing w:line="460" w:lineRule="exact"/>
        <w:rPr>
          <w:color w:val="auto"/>
          <w:highlight w:val="none"/>
        </w:rPr>
        <w:outlineLvl w:val="9"/>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01"/>
        <w:ind w:firstLine="480"/>
        <w:spacing w:line="460" w:lineRule="exact"/>
        <w:rPr>
          <w:color w:val="auto"/>
          <w:highlight w:val="none"/>
        </w:rPr>
        <w:outlineLvl w:val="9"/>
      </w:pPr>
      <w:r>
        <w:rPr>
          <w:rFonts w:hint="eastAsia"/>
          <w:color w:val="auto"/>
          <w:highlight w:val="none"/>
        </w:rPr>
        <w:t xml:space="preserve">主要设备有：</w:t>
      </w:r>
      <w:r>
        <w:rPr>
          <w:color w:val="auto"/>
          <w:highlight w:val="none"/>
          <w:u w:val="single"/>
        </w:rPr>
        <w:t xml:space="preserve">            </w:t>
      </w:r>
      <w:r/>
    </w:p>
    <w:p>
      <w:pPr>
        <w:pStyle w:val="1001"/>
        <w:ind w:firstLine="480"/>
        <w:spacing w:line="460" w:lineRule="exact"/>
        <w:rPr>
          <w:color w:val="auto"/>
          <w:highlight w:val="none"/>
        </w:rPr>
        <w:outlineLvl w:val="9"/>
      </w:pPr>
      <w:r>
        <w:rPr>
          <w:rFonts w:hint="eastAsia"/>
          <w:color w:val="auto"/>
          <w:highlight w:val="none"/>
        </w:rPr>
        <w:t xml:space="preserve">主要专业技术能力有</w:t>
      </w:r>
      <w:r>
        <w:rPr>
          <w:rFonts w:hint="eastAsia"/>
          <w:color w:val="auto"/>
          <w:highlight w:val="none"/>
          <w:u w:val="single"/>
        </w:rPr>
        <w:t xml:space="preserve">                 </w:t>
      </w:r>
      <w:r/>
    </w:p>
    <w:p>
      <w:pPr>
        <w:pStyle w:val="1001"/>
        <w:ind w:firstLine="480"/>
        <w:spacing w:line="460" w:lineRule="exact"/>
        <w:rPr>
          <w:color w:val="auto"/>
          <w:highlight w:val="none"/>
        </w:rPr>
        <w:outlineLvl w:val="9"/>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01"/>
        <w:ind w:firstLine="480"/>
        <w:spacing w:line="460" w:lineRule="exact"/>
        <w:rPr>
          <w:color w:val="auto"/>
          <w:highlight w:val="none"/>
        </w:rPr>
        <w:outlineLvl w:val="9"/>
      </w:pPr>
      <w:r>
        <w:rPr>
          <w:rFonts w:hint="eastAsia"/>
          <w:color w:val="auto"/>
          <w:highlight w:val="none"/>
        </w:rPr>
        <w:t xml:space="preserve">七、我单位具备法律、行政法规规定的其他条件。</w:t>
      </w:r>
      <w:r/>
    </w:p>
    <w:p>
      <w:pPr>
        <w:pStyle w:val="1001"/>
        <w:ind w:firstLine="480"/>
        <w:spacing w:line="460" w:lineRule="exact"/>
        <w:rPr>
          <w:color w:val="auto"/>
          <w:highlight w:val="none"/>
        </w:rPr>
        <w:outlineLvl w:val="9"/>
      </w:pPr>
      <w:r>
        <w:rPr>
          <w:rFonts w:hint="eastAsia"/>
          <w:color w:val="auto"/>
          <w:highlight w:val="none"/>
        </w:rPr>
        <w:t xml:space="preserve">八、与我单位存在“单位负责人为同一人或者存在直接控股、管理关系”的其他单位信息如下（如无此情形的，填写“无”）：</w:t>
      </w:r>
      <w:r/>
    </w:p>
    <w:p>
      <w:pPr>
        <w:pStyle w:val="1001"/>
        <w:ind w:firstLine="480"/>
        <w:spacing w:line="460" w:lineRule="exact"/>
        <w:rPr>
          <w:color w:val="auto"/>
          <w:highlight w:val="none"/>
        </w:rPr>
        <w:outlineLvl w:val="9"/>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01"/>
        <w:ind w:firstLine="480"/>
        <w:spacing w:line="460" w:lineRule="exact"/>
        <w:rPr>
          <w:color w:val="auto"/>
          <w:highlight w:val="none"/>
        </w:rPr>
        <w:outlineLvl w:val="9"/>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01"/>
        <w:ind w:firstLine="480"/>
        <w:spacing w:line="460" w:lineRule="exact"/>
        <w:rPr>
          <w:color w:val="auto"/>
          <w:highlight w:val="none"/>
        </w:rPr>
        <w:outlineLvl w:val="9"/>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01"/>
        <w:ind w:firstLine="480"/>
        <w:spacing w:line="460" w:lineRule="exact"/>
        <w:rPr>
          <w:color w:val="auto"/>
          <w:highlight w:val="none"/>
        </w:rPr>
        <w:outlineLvl w:val="9"/>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01"/>
        <w:ind w:firstLine="480"/>
        <w:spacing w:line="460" w:lineRule="exact"/>
        <w:rPr>
          <w:color w:val="auto"/>
          <w:highlight w:val="none"/>
        </w:rPr>
        <w:outlineLvl w:val="9"/>
      </w:pPr>
      <w:r>
        <w:rPr>
          <w:rFonts w:hint="eastAsia"/>
          <w:color w:val="auto"/>
          <w:highlight w:val="none"/>
        </w:rPr>
        <w:t xml:space="preserve">十、</w:t>
      </w:r>
      <w:r>
        <w:rPr>
          <w:color w:val="auto"/>
          <w:highlight w:val="none"/>
        </w:rPr>
        <w:t xml:space="preserve">我单位无以下不良信用记录情形：</w:t>
      </w:r>
      <w:r/>
    </w:p>
    <w:p>
      <w:pPr>
        <w:pStyle w:val="1001"/>
        <w:ind w:firstLine="480"/>
        <w:spacing w:line="460" w:lineRule="exact"/>
        <w:rPr>
          <w:color w:val="auto"/>
          <w:highlight w:val="none"/>
        </w:rPr>
        <w:outlineLvl w:val="9"/>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01"/>
        <w:ind w:firstLine="480"/>
        <w:spacing w:line="460" w:lineRule="exact"/>
        <w:rPr>
          <w:color w:val="auto"/>
          <w:highlight w:val="none"/>
        </w:rPr>
        <w:outlineLvl w:val="9"/>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01"/>
        <w:ind w:firstLine="480"/>
        <w:spacing w:line="460" w:lineRule="exact"/>
        <w:rPr>
          <w:color w:val="auto"/>
          <w:highlight w:val="none"/>
        </w:rPr>
        <w:outlineLvl w:val="9"/>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01"/>
        <w:ind w:firstLine="480"/>
        <w:spacing w:line="460" w:lineRule="exact"/>
        <w:rPr>
          <w:color w:val="auto"/>
          <w:highlight w:val="none"/>
        </w:rPr>
        <w:outlineLvl w:val="9"/>
      </w:pPr>
      <w:r>
        <w:rPr>
          <w:color w:val="auto"/>
          <w:highlight w:val="none"/>
        </w:rPr>
      </w:r>
      <w:r/>
    </w:p>
    <w:p>
      <w:pPr>
        <w:pStyle w:val="1001"/>
        <w:ind w:firstLine="480"/>
        <w:spacing w:line="460" w:lineRule="exact"/>
        <w:rPr>
          <w:color w:val="auto"/>
          <w:highlight w:val="none"/>
        </w:rPr>
        <w:outlineLvl w:val="9"/>
      </w:pPr>
      <w:r>
        <w:rPr>
          <w:rFonts w:hint="eastAsia"/>
          <w:color w:val="auto"/>
          <w:highlight w:val="none"/>
        </w:rPr>
        <w:t xml:space="preserve">我单位保证上述声明的事项都是真实的，如有虚假，我单位愿意承担相应的法律责任，并承担因此所造成的一切损失。</w:t>
      </w:r>
      <w:r/>
    </w:p>
    <w:p>
      <w:pPr>
        <w:pStyle w:val="1001"/>
        <w:ind w:firstLine="480"/>
        <w:spacing w:line="460" w:lineRule="exact"/>
        <w:rPr>
          <w:color w:val="auto"/>
          <w:highlight w:val="none"/>
        </w:rPr>
        <w:outlineLvl w:val="9"/>
      </w:pPr>
      <w:r>
        <w:rPr>
          <w:color w:val="auto"/>
          <w:highlight w:val="none"/>
        </w:rPr>
      </w:r>
      <w:r/>
    </w:p>
    <w:p>
      <w:pPr>
        <w:pStyle w:val="1001"/>
        <w:ind w:firstLine="480"/>
        <w:spacing w:line="460" w:lineRule="exact"/>
        <w:rPr>
          <w:color w:val="auto"/>
          <w:highlight w:val="none"/>
        </w:rPr>
        <w:outlineLvl w:val="9"/>
      </w:pPr>
      <w:r>
        <w:rPr>
          <w:color w:val="auto"/>
          <w:highlight w:val="none"/>
        </w:rPr>
      </w:r>
      <w:r/>
    </w:p>
    <w:p>
      <w:pPr>
        <w:pStyle w:val="1001"/>
        <w:ind w:firstLine="480"/>
        <w:spacing w:line="460" w:lineRule="exact"/>
        <w:rPr>
          <w:color w:val="auto"/>
          <w:highlight w:val="none"/>
        </w:rPr>
        <w:outlineLvl w:val="9"/>
      </w:pPr>
      <w:r>
        <w:rPr>
          <w:rFonts w:hint="eastAsia"/>
          <w:color w:val="auto"/>
          <w:highlight w:val="none"/>
        </w:rPr>
        <w:t xml:space="preserve">                                            供应商：（加盖公章）</w:t>
      </w:r>
      <w:r/>
    </w:p>
    <w:p>
      <w:pPr>
        <w:pStyle w:val="1001"/>
        <w:ind w:firstLine="480"/>
        <w:spacing w:line="460" w:lineRule="exact"/>
        <w:rPr>
          <w:color w:val="auto"/>
          <w:highlight w:val="none"/>
        </w:rPr>
        <w:outlineLvl w:val="9"/>
      </w:pPr>
      <w:r>
        <w:rPr>
          <w:rFonts w:hint="eastAsia"/>
          <w:color w:val="auto"/>
          <w:highlight w:val="none"/>
        </w:rPr>
        <w:t xml:space="preserve">                                           法定代表人（或单位负责人）签字或盖章：</w:t>
      </w:r>
      <w:r/>
    </w:p>
    <w:p>
      <w:pPr>
        <w:pStyle w:val="1001"/>
        <w:ind w:firstLine="4920"/>
        <w:spacing w:line="460" w:lineRule="exact"/>
        <w:rPr>
          <w:rFonts w:hint="eastAsia"/>
          <w:color w:val="auto"/>
          <w:highlight w:val="none"/>
        </w:rPr>
        <w:outlineLvl w:val="9"/>
      </w:pPr>
      <w:r>
        <w:rPr>
          <w:rFonts w:hint="eastAsia"/>
          <w:color w:val="auto"/>
          <w:highlight w:val="none"/>
        </w:rPr>
        <w:t xml:space="preserve">日期：    年    月    日</w:t>
      </w:r>
      <w:r/>
    </w:p>
    <w:p>
      <w:pPr>
        <w:spacing w:line="360" w:lineRule="auto"/>
        <w:rPr>
          <w:rFonts w:hint="eastAsia"/>
          <w:color w:val="auto"/>
          <w:sz w:val="24"/>
          <w:highlight w:val="none"/>
        </w:rPr>
        <w:outlineLvl w:val="9"/>
      </w:pPr>
      <w:r>
        <w:rPr>
          <w:rFonts w:hint="eastAsia"/>
          <w:color w:val="auto"/>
          <w:sz w:val="24"/>
          <w:highlight w:val="none"/>
        </w:rPr>
      </w:r>
      <w:r/>
    </w:p>
    <w:p>
      <w:pPr>
        <w:spacing w:line="360" w:lineRule="auto"/>
        <w:rPr>
          <w:rFonts w:hint="eastAsia"/>
          <w:color w:val="auto"/>
          <w:sz w:val="24"/>
          <w:highlight w:val="none"/>
        </w:rPr>
        <w:outlineLvl w:val="9"/>
      </w:pPr>
      <w:r>
        <w:rPr>
          <w:rFonts w:hint="eastAsia"/>
          <w:color w:val="auto"/>
          <w:sz w:val="24"/>
          <w:highlight w:val="none"/>
        </w:rPr>
      </w:r>
      <w:r/>
    </w:p>
    <w:p>
      <w:pPr>
        <w:spacing w:line="360" w:lineRule="auto"/>
        <w:rPr>
          <w:rFonts w:hint="eastAsia"/>
          <w:color w:val="auto"/>
          <w:sz w:val="24"/>
          <w:highlight w:val="none"/>
        </w:rPr>
        <w:outlineLvl w:val="9"/>
      </w:pPr>
      <w:r>
        <w:rPr>
          <w:rFonts w:hint="eastAsia"/>
          <w:color w:val="auto"/>
          <w:sz w:val="24"/>
          <w:highlight w:val="none"/>
        </w:rPr>
      </w:r>
      <w:r/>
    </w:p>
    <w:p>
      <w:pPr>
        <w:spacing w:line="360" w:lineRule="auto"/>
        <w:rPr>
          <w:color w:val="auto"/>
          <w:sz w:val="24"/>
          <w:highlight w:val="none"/>
        </w:rPr>
        <w:outlineLvl w:val="9"/>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color w:val="auto"/>
          <w:sz w:val="24"/>
          <w:highlight w:val="none"/>
        </w:rPr>
      </w:r>
      <w:r/>
    </w:p>
    <w:p>
      <w:pPr>
        <w:pStyle w:val="821"/>
        <w:ind w:left="0" w:firstLine="0"/>
        <w:keepLines w:val="0"/>
        <w:keepNext w:val="0"/>
        <w:pageBreakBefore w:val="0"/>
        <w:spacing w:line="360" w:lineRule="auto"/>
        <w:widowControl w:val="off"/>
        <w:rPr>
          <w:rFonts w:hint="eastAsia" w:ascii="宋体" w:hAnsi="Times New Roman" w:eastAsia="宋体" w:cs="Times New Roman"/>
          <w:color w:val="auto"/>
          <w:highlight w:val="none"/>
        </w:rPr>
        <w:outlineLvl w:val="9"/>
      </w:pPr>
      <w:r/>
      <w:bookmarkStart w:id="614" w:name="_Toc226965830"/>
      <w:r/>
      <w:bookmarkStart w:id="615" w:name="_Toc226309801"/>
      <w:r/>
      <w:bookmarkStart w:id="616" w:name="_Toc265228395"/>
      <w:r/>
      <w:bookmarkStart w:id="617" w:name="_Toc150774762"/>
      <w:r/>
      <w:bookmarkStart w:id="618" w:name="_Ref467988705"/>
      <w:r/>
      <w:bookmarkStart w:id="619" w:name="_Toc305158899"/>
      <w:r/>
      <w:bookmarkStart w:id="620" w:name="_Toc480942350"/>
      <w:r/>
      <w:bookmarkStart w:id="621" w:name="_Toc264969247"/>
      <w:r/>
      <w:bookmarkStart w:id="622" w:name="_Toc305158825"/>
      <w:r/>
      <w:bookmarkStart w:id="623" w:name="_Toc195842922"/>
      <w:r/>
      <w:bookmarkStart w:id="624" w:name="_Toc127151557"/>
      <w:r/>
      <w:bookmarkStart w:id="625" w:name="_Toc226337253"/>
      <w:r/>
      <w:bookmarkStart w:id="626" w:name="_Toc150480795"/>
      <w:r/>
      <w:bookmarkStart w:id="627" w:name="_Toc520356218"/>
      <w:r/>
      <w:bookmarkStart w:id="628" w:name="_Toc142311059"/>
      <w:r/>
      <w:bookmarkStart w:id="629" w:name="_Toc226965747"/>
      <w:r>
        <w:rPr>
          <w:rFonts w:hint="eastAsia" w:ascii="宋体" w:hAnsi="Times New Roman" w:eastAsia="宋体" w:cs="Times New Roman"/>
          <w:color w:val="auto"/>
          <w:highlight w:val="none"/>
          <w:lang w:val="en-US" w:eastAsia="zh-CN"/>
        </w:rPr>
        <w:t xml:space="preserve">2</w:t>
      </w:r>
      <w:r>
        <w:rPr>
          <w:rFonts w:hint="eastAsia" w:ascii="宋体" w:hAnsi="Times New Roman" w:eastAsia="宋体" w:cs="Times New Roman"/>
          <w:color w:val="auto"/>
          <w:highlight w:val="none"/>
        </w:rPr>
        <w:t xml:space="preserve">其他特定资格要求</w:t>
      </w:r>
      <w:r/>
    </w:p>
    <w:p>
      <w:pPr>
        <w:ind w:firstLine="480"/>
        <w:spacing w:line="360" w:lineRule="auto"/>
        <w:rPr>
          <w:rFonts w:hint="eastAsia"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w:t>
      </w:r>
      <w:r/>
    </w:p>
    <w:p>
      <w:pPr>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br w:type="page" w:clear="all"/>
      </w:r>
      <w:r/>
    </w:p>
    <w:p>
      <w:pPr>
        <w:spacing w:line="360" w:lineRule="auto"/>
        <w:rPr>
          <w:color w:val="auto"/>
          <w:sz w:val="24"/>
          <w:szCs w:val="20"/>
          <w:highlight w:val="none"/>
        </w:rPr>
        <w:outlineLvl w:val="9"/>
      </w:pPr>
      <w:r>
        <w:rPr>
          <w:rFonts w:hint="eastAsia"/>
          <w:color w:val="auto"/>
          <w:sz w:val="24"/>
          <w:szCs w:val="20"/>
          <w:highlight w:val="none"/>
          <w:lang w:val="en-US" w:eastAsia="zh-CN"/>
        </w:rPr>
        <w:t xml:space="preserve">3</w:t>
      </w:r>
      <w:r>
        <w:rPr>
          <w:color w:val="auto"/>
          <w:sz w:val="24"/>
          <w:szCs w:val="20"/>
          <w:highlight w:val="none"/>
        </w:rPr>
        <w:t xml:space="preserve"> 落实政府采购政策需满足的资格要求</w:t>
      </w:r>
      <w:r/>
    </w:p>
    <w:p>
      <w:pPr>
        <w:spacing w:line="360" w:lineRule="auto"/>
        <w:rPr>
          <w:color w:val="auto"/>
          <w:sz w:val="24"/>
          <w:szCs w:val="20"/>
          <w:highlight w:val="none"/>
        </w:rPr>
        <w:outlineLvl w:val="9"/>
      </w:pPr>
      <w:r>
        <w:rPr>
          <w:rFonts w:hint="eastAsia"/>
          <w:color w:val="auto"/>
          <w:sz w:val="24"/>
          <w:szCs w:val="20"/>
          <w:highlight w:val="none"/>
          <w:lang w:val="en-US" w:eastAsia="zh-CN"/>
        </w:rPr>
        <w:t xml:space="preserve">3</w:t>
      </w:r>
      <w:r>
        <w:rPr>
          <w:color w:val="auto"/>
          <w:sz w:val="24"/>
          <w:szCs w:val="20"/>
          <w:highlight w:val="none"/>
        </w:rPr>
        <w:t xml:space="preserve">-1 中小企业声明函</w:t>
      </w:r>
      <w:r/>
    </w:p>
    <w:p>
      <w:pPr>
        <w:spacing w:line="360" w:lineRule="auto"/>
        <w:tabs>
          <w:tab w:val="left" w:pos="5580" w:leader="none"/>
        </w:tabs>
        <w:rPr>
          <w:color w:val="auto"/>
          <w:sz w:val="24"/>
          <w:highlight w:val="none"/>
        </w:rPr>
        <w:outlineLvl w:val="9"/>
      </w:pPr>
      <w:r>
        <w:rPr>
          <w:color w:val="auto"/>
          <w:sz w:val="24"/>
          <w:highlight w:val="none"/>
        </w:rPr>
      </w:r>
      <w:r/>
    </w:p>
    <w:p>
      <w:pPr>
        <w:spacing w:line="360" w:lineRule="auto"/>
        <w:tabs>
          <w:tab w:val="left" w:pos="5580" w:leader="none"/>
        </w:tabs>
        <w:rPr>
          <w:color w:val="auto"/>
          <w:sz w:val="24"/>
          <w:highlight w:val="none"/>
        </w:rPr>
        <w:outlineLvl w:val="9"/>
      </w:pPr>
      <w:r>
        <w:rPr>
          <w:color w:val="auto"/>
          <w:sz w:val="24"/>
          <w:highlight w:val="none"/>
        </w:rPr>
        <w:t xml:space="preserve">说明：</w:t>
      </w:r>
      <w:r/>
    </w:p>
    <w:p>
      <w:pPr>
        <w:spacing w:line="360" w:lineRule="auto"/>
        <w:tabs>
          <w:tab w:val="left" w:pos="5580" w:leader="none"/>
        </w:tabs>
        <w:rPr>
          <w:color w:val="auto"/>
          <w:sz w:val="24"/>
          <w:highlight w:val="none"/>
        </w:rPr>
        <w:outlineLvl w:val="9"/>
      </w:pPr>
      <w:r>
        <w:rPr>
          <w:color w:val="auto"/>
          <w:sz w:val="24"/>
          <w:highlight w:val="none"/>
        </w:rPr>
        <w:t xml:space="preserve">（1）本项目专门面向中小企业采购，须提供《中小企业声明函》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outlineLvl w:val="9"/>
      </w:pPr>
      <w:r>
        <w:rPr>
          <w:color w:val="auto"/>
          <w:sz w:val="24"/>
          <w:highlight w:val="none"/>
        </w:rPr>
        <w:t xml:space="preserve">（2）其它</w:t>
      </w:r>
      <w:r>
        <w:rPr>
          <w:rFonts w:hint="eastAsia"/>
          <w:color w:val="auto"/>
          <w:sz w:val="24"/>
          <w:highlight w:val="none"/>
          <w:lang w:eastAsia="zh-CN"/>
        </w:rPr>
        <w:t xml:space="preserve">：</w:t>
      </w:r>
      <w:r>
        <w:rPr>
          <w:color w:val="auto"/>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outlineLvl w:val="9"/>
      </w:pPr>
      <w:r>
        <w:rPr>
          <w:color w:val="auto"/>
          <w:sz w:val="24"/>
          <w:highlight w:val="none"/>
        </w:rPr>
        <w:t xml:space="preserve">（</w:t>
      </w:r>
      <w:r>
        <w:rPr>
          <w:rFonts w:hint="eastAsia"/>
          <w:color w:val="auto"/>
          <w:sz w:val="24"/>
          <w:highlight w:val="none"/>
          <w:lang w:val="en-US" w:eastAsia="zh-CN"/>
        </w:rPr>
        <w:t xml:space="preserve">3</w:t>
      </w:r>
      <w:r>
        <w:rPr>
          <w:color w:val="auto"/>
          <w:sz w:val="24"/>
          <w:highlight w:val="none"/>
        </w:rPr>
        <w:t xml:space="preserve">）</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rFonts w:hint="eastAsia"/>
          <w:color w:val="auto"/>
          <w:sz w:val="24"/>
          <w:highlight w:val="none"/>
        </w:rPr>
        <w:outlineLvl w:val="9"/>
      </w:pPr>
      <w:r>
        <w:rPr>
          <w:rFonts w:hint="eastAsia"/>
          <w:color w:val="auto"/>
          <w:sz w:val="24"/>
          <w:highlight w:val="none"/>
          <w:lang w:eastAsia="zh-CN"/>
        </w:rPr>
        <w:t xml:space="preserve">（</w:t>
      </w:r>
      <w:r>
        <w:rPr>
          <w:rFonts w:hint="eastAsia"/>
          <w:color w:val="auto"/>
          <w:sz w:val="24"/>
          <w:highlight w:val="none"/>
          <w:lang w:val="en-US" w:eastAsia="zh-CN"/>
        </w:rPr>
        <w:t xml:space="preserve">4</w:t>
      </w:r>
      <w:r>
        <w:rPr>
          <w:rFonts w:hint="eastAsia"/>
          <w:color w:val="auto"/>
          <w:sz w:val="24"/>
          <w:highlight w:val="none"/>
          <w:lang w:eastAsia="zh-CN"/>
        </w:rPr>
        <w:t xml:space="preserve">）</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（工信部网址：https</w:t>
      </w:r>
      <w:r>
        <w:rPr>
          <w:rFonts w:hint="eastAsia"/>
          <w:color w:val="auto"/>
          <w:sz w:val="24"/>
          <w:highlight w:val="none"/>
          <w:lang w:eastAsia="zh-CN"/>
        </w:rPr>
        <w:t xml:space="preserve">：</w:t>
      </w:r>
      <w:r>
        <w:rPr>
          <w:rFonts w:hint="eastAsia"/>
          <w:color w:val="auto"/>
          <w:sz w:val="24"/>
          <w:highlight w:val="none"/>
        </w:rPr>
        <w:t xml:space="preserve">//baosong.miit.gov.cn/ScaleTest）</w:t>
      </w:r>
      <w:r/>
    </w:p>
    <w:p>
      <w:pPr>
        <w:spacing w:line="360" w:lineRule="auto"/>
        <w:tabs>
          <w:tab w:val="left" w:pos="5580" w:leader="none"/>
        </w:tabs>
        <w:rPr>
          <w:color w:val="auto"/>
          <w:sz w:val="24"/>
          <w:highlight w:val="none"/>
        </w:rPr>
        <w:outlineLvl w:val="9"/>
      </w:pPr>
      <w:r>
        <w:rPr>
          <w:color w:val="auto"/>
          <w:sz w:val="24"/>
          <w:highlight w:val="none"/>
        </w:rPr>
      </w:r>
      <w:r/>
    </w:p>
    <w:p>
      <w:pPr>
        <w:spacing w:line="360" w:lineRule="auto"/>
        <w:tabs>
          <w:tab w:val="left" w:pos="5580" w:leader="none"/>
        </w:tabs>
        <w:rPr>
          <w:color w:val="auto"/>
          <w:sz w:val="24"/>
          <w:highlight w:val="none"/>
        </w:rPr>
        <w:outlineLvl w:val="9"/>
      </w:pPr>
      <w:r>
        <w:rPr>
          <w:color w:val="auto"/>
          <w:sz w:val="24"/>
          <w:highlight w:val="none"/>
        </w:rPr>
      </w:r>
      <w:r/>
    </w:p>
    <w:p>
      <w:pPr>
        <w:jc w:val="center"/>
        <w:spacing w:before="240" w:after="240" w:line="360" w:lineRule="auto"/>
        <w:rPr>
          <w:rFonts w:ascii="方正小标宋简体" w:hAnsi="宋体" w:eastAsia="方正小标宋简体" w:cs="Times New Roman"/>
          <w:color w:val="auto"/>
          <w:sz w:val="44"/>
          <w:szCs w:val="44"/>
          <w:highlight w:val="none"/>
        </w:rPr>
        <w:outlineLvl w:val="9"/>
      </w:pPr>
      <w:r>
        <w:rPr>
          <w:color w:val="auto"/>
          <w:sz w:val="24"/>
          <w:highlight w:val="none"/>
        </w:rPr>
        <w:br w:type="page" w:clear="all"/>
      </w:r>
      <w:r>
        <w:rPr>
          <w:rFonts w:ascii="方正小标宋简体" w:hAnsi="宋体" w:eastAsia="方正小标宋简体" w:cs="Times New Roman"/>
          <w:color w:val="auto"/>
          <w:sz w:val="44"/>
          <w:szCs w:val="44"/>
          <w:highlight w:val="none"/>
        </w:rPr>
        <w:t xml:space="preserve">中小企业声明函</w:t>
      </w:r>
      <w:r>
        <w:rPr>
          <w:rFonts w:hint="eastAsia" w:ascii="方正小标宋简体" w:hAnsi="宋体" w:eastAsia="方正小标宋简体" w:cs="Times New Roman"/>
          <w:color w:val="auto"/>
          <w:sz w:val="44"/>
          <w:szCs w:val="44"/>
          <w:highlight w:val="none"/>
        </w:rPr>
        <w:t xml:space="preserve">格式</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color w:val="auto"/>
          <w:spacing w:val="6"/>
          <w:sz w:val="24"/>
          <w:highlight w:val="none"/>
          <w:u w:val="single"/>
        </w:rPr>
        <w:t xml:space="preserve">（</w:t>
      </w:r>
      <w:r>
        <w:rPr>
          <w:rFonts w:hint="eastAsia"/>
          <w:color w:val="auto"/>
          <w:spacing w:val="6"/>
          <w:sz w:val="24"/>
          <w:highlight w:val="none"/>
          <w:u w:val="single"/>
        </w:rPr>
        <w:t xml:space="preserve">此处填</w:t>
      </w:r>
      <w:r>
        <w:rPr>
          <w:rFonts w:hint="eastAsia"/>
          <w:color w:val="auto"/>
          <w:spacing w:val="6"/>
          <w:sz w:val="24"/>
          <w:highlight w:val="none"/>
          <w:u w:val="single"/>
          <w:lang w:val="en-US" w:eastAsia="zh-CN"/>
        </w:rPr>
        <w:t xml:space="preserve">供应商</w:t>
      </w:r>
      <w:r>
        <w:rPr>
          <w:color w:val="auto"/>
          <w:spacing w:val="6"/>
          <w:sz w:val="24"/>
          <w:highlight w:val="none"/>
          <w:u w:val="single"/>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江苏尚阳工程管理有限公司</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（中型企业、小型企业、微型企业⑪）；</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w:t>
      </w:r>
      <w:r>
        <w:rPr>
          <w:rFonts w:hint="eastAsia" w:ascii="宋体" w:hAnsi="宋体" w:cs="宋体"/>
          <w:color w:val="auto"/>
          <w:sz w:val="24"/>
          <w:szCs w:val="24"/>
          <w:highlight w:val="none"/>
          <w:lang w:val="en-US" w:eastAsia="zh-CN"/>
        </w:rPr>
        <w:t xml:space="preserve">SYZB</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20XX-XX。</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如XXX</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 xml:space="preserve">其他未列明行业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投标人或供应商的名称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投标人或供应商</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无效投标（响应）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成交结果同时公告，接受社会监督。供应商应当自行核实是否属于中小微企业，并认真填写声明函，若有虚假将追究其责任。</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259"/>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spacing w:line="360" w:lineRule="auto"/>
        <w:tabs>
          <w:tab w:val="left" w:pos="5580" w:leader="none"/>
        </w:tabs>
        <w:rPr>
          <w:rFonts w:ascii="Times New Roman" w:hAnsi="Times New Roman" w:eastAsia="宋体" w:cs="Times New Roman"/>
          <w:color w:val="auto"/>
          <w:sz w:val="24"/>
          <w:highlight w:val="none"/>
        </w:rPr>
        <w:outlineLvl w:val="9"/>
      </w:pPr>
      <w:r>
        <w:rPr>
          <w:rFonts w:ascii="Times New Roman" w:hAnsi="Times New Roman" w:eastAsia="宋体" w:cs="Times New Roman"/>
          <w:color w:val="auto"/>
          <w:sz w:val="24"/>
          <w:highlight w:val="none"/>
        </w:rPr>
      </w:r>
      <w:r/>
    </w:p>
    <w:p>
      <w:pPr>
        <w:jc w:val="center"/>
        <w:spacing w:before="240" w:after="240" w:line="360" w:lineRule="auto"/>
        <w:rPr>
          <w:rFonts w:hint="eastAsia"/>
          <w:color w:val="auto"/>
          <w:sz w:val="24"/>
          <w:szCs w:val="20"/>
          <w:highlight w:val="none"/>
        </w:rPr>
        <w:outlineLvl w:val="9"/>
      </w:pPr>
      <w:r>
        <w:rPr>
          <w:rFonts w:hint="eastAsia"/>
          <w:color w:val="auto"/>
          <w:sz w:val="24"/>
          <w:szCs w:val="20"/>
          <w:highlight w:val="none"/>
        </w:rPr>
      </w:r>
      <w:r/>
    </w:p>
    <w:p>
      <w:pPr>
        <w:jc w:val="center"/>
        <w:spacing w:before="240" w:after="240" w:line="360" w:lineRule="auto"/>
        <w:rPr>
          <w:color w:val="auto"/>
          <w:sz w:val="24"/>
          <w:szCs w:val="20"/>
          <w:highlight w:val="none"/>
        </w:rPr>
        <w:sectPr>
          <w:headerReference w:type="even" r:id="rId11"/>
          <w:headerReference w:type="first" r:id="rId12"/>
          <w:footerReference w:type="even" r:id="rId18"/>
          <w:footerReference w:type="first" r:id="rId19"/>
          <w:footnotePr/>
          <w:endnotePr/>
          <w:type w:val="nextPage"/>
          <w:pgSz w:w="11907" w:h="16840" w:orient="portrait"/>
          <w:pgMar w:top="1440" w:right="1304" w:bottom="1440" w:left="1304" w:header="851" w:footer="851" w:gutter="0"/>
          <w:cols w:num="1" w:sep="0" w:space="1701" w:equalWidth="1"/>
          <w:docGrid w:linePitch="360"/>
        </w:sectPr>
        <w:outlineLvl w:val="9"/>
      </w:pPr>
      <w:r>
        <w:rPr>
          <w:color w:val="auto"/>
          <w:sz w:val="24"/>
          <w:szCs w:val="20"/>
          <w:highlight w:val="none"/>
        </w:rPr>
      </w:r>
      <w:r/>
    </w:p>
    <w:p>
      <w:pPr>
        <w:jc w:val="center"/>
        <w:rPr>
          <w:b/>
          <w:color w:val="auto"/>
          <w:sz w:val="36"/>
          <w:szCs w:val="36"/>
          <w:highlight w:val="none"/>
        </w:rPr>
        <w:outlineLvl w:val="9"/>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outlineLvl w:val="9"/>
      </w:pPr>
      <w:r>
        <w:rPr>
          <w:color w:val="auto"/>
          <w:sz w:val="36"/>
          <w:szCs w:val="36"/>
          <w:highlight w:val="none"/>
        </w:rPr>
      </w:r>
      <w:r/>
    </w:p>
    <w:p>
      <w:pPr>
        <w:ind w:firstLine="504"/>
        <w:spacing w:line="588" w:lineRule="exact"/>
        <w:rPr>
          <w:color w:val="auto"/>
          <w:spacing w:val="6"/>
          <w:sz w:val="24"/>
          <w:highlight w:val="none"/>
        </w:rPr>
        <w:outlineLvl w:val="9"/>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outlineLvl w:val="9"/>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outlineLvl w:val="9"/>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lang w:eastAsia="zh-CN"/>
        </w:rPr>
        <w:t xml:space="preserve">，</w:t>
      </w:r>
      <w:r>
        <w:rPr>
          <w:color w:val="auto"/>
          <w:spacing w:val="6"/>
          <w:sz w:val="24"/>
          <w:highlight w:val="none"/>
        </w:rPr>
        <w:t xml:space="preserve">由本单位提供服务。</w:t>
      </w:r>
      <w:r/>
    </w:p>
    <w:p>
      <w:pPr>
        <w:ind w:firstLine="506"/>
        <w:spacing w:line="588" w:lineRule="exact"/>
        <w:rPr>
          <w:color w:val="auto"/>
          <w:spacing w:val="6"/>
          <w:sz w:val="24"/>
          <w:highlight w:val="none"/>
        </w:rPr>
        <w:outlineLvl w:val="9"/>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outlineLvl w:val="9"/>
      </w:pPr>
      <w:r>
        <w:rPr>
          <w:color w:val="auto"/>
          <w:spacing w:val="6"/>
          <w:sz w:val="24"/>
          <w:highlight w:val="none"/>
        </w:rPr>
      </w:r>
      <w:r/>
    </w:p>
    <w:p>
      <w:pPr>
        <w:ind w:firstLine="504"/>
        <w:spacing w:line="588" w:lineRule="exact"/>
        <w:rPr>
          <w:color w:val="auto"/>
          <w:spacing w:val="6"/>
          <w:sz w:val="24"/>
          <w:highlight w:val="none"/>
        </w:rPr>
        <w:outlineLvl w:val="9"/>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outlineLvl w:val="9"/>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outlineLvl w:val="9"/>
      </w:pPr>
      <w:r>
        <w:rPr>
          <w:color w:val="auto"/>
          <w:spacing w:val="6"/>
          <w:sz w:val="24"/>
          <w:highlight w:val="none"/>
        </w:rPr>
        <w:t xml:space="preserve">       日  期：</w:t>
      </w:r>
      <w:r/>
    </w:p>
    <w:p>
      <w:pPr>
        <w:ind w:firstLine="408"/>
        <w:spacing w:line="360" w:lineRule="auto"/>
        <w:tabs>
          <w:tab w:val="left" w:pos="5580" w:leader="none"/>
        </w:tabs>
        <w:rPr>
          <w:color w:val="auto"/>
          <w:sz w:val="24"/>
          <w:szCs w:val="20"/>
          <w:highlight w:val="none"/>
        </w:rPr>
        <w:outlineLvl w:val="9"/>
      </w:pPr>
      <w:r>
        <w:rPr>
          <w:color w:val="auto"/>
          <w:sz w:val="24"/>
          <w:szCs w:val="20"/>
          <w:highlight w:val="none"/>
        </w:rPr>
        <w:br w:type="page" w:clear="all"/>
      </w:r>
      <w:r>
        <w:rPr>
          <w:rFonts w:hint="eastAsia"/>
          <w:color w:val="auto"/>
          <w:sz w:val="24"/>
          <w:highlight w:val="none"/>
          <w:lang w:val="en-US" w:eastAsia="zh-CN"/>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jc w:val="center"/>
        <w:spacing w:line="360" w:lineRule="auto"/>
        <w:rPr>
          <w:b/>
          <w:color w:val="auto"/>
          <w:sz w:val="36"/>
          <w:szCs w:val="36"/>
          <w:highlight w:val="none"/>
        </w:rPr>
        <w:outlineLvl w:val="9"/>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outlineLvl w:val="9"/>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outlineLvl w:val="9"/>
      </w:pPr>
      <w:r>
        <w:rPr>
          <w:color w:val="auto"/>
          <w:sz w:val="24"/>
          <w:szCs w:val="20"/>
          <w:highlight w:val="none"/>
        </w:rPr>
      </w:r>
      <w:r/>
    </w:p>
    <w:p>
      <w:pPr>
        <w:ind w:firstLine="408"/>
        <w:spacing w:line="360" w:lineRule="auto"/>
        <w:tabs>
          <w:tab w:val="left" w:pos="5580" w:leader="none"/>
        </w:tabs>
        <w:rPr>
          <w:color w:val="auto"/>
          <w:sz w:val="24"/>
          <w:szCs w:val="20"/>
          <w:highlight w:val="none"/>
        </w:rPr>
        <w:outlineLvl w:val="9"/>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outlineLvl w:val="9"/>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outlineLvl w:val="9"/>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lang w:eastAsia="zh-CN"/>
        </w:rPr>
        <w:t xml:space="preserve">天</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rPr>
        <w:outlineLvl w:val="9"/>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outlineLvl w:val="9"/>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outlineLvl w:val="9"/>
      </w:pPr>
      <w:r>
        <w:rPr>
          <w:color w:val="auto"/>
          <w:sz w:val="24"/>
          <w:szCs w:val="20"/>
          <w:highlight w:val="none"/>
        </w:rPr>
        <w:t xml:space="preserve">（4）如我方</w:t>
      </w:r>
      <w:r>
        <w:rPr>
          <w:rFonts w:hint="eastAsia"/>
          <w:color w:val="auto"/>
          <w:sz w:val="24"/>
          <w:szCs w:val="20"/>
          <w:highlight w:val="none"/>
          <w:lang w:val="en-US" w:eastAsia="zh-CN"/>
        </w:rPr>
        <w:t xml:space="preserve">成交</w:t>
      </w:r>
      <w:r>
        <w:rPr>
          <w:color w:val="auto"/>
          <w:sz w:val="24"/>
          <w:szCs w:val="20"/>
          <w:highlight w:val="none"/>
        </w:rPr>
        <w:t xml:space="preserve">，我方将在法律规定的期限内与你方签订合同，并在合同约定的期限内完成合同规定的全部义务。</w:t>
      </w:r>
      <w:r/>
    </w:p>
    <w:p>
      <w:pPr>
        <w:ind w:left="420"/>
        <w:spacing w:line="360" w:lineRule="auto"/>
        <w:rPr>
          <w:color w:val="auto"/>
          <w:sz w:val="24"/>
          <w:highlight w:val="none"/>
        </w:rPr>
        <w:outlineLvl w:val="9"/>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outlineLvl w:val="9"/>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outlineLvl w:val="9"/>
      </w:pPr>
      <w:r>
        <w:rPr>
          <w:color w:val="auto"/>
          <w:sz w:val="24"/>
          <w:szCs w:val="20"/>
          <w:highlight w:val="none"/>
        </w:rPr>
      </w:r>
      <w:r/>
    </w:p>
    <w:p>
      <w:pPr>
        <w:ind w:left="420"/>
        <w:spacing w:line="360" w:lineRule="auto"/>
        <w:tabs>
          <w:tab w:val="left" w:pos="5580" w:leader="none"/>
        </w:tabs>
        <w:rPr>
          <w:color w:val="auto"/>
          <w:sz w:val="24"/>
          <w:szCs w:val="20"/>
          <w:highlight w:val="none"/>
        </w:rPr>
        <w:outlineLvl w:val="9"/>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outlineLvl w:val="9"/>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outlineLvl w:val="9"/>
      </w:pPr>
      <w:r>
        <w:rPr>
          <w:color w:val="auto"/>
          <w:sz w:val="24"/>
          <w:szCs w:val="20"/>
          <w:highlight w:val="none"/>
        </w:rPr>
      </w:r>
      <w:r/>
    </w:p>
    <w:p>
      <w:pPr>
        <w:ind w:left="420"/>
        <w:spacing w:line="360" w:lineRule="auto"/>
        <w:tabs>
          <w:tab w:val="left" w:pos="5580" w:leader="none"/>
        </w:tabs>
        <w:rPr>
          <w:color w:val="auto"/>
          <w:sz w:val="24"/>
          <w:szCs w:val="20"/>
          <w:highlight w:val="none"/>
        </w:rPr>
        <w:outlineLvl w:val="9"/>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outlineLvl w:val="9"/>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outlineLvl w:val="9"/>
      </w:pPr>
      <w:r>
        <w:rPr>
          <w:color w:val="auto"/>
          <w:sz w:val="24"/>
          <w:szCs w:val="20"/>
          <w:highlight w:val="none"/>
          <w:u w:val="single"/>
        </w:rPr>
      </w:r>
      <w:r/>
    </w:p>
    <w:p>
      <w:pPr>
        <w:jc w:val="left"/>
        <w:widowControl/>
        <w:rPr>
          <w:rFonts w:hint="eastAsia"/>
          <w:color w:val="auto"/>
          <w:sz w:val="24"/>
          <w:highlight w:val="none"/>
        </w:rPr>
        <w:outlineLvl w:val="9"/>
      </w:pPr>
      <w:r/>
      <w:bookmarkStart w:id="630" w:name="_Hlt520356243"/>
      <w:r/>
      <w:bookmarkEnd w:id="630"/>
      <w:r/>
      <w:bookmarkStart w:id="631" w:name="_Hlt520355938"/>
      <w:r/>
      <w:bookmarkEnd w:id="631"/>
      <w:r>
        <w:rPr>
          <w:color w:val="auto"/>
          <w:sz w:val="24"/>
          <w:highlight w:val="none"/>
        </w:rPr>
        <w:br w:type="page" w:clear="all"/>
      </w:r>
      <w:r>
        <w:rPr>
          <w:rFonts w:hint="eastAsia"/>
          <w:color w:val="auto"/>
          <w:sz w:val="24"/>
          <w:highlight w:val="none"/>
          <w:lang w:val="en-US" w:eastAsia="zh-CN"/>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outlineLvl w:val="9"/>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w:t>
      </w:r>
      <w:r>
        <w:rPr>
          <w:rFonts w:hint="eastAsia" w:ascii="宋体" w:hAnsi="宋体"/>
          <w:color w:val="auto"/>
          <w:sz w:val="24"/>
          <w:highlight w:val="none"/>
          <w:u w:val="single"/>
          <w:lang w:eastAsia="zh-CN"/>
        </w:rPr>
        <w:t xml:space="preserve">供应商</w:t>
      </w:r>
      <w:r>
        <w:rPr>
          <w:rFonts w:hint="eastAsia" w:ascii="宋体" w:hAnsi="宋体"/>
          <w:color w:val="auto"/>
          <w:sz w:val="24"/>
          <w:highlight w:val="none"/>
          <w:u w:val="single"/>
        </w:rPr>
        <w:t xml:space="preserve">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w:t>
      </w:r>
      <w:r>
        <w:rPr>
          <w:rFonts w:hint="eastAsia" w:ascii="宋体" w:hAnsi="宋体"/>
          <w:color w:val="auto"/>
          <w:sz w:val="24"/>
          <w:highlight w:val="none"/>
          <w:lang w:eastAsia="zh-CN"/>
        </w:rPr>
        <w:t xml:space="preserve">磋商响应</w:t>
      </w:r>
      <w:r>
        <w:rPr>
          <w:rFonts w:hint="eastAsia" w:ascii="宋体" w:hAnsi="宋体"/>
          <w:color w:val="auto"/>
          <w:sz w:val="24"/>
          <w:highlight w:val="none"/>
        </w:rPr>
        <w:t xml:space="preserve">文件、进行合同谈判、签署合同和处理与之有关的一切事务。</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outlineLvl w:val="9"/>
      </w:pPr>
      <w:r>
        <w:rPr>
          <w:rFonts w:ascii="宋体" w:hAnsi="宋体"/>
          <w:color w:val="auto"/>
          <w:sz w:val="24"/>
          <w:highlight w:val="none"/>
        </w:rPr>
      </w:r>
      <w:r/>
    </w:p>
    <w:p>
      <w:pPr>
        <w:pStyle w:val="1030"/>
        <w:ind w:right="-46"/>
        <w:spacing w:line="583" w:lineRule="auto"/>
        <w:rPr>
          <w:color w:val="auto"/>
          <w:spacing w:val="-3"/>
          <w:highlight w:val="none"/>
        </w:rPr>
        <w:outlineLvl w:val="9"/>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lang w:val="en-US" w:eastAsia="zh-CN"/>
        </w:rPr>
        <w:t xml:space="preserve">电子件</w:t>
      </w:r>
      <w:r>
        <w:rPr>
          <w:rFonts w:hint="eastAsia"/>
          <w:color w:val="auto"/>
          <w:spacing w:val="-3"/>
          <w:highlight w:val="none"/>
        </w:rPr>
        <w:t xml:space="preserve">。</w:t>
      </w:r>
      <w:r/>
    </w:p>
    <w:tbl>
      <w:tblPr>
        <w:tblStyle w:val="8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outlineLvl w:val="9"/>
            </w:pPr>
            <w:r>
              <w:rPr>
                <w:rFonts w:ascii="宋体" w:hAnsi="宋体"/>
                <w:color w:val="auto"/>
                <w:sz w:val="24"/>
                <w:szCs w:val="20"/>
                <w:highlight w:val="none"/>
              </w:rPr>
            </w:r>
            <w:r/>
          </w:p>
        </w:tc>
      </w:tr>
    </w:tbl>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：（加盖公章）</w:t>
      </w:r>
      <w:r/>
    </w:p>
    <w:p>
      <w:pPr>
        <w:spacing w:line="560" w:lineRule="exact"/>
        <w:rPr>
          <w:rFonts w:ascii="宋体" w:hAnsi="宋体"/>
          <w:color w:val="auto"/>
          <w:sz w:val="24"/>
          <w:highlight w:val="none"/>
        </w:rPr>
        <w:outlineLvl w:val="9"/>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eastAsia="zh-CN"/>
        </w:rPr>
        <w:t xml:space="preserve">或</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outlineLvl w:val="9"/>
      </w:pPr>
      <w:r>
        <w:rPr>
          <w:rFonts w:hint="eastAsia" w:ascii="宋体" w:hAnsi="宋体"/>
          <w:color w:val="auto"/>
          <w:sz w:val="24"/>
          <w:highlight w:val="none"/>
        </w:rPr>
        <w:t xml:space="preserve">日期：    年    月    日</w:t>
      </w:r>
      <w:r/>
    </w:p>
    <w:p>
      <w:pPr>
        <w:jc w:val="left"/>
        <w:widowControl/>
        <w:rPr>
          <w:rFonts w:hint="eastAsia"/>
          <w:color w:val="auto"/>
          <w:sz w:val="24"/>
          <w:highlight w:val="none"/>
        </w:rPr>
        <w:outlineLvl w:val="9"/>
      </w:pPr>
      <w:r>
        <w:rPr>
          <w:rFonts w:hint="eastAsia"/>
          <w:color w:val="auto"/>
          <w:sz w:val="24"/>
          <w:highlight w:val="none"/>
        </w:rPr>
      </w:r>
      <w:r/>
    </w:p>
    <w:p>
      <w:pPr>
        <w:jc w:val="left"/>
        <w:widowControl/>
        <w:rPr>
          <w:rFonts w:hint="eastAsia"/>
          <w:color w:val="auto"/>
          <w:sz w:val="24"/>
          <w:highlight w:val="none"/>
        </w:rPr>
        <w:outlineLvl w:val="9"/>
      </w:pPr>
      <w:r>
        <w:rPr>
          <w:rFonts w:hint="eastAsia"/>
          <w:color w:val="auto"/>
          <w:sz w:val="24"/>
          <w:highlight w:val="none"/>
        </w:rPr>
      </w:r>
      <w:r/>
    </w:p>
    <w:p>
      <w:pPr>
        <w:jc w:val="left"/>
        <w:widowControl/>
        <w:rPr>
          <w:rFonts w:hint="eastAsia"/>
          <w:color w:val="auto"/>
          <w:sz w:val="24"/>
          <w:highlight w:val="none"/>
        </w:rPr>
        <w:outlineLvl w:val="9"/>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outlineLvl w:val="9"/>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hint="eastAsia" w:ascii="宋体" w:hAnsi="宋体"/>
          <w:color w:val="auto"/>
          <w:sz w:val="24"/>
          <w:szCs w:val="20"/>
          <w:highlight w:val="none"/>
        </w:rPr>
        <w:outlineLvl w:val="9"/>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lang w:eastAsia="zh-CN"/>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lang w:eastAsia="zh-CN"/>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1030"/>
        <w:rPr>
          <w:color w:val="auto"/>
          <w:highlight w:val="none"/>
        </w:rPr>
        <w:outlineLvl w:val="9"/>
      </w:pPr>
      <w:r>
        <w:rPr>
          <w:color w:val="auto"/>
          <w:highlight w:val="none"/>
        </w:rPr>
      </w:r>
      <w:r/>
    </w:p>
    <w:p>
      <w:pPr>
        <w:jc w:val="left"/>
        <w:widowControl/>
        <w:rPr>
          <w:rFonts w:hint="eastAsia"/>
          <w:color w:val="auto"/>
          <w:sz w:val="24"/>
          <w:highlight w:val="none"/>
        </w:rPr>
        <w:outlineLvl w:val="9"/>
      </w:pPr>
      <w:r>
        <w:rPr>
          <w:rFonts w:hint="eastAsia"/>
          <w:color w:val="auto"/>
          <w:sz w:val="24"/>
          <w:highlight w:val="none"/>
        </w:rPr>
      </w:r>
      <w:r/>
    </w:p>
    <w:p>
      <w:pPr>
        <w:jc w:val="left"/>
        <w:widowControl/>
        <w:rPr>
          <w:rFonts w:hint="eastAsia"/>
          <w:color w:val="auto"/>
          <w:sz w:val="24"/>
          <w:highlight w:val="none"/>
          <w:lang w:val="en-US" w:eastAsia="zh-CN"/>
        </w:rPr>
        <w:outlineLvl w:val="9"/>
      </w:pPr>
      <w:r>
        <w:rPr>
          <w:rFonts w:hint="eastAsia"/>
          <w:color w:val="auto"/>
          <w:sz w:val="24"/>
          <w:highlight w:val="none"/>
          <w:lang w:val="en-US" w:eastAsia="zh-CN"/>
        </w:rPr>
      </w:r>
      <w:r/>
    </w:p>
    <w:p>
      <w:pPr>
        <w:jc w:val="left"/>
        <w:widowControl/>
        <w:rPr>
          <w:rFonts w:hint="eastAsia"/>
          <w:color w:val="auto"/>
          <w:sz w:val="24"/>
          <w:highlight w:val="none"/>
        </w:rPr>
        <w:outlineLvl w:val="9"/>
      </w:pPr>
      <w:r>
        <w:rPr>
          <w:color w:val="auto"/>
          <w:sz w:val="24"/>
          <w:highlight w:val="none"/>
        </w:rPr>
        <w:br w:type="page" w:clear="all"/>
      </w:r>
      <w:r>
        <w:rPr>
          <w:rFonts w:hint="eastAsia"/>
          <w:color w:val="auto"/>
          <w:sz w:val="24"/>
          <w:highlight w:val="none"/>
          <w:lang w:val="en-US" w:eastAsia="zh-CN"/>
        </w:rPr>
        <w:t xml:space="preserve">6</w:t>
      </w:r>
      <w:r>
        <w:rPr>
          <w:rFonts w:hint="eastAsia"/>
          <w:color w:val="auto"/>
          <w:sz w:val="24"/>
          <w:highlight w:val="none"/>
        </w:rPr>
        <w:t xml:space="preserve">  政府采购供应商信用承诺书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outlineLvl w:val="9"/>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outlineLvl w:val="9"/>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outlineLvl w:val="9"/>
      </w:pPr>
      <w:r>
        <w:rPr>
          <w:color w:val="auto"/>
          <w:highlight w:val="none"/>
        </w:rPr>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 xml:space="preserve">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outlineLvl w:val="9"/>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101"/>
        <w:ind w:right="1050" w:firstLine="2880"/>
        <w:jc w:val="both"/>
        <w:spacing w:line="276" w:lineRule="auto"/>
        <w:rPr>
          <w:rFonts w:ascii="宋体" w:hAnsi="宋体" w:eastAsia="宋体"/>
          <w:color w:val="auto"/>
          <w:sz w:val="24"/>
          <w:szCs w:val="22"/>
          <w:highlight w:val="none"/>
        </w:rPr>
        <w:outlineLvl w:val="9"/>
      </w:pPr>
      <w:r>
        <w:rPr>
          <w:rFonts w:ascii="宋体" w:hAnsi="宋体" w:eastAsia="宋体"/>
          <w:color w:val="auto"/>
          <w:sz w:val="24"/>
          <w:szCs w:val="22"/>
          <w:highlight w:val="none"/>
        </w:rPr>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spacing w:line="360" w:lineRule="auto"/>
        <w:rPr>
          <w:color w:val="auto"/>
          <w:sz w:val="24"/>
          <w:szCs w:val="20"/>
          <w:highlight w:val="none"/>
        </w:rPr>
        <w:outlineLvl w:val="9"/>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报价一览表</w:t>
      </w:r>
      <w:r/>
    </w:p>
    <w:p>
      <w:pPr>
        <w:jc w:val="center"/>
        <w:rPr>
          <w:b/>
          <w:color w:val="auto"/>
          <w:sz w:val="36"/>
          <w:szCs w:val="36"/>
          <w:highlight w:val="none"/>
        </w:rPr>
        <w:outlineLvl w:val="9"/>
      </w:pPr>
      <w:r>
        <w:rPr>
          <w:rFonts w:hint="eastAsia"/>
          <w:b/>
          <w:color w:val="auto"/>
          <w:sz w:val="36"/>
          <w:szCs w:val="36"/>
          <w:highlight w:val="none"/>
        </w:rPr>
        <w:t xml:space="preserve">报价一览表</w:t>
      </w:r>
      <w:r/>
    </w:p>
    <w:p>
      <w:pPr>
        <w:jc w:val="left"/>
        <w:spacing w:line="360" w:lineRule="auto"/>
        <w:tabs>
          <w:tab w:val="left" w:pos="1800" w:leader="none"/>
          <w:tab w:val="left" w:pos="5580" w:leader="none"/>
        </w:tabs>
        <w:rPr>
          <w:color w:val="auto"/>
          <w:sz w:val="24"/>
          <w:highlight w:val="none"/>
        </w:rPr>
        <w:outlineLvl w:val="9"/>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outlineLvl w:val="9"/>
      </w:pPr>
      <w:r>
        <w:rPr>
          <w:color w:val="auto"/>
          <w:sz w:val="24"/>
          <w:highlight w:val="none"/>
        </w:rPr>
        <w:t xml:space="preserve">项目编号：_____________________     项目名称：_______________________</w:t>
      </w:r>
      <w:r/>
    </w:p>
    <w:p>
      <w:pPr>
        <w:jc w:val="left"/>
        <w:rPr>
          <w:color w:val="auto"/>
          <w:sz w:val="24"/>
          <w:highlight w:val="none"/>
        </w:rPr>
        <w:outlineLvl w:val="9"/>
      </w:pPr>
      <w:r>
        <w:rPr>
          <w:color w:val="auto"/>
          <w:sz w:val="24"/>
          <w:highlight w:val="none"/>
        </w:rPr>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2"/>
        <w:gridCol w:w="3561"/>
        <w:gridCol w:w="2250"/>
        <w:gridCol w:w="2369"/>
      </w:tblGrid>
      <w:tr>
        <w:trPr>
          <w:jc w:val="center"/>
          <w:trHeight w:val="531"/>
        </w:trPr>
        <w:tc>
          <w:tcPr>
            <w:tcW w:w="902" w:type="dxa"/>
            <w:vAlign w:val="center"/>
            <w:vMerge w:val="restart"/>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rPr>
              <w:t xml:space="preserve">序号</w:t>
            </w:r>
            <w:r/>
          </w:p>
        </w:tc>
        <w:tc>
          <w:tcPr>
            <w:tcW w:w="3561" w:type="dxa"/>
            <w:vAlign w:val="center"/>
            <w:vMerge w:val="restart"/>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rPr>
              <w:t xml:space="preserve">供应商名称</w:t>
            </w:r>
            <w:r/>
          </w:p>
        </w:tc>
        <w:tc>
          <w:tcPr>
            <w:gridSpan w:val="2"/>
            <w:tcW w:w="4619" w:type="dxa"/>
            <w:vAlign w:val="center"/>
            <w:textDirection w:val="lrTb"/>
            <w:noWrap w:val="false"/>
          </w:tcPr>
          <w:p>
            <w:pPr>
              <w:jc w:val="center"/>
              <w:tabs>
                <w:tab w:val="left" w:pos="5580" w:leader="none"/>
              </w:tabs>
              <w:rPr>
                <w:rFonts w:hint="eastAsia" w:eastAsia="宋体"/>
                <w:b/>
                <w:color w:val="auto"/>
                <w:sz w:val="24"/>
                <w:highlight w:val="none"/>
                <w:lang w:eastAsia="zh-CN"/>
              </w:rPr>
              <w:outlineLvl w:val="9"/>
            </w:pPr>
            <w:r>
              <w:rPr>
                <w:rFonts w:hint="eastAsia"/>
                <w:b/>
                <w:color w:val="auto"/>
                <w:sz w:val="24"/>
                <w:highlight w:val="none"/>
              </w:rPr>
              <w:t xml:space="preserve">报价</w:t>
            </w:r>
            <w:r>
              <w:rPr>
                <w:rFonts w:hint="eastAsia"/>
                <w:b/>
                <w:color w:val="auto"/>
                <w:sz w:val="24"/>
                <w:highlight w:val="none"/>
                <w:lang w:eastAsia="zh-CN"/>
              </w:rPr>
              <w:t xml:space="preserve">（</w:t>
            </w:r>
            <w:r>
              <w:rPr>
                <w:rFonts w:hint="eastAsia"/>
                <w:b/>
                <w:color w:val="auto"/>
                <w:sz w:val="24"/>
                <w:highlight w:val="none"/>
                <w:lang w:val="en-US" w:eastAsia="zh-CN"/>
              </w:rPr>
              <w:t xml:space="preserve">人民币：</w:t>
            </w:r>
            <w:r>
              <w:rPr>
                <w:rFonts w:hint="eastAsia"/>
                <w:b/>
                <w:color w:val="auto"/>
                <w:sz w:val="24"/>
                <w:highlight w:val="none"/>
              </w:rPr>
              <w:t xml:space="preserve">元</w:t>
            </w:r>
            <w:r>
              <w:rPr>
                <w:rFonts w:hint="eastAsia"/>
                <w:b/>
                <w:color w:val="auto"/>
                <w:sz w:val="24"/>
                <w:highlight w:val="none"/>
                <w:lang w:eastAsia="zh-CN"/>
              </w:rPr>
              <w:t xml:space="preserve">）</w:t>
            </w:r>
            <w:r/>
          </w:p>
        </w:tc>
      </w:tr>
      <w:tr>
        <w:trPr>
          <w:jc w:val="center"/>
          <w:trHeight w:val="674"/>
        </w:trPr>
        <w:tc>
          <w:tcPr>
            <w:tcW w:w="902" w:type="dxa"/>
            <w:vAlign w:val="center"/>
            <w:vMerge w:val="continue"/>
            <w:textDirection w:val="lrTb"/>
            <w:noWrap w:val="false"/>
          </w:tcPr>
          <w:p>
            <w:pPr>
              <w:jc w:val="left"/>
              <w:widowControl/>
              <w:rPr>
                <w:b/>
                <w:color w:val="auto"/>
                <w:sz w:val="24"/>
                <w:highlight w:val="none"/>
              </w:rPr>
              <w:outlineLvl w:val="9"/>
            </w:pPr>
            <w:r>
              <w:rPr>
                <w:b/>
                <w:color w:val="auto"/>
                <w:sz w:val="24"/>
                <w:highlight w:val="none"/>
              </w:rPr>
            </w:r>
            <w:r/>
          </w:p>
        </w:tc>
        <w:tc>
          <w:tcPr>
            <w:tcW w:w="3561" w:type="dxa"/>
            <w:vAlign w:val="center"/>
            <w:vMerge w:val="continue"/>
            <w:textDirection w:val="lrTb"/>
            <w:noWrap w:val="false"/>
          </w:tcPr>
          <w:p>
            <w:pPr>
              <w:jc w:val="left"/>
              <w:widowControl/>
              <w:rPr>
                <w:b/>
                <w:color w:val="auto"/>
                <w:sz w:val="24"/>
                <w:highlight w:val="none"/>
              </w:rPr>
              <w:outlineLvl w:val="9"/>
            </w:pPr>
            <w:r>
              <w:rPr>
                <w:b/>
                <w:color w:val="auto"/>
                <w:sz w:val="24"/>
                <w:highlight w:val="none"/>
              </w:rPr>
            </w:r>
            <w:r/>
          </w:p>
        </w:tc>
        <w:tc>
          <w:tcPr>
            <w:tcW w:w="2250" w:type="dxa"/>
            <w:vAlign w:val="center"/>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rPr>
              <w:t xml:space="preserve">大写</w:t>
            </w:r>
            <w:r/>
          </w:p>
        </w:tc>
        <w:tc>
          <w:tcPr>
            <w:tcW w:w="2369" w:type="dxa"/>
            <w:vAlign w:val="center"/>
            <w:textDirection w:val="lrTb"/>
            <w:noWrap w:val="false"/>
          </w:tcPr>
          <w:p>
            <w:pPr>
              <w:jc w:val="center"/>
              <w:tabs>
                <w:tab w:val="left" w:pos="5580" w:leader="none"/>
              </w:tabs>
              <w:rPr>
                <w:b/>
                <w:color w:val="auto"/>
                <w:sz w:val="24"/>
                <w:highlight w:val="none"/>
              </w:rPr>
              <w:outlineLvl w:val="9"/>
            </w:pPr>
            <w:r>
              <w:rPr>
                <w:rFonts w:hint="eastAsia"/>
                <w:b/>
                <w:color w:val="auto"/>
                <w:sz w:val="24"/>
                <w:highlight w:val="none"/>
              </w:rPr>
              <w:t xml:space="preserve">小写</w:t>
            </w:r>
            <w:r/>
          </w:p>
        </w:tc>
      </w:tr>
      <w:tr>
        <w:trPr>
          <w:jc w:val="center"/>
          <w:trHeight w:val="976"/>
        </w:trPr>
        <w:tc>
          <w:tcPr>
            <w:tcW w:w="902"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3561"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2250"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c>
          <w:tcPr>
            <w:tcW w:w="2369" w:type="dxa"/>
            <w:vAlign w:val="center"/>
            <w:textDirection w:val="lrTb"/>
            <w:noWrap w:val="false"/>
          </w:tcPr>
          <w:p>
            <w:pPr>
              <w:jc w:val="center"/>
              <w:tabs>
                <w:tab w:val="left" w:pos="5580" w:leader="none"/>
              </w:tabs>
              <w:rPr>
                <w:color w:val="auto"/>
                <w:sz w:val="24"/>
                <w:highlight w:val="none"/>
              </w:rPr>
              <w:outlineLvl w:val="9"/>
            </w:pPr>
            <w:r>
              <w:rPr>
                <w:color w:val="auto"/>
                <w:sz w:val="24"/>
                <w:highlight w:val="none"/>
              </w:rPr>
            </w:r>
            <w:r/>
          </w:p>
        </w:tc>
      </w:tr>
    </w:tbl>
    <w:p>
      <w:pPr>
        <w:ind w:left="0" w:right="0"/>
        <w:jc w:val="left"/>
        <w:keepLines w:val="0"/>
        <w:keepNext w:val="0"/>
        <w:pageBreakBefore w:val="0"/>
        <w:spacing w:before="464"/>
        <w:widowControl w:val="off"/>
        <w:rPr>
          <w:color w:val="auto"/>
          <w:sz w:val="24"/>
          <w:szCs w:val="20"/>
          <w:highlight w:val="none"/>
        </w:rPr>
      </w:pPr>
      <w:r>
        <w:rPr>
          <w:rFonts w:hint="eastAsia"/>
          <w:color w:val="auto"/>
          <w:sz w:val="24"/>
          <w:highlight w:val="none"/>
          <w:lang w:val="en-US" w:eastAsia="zh-CN"/>
        </w:rPr>
        <w:t xml:space="preserve">注：1.</w:t>
      </w:r>
      <w:r>
        <w:rPr>
          <w:color w:val="auto"/>
          <w:sz w:val="24"/>
          <w:szCs w:val="20"/>
          <w:highlight w:val="none"/>
        </w:rPr>
        <w:t xml:space="preserve">此表中的报价应和《分项报价表》中的总价相一致。</w:t>
      </w:r>
      <w:r/>
    </w:p>
    <w:p>
      <w:pPr>
        <w:ind w:left="0" w:right="0"/>
        <w:jc w:val="left"/>
        <w:keepLines w:val="0"/>
        <w:keepNext w:val="0"/>
        <w:pageBreakBefore w:val="0"/>
        <w:spacing w:before="464"/>
        <w:widowControl w:val="off"/>
        <w:rPr>
          <w:color w:val="auto"/>
          <w:sz w:val="24"/>
          <w:szCs w:val="20"/>
          <w:highlight w:val="none"/>
        </w:rPr>
      </w:pPr>
      <w:r>
        <w:rPr>
          <w:rFonts w:hint="eastAsia"/>
          <w:color w:val="auto"/>
          <w:sz w:val="24"/>
          <w:szCs w:val="20"/>
          <w:highlight w:val="none"/>
        </w:rPr>
        <w:t xml:space="preserve">2.二次报价即最终报价。</w:t>
      </w:r>
      <w:r/>
    </w:p>
    <w:p>
      <w:pPr>
        <w:spacing w:before="25" w:after="25" w:line="360" w:lineRule="auto"/>
        <w:rPr>
          <w:color w:val="auto"/>
          <w:sz w:val="24"/>
          <w:highlight w:val="none"/>
          <w:lang w:val="zh-CN"/>
        </w:rPr>
        <w:outlineLvl w:val="9"/>
      </w:pPr>
      <w:r>
        <w:rPr>
          <w:color w:val="auto"/>
          <w:sz w:val="24"/>
          <w:highlight w:val="none"/>
          <w:lang w:val="zh-CN"/>
        </w:rPr>
      </w:r>
      <w:r/>
    </w:p>
    <w:p>
      <w:pPr>
        <w:spacing w:before="25" w:after="25" w:line="360" w:lineRule="auto"/>
        <w:rPr>
          <w:color w:val="auto"/>
          <w:sz w:val="24"/>
          <w:highlight w:val="none"/>
          <w:lang w:val="zh-CN"/>
        </w:rPr>
        <w:outlineLvl w:val="9"/>
      </w:pPr>
      <w:r>
        <w:rPr>
          <w:color w:val="auto"/>
          <w:sz w:val="24"/>
          <w:highlight w:val="none"/>
          <w:lang w:val="zh-CN"/>
        </w:rPr>
        <w:t xml:space="preserve">                         </w:t>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9"/>
      </w:pPr>
      <w:r>
        <w:rPr>
          <w:rFonts w:hint="eastAsia"/>
          <w:color w:val="auto"/>
          <w:sz w:val="24"/>
          <w:szCs w:val="20"/>
          <w:highlight w:val="none"/>
        </w:rPr>
      </w:r>
      <w:r/>
    </w:p>
    <w:p>
      <w:pPr>
        <w:spacing w:line="360" w:lineRule="auto"/>
        <w:rPr>
          <w:rFonts w:hint="eastAsia"/>
          <w:color w:val="auto"/>
          <w:sz w:val="24"/>
          <w:szCs w:val="20"/>
          <w:highlight w:val="none"/>
        </w:rPr>
        <w:outlineLvl w:val="9"/>
      </w:pPr>
      <w:r>
        <w:rPr>
          <w:rFonts w:hint="eastAsia"/>
          <w:color w:val="auto"/>
          <w:sz w:val="24"/>
          <w:szCs w:val="20"/>
          <w:highlight w:val="none"/>
        </w:rPr>
      </w:r>
      <w:r/>
    </w:p>
    <w:p>
      <w:pPr>
        <w:spacing w:line="360" w:lineRule="auto"/>
        <w:rPr>
          <w:rFonts w:hint="eastAsia"/>
          <w:color w:val="auto"/>
          <w:sz w:val="24"/>
          <w:szCs w:val="20"/>
          <w:highlight w:val="none"/>
        </w:rPr>
        <w:outlineLvl w:val="9"/>
      </w:pPr>
      <w:r>
        <w:rPr>
          <w:rFonts w:hint="eastAsia"/>
          <w:color w:val="auto"/>
          <w:sz w:val="24"/>
          <w:szCs w:val="20"/>
          <w:highlight w:val="none"/>
        </w:rPr>
      </w:r>
      <w:r/>
    </w:p>
    <w:p>
      <w:pPr>
        <w:spacing w:line="360" w:lineRule="auto"/>
        <w:rPr>
          <w:rFonts w:hint="eastAsia"/>
          <w:color w:val="auto"/>
          <w:sz w:val="24"/>
          <w:szCs w:val="20"/>
          <w:highlight w:val="none"/>
        </w:rPr>
        <w:outlineLvl w:val="9"/>
      </w:pPr>
      <w:r>
        <w:rPr>
          <w:color w:val="auto"/>
          <w:sz w:val="24"/>
          <w:highlight w:val="none"/>
        </w:rPr>
        <w:br w:type="page" w:clear="all"/>
      </w:r>
      <w:r/>
    </w:p>
    <w:p>
      <w:pPr>
        <w:jc w:val="left"/>
        <w:widowControl/>
        <w:rPr>
          <w:color w:val="auto"/>
          <w:sz w:val="24"/>
          <w:szCs w:val="20"/>
          <w:highlight w:val="none"/>
        </w:rPr>
        <w:outlineLvl w:val="9"/>
      </w:pPr>
      <w:r>
        <w:rPr>
          <w:rFonts w:hint="eastAsia"/>
          <w:color w:val="auto"/>
          <w:sz w:val="24"/>
          <w:szCs w:val="20"/>
          <w:highlight w:val="none"/>
          <w:lang w:val="en-US" w:eastAsia="zh-CN"/>
        </w:rPr>
        <w:t xml:space="preserve">8</w:t>
      </w:r>
      <w:r>
        <w:rPr>
          <w:color w:val="auto"/>
          <w:sz w:val="24"/>
          <w:szCs w:val="20"/>
          <w:highlight w:val="none"/>
        </w:rPr>
        <w:t xml:space="preserve">  分项报价表</w:t>
      </w:r>
      <w:r/>
    </w:p>
    <w:p>
      <w:pPr>
        <w:jc w:val="center"/>
        <w:spacing w:line="360" w:lineRule="exact"/>
        <w:rPr>
          <w:color w:val="auto"/>
          <w:sz w:val="36"/>
          <w:szCs w:val="36"/>
          <w:highlight w:val="none"/>
        </w:rPr>
        <w:outlineLvl w:val="9"/>
      </w:pPr>
      <w:r>
        <w:rPr>
          <w:color w:val="auto"/>
          <w:sz w:val="36"/>
          <w:szCs w:val="36"/>
          <w:highlight w:val="none"/>
        </w:rPr>
      </w:r>
      <w:r/>
    </w:p>
    <w:p>
      <w:pPr>
        <w:jc w:val="center"/>
        <w:rPr>
          <w:b/>
          <w:color w:val="auto"/>
          <w:sz w:val="36"/>
          <w:szCs w:val="36"/>
          <w:highlight w:val="none"/>
        </w:rPr>
        <w:outlineLvl w:val="9"/>
      </w:pPr>
      <w:r>
        <w:rPr>
          <w:rFonts w:hint="eastAsia"/>
          <w:b/>
          <w:color w:val="auto"/>
          <w:sz w:val="36"/>
          <w:szCs w:val="36"/>
          <w:highlight w:val="none"/>
        </w:rPr>
        <w:t xml:space="preserve">分项报价表</w:t>
      </w:r>
      <w:r/>
    </w:p>
    <w:p>
      <w:pPr>
        <w:jc w:val="center"/>
        <w:spacing w:line="260" w:lineRule="exact"/>
        <w:rPr>
          <w:color w:val="auto"/>
          <w:sz w:val="36"/>
          <w:szCs w:val="36"/>
          <w:highlight w:val="none"/>
        </w:rPr>
        <w:outlineLvl w:val="9"/>
      </w:pPr>
      <w:r>
        <w:rPr>
          <w:color w:val="auto"/>
          <w:sz w:val="36"/>
          <w:szCs w:val="36"/>
          <w:highlight w:val="none"/>
        </w:rPr>
      </w:r>
      <w:r/>
    </w:p>
    <w:p>
      <w:pPr>
        <w:tabs>
          <w:tab w:val="left" w:pos="1800" w:leader="none"/>
          <w:tab w:val="left" w:pos="5580" w:leader="none"/>
        </w:tabs>
        <w:rPr>
          <w:color w:val="auto"/>
          <w:sz w:val="24"/>
          <w:highlight w:val="none"/>
        </w:rPr>
        <w:outlineLvl w:val="9"/>
      </w:pPr>
      <w:r>
        <w:rPr>
          <w:color w:val="auto"/>
          <w:sz w:val="24"/>
          <w:highlight w:val="none"/>
        </w:rPr>
        <w:t xml:space="preserve">项目编号：___________ 项目名称：__________</w:t>
      </w:r>
      <w:r>
        <w:rPr>
          <w:rFonts w:hint="eastAsia"/>
          <w:color w:val="auto"/>
          <w:sz w:val="24"/>
          <w:highlight w:val="none"/>
          <w:lang w:val="en-US" w:eastAsia="zh-CN"/>
        </w:rPr>
        <w:t xml:space="preserve">          </w:t>
      </w:r>
      <w:r>
        <w:rPr>
          <w:color w:val="auto"/>
          <w:sz w:val="24"/>
          <w:highlight w:val="none"/>
        </w:rPr>
        <w:t xml:space="preserve">报价单位：人民币元</w:t>
      </w:r>
      <w:r/>
    </w:p>
    <w:p>
      <w:pPr>
        <w:jc w:val="left"/>
        <w:tabs>
          <w:tab w:val="left" w:pos="1800" w:leader="none"/>
          <w:tab w:val="left" w:pos="5580" w:leader="none"/>
        </w:tabs>
        <w:rPr>
          <w:rFonts w:hint="eastAsia"/>
          <w:color w:val="auto"/>
          <w:sz w:val="24"/>
          <w:highlight w:val="none"/>
        </w:rPr>
        <w:outlineLvl w:val="9"/>
      </w:pPr>
      <w:r>
        <w:rPr>
          <w:rFonts w:hint="eastAsia"/>
          <w:color w:val="auto"/>
          <w:sz w:val="24"/>
          <w:highlight w:val="none"/>
        </w:rPr>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lang w:val="en-US" w:eastAsia="zh-CN"/>
              </w:rPr>
              <w:t xml:space="preserve">响应</w:t>
            </w:r>
            <w:r>
              <w:rPr>
                <w:rFonts w:hint="eastAsia" w:ascii="宋体" w:hAnsi="宋体" w:cs="Arial"/>
                <w:color w:val="auto"/>
                <w:sz w:val="24"/>
                <w:highlight w:val="none"/>
              </w:rPr>
              <w:t xml:space="preserve">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ascii="宋体" w:hAnsi="宋体" w:cs="Arial"/>
                <w:b/>
                <w:bCs/>
                <w:color w:val="auto"/>
                <w:sz w:val="24"/>
                <w:highlight w:val="none"/>
              </w:rPr>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总价</w:t>
            </w:r>
            <w:r>
              <w:rPr>
                <w:rFonts w:hint="eastAsia" w:ascii="宋体" w:hAnsi="宋体" w:cs="Arial"/>
                <w:b/>
                <w:bCs/>
                <w:color w:val="auto"/>
                <w:sz w:val="24"/>
                <w:highlight w:val="none"/>
                <w:lang w:eastAsia="zh-CN"/>
              </w:rPr>
              <w:t xml:space="preserve">（</w:t>
            </w:r>
            <w:r>
              <w:rPr>
                <w:rFonts w:hint="eastAsia" w:ascii="宋体" w:hAnsi="宋体" w:cs="Arial"/>
                <w:b/>
                <w:bCs/>
                <w:color w:val="auto"/>
                <w:sz w:val="24"/>
                <w:highlight w:val="none"/>
                <w:lang w:val="en-US" w:eastAsia="zh-CN"/>
              </w:rPr>
              <w:t xml:space="preserve">服务+设备）</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ascii="宋体" w:hAnsi="宋体" w:cs="Arial"/>
                <w:color w:val="auto"/>
                <w:sz w:val="24"/>
                <w:highlight w:val="none"/>
              </w:rPr>
            </w:pPr>
            <w:r>
              <w:rPr>
                <w:rFonts w:ascii="宋体" w:hAnsi="宋体" w:cs="Arial"/>
                <w:color w:val="auto"/>
                <w:sz w:val="24"/>
                <w:highlight w:val="none"/>
              </w:rPr>
            </w:r>
            <w:r/>
          </w:p>
        </w:tc>
      </w:tr>
    </w:tbl>
    <w:p>
      <w:pPr>
        <w:ind w:firstLine="24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rPr>
        <w:t xml:space="preserve">注：</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.如果不提供分项报价将视为没有实质性响应磋商文件</w:t>
      </w:r>
      <w:r>
        <w:rPr>
          <w:rFonts w:hint="eastAsia" w:ascii="宋体" w:hAnsi="宋体" w:eastAsia="宋体" w:cs="Times New Roman"/>
          <w:color w:val="auto"/>
          <w:sz w:val="24"/>
          <w:szCs w:val="24"/>
          <w:highlight w:val="none"/>
          <w:lang w:eastAsia="zh-CN"/>
        </w:rPr>
        <w:t xml:space="preserve">。</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.本表行数可以按照项目分项情况增加。</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.上述各项的服务内容如表格中填写不下的，可以逐项另页描述。</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zh-CN"/>
        </w:rPr>
        <w:outlineLvl w:val="9"/>
      </w:pPr>
      <w:r>
        <w:rPr>
          <w:rFonts w:hint="eastAsia" w:ascii="宋体" w:hAnsi="宋体" w:eastAsia="宋体" w:cs="Times New Roman"/>
          <w:color w:val="auto"/>
          <w:sz w:val="24"/>
          <w:szCs w:val="24"/>
          <w:highlight w:val="none"/>
          <w:lang w:val="zh-CN" w:eastAsia="zh-CN"/>
        </w:rPr>
        <w:t xml:space="preserve">4.</w:t>
      </w:r>
      <w:r>
        <w:rPr>
          <w:rFonts w:hint="eastAsia" w:ascii="宋体" w:hAnsi="宋体" w:eastAsia="宋体" w:cs="Times New Roman"/>
          <w:color w:val="auto"/>
          <w:sz w:val="24"/>
          <w:szCs w:val="24"/>
          <w:highlight w:val="none"/>
          <w:lang w:val="zh-CN"/>
        </w:rPr>
        <w:t xml:space="preserve">上述总价为竞争性磋商文件所确定的采购范围内相应服务的提供、人员（包括工资和补贴）、设备、办公场所及设施、保险、劳保、管理、各种税费、利润、税金、政策性文件规定及合同包含的所有风险、责任等各项应有费用，以及为完成该项服务项目所涉及到的一切相关费用。 </w:t>
      </w:r>
      <w:r/>
    </w:p>
    <w:p>
      <w:pPr>
        <w:ind w:firstLine="720"/>
        <w:jc w:val="left"/>
        <w:keepLines w:val="0"/>
        <w:keepNext w:val="0"/>
        <w:pageBreakBefore w:val="0"/>
        <w:spacing w:line="400" w:lineRule="exact"/>
        <w:widowControl w:val="off"/>
        <w:rPr>
          <w:color w:val="auto"/>
          <w:sz w:val="24"/>
          <w:highlight w:val="none"/>
          <w:lang w:val="zh-CN"/>
        </w:rPr>
        <w:outlineLvl w:val="9"/>
      </w:pPr>
      <w:r>
        <w:rPr>
          <w:color w:val="auto"/>
          <w:sz w:val="24"/>
          <w:highlight w:val="none"/>
          <w:lang w:val="zh-CN"/>
        </w:rPr>
        <w:t xml:space="preserve">        </w:t>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：____________</w:t>
      </w:r>
      <w:r/>
    </w:p>
    <w:p>
      <w:pPr>
        <w:spacing w:line="360" w:lineRule="auto"/>
        <w:rPr>
          <w:rFonts w:hint="eastAsia"/>
          <w:color w:val="auto"/>
          <w:sz w:val="24"/>
          <w:szCs w:val="20"/>
          <w:highlight w:val="none"/>
        </w:rPr>
        <w:outlineLvl w:val="9"/>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9"/>
      </w:pPr>
      <w:r>
        <w:rPr>
          <w:rFonts w:hint="eastAsia"/>
          <w:color w:val="auto"/>
          <w:sz w:val="24"/>
          <w:szCs w:val="20"/>
          <w:highlight w:val="none"/>
        </w:rPr>
      </w:r>
      <w:r/>
    </w:p>
    <w:p>
      <w:pPr>
        <w:jc w:val="center"/>
        <w:spacing w:line="360" w:lineRule="exact"/>
        <w:rPr>
          <w:color w:val="auto"/>
          <w:sz w:val="36"/>
          <w:szCs w:val="36"/>
          <w:highlight w:val="none"/>
        </w:rPr>
      </w:pPr>
      <w:r>
        <w:rPr>
          <w:color w:val="auto"/>
          <w:sz w:val="36"/>
          <w:szCs w:val="36"/>
          <w:highlight w:val="none"/>
        </w:rPr>
      </w:r>
      <w:r/>
    </w:p>
    <w:p>
      <w:pPr>
        <w:rPr>
          <w:rFonts w:hint="eastAsia"/>
          <w:b/>
          <w:color w:val="auto"/>
          <w:sz w:val="36"/>
          <w:szCs w:val="36"/>
          <w:highlight w:val="none"/>
        </w:rPr>
      </w:pPr>
      <w:r>
        <w:rPr>
          <w:rFonts w:hint="eastAsia"/>
          <w:b/>
          <w:color w:val="auto"/>
          <w:sz w:val="36"/>
          <w:szCs w:val="36"/>
          <w:highlight w:val="none"/>
        </w:rPr>
        <w:br w:type="page" w:clear="all"/>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r/>
    </w:p>
    <w:p>
      <w:pPr>
        <w:jc w:val="center"/>
        <w:spacing w:line="360" w:lineRule="auto"/>
        <w:tabs>
          <w:tab w:val="left" w:pos="2775" w:leader="none"/>
          <w:tab w:val="center" w:pos="4153" w:leader="none"/>
        </w:tabs>
        <w:rPr>
          <w:rFonts w:hint="eastAsia"/>
          <w:b/>
          <w:color w:val="auto"/>
          <w:sz w:val="36"/>
          <w:szCs w:val="36"/>
          <w:highlight w:val="none"/>
        </w:rPr>
      </w:pPr>
      <w:r/>
      <w:bookmarkStart w:id="632" w:name="_Toc226309806"/>
      <w:r/>
      <w:bookmarkStart w:id="633" w:name="_Toc142311062"/>
      <w:r/>
      <w:bookmarkStart w:id="634" w:name="_Toc226965752"/>
      <w:r/>
      <w:bookmarkStart w:id="635" w:name="_Toc226965835"/>
      <w:r/>
      <w:bookmarkStart w:id="636" w:name="_Toc127151562"/>
      <w:r/>
      <w:bookmarkStart w:id="637" w:name="_Toc265228400"/>
      <w:r/>
      <w:bookmarkStart w:id="638" w:name="_Toc264969252"/>
      <w:r/>
      <w:bookmarkStart w:id="639" w:name="_Toc305158904"/>
      <w:r/>
      <w:bookmarkStart w:id="640" w:name="_Toc150774765"/>
      <w:r/>
      <w:bookmarkStart w:id="641" w:name="_Toc150480798"/>
      <w:r/>
      <w:bookmarkStart w:id="642" w:name="_Toc195842927"/>
      <w:r/>
      <w:bookmarkStart w:id="643" w:name="_Toc305158830"/>
      <w:r/>
      <w:bookmarkStart w:id="644" w:name="_Toc226337258"/>
      <w:r/>
      <w:bookmarkStart w:id="645" w:name="_Toc226965751"/>
      <w:r/>
      <w:bookmarkStart w:id="646" w:name="_Toc195842926"/>
      <w:r/>
      <w:bookmarkStart w:id="647" w:name="_Toc150774764"/>
      <w:r/>
      <w:bookmarkStart w:id="648" w:name="_Toc226337257"/>
      <w:r/>
      <w:bookmarkStart w:id="649" w:name="_Toc265228399"/>
      <w:r/>
      <w:bookmarkStart w:id="650" w:name="_Toc305158903"/>
      <w:r/>
      <w:bookmarkStart w:id="651" w:name="_Toc142311061"/>
      <w:r/>
      <w:bookmarkStart w:id="652" w:name="_Toc226965834"/>
      <w:r/>
      <w:bookmarkStart w:id="653" w:name="_Toc264969251"/>
      <w:r/>
      <w:bookmarkStart w:id="654" w:name="_Toc305158829"/>
      <w:r/>
      <w:bookmarkStart w:id="655" w:name="_Toc127151561"/>
      <w:r/>
      <w:bookmarkStart w:id="656" w:name="_Toc150480797"/>
      <w:r/>
      <w:bookmarkStart w:id="657" w:name="_Toc226309805"/>
      <w:r>
        <w:rPr>
          <w:rFonts w:hint="eastAsia"/>
          <w:b/>
          <w:color w:val="auto"/>
          <w:sz w:val="36"/>
          <w:szCs w:val="36"/>
          <w:highlight w:val="none"/>
        </w:rPr>
        <w:t xml:space="preserve">设备分项报价表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项目编号：___________ 项目名称：__________</w:t>
      </w:r>
      <w:r>
        <w:rPr>
          <w:rFonts w:hint="eastAsia"/>
          <w:color w:val="auto"/>
          <w:sz w:val="24"/>
          <w:highlight w:val="none"/>
          <w:lang w:val="en-US" w:eastAsia="zh-CN"/>
        </w:rPr>
        <w:t xml:space="preserve">       </w:t>
      </w:r>
      <w:r>
        <w:rPr>
          <w:color w:val="auto"/>
          <w:sz w:val="24"/>
          <w:highlight w:val="none"/>
        </w:rPr>
        <w:t xml:space="preserve">报价单位：人民币元</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81"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分项</w:t>
            </w:r>
            <w:r/>
          </w:p>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品牌商标</w:t>
            </w:r>
            <w:r/>
          </w:p>
        </w:tc>
        <w:tc>
          <w:tcPr>
            <w:tcBorders>
              <w:top w:val="single" w:color="auto" w:sz="4" w:space="0"/>
              <w:left w:val="single" w:color="auto" w:sz="4" w:space="0"/>
              <w:bottom w:val="single" w:color="auto" w:sz="4" w:space="0"/>
              <w:right w:val="single" w:color="auto" w:sz="4" w:space="0"/>
            </w:tcBorders>
            <w:tcW w:w="1337"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9"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jc w:val="left"/>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56"/>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Arial"/>
                <w:color w:val="auto"/>
                <w:sz w:val="24"/>
                <w:highlight w:val="none"/>
                <w:lang w:eastAsia="zh-CN"/>
              </w:rPr>
              <w:outlineLvl w:val="9"/>
            </w:pPr>
            <w:r>
              <w:rPr>
                <w:rFonts w:hint="eastAsia" w:ascii="宋体" w:hAnsi="宋体" w:cs="Arial"/>
                <w:color w:val="auto"/>
                <w:sz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jc w:val="center"/>
              <w:spacing w:line="360" w:lineRule="auto"/>
              <w:widowControl/>
              <w:rPr>
                <w:rFonts w:ascii="宋体" w:hAnsi="宋体" w:cs="Arial"/>
                <w:b/>
                <w:bCs/>
                <w:color w:val="auto"/>
                <w:sz w:val="24"/>
                <w:highlight w:val="none"/>
              </w:rPr>
              <w:outlineLvl w:val="9"/>
            </w:pPr>
            <w:r>
              <w:rPr>
                <w:rFonts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79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6697"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hint="eastAsia" w:ascii="宋体" w:hAnsi="宋体" w:cs="Arial"/>
                <w:color w:val="auto"/>
                <w:sz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color w:val="auto"/>
                <w:sz w:val="24"/>
                <w:highlight w:val="none"/>
              </w:rPr>
              <w:outlineLvl w:val="9"/>
            </w:pPr>
            <w:r>
              <w:rPr>
                <w:rFonts w:ascii="宋体" w:hAnsi="宋体" w:cs="Arial"/>
                <w:color w:val="auto"/>
                <w:sz w:val="24"/>
                <w:highlight w:val="none"/>
              </w:rPr>
            </w:r>
            <w:r/>
          </w:p>
        </w:tc>
      </w:tr>
    </w:tbl>
    <w:p>
      <w:pPr>
        <w:ind w:firstLine="24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注：1.如果不提供分项报价将视为没有实质性响应招标文件。</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2.本表行数可以按照项目分项情况增加。</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3.上述各项的详细规格、技术参数如表格中填写不下的，可以逐项另页描述。</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.价格扣除优惠，仅适用于采购活动中实际存在非本国产品参与竞争的情形。如果所有有效投标人提供的产品均为本国产品（即不存在非本国产品竞争），则不执行本国产品的价格扣除政策。</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.上述合价包含供应商为履行本合同服务而必须投入并自行管理的</w:t>
      </w:r>
      <w:r>
        <w:rPr>
          <w:rFonts w:hint="eastAsia" w:ascii="宋体" w:hAnsi="宋体" w:eastAsia="宋体" w:cs="Times New Roman"/>
          <w:b/>
          <w:bCs/>
          <w:color w:val="auto"/>
          <w:sz w:val="24"/>
          <w:szCs w:val="24"/>
          <w:highlight w:val="none"/>
          <w:lang w:val="en-US" w:eastAsia="zh-CN"/>
        </w:rPr>
        <w:t xml:space="preserve">餐饮油烟监测设备</w:t>
      </w:r>
      <w:r>
        <w:rPr>
          <w:rFonts w:hint="eastAsia" w:ascii="宋体" w:hAnsi="宋体" w:eastAsia="宋体" w:cs="Times New Roman"/>
          <w:color w:val="auto"/>
          <w:sz w:val="24"/>
          <w:szCs w:val="24"/>
          <w:highlight w:val="none"/>
          <w:lang w:val="en-US" w:eastAsia="zh-CN"/>
        </w:rPr>
        <w:t xml:space="preserve">的工具费用，该等设备的所有权归供应商所有。</w:t>
      </w:r>
      <w:r/>
    </w:p>
    <w:p>
      <w:pPr>
        <w:ind w:firstLine="720"/>
        <w:jc w:val="left"/>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line="360" w:lineRule="auto"/>
        <w:rPr>
          <w:color w:val="auto"/>
          <w:sz w:val="24"/>
          <w:szCs w:val="20"/>
          <w:highlight w:val="none"/>
        </w:rPr>
        <w:outlineLvl w:val="9"/>
      </w:pPr>
      <w:r>
        <w:rPr>
          <w:color w:val="auto"/>
          <w:sz w:val="24"/>
          <w:szCs w:val="20"/>
          <w:highlight w:val="none"/>
        </w:rPr>
        <w:t xml:space="preserve">日期：_____年______月______日</w:t>
      </w:r>
      <w:r>
        <w:rPr>
          <w:color w:val="auto"/>
          <w:sz w:val="24"/>
          <w:highlight w:val="none"/>
        </w:rPr>
        <w:br w:type="page" w:clear="all"/>
      </w:r>
      <w:r>
        <w:rPr>
          <w:rFonts w:hint="eastAsia"/>
          <w:color w:val="auto"/>
          <w:sz w:val="24"/>
          <w:szCs w:val="20"/>
          <w:highlight w:val="none"/>
          <w:lang w:val="en-US" w:eastAsia="zh-CN"/>
        </w:rPr>
        <w:t xml:space="preserve">9</w:t>
      </w:r>
      <w:r>
        <w:rPr>
          <w:color w:val="auto"/>
          <w:sz w:val="24"/>
          <w:szCs w:val="20"/>
          <w:highlight w:val="none"/>
        </w:rPr>
        <w:t xml:space="preserve">  合同条款偏离表</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spacing w:line="360" w:lineRule="auto"/>
        <w:rPr>
          <w:color w:val="auto"/>
          <w:sz w:val="24"/>
          <w:szCs w:val="20"/>
          <w:highlight w:val="none"/>
        </w:rPr>
        <w:outlineLvl w:val="9"/>
      </w:pPr>
      <w:r>
        <w:rPr>
          <w:color w:val="auto"/>
          <w:sz w:val="24"/>
          <w:szCs w:val="20"/>
          <w:highlight w:val="none"/>
        </w:rPr>
      </w:r>
      <w:r/>
    </w:p>
    <w:p>
      <w:pPr>
        <w:jc w:val="center"/>
        <w:rPr>
          <w:b/>
          <w:color w:val="auto"/>
          <w:sz w:val="36"/>
          <w:szCs w:val="36"/>
          <w:highlight w:val="none"/>
        </w:rPr>
        <w:outlineLvl w:val="9"/>
      </w:pPr>
      <w:r>
        <w:rPr>
          <w:rFonts w:hint="eastAsia"/>
          <w:b/>
          <w:color w:val="auto"/>
          <w:sz w:val="36"/>
          <w:szCs w:val="36"/>
          <w:highlight w:val="none"/>
        </w:rPr>
        <w:t xml:space="preserve">合同条款偏离表</w:t>
      </w:r>
      <w:r/>
    </w:p>
    <w:p>
      <w:pPr>
        <w:jc w:val="center"/>
        <w:rPr>
          <w:color w:val="auto"/>
          <w:sz w:val="36"/>
          <w:szCs w:val="36"/>
          <w:highlight w:val="none"/>
        </w:rPr>
        <w:outlineLvl w:val="9"/>
      </w:pPr>
      <w:r>
        <w:rPr>
          <w:color w:val="auto"/>
          <w:sz w:val="36"/>
          <w:szCs w:val="36"/>
          <w:highlight w:val="none"/>
        </w:rPr>
      </w:r>
      <w:r/>
    </w:p>
    <w:p>
      <w:pPr>
        <w:spacing w:line="360" w:lineRule="auto"/>
        <w:rPr>
          <w:color w:val="auto"/>
          <w:sz w:val="24"/>
          <w:szCs w:val="20"/>
          <w:highlight w:val="none"/>
        </w:rPr>
        <w:outlineLvl w:val="9"/>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outlineLvl w:val="9"/>
      </w:pPr>
      <w:r>
        <w:rPr>
          <w:color w:val="auto"/>
          <w:sz w:val="24"/>
          <w:highlight w:val="none"/>
        </w:rPr>
        <w:t xml:space="preserve">项目编号：_______________     项目名称：_____________________</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rPr>
              <w:outlineLvl w:val="9"/>
            </w:pPr>
            <w:r>
              <w:rPr>
                <w:rFonts w:hint="eastAsia"/>
                <w:b/>
                <w:color w:val="auto"/>
                <w:sz w:val="24"/>
                <w:highlight w:val="none"/>
              </w:rPr>
              <w:t xml:space="preserve">对本项目合同条款的偏离情况（请进行勾选）：</w:t>
            </w:r>
            <w:r/>
          </w:p>
          <w:p>
            <w:pPr>
              <w:jc w:val="left"/>
              <w:rPr>
                <w:b/>
                <w:color w:val="auto"/>
                <w:sz w:val="24"/>
                <w:highlight w:val="none"/>
              </w:rPr>
              <w:outlineLvl w:val="9"/>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outlineLvl w:val="9"/>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rPr>
              <w:outlineLvl w:val="9"/>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outlineLvl w:val="9"/>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outlineLvl w:val="9"/>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outlineLvl w:val="9"/>
            </w:pPr>
            <w:r>
              <w:rPr>
                <w:color w:val="auto"/>
                <w:sz w:val="24"/>
                <w:highlight w:val="none"/>
              </w:rPr>
              <w:t xml:space="preserve">响应文件内容</w:t>
            </w:r>
            <w:r/>
          </w:p>
        </w:tc>
        <w:tc>
          <w:tcPr>
            <w:tcW w:w="2427" w:type="dxa"/>
            <w:vAlign w:val="center"/>
            <w:textDirection w:val="lrTb"/>
            <w:noWrap w:val="false"/>
          </w:tcPr>
          <w:p>
            <w:pPr>
              <w:jc w:val="center"/>
              <w:rPr>
                <w:color w:val="auto"/>
                <w:sz w:val="24"/>
                <w:highlight w:val="none"/>
              </w:rPr>
              <w:outlineLvl w:val="9"/>
            </w:pPr>
            <w:r>
              <w:rPr>
                <w:color w:val="auto"/>
                <w:sz w:val="24"/>
                <w:highlight w:val="none"/>
              </w:rPr>
              <w:t xml:space="preserve">偏离情况</w:t>
            </w:r>
            <w:r/>
          </w:p>
          <w:p>
            <w:pPr>
              <w:jc w:val="center"/>
              <w:rPr>
                <w:color w:val="auto"/>
                <w:sz w:val="24"/>
                <w:highlight w:val="none"/>
              </w:rPr>
              <w:outlineLvl w:val="9"/>
            </w:pPr>
            <w:r>
              <w:rPr>
                <w:color w:val="auto"/>
                <w:sz w:val="24"/>
                <w:highlight w:val="none"/>
              </w:rPr>
              <w:t xml:space="preserve">（据实填写）</w:t>
            </w:r>
            <w:r/>
          </w:p>
        </w:tc>
        <w:tc>
          <w:tcPr>
            <w:tcW w:w="782" w:type="dxa"/>
            <w:vAlign w:val="center"/>
            <w:textDirection w:val="lrTb"/>
            <w:noWrap w:val="false"/>
          </w:tcPr>
          <w:p>
            <w:pPr>
              <w:jc w:val="center"/>
              <w:rPr>
                <w:color w:val="auto"/>
                <w:sz w:val="24"/>
                <w:highlight w:val="none"/>
              </w:rPr>
              <w:outlineLvl w:val="9"/>
            </w:pPr>
            <w:r>
              <w:rPr>
                <w:color w:val="auto"/>
                <w:sz w:val="24"/>
                <w:highlight w:val="none"/>
              </w:rPr>
              <w:t xml:space="preserve">说明</w:t>
            </w:r>
            <w:r/>
          </w:p>
        </w:tc>
      </w:tr>
      <w:tr>
        <w:trPr>
          <w:jc w:val="center"/>
          <w:trHeight w:val="930"/>
        </w:trPr>
        <w:tc>
          <w:tcPr>
            <w:tcW w:w="828" w:type="dxa"/>
            <w:vAlign w:val="center"/>
            <w:textDirection w:val="lrTb"/>
            <w:noWrap w:val="false"/>
          </w:tcPr>
          <w:p>
            <w:pPr>
              <w:jc w:val="center"/>
              <w:rPr>
                <w:color w:val="auto"/>
                <w:sz w:val="24"/>
                <w:highlight w:val="none"/>
              </w:rPr>
              <w:outlineLvl w:val="9"/>
            </w:pPr>
            <w:r>
              <w:rPr>
                <w:color w:val="auto"/>
                <w:sz w:val="24"/>
                <w:highlight w:val="none"/>
              </w:rPr>
            </w:r>
            <w:r/>
          </w:p>
        </w:tc>
        <w:tc>
          <w:tcPr>
            <w:tcW w:w="1290" w:type="dxa"/>
            <w:vAlign w:val="center"/>
            <w:textDirection w:val="lrTb"/>
            <w:noWrap w:val="false"/>
          </w:tcPr>
          <w:p>
            <w:pPr>
              <w:jc w:val="center"/>
              <w:rPr>
                <w:color w:val="auto"/>
                <w:sz w:val="24"/>
                <w:highlight w:val="none"/>
              </w:rPr>
              <w:outlineLvl w:val="9"/>
            </w:pPr>
            <w:r>
              <w:rPr>
                <w:color w:val="auto"/>
                <w:sz w:val="24"/>
                <w:highlight w:val="none"/>
              </w:rPr>
            </w:r>
            <w:r/>
          </w:p>
        </w:tc>
        <w:tc>
          <w:tcPr>
            <w:tcW w:w="1980" w:type="dxa"/>
            <w:vAlign w:val="center"/>
            <w:textDirection w:val="lrTb"/>
            <w:noWrap w:val="false"/>
          </w:tcPr>
          <w:p>
            <w:pPr>
              <w:jc w:val="center"/>
              <w:rPr>
                <w:color w:val="auto"/>
                <w:sz w:val="24"/>
                <w:highlight w:val="none"/>
              </w:rPr>
              <w:outlineLvl w:val="9"/>
            </w:pPr>
            <w:r>
              <w:rPr>
                <w:color w:val="auto"/>
                <w:sz w:val="24"/>
                <w:highlight w:val="none"/>
              </w:rPr>
            </w:r>
            <w:r/>
          </w:p>
        </w:tc>
        <w:tc>
          <w:tcPr>
            <w:tcW w:w="1981" w:type="dxa"/>
            <w:vAlign w:val="center"/>
            <w:textDirection w:val="lrTb"/>
            <w:noWrap w:val="false"/>
          </w:tcPr>
          <w:p>
            <w:pPr>
              <w:jc w:val="center"/>
              <w:rPr>
                <w:color w:val="auto"/>
                <w:sz w:val="24"/>
                <w:highlight w:val="none"/>
              </w:rPr>
              <w:outlineLvl w:val="9"/>
            </w:pPr>
            <w:r>
              <w:rPr>
                <w:color w:val="auto"/>
                <w:sz w:val="24"/>
                <w:highlight w:val="none"/>
              </w:rPr>
            </w:r>
            <w:r/>
          </w:p>
        </w:tc>
        <w:tc>
          <w:tcPr>
            <w:tcW w:w="2427" w:type="dxa"/>
            <w:vAlign w:val="center"/>
            <w:textDirection w:val="lrTb"/>
            <w:noWrap w:val="false"/>
          </w:tcPr>
          <w:p>
            <w:pPr>
              <w:jc w:val="center"/>
              <w:rPr>
                <w:color w:val="auto"/>
                <w:sz w:val="24"/>
                <w:highlight w:val="none"/>
              </w:rPr>
              <w:outlineLvl w:val="9"/>
            </w:pPr>
            <w:r>
              <w:rPr>
                <w:color w:val="auto"/>
                <w:sz w:val="24"/>
                <w:highlight w:val="none"/>
              </w:rPr>
            </w:r>
            <w:r/>
          </w:p>
        </w:tc>
        <w:tc>
          <w:tcPr>
            <w:tcW w:w="782"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outlineLvl w:val="9"/>
            </w:pPr>
            <w:r>
              <w:rPr>
                <w:color w:val="auto"/>
                <w:sz w:val="24"/>
                <w:highlight w:val="none"/>
              </w:rPr>
            </w:r>
            <w:r/>
          </w:p>
        </w:tc>
        <w:tc>
          <w:tcPr>
            <w:tcW w:w="1290" w:type="dxa"/>
            <w:vAlign w:val="center"/>
            <w:textDirection w:val="lrTb"/>
            <w:noWrap w:val="false"/>
          </w:tcPr>
          <w:p>
            <w:pPr>
              <w:jc w:val="center"/>
              <w:rPr>
                <w:color w:val="auto"/>
                <w:sz w:val="24"/>
                <w:highlight w:val="none"/>
              </w:rPr>
              <w:outlineLvl w:val="9"/>
            </w:pPr>
            <w:r>
              <w:rPr>
                <w:color w:val="auto"/>
                <w:sz w:val="24"/>
                <w:highlight w:val="none"/>
              </w:rPr>
            </w:r>
            <w:r/>
          </w:p>
        </w:tc>
        <w:tc>
          <w:tcPr>
            <w:tcW w:w="1980" w:type="dxa"/>
            <w:vAlign w:val="center"/>
            <w:textDirection w:val="lrTb"/>
            <w:noWrap w:val="false"/>
          </w:tcPr>
          <w:p>
            <w:pPr>
              <w:jc w:val="center"/>
              <w:rPr>
                <w:color w:val="auto"/>
                <w:sz w:val="24"/>
                <w:highlight w:val="none"/>
              </w:rPr>
              <w:outlineLvl w:val="9"/>
            </w:pPr>
            <w:r>
              <w:rPr>
                <w:color w:val="auto"/>
                <w:sz w:val="24"/>
                <w:highlight w:val="none"/>
              </w:rPr>
            </w:r>
            <w:r/>
          </w:p>
        </w:tc>
        <w:tc>
          <w:tcPr>
            <w:tcW w:w="1981" w:type="dxa"/>
            <w:vAlign w:val="center"/>
            <w:textDirection w:val="lrTb"/>
            <w:noWrap w:val="false"/>
          </w:tcPr>
          <w:p>
            <w:pPr>
              <w:jc w:val="center"/>
              <w:rPr>
                <w:color w:val="auto"/>
                <w:sz w:val="24"/>
                <w:highlight w:val="none"/>
              </w:rPr>
              <w:outlineLvl w:val="9"/>
            </w:pPr>
            <w:r>
              <w:rPr>
                <w:color w:val="auto"/>
                <w:sz w:val="24"/>
                <w:highlight w:val="none"/>
              </w:rPr>
            </w:r>
            <w:r/>
          </w:p>
        </w:tc>
        <w:tc>
          <w:tcPr>
            <w:tcW w:w="2427" w:type="dxa"/>
            <w:vAlign w:val="center"/>
            <w:textDirection w:val="lrTb"/>
            <w:noWrap w:val="false"/>
          </w:tcPr>
          <w:p>
            <w:pPr>
              <w:jc w:val="center"/>
              <w:rPr>
                <w:color w:val="auto"/>
                <w:sz w:val="24"/>
                <w:highlight w:val="none"/>
              </w:rPr>
              <w:outlineLvl w:val="9"/>
            </w:pPr>
            <w:r>
              <w:rPr>
                <w:color w:val="auto"/>
                <w:sz w:val="24"/>
                <w:highlight w:val="none"/>
              </w:rPr>
            </w:r>
            <w:r/>
          </w:p>
        </w:tc>
        <w:tc>
          <w:tcPr>
            <w:tcW w:w="782"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outlineLvl w:val="9"/>
            </w:pPr>
            <w:r>
              <w:rPr>
                <w:color w:val="auto"/>
                <w:sz w:val="24"/>
                <w:highlight w:val="none"/>
              </w:rPr>
            </w:r>
            <w:r/>
          </w:p>
        </w:tc>
        <w:tc>
          <w:tcPr>
            <w:tcW w:w="1290" w:type="dxa"/>
            <w:vAlign w:val="center"/>
            <w:textDirection w:val="lrTb"/>
            <w:noWrap w:val="false"/>
          </w:tcPr>
          <w:p>
            <w:pPr>
              <w:jc w:val="center"/>
              <w:rPr>
                <w:color w:val="auto"/>
                <w:sz w:val="24"/>
                <w:highlight w:val="none"/>
              </w:rPr>
              <w:outlineLvl w:val="9"/>
            </w:pPr>
            <w:r>
              <w:rPr>
                <w:color w:val="auto"/>
                <w:sz w:val="24"/>
                <w:highlight w:val="none"/>
              </w:rPr>
            </w:r>
            <w:r/>
          </w:p>
        </w:tc>
        <w:tc>
          <w:tcPr>
            <w:tcW w:w="1980" w:type="dxa"/>
            <w:vAlign w:val="center"/>
            <w:textDirection w:val="lrTb"/>
            <w:noWrap w:val="false"/>
          </w:tcPr>
          <w:p>
            <w:pPr>
              <w:jc w:val="center"/>
              <w:rPr>
                <w:color w:val="auto"/>
                <w:sz w:val="24"/>
                <w:highlight w:val="none"/>
              </w:rPr>
              <w:outlineLvl w:val="9"/>
            </w:pPr>
            <w:r>
              <w:rPr>
                <w:color w:val="auto"/>
                <w:sz w:val="24"/>
                <w:highlight w:val="none"/>
              </w:rPr>
            </w:r>
            <w:r/>
          </w:p>
        </w:tc>
        <w:tc>
          <w:tcPr>
            <w:tcW w:w="1981" w:type="dxa"/>
            <w:vAlign w:val="center"/>
            <w:textDirection w:val="lrTb"/>
            <w:noWrap w:val="false"/>
          </w:tcPr>
          <w:p>
            <w:pPr>
              <w:jc w:val="center"/>
              <w:rPr>
                <w:color w:val="auto"/>
                <w:sz w:val="24"/>
                <w:highlight w:val="none"/>
              </w:rPr>
              <w:outlineLvl w:val="9"/>
            </w:pPr>
            <w:r>
              <w:rPr>
                <w:color w:val="auto"/>
                <w:sz w:val="24"/>
                <w:highlight w:val="none"/>
              </w:rPr>
            </w:r>
            <w:r/>
          </w:p>
        </w:tc>
        <w:tc>
          <w:tcPr>
            <w:tcW w:w="2427" w:type="dxa"/>
            <w:vAlign w:val="center"/>
            <w:textDirection w:val="lrTb"/>
            <w:noWrap w:val="false"/>
          </w:tcPr>
          <w:p>
            <w:pPr>
              <w:jc w:val="center"/>
              <w:rPr>
                <w:color w:val="auto"/>
                <w:sz w:val="24"/>
                <w:highlight w:val="none"/>
              </w:rPr>
              <w:outlineLvl w:val="9"/>
            </w:pPr>
            <w:r>
              <w:rPr>
                <w:color w:val="auto"/>
                <w:sz w:val="24"/>
                <w:highlight w:val="none"/>
              </w:rPr>
            </w:r>
            <w:r/>
          </w:p>
        </w:tc>
        <w:tc>
          <w:tcPr>
            <w:tcW w:w="782"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outlineLvl w:val="9"/>
            </w:pPr>
            <w:r>
              <w:rPr>
                <w:color w:val="auto"/>
                <w:sz w:val="24"/>
                <w:highlight w:val="none"/>
              </w:rPr>
            </w:r>
            <w:r/>
          </w:p>
        </w:tc>
        <w:tc>
          <w:tcPr>
            <w:tcW w:w="1290" w:type="dxa"/>
            <w:vAlign w:val="center"/>
            <w:textDirection w:val="lrTb"/>
            <w:noWrap w:val="false"/>
          </w:tcPr>
          <w:p>
            <w:pPr>
              <w:jc w:val="center"/>
              <w:rPr>
                <w:color w:val="auto"/>
                <w:sz w:val="24"/>
                <w:highlight w:val="none"/>
              </w:rPr>
              <w:outlineLvl w:val="9"/>
            </w:pPr>
            <w:r>
              <w:rPr>
                <w:color w:val="auto"/>
                <w:sz w:val="24"/>
                <w:highlight w:val="none"/>
              </w:rPr>
            </w:r>
            <w:r/>
          </w:p>
        </w:tc>
        <w:tc>
          <w:tcPr>
            <w:tcW w:w="1980" w:type="dxa"/>
            <w:vAlign w:val="center"/>
            <w:textDirection w:val="lrTb"/>
            <w:noWrap w:val="false"/>
          </w:tcPr>
          <w:p>
            <w:pPr>
              <w:jc w:val="center"/>
              <w:rPr>
                <w:color w:val="auto"/>
                <w:sz w:val="24"/>
                <w:highlight w:val="none"/>
              </w:rPr>
              <w:outlineLvl w:val="9"/>
            </w:pPr>
            <w:r>
              <w:rPr>
                <w:color w:val="auto"/>
                <w:sz w:val="24"/>
                <w:highlight w:val="none"/>
              </w:rPr>
            </w:r>
            <w:r/>
          </w:p>
        </w:tc>
        <w:tc>
          <w:tcPr>
            <w:tcW w:w="1981" w:type="dxa"/>
            <w:vAlign w:val="center"/>
            <w:textDirection w:val="lrTb"/>
            <w:noWrap w:val="false"/>
          </w:tcPr>
          <w:p>
            <w:pPr>
              <w:jc w:val="center"/>
              <w:rPr>
                <w:color w:val="auto"/>
                <w:sz w:val="24"/>
                <w:highlight w:val="none"/>
              </w:rPr>
              <w:outlineLvl w:val="9"/>
            </w:pPr>
            <w:r>
              <w:rPr>
                <w:color w:val="auto"/>
                <w:sz w:val="24"/>
                <w:highlight w:val="none"/>
              </w:rPr>
            </w:r>
            <w:r/>
          </w:p>
        </w:tc>
        <w:tc>
          <w:tcPr>
            <w:tcW w:w="2427" w:type="dxa"/>
            <w:vAlign w:val="center"/>
            <w:textDirection w:val="lrTb"/>
            <w:noWrap w:val="false"/>
          </w:tcPr>
          <w:p>
            <w:pPr>
              <w:jc w:val="center"/>
              <w:rPr>
                <w:color w:val="auto"/>
                <w:sz w:val="24"/>
                <w:highlight w:val="none"/>
              </w:rPr>
              <w:outlineLvl w:val="9"/>
            </w:pPr>
            <w:r>
              <w:rPr>
                <w:color w:val="auto"/>
                <w:sz w:val="24"/>
                <w:highlight w:val="none"/>
              </w:rPr>
            </w:r>
            <w:r/>
          </w:p>
        </w:tc>
        <w:tc>
          <w:tcPr>
            <w:tcW w:w="782" w:type="dxa"/>
            <w:vAlign w:val="center"/>
            <w:textDirection w:val="lrTb"/>
            <w:noWrap w:val="false"/>
          </w:tcPr>
          <w:p>
            <w:pPr>
              <w:jc w:val="center"/>
              <w:rPr>
                <w:color w:val="auto"/>
                <w:sz w:val="24"/>
                <w:highlight w:val="none"/>
              </w:rPr>
              <w:outlineLvl w:val="9"/>
            </w:pPr>
            <w:r>
              <w:rPr>
                <w:color w:val="auto"/>
                <w:sz w:val="24"/>
                <w:highlight w:val="none"/>
              </w:rPr>
            </w:r>
            <w:r/>
          </w:p>
        </w:tc>
      </w:tr>
    </w:tbl>
    <w:p>
      <w:pPr>
        <w:jc w:val="left"/>
        <w:tabs>
          <w:tab w:val="left" w:pos="1800" w:leader="none"/>
          <w:tab w:val="left" w:pos="5580" w:leader="none"/>
        </w:tabs>
        <w:rPr>
          <w:color w:val="auto"/>
          <w:sz w:val="24"/>
          <w:highlight w:val="none"/>
        </w:rPr>
        <w:outlineLvl w:val="9"/>
      </w:pPr>
      <w:r>
        <w:rPr>
          <w:color w:val="auto"/>
          <w:sz w:val="24"/>
          <w:highlight w:val="none"/>
        </w:rPr>
      </w:r>
      <w:r/>
    </w:p>
    <w:p>
      <w:pPr>
        <w:jc w:val="left"/>
        <w:tabs>
          <w:tab w:val="left" w:pos="1800" w:leader="none"/>
          <w:tab w:val="left" w:pos="5580" w:leader="none"/>
        </w:tabs>
        <w:rPr>
          <w:color w:val="auto"/>
          <w:sz w:val="24"/>
          <w:highlight w:val="none"/>
        </w:rPr>
        <w:outlineLvl w:val="9"/>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outlineLvl w:val="9"/>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outlineLvl w:val="9"/>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outlineLvl w:val="9"/>
      </w:pPr>
      <w:r>
        <w:rPr>
          <w:color w:val="auto"/>
          <w:sz w:val="24"/>
          <w:szCs w:val="20"/>
          <w:highlight w:val="none"/>
        </w:rPr>
      </w:r>
      <w:r/>
    </w:p>
    <w:p>
      <w:pPr>
        <w:spacing w:before="25" w:after="25" w:line="360" w:lineRule="auto"/>
        <w:rPr>
          <w:color w:val="auto"/>
          <w:sz w:val="24"/>
          <w:highlight w:val="none"/>
          <w:lang w:val="zh-CN"/>
        </w:rPr>
        <w:outlineLvl w:val="9"/>
      </w:pPr>
      <w:r>
        <w:rPr>
          <w:color w:val="auto"/>
          <w:sz w:val="24"/>
          <w:highlight w:val="none"/>
          <w:lang w:val="zh-CN"/>
        </w:rPr>
        <w:t xml:space="preserve">                      </w:t>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spacing w:line="360" w:lineRule="auto"/>
        <w:rPr>
          <w:color w:val="auto"/>
          <w:sz w:val="24"/>
          <w:szCs w:val="20"/>
          <w:highlight w:val="none"/>
        </w:rPr>
        <w:outlineLvl w:val="9"/>
      </w:pPr>
      <w:r>
        <w:rPr>
          <w:color w:val="auto"/>
          <w:sz w:val="24"/>
          <w:szCs w:val="20"/>
          <w:highlight w:val="none"/>
        </w:rPr>
        <w:br w:type="page" w:clear="all"/>
      </w:r>
      <w:r>
        <w:rPr>
          <w:rFonts w:hint="eastAsia"/>
          <w:color w:val="auto"/>
          <w:sz w:val="24"/>
          <w:szCs w:val="20"/>
          <w:highlight w:val="none"/>
          <w:lang w:val="en-US" w:eastAsia="zh-CN"/>
        </w:rPr>
        <w:t xml:space="preserve">10</w:t>
      </w:r>
      <w:r>
        <w:rPr>
          <w:color w:val="auto"/>
          <w:sz w:val="24"/>
          <w:szCs w:val="20"/>
          <w:highlight w:val="none"/>
        </w:rPr>
        <w:t xml:space="preserve">  </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color w:val="auto"/>
          <w:sz w:val="24"/>
          <w:szCs w:val="20"/>
          <w:highlight w:val="none"/>
        </w:rPr>
        <w:t xml:space="preserve">采购需求偏离表</w:t>
      </w:r>
      <w:r/>
    </w:p>
    <w:p>
      <w:pPr>
        <w:jc w:val="center"/>
        <w:rPr>
          <w:b/>
          <w:color w:val="auto"/>
          <w:sz w:val="36"/>
          <w:szCs w:val="36"/>
          <w:highlight w:val="none"/>
        </w:rPr>
        <w:outlineLvl w:val="9"/>
      </w:pPr>
      <w:r>
        <w:rPr>
          <w:rFonts w:hint="eastAsia"/>
          <w:b/>
          <w:color w:val="auto"/>
          <w:sz w:val="36"/>
          <w:szCs w:val="36"/>
          <w:highlight w:val="none"/>
        </w:rPr>
        <w:t xml:space="preserve">采购需求偏离表</w:t>
      </w:r>
      <w:r/>
    </w:p>
    <w:p>
      <w:pPr>
        <w:jc w:val="center"/>
        <w:rPr>
          <w:color w:val="auto"/>
          <w:sz w:val="36"/>
          <w:szCs w:val="36"/>
          <w:highlight w:val="none"/>
        </w:rPr>
        <w:outlineLvl w:val="9"/>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outlineLvl w:val="9"/>
      </w:pPr>
      <w:r>
        <w:rPr>
          <w:color w:val="auto"/>
          <w:sz w:val="24"/>
          <w:highlight w:val="none"/>
        </w:rPr>
        <w:t xml:space="preserve">项目编号：_____________________     项目名称：_______________________</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outlineLvl w:val="9"/>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outlineLvl w:val="9"/>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outlineLvl w:val="9"/>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outlineLvl w:val="9"/>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outlineLvl w:val="9"/>
            </w:pPr>
            <w:r>
              <w:rPr>
                <w:color w:val="auto"/>
                <w:sz w:val="24"/>
                <w:highlight w:val="none"/>
              </w:rPr>
              <w:t xml:space="preserve">偏离情况</w:t>
            </w:r>
            <w:r/>
          </w:p>
          <w:p>
            <w:pPr>
              <w:jc w:val="center"/>
              <w:rPr>
                <w:color w:val="auto"/>
                <w:sz w:val="24"/>
                <w:highlight w:val="none"/>
              </w:rPr>
              <w:outlineLvl w:val="9"/>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outlineLvl w:val="9"/>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outlineLvl w:val="9"/>
            </w:pPr>
            <w:r>
              <w:rPr>
                <w:color w:val="auto"/>
                <w:sz w:val="24"/>
                <w:highlight w:val="none"/>
              </w:rPr>
            </w:r>
            <w:r/>
          </w:p>
        </w:tc>
        <w:tc>
          <w:tcPr>
            <w:tcW w:w="1482" w:type="dxa"/>
            <w:vAlign w:val="center"/>
            <w:textDirection w:val="lrTb"/>
            <w:noWrap w:val="false"/>
          </w:tcPr>
          <w:p>
            <w:pPr>
              <w:jc w:val="center"/>
              <w:rPr>
                <w:color w:val="auto"/>
                <w:sz w:val="24"/>
                <w:highlight w:val="none"/>
              </w:rPr>
              <w:outlineLvl w:val="9"/>
            </w:pPr>
            <w:r>
              <w:rPr>
                <w:color w:val="auto"/>
                <w:sz w:val="24"/>
                <w:highlight w:val="none"/>
              </w:rPr>
            </w:r>
            <w:r/>
          </w:p>
        </w:tc>
        <w:tc>
          <w:tcPr>
            <w:tcW w:w="2384" w:type="dxa"/>
            <w:vAlign w:val="center"/>
            <w:textDirection w:val="lrTb"/>
            <w:noWrap w:val="false"/>
          </w:tcPr>
          <w:p>
            <w:pPr>
              <w:jc w:val="center"/>
              <w:rPr>
                <w:color w:val="auto"/>
                <w:sz w:val="24"/>
                <w:highlight w:val="none"/>
              </w:rPr>
              <w:outlineLvl w:val="9"/>
            </w:pPr>
            <w:r>
              <w:rPr>
                <w:color w:val="auto"/>
                <w:sz w:val="24"/>
                <w:highlight w:val="none"/>
              </w:rPr>
            </w:r>
            <w:r/>
          </w:p>
        </w:tc>
        <w:tc>
          <w:tcPr>
            <w:tcW w:w="2126" w:type="dxa"/>
            <w:vAlign w:val="center"/>
            <w:textDirection w:val="lrTb"/>
            <w:noWrap w:val="false"/>
          </w:tcPr>
          <w:p>
            <w:pPr>
              <w:jc w:val="center"/>
              <w:rPr>
                <w:color w:val="auto"/>
                <w:sz w:val="24"/>
                <w:highlight w:val="none"/>
              </w:rPr>
              <w:outlineLvl w:val="9"/>
            </w:pPr>
            <w:r>
              <w:rPr>
                <w:color w:val="auto"/>
                <w:sz w:val="24"/>
                <w:highlight w:val="none"/>
              </w:rPr>
            </w:r>
            <w:r/>
          </w:p>
        </w:tc>
        <w:tc>
          <w:tcPr>
            <w:tcW w:w="1875" w:type="dxa"/>
            <w:vAlign w:val="center"/>
            <w:textDirection w:val="lrTb"/>
            <w:noWrap w:val="false"/>
          </w:tcPr>
          <w:p>
            <w:pPr>
              <w:jc w:val="center"/>
              <w:rPr>
                <w:color w:val="auto"/>
                <w:sz w:val="24"/>
                <w:highlight w:val="none"/>
              </w:rPr>
              <w:outlineLvl w:val="9"/>
            </w:pPr>
            <w:r>
              <w:rPr>
                <w:color w:val="auto"/>
                <w:sz w:val="24"/>
                <w:highlight w:val="none"/>
              </w:rPr>
            </w:r>
            <w:r/>
          </w:p>
        </w:tc>
        <w:tc>
          <w:tcPr>
            <w:tcW w:w="1009" w:type="dxa"/>
            <w:vAlign w:val="center"/>
            <w:textDirection w:val="lrTb"/>
            <w:noWrap w:val="false"/>
          </w:tcPr>
          <w:p>
            <w:pPr>
              <w:jc w:val="center"/>
              <w:rPr>
                <w:color w:val="auto"/>
                <w:sz w:val="24"/>
                <w:highlight w:val="none"/>
              </w:rPr>
              <w:outlineLvl w:val="9"/>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outlineLvl w:val="9"/>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outlineLvl w:val="9"/>
      </w:pPr>
      <w:r>
        <w:rPr>
          <w:color w:val="auto"/>
          <w:sz w:val="24"/>
          <w:highlight w:val="none"/>
          <w:u w:val="single"/>
        </w:rPr>
      </w:r>
      <w:r/>
    </w:p>
    <w:p>
      <w:pPr>
        <w:jc w:val="left"/>
        <w:tabs>
          <w:tab w:val="left" w:pos="1800" w:leader="none"/>
          <w:tab w:val="left" w:pos="5580" w:leader="none"/>
        </w:tabs>
        <w:rPr>
          <w:color w:val="auto"/>
          <w:sz w:val="24"/>
          <w:highlight w:val="none"/>
        </w:rPr>
        <w:outlineLvl w:val="9"/>
      </w:pPr>
      <w:r>
        <w:rPr>
          <w:color w:val="auto"/>
          <w:sz w:val="24"/>
          <w:highlight w:val="none"/>
        </w:rPr>
        <w:t xml:space="preserve">注：</w:t>
      </w:r>
      <w:r/>
    </w:p>
    <w:p>
      <w:pPr>
        <w:jc w:val="left"/>
        <w:tabs>
          <w:tab w:val="left" w:pos="1800" w:leader="none"/>
          <w:tab w:val="left" w:pos="5580" w:leader="none"/>
        </w:tabs>
        <w:rPr>
          <w:color w:val="auto"/>
          <w:sz w:val="24"/>
          <w:highlight w:val="none"/>
        </w:rPr>
        <w:outlineLvl w:val="9"/>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outlineLvl w:val="9"/>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outlineLvl w:val="9"/>
      </w:pPr>
      <w:r>
        <w:rPr>
          <w:color w:val="auto"/>
          <w:sz w:val="24"/>
          <w:highlight w:val="none"/>
        </w:rPr>
      </w:r>
      <w:r/>
    </w:p>
    <w:p>
      <w:pPr>
        <w:rPr>
          <w:color w:val="auto"/>
          <w:sz w:val="24"/>
          <w:szCs w:val="20"/>
          <w:highlight w:val="none"/>
        </w:rPr>
        <w:outlineLvl w:val="9"/>
      </w:pPr>
      <w:r>
        <w:rPr>
          <w:color w:val="auto"/>
          <w:sz w:val="24"/>
          <w:szCs w:val="20"/>
          <w:highlight w:val="none"/>
        </w:rPr>
      </w:r>
      <w:r/>
    </w:p>
    <w:p>
      <w:pPr>
        <w:spacing w:before="25" w:after="25" w:line="360" w:lineRule="auto"/>
        <w:rPr>
          <w:color w:val="auto"/>
          <w:sz w:val="24"/>
          <w:highlight w:val="none"/>
          <w:lang w:val="zh-CN"/>
        </w:rPr>
        <w:outlineLvl w:val="9"/>
      </w:pPr>
      <w:r>
        <w:rPr>
          <w:color w:val="auto"/>
          <w:sz w:val="24"/>
          <w:highlight w:val="none"/>
          <w:lang w:val="zh-CN"/>
        </w:rPr>
        <w:t xml:space="preserve">                  </w:t>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rPr>
          <w:color w:val="auto"/>
          <w:sz w:val="24"/>
          <w:szCs w:val="20"/>
          <w:highlight w:val="none"/>
        </w:rPr>
        <w:outlineLvl w:val="9"/>
      </w:pPr>
      <w:r>
        <w:rPr>
          <w:color w:val="auto"/>
          <w:sz w:val="24"/>
          <w:szCs w:val="20"/>
          <w:highlight w:val="none"/>
        </w:rPr>
        <w:br w:type="page" w:clear="all"/>
      </w:r>
      <w:r>
        <w:rPr>
          <w:rFonts w:hint="eastAsia"/>
          <w:color w:val="auto"/>
          <w:sz w:val="24"/>
          <w:szCs w:val="20"/>
          <w:highlight w:val="none"/>
          <w:lang w:val="en-US" w:eastAsia="zh-CN"/>
        </w:rPr>
        <w:t xml:space="preserve">11</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1）常态化值守方案</w:t>
      </w:r>
      <w:r/>
    </w:p>
    <w:p>
      <w:pPr>
        <w:ind w:firstLine="48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）污染分析方案</w:t>
      </w:r>
      <w:r/>
    </w:p>
    <w:p>
      <w:pPr>
        <w:ind w:firstLine="48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）后勤保障方案</w:t>
      </w:r>
      <w:r/>
    </w:p>
    <w:p>
      <w:pPr>
        <w:ind w:firstLine="48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）工作质量与效率保证方案</w:t>
      </w:r>
      <w:r/>
    </w:p>
    <w:p>
      <w:pPr>
        <w:ind w:firstLine="480"/>
        <w:spacing w:line="560" w:lineRule="exact"/>
        <w:rPr>
          <w:rFonts w:hint="eastAsia"/>
          <w:color w:val="auto"/>
          <w:sz w:val="24"/>
          <w:szCs w:val="20"/>
          <w:highlight w:val="none"/>
        </w:rPr>
      </w:pP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）后续服务</w:t>
      </w:r>
      <w:r/>
    </w:p>
    <w:p>
      <w:pPr>
        <w:ind w:firstLine="480"/>
        <w:spacing w:line="560" w:lineRule="exact"/>
        <w:rPr>
          <w:color w:val="auto"/>
          <w:sz w:val="24"/>
          <w:szCs w:val="20"/>
          <w:highlight w:val="none"/>
        </w:rPr>
        <w:outlineLvl w:val="9"/>
      </w:pPr>
      <w:r>
        <w:rPr>
          <w:rFonts w:hint="eastAsia"/>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outlineLvl w:val="9"/>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outlineLvl w:val="9"/>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outlineLvl w:val="9"/>
      </w:pPr>
      <w:r>
        <w:rPr>
          <w:rFonts w:ascii="宋体" w:hAnsi="宋体"/>
          <w:color w:val="auto"/>
          <w:sz w:val="22"/>
          <w:highlight w:val="none"/>
        </w:rPr>
      </w:r>
      <w:r/>
    </w:p>
    <w:p>
      <w:pPr>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0"/>
        <w:tblW w:w="0" w:type="auto"/>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outlineLvl w:val="9"/>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outlineLvl w:val="9"/>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outlineLvl w:val="9"/>
      </w:pPr>
      <w:r>
        <w:rPr>
          <w:rFonts w:ascii="宋体" w:hAnsi="宋体"/>
          <w:color w:val="auto"/>
          <w:sz w:val="24"/>
          <w:highlight w:val="none"/>
        </w:rPr>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rPr>
          <w:color w:val="auto"/>
          <w:sz w:val="24"/>
          <w:szCs w:val="20"/>
          <w:highlight w:val="none"/>
        </w:rPr>
        <w:outlineLvl w:val="9"/>
      </w:pPr>
      <w:r>
        <w:rPr>
          <w:color w:val="auto"/>
          <w:sz w:val="22"/>
          <w:highlight w:val="none"/>
        </w:rPr>
        <w:br w:type="page" w:clear="all"/>
      </w:r>
      <w:bookmarkStart w:id="658" w:name="_Toc288738397"/>
      <w:r/>
      <w:bookmarkStart w:id="659" w:name="_Toc288738839"/>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相关业绩案例一览表</w:t>
      </w:r>
      <w:r/>
    </w:p>
    <w:p>
      <w:pPr>
        <w:rPr>
          <w:color w:val="auto"/>
          <w:sz w:val="24"/>
          <w:szCs w:val="20"/>
          <w:highlight w:val="none"/>
        </w:rPr>
        <w:outlineLvl w:val="9"/>
      </w:pPr>
      <w:r>
        <w:rPr>
          <w:color w:val="auto"/>
          <w:sz w:val="24"/>
          <w:szCs w:val="20"/>
          <w:highlight w:val="none"/>
        </w:rPr>
      </w:r>
      <w:r/>
    </w:p>
    <w:p>
      <w:pPr>
        <w:jc w:val="center"/>
        <w:rPr>
          <w:rFonts w:ascii="宋体" w:hAnsi="宋体"/>
          <w:b/>
          <w:color w:val="auto"/>
          <w:sz w:val="32"/>
          <w:szCs w:val="32"/>
          <w:highlight w:val="none"/>
        </w:rPr>
        <w:outlineLvl w:val="9"/>
      </w:pPr>
      <w:r>
        <w:rPr>
          <w:rFonts w:hint="eastAsia" w:ascii="宋体" w:hAnsi="宋体"/>
          <w:b/>
          <w:color w:val="auto"/>
          <w:sz w:val="32"/>
          <w:szCs w:val="32"/>
          <w:highlight w:val="none"/>
        </w:rPr>
        <w:t xml:space="preserve">相关业绩案例一览表</w:t>
      </w:r>
      <w:bookmarkEnd w:id="658"/>
      <w:r/>
      <w:bookmarkEnd w:id="659"/>
      <w:r/>
      <w:r/>
    </w:p>
    <w:p>
      <w:pPr>
        <w:jc w:val="center"/>
        <w:spacing w:line="360" w:lineRule="auto"/>
        <w:rPr>
          <w:rFonts w:ascii="宋体" w:hAnsi="宋体"/>
          <w:b/>
          <w:color w:val="auto"/>
          <w:sz w:val="28"/>
          <w:szCs w:val="30"/>
          <w:highlight w:val="none"/>
        </w:rPr>
        <w:outlineLvl w:val="9"/>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outlineLvl w:val="9"/>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0"/>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outlineLvl w:val="9"/>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outlineLvl w:val="9"/>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outlineLvl w:val="9"/>
      </w:pPr>
      <w:r>
        <w:rPr>
          <w:rFonts w:ascii="宋体" w:hAnsi="宋体" w:cs="宋体"/>
          <w:color w:val="auto"/>
          <w:sz w:val="24"/>
          <w:highlight w:val="none"/>
          <w:lang w:val="zh-CN"/>
        </w:rPr>
      </w:r>
      <w:r/>
    </w:p>
    <w:p>
      <w:pPr>
        <w:spacing w:line="360" w:lineRule="auto"/>
        <w:rPr>
          <w:rFonts w:ascii="宋体" w:hAnsi="宋体" w:cs="宋体"/>
          <w:color w:val="auto"/>
          <w:sz w:val="24"/>
          <w:highlight w:val="none"/>
        </w:rPr>
        <w:outlineLvl w:val="9"/>
      </w:pPr>
      <w:r>
        <w:rPr>
          <w:rFonts w:ascii="宋体" w:hAnsi="宋体" w:cs="宋体"/>
          <w:color w:val="auto"/>
          <w:sz w:val="24"/>
          <w:highlight w:val="none"/>
        </w:rPr>
      </w:r>
      <w:r/>
    </w:p>
    <w:p>
      <w:pPr>
        <w:spacing w:before="25" w:after="25" w:line="360" w:lineRule="auto"/>
        <w:rPr>
          <w:color w:val="auto"/>
          <w:sz w:val="24"/>
          <w:highlight w:val="none"/>
          <w:lang w:val="zh-CN"/>
        </w:rPr>
        <w:outlineLvl w:val="9"/>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outlineLvl w:val="9"/>
      </w:pPr>
      <w:r>
        <w:rPr>
          <w:color w:val="auto"/>
          <w:sz w:val="24"/>
          <w:szCs w:val="20"/>
          <w:highlight w:val="none"/>
        </w:rPr>
        <w:t xml:space="preserve">日期：_____年______月______日   </w:t>
      </w:r>
      <w:r/>
    </w:p>
    <w:p>
      <w:pPr>
        <w:jc w:val="left"/>
        <w:spacing w:line="360" w:lineRule="auto"/>
        <w:rPr>
          <w:rFonts w:hint="eastAsia" w:ascii="方正魏碑_GBK" w:hAnsi="方正魏碑_GBK" w:eastAsia="方正魏碑_GBK" w:cs="方正魏碑_GBK"/>
          <w:color w:val="auto"/>
          <w:sz w:val="24"/>
          <w:szCs w:val="24"/>
          <w:highlight w:val="none"/>
          <w:lang w:val="en-US" w:eastAsia="zh-CN"/>
        </w:rPr>
      </w:pPr>
      <w:r>
        <w:rPr>
          <w:color w:val="auto"/>
          <w:sz w:val="24"/>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 </w:t>
      </w:r>
      <w:r>
        <w:rPr>
          <w:rFonts w:hint="eastAsia" w:ascii="方正魏碑_GBK" w:hAnsi="方正魏碑_GBK" w:eastAsia="方正魏碑_GBK" w:cs="方正魏碑_GBK"/>
          <w:b/>
          <w:color w:val="auto"/>
          <w:sz w:val="24"/>
          <w:szCs w:val="24"/>
          <w:highlight w:val="none"/>
        </w:rPr>
        <w:t xml:space="preserve">关于符合本国产品标准的声明函</w:t>
      </w:r>
      <w:r>
        <w:rPr>
          <w:rFonts w:hint="eastAsia" w:ascii="方正魏碑_GBK" w:hAnsi="方正魏碑_GBK" w:eastAsia="方正魏碑_GBK" w:cs="方正魏碑_GBK"/>
          <w:b/>
          <w:color w:val="auto"/>
          <w:sz w:val="24"/>
          <w:szCs w:val="24"/>
          <w:highlight w:val="none"/>
          <w:lang w:val="en-US" w:eastAsia="zh-CN"/>
        </w:rPr>
        <w:t xml:space="preserve"> </w:t>
      </w:r>
      <w:r/>
    </w:p>
    <w:p>
      <w:pPr>
        <w:jc w:val="left"/>
        <w:spacing w:line="360" w:lineRule="auto"/>
        <w:rPr>
          <w:rFonts w:hint="eastAsia" w:ascii="方正魏碑_GBK" w:hAnsi="方正魏碑_GBK" w:eastAsia="方正魏碑_GBK" w:cs="方正魏碑_GBK"/>
          <w:b/>
          <w:color w:val="auto"/>
          <w:sz w:val="24"/>
          <w:szCs w:val="24"/>
          <w:highlight w:val="none"/>
        </w:rPr>
      </w:pPr>
      <w:r>
        <w:rPr>
          <w:rFonts w:hint="eastAsia"/>
          <w:color w:val="auto"/>
          <w:sz w:val="24"/>
          <w:szCs w:val="20"/>
          <w:highlight w:val="none"/>
          <w:lang w:val="en-US" w:eastAsia="zh-CN"/>
        </w:rPr>
        <w:t xml:space="preserve"> </w:t>
      </w:r>
      <w:r>
        <w:rPr>
          <w:rFonts w:hint="eastAsia" w:ascii="方正魏碑_GBK" w:hAnsi="方正魏碑_GBK" w:eastAsia="方正魏碑_GBK" w:cs="方正魏碑_GBK"/>
          <w:b/>
          <w:color w:val="auto"/>
          <w:sz w:val="24"/>
          <w:szCs w:val="24"/>
          <w:highlight w:val="none"/>
          <w:lang w:val="en-US" w:eastAsia="zh-CN"/>
        </w:rPr>
        <w:t xml:space="preserve"> </w:t>
      </w:r>
      <w:r>
        <w:rPr>
          <w:rFonts w:hint="eastAsia" w:ascii="方正魏碑_GBK" w:hAnsi="方正魏碑_GBK" w:eastAsia="方正魏碑_GBK" w:cs="方正魏碑_GBK"/>
          <w:b/>
          <w:color w:val="auto"/>
          <w:sz w:val="24"/>
          <w:szCs w:val="24"/>
          <w:highlight w:val="none"/>
        </w:rPr>
        <w:t xml:space="preserve"> </w:t>
      </w:r>
      <w:r/>
    </w:p>
    <w:p>
      <w:pPr>
        <w:jc w:val="center"/>
        <w:spacing w:line="360" w:lineRule="auto"/>
        <w:rPr>
          <w:rFonts w:hint="eastAsia" w:ascii="方正魏碑_GBK" w:hAnsi="方正魏碑_GBK" w:eastAsia="方正魏碑_GBK" w:cs="方正魏碑_GBK"/>
          <w:color w:val="auto"/>
          <w:sz w:val="24"/>
          <w:szCs w:val="24"/>
          <w:highlight w:val="none"/>
          <w:lang w:val="en-US" w:eastAsia="zh-CN"/>
        </w:rPr>
      </w:pPr>
      <w:r>
        <w:rPr>
          <w:rFonts w:hint="eastAsia" w:ascii="方正魏碑_GBK" w:hAnsi="方正魏碑_GBK" w:eastAsia="方正魏碑_GBK" w:cs="方正魏碑_GBK"/>
          <w:b/>
          <w:color w:val="auto"/>
          <w:sz w:val="24"/>
          <w:szCs w:val="24"/>
          <w:highlight w:val="none"/>
        </w:rPr>
        <w:t xml:space="preserve">关于符合本国产品标准的声明函</w:t>
      </w:r>
      <w:r>
        <w:rPr>
          <w:rFonts w:hint="eastAsia" w:ascii="方正魏碑_GBK" w:hAnsi="方正魏碑_GBK" w:eastAsia="方正魏碑_GBK" w:cs="方正魏碑_GBK"/>
          <w:b/>
          <w:color w:val="auto"/>
          <w:sz w:val="24"/>
          <w:szCs w:val="24"/>
          <w:highlight w:val="none"/>
          <w:lang w:val="en-US" w:eastAsia="zh-CN"/>
        </w:rPr>
        <w:t xml:space="preserve"> </w:t>
      </w:r>
      <w:r/>
    </w:p>
    <w:p>
      <w:pPr>
        <w:pStyle w:val="843"/>
        <w:ind w:firstLine="420"/>
        <w:spacing w:before="0" w:beforeAutospacing="0" w:after="0" w:afterAutospacing="0" w:line="360" w:lineRule="auto"/>
        <w:rPr>
          <w:rFonts w:ascii="方正魏碑_GBK" w:hAnsi="方正魏碑_GBK" w:eastAsia="方正魏碑_GBK" w:cs="方正魏碑_GBK"/>
          <w:color w:val="auto"/>
          <w:sz w:val="24"/>
          <w:szCs w:val="24"/>
          <w:highlight w:val="none"/>
        </w:rPr>
      </w:pPr>
      <w:r>
        <w:rPr>
          <w:rFonts w:ascii="方正魏碑_GBK" w:hAnsi="方正魏碑_GBK" w:eastAsia="方正魏碑_GBK" w:cs="方正魏碑_GBK"/>
          <w:color w:val="auto"/>
          <w:sz w:val="24"/>
          <w:szCs w:val="24"/>
          <w:highlight w:val="none"/>
        </w:rPr>
      </w:r>
      <w:r/>
    </w:p>
    <w:p>
      <w:pPr>
        <w:pStyle w:val="843"/>
        <w:ind w:firstLine="420"/>
        <w:spacing w:before="0" w:beforeAutospacing="0" w:after="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3"/>
        <w:ind w:firstLine="420"/>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shd w:val="clear" w:color="auto" w:fill="ffffff"/>
        </w:rPr>
        <w:t xml:space="preserve">1.</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848"/>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 w:val="24"/>
          <w:szCs w:val="24"/>
          <w:highlight w:val="none"/>
          <w:shd w:val="clear" w:color="auto" w:fill="ffffff"/>
        </w:rPr>
        <w:t xml:space="preserve">，生产厂为</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848"/>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 w:val="24"/>
          <w:szCs w:val="24"/>
          <w:highlight w:val="none"/>
          <w:shd w:val="clear" w:color="auto" w:fill="ffffff"/>
        </w:rPr>
        <w:t xml:space="preserve">，厂址为</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 w:val="24"/>
          <w:szCs w:val="24"/>
          <w:highlight w:val="none"/>
          <w:shd w:val="clear" w:color="auto" w:fill="ffffff"/>
        </w:rPr>
        <w:t xml:space="preserve">。</w:t>
      </w:r>
      <w:r>
        <w:rPr>
          <w:rFonts w:hint="eastAsia" w:ascii="方正魏碑_GBK" w:hAnsi="方正魏碑_GBK" w:eastAsia="方正魏碑_GBK" w:cs="方正魏碑_GBK"/>
          <w:color w:val="auto"/>
          <w:sz w:val="24"/>
          <w:szCs w:val="24"/>
          <w:highlight w:val="none"/>
          <w:u w:val="single"/>
          <w:shd w:val="clear" w:color="auto" w:fill="ffffff"/>
        </w:rPr>
        <w:t xml:space="preserve"> </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 w:val="24"/>
          <w:szCs w:val="24"/>
          <w:highlight w:val="none"/>
          <w:shd w:val="clear" w:color="auto" w:fill="ffffff"/>
        </w:rPr>
        <w:t xml:space="preserve">的中国境内生产的组件成本占比≥</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48"/>
          <w:rFonts w:ascii="方正魏碑_GBK" w:hAnsi="方正魏碑_GBK" w:eastAsia="方正魏碑_GBK" w:cs="方正魏碑_GBK"/>
          <w:i w:val="0"/>
          <w:color w:val="auto"/>
          <w:sz w:val="24"/>
          <w:szCs w:val="24"/>
          <w:highlight w:val="none"/>
          <w:u w:val="single"/>
          <w:shd w:val="clear" w:color="auto" w:fill="ffffff"/>
        </w:rPr>
        <w:t xml:space="preserve">比例</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48"/>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 w:val="24"/>
          <w:szCs w:val="24"/>
          <w:highlight w:val="none"/>
          <w:shd w:val="clear" w:color="auto" w:fill="ffffff"/>
        </w:rPr>
        <w:t xml:space="preserve">。</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48"/>
          <w:rFonts w:ascii="方正魏碑_GBK" w:hAnsi="方正魏碑_GBK" w:eastAsia="方正魏碑_GBK" w:cs="方正魏碑_GBK"/>
          <w:i w:val="0"/>
          <w:color w:val="auto"/>
          <w:sz w:val="24"/>
          <w:szCs w:val="24"/>
          <w:highlight w:val="none"/>
          <w:u w:val="single"/>
          <w:shd w:val="clear" w:color="auto" w:fill="ffffff"/>
        </w:rPr>
        <w:t xml:space="preserve">组件</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w:t>
      </w:r>
      <w:r>
        <w:rPr>
          <w:rStyle w:val="848"/>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 w:val="24"/>
          <w:szCs w:val="24"/>
          <w:highlight w:val="none"/>
          <w:shd w:val="clear" w:color="auto" w:fill="ffffff"/>
        </w:rPr>
        <w:t xml:space="preserve">在中国境内生产。</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848"/>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 w:val="24"/>
          <w:szCs w:val="24"/>
          <w:highlight w:val="none"/>
          <w:shd w:val="clear" w:color="auto" w:fill="ffffff"/>
        </w:rPr>
        <w:t xml:space="preserve">在中国境内完成。</w:t>
      </w:r>
      <w:r/>
    </w:p>
    <w:p>
      <w:pPr>
        <w:pStyle w:val="843"/>
        <w:ind w:firstLine="420"/>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z w:val="24"/>
          <w:szCs w:val="24"/>
          <w:highlight w:val="none"/>
          <w:shd w:val="clear" w:color="auto" w:fill="ffffff"/>
        </w:rPr>
        <w:t xml:space="preserve">2.</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，生产厂为</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 w:val="24"/>
          <w:szCs w:val="24"/>
          <w:highlight w:val="none"/>
          <w:shd w:val="clear" w:color="auto" w:fill="ffffff"/>
        </w:rPr>
        <w:t xml:space="preserve">，厂址为</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 w:val="24"/>
          <w:szCs w:val="24"/>
          <w:highlight w:val="none"/>
          <w:shd w:val="clear" w:color="auto" w:fill="ffffff"/>
        </w:rPr>
        <w:t xml:space="preserve">。</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的中国境内生产的组件成本占比≥</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（规定</w:t>
      </w:r>
      <w:r>
        <w:rPr>
          <w:rStyle w:val="848"/>
          <w:rFonts w:ascii="方正魏碑_GBK" w:hAnsi="方正魏碑_GBK" w:eastAsia="方正魏碑_GBK" w:cs="方正魏碑_GBK"/>
          <w:i w:val="0"/>
          <w:color w:val="auto"/>
          <w:sz w:val="24"/>
          <w:szCs w:val="24"/>
          <w:highlight w:val="none"/>
          <w:u w:val="single"/>
          <w:shd w:val="clear" w:color="auto" w:fill="ffffff"/>
        </w:rPr>
        <w:t xml:space="preserve">比例</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 w:val="24"/>
          <w:szCs w:val="24"/>
          <w:highlight w:val="none"/>
          <w:shd w:val="clear" w:color="auto" w:fill="ffffff"/>
        </w:rPr>
        <w:t xml:space="preserve">。</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的</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（关键</w:t>
      </w:r>
      <w:r>
        <w:rPr>
          <w:rStyle w:val="848"/>
          <w:rFonts w:ascii="方正魏碑_GBK" w:hAnsi="方正魏碑_GBK" w:eastAsia="方正魏碑_GBK" w:cs="方正魏碑_GBK"/>
          <w:i w:val="0"/>
          <w:color w:val="auto"/>
          <w:sz w:val="24"/>
          <w:szCs w:val="24"/>
          <w:highlight w:val="none"/>
          <w:u w:val="single"/>
          <w:shd w:val="clear" w:color="auto" w:fill="ffffff"/>
        </w:rPr>
        <w:t xml:space="preserve">组件</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w:t>
      </w:r>
      <w:r>
        <w:rPr>
          <w:rFonts w:hint="eastAsia" w:ascii="方正魏碑_GBK" w:hAnsi="方正魏碑_GBK" w:eastAsia="方正魏碑_GBK" w:cs="方正魏碑_GBK"/>
          <w:color w:val="auto"/>
          <w:sz w:val="24"/>
          <w:szCs w:val="24"/>
          <w:highlight w:val="none"/>
          <w:shd w:val="clear" w:color="auto" w:fill="ffffff"/>
        </w:rPr>
        <w:t xml:space="preserve">在中国境内生产。</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848"/>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 w:val="24"/>
          <w:szCs w:val="24"/>
          <w:highlight w:val="none"/>
          <w:shd w:val="clear" w:color="auto" w:fill="ffffff"/>
        </w:rPr>
        <w:t xml:space="preserve">在中国境内完成。</w:t>
      </w:r>
      <w:r/>
    </w:p>
    <w:p>
      <w:pPr>
        <w:pStyle w:val="843"/>
        <w:ind w:firstLine="420"/>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本公司（单位）对上述声明内容的真实性负责。如有虚假，愿承担相应法律责任。</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r>
      <w:r/>
    </w:p>
    <w:p>
      <w:pPr>
        <w:pStyle w:val="843"/>
        <w:ind w:right="480" w:firstLine="3720"/>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公司（单位）名称（盖章）：　        </w:t>
      </w:r>
      <w:r/>
    </w:p>
    <w:p>
      <w:pPr>
        <w:pStyle w:val="843"/>
        <w:jc w:val="center"/>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                    </w:t>
      </w:r>
      <w:r>
        <w:rPr>
          <w:rFonts w:ascii="方正魏碑_GBK" w:hAnsi="方正魏碑_GBK" w:eastAsia="方正魏碑_GBK" w:cs="方正魏碑_GBK"/>
          <w:color w:val="auto"/>
          <w:sz w:val="24"/>
          <w:szCs w:val="24"/>
          <w:highlight w:val="none"/>
          <w:shd w:val="clear" w:color="auto" w:fill="ffffff"/>
        </w:rPr>
        <w:t xml:space="preserve">            </w:t>
      </w:r>
      <w:r>
        <w:rPr>
          <w:rFonts w:hint="eastAsia" w:ascii="方正魏碑_GBK" w:hAnsi="方正魏碑_GBK" w:eastAsia="方正魏碑_GBK" w:cs="方正魏碑_GBK"/>
          <w:color w:val="auto"/>
          <w:sz w:val="24"/>
          <w:szCs w:val="24"/>
          <w:highlight w:val="none"/>
          <w:shd w:val="clear" w:color="auto" w:fill="ffffff"/>
        </w:rPr>
        <w:t xml:space="preserve">日期：　   年　  月　  日         </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__________________</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1.产品如有型号，请在“产品名称”栏一并填写。</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2.生产厂名与厂址应与生产厂营业执照载明的相关信息保持一致。</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3.该产品的中国境内生产的组件成本占比相关要求实施前，“规定比例”栏可不填，下同。</w:t>
      </w:r>
      <w:r/>
    </w:p>
    <w:p>
      <w:pPr>
        <w:pStyle w:val="843"/>
        <w:spacing w:before="30" w:beforeAutospacing="0" w:after="30" w:afterAutospacing="0" w:line="360" w:lineRule="auto"/>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4.该产品的关键组件要求实施前，“关键组件”栏可不填，下同。</w:t>
      </w:r>
      <w:r/>
    </w:p>
    <w:p>
      <w:pPr>
        <w:pStyle w:val="843"/>
        <w:spacing w:before="30" w:beforeAutospacing="0" w:after="30" w:afterAutospacing="0" w:line="360" w:lineRule="auto"/>
        <w:rPr>
          <w:rFonts w:ascii="方正魏碑_GBK" w:hAnsi="方正魏碑_GBK" w:eastAsia="方正魏碑_GBK" w:cs="方正魏碑_GBK"/>
          <w:color w:val="auto"/>
          <w:sz w:val="24"/>
          <w:szCs w:val="24"/>
          <w:highlight w:val="none"/>
          <w:shd w:val="clear" w:color="auto" w:fill="ffffff"/>
        </w:rPr>
      </w:pPr>
      <w:r>
        <w:rPr>
          <w:rFonts w:hint="eastAsia" w:ascii="方正魏碑_GBK" w:hAnsi="方正魏碑_GBK" w:eastAsia="方正魏碑_GBK" w:cs="方正魏碑_GBK"/>
          <w:color w:val="auto"/>
          <w:sz w:val="24"/>
          <w:szCs w:val="24"/>
          <w:highlight w:val="none"/>
          <w:shd w:val="clear" w:color="auto" w:fill="ffffff"/>
        </w:rPr>
        <w:t xml:space="preserve">5.该产品的关键工序要求实施前，“关键工序”栏可不填，下同。</w:t>
      </w:r>
      <w:r/>
    </w:p>
    <w:p>
      <w:pPr>
        <w:spacing w:line="360" w:lineRule="auto"/>
        <w:rPr>
          <w:rFonts w:hint="eastAsia"/>
          <w:color w:val="auto"/>
          <w:sz w:val="24"/>
          <w:szCs w:val="20"/>
          <w:highlight w:val="none"/>
        </w:rPr>
      </w:pPr>
      <w:r>
        <w:rPr>
          <w:rFonts w:hint="eastAsia" w:ascii="方正魏碑_GBK" w:hAnsi="方正魏碑_GBK" w:eastAsia="方正魏碑_GBK" w:cs="方正魏碑_GBK"/>
          <w:color w:val="auto"/>
          <w:sz w:val="24"/>
          <w:szCs w:val="24"/>
          <w:highlight w:val="none"/>
          <w:shd w:val="clear" w:color="auto" w:fill="ffffff"/>
        </w:rPr>
        <w:t xml:space="preserve">6.用斜线划除的地方无需填写。</w:t>
      </w:r>
      <w:r>
        <w:rPr>
          <w:rFonts w:hint="eastAsia"/>
          <w:color w:val="auto"/>
          <w:sz w:val="24"/>
          <w:szCs w:val="20"/>
          <w:highlight w:val="none"/>
        </w:rPr>
        <w:t xml:space="preserve"> </w:t>
      </w:r>
      <w:r/>
    </w:p>
    <w:p>
      <w:pPr>
        <w:rPr>
          <w:rFonts w:hint="eastAsia"/>
          <w:color w:val="auto"/>
          <w:sz w:val="24"/>
          <w:szCs w:val="20"/>
          <w:highlight w:val="none"/>
        </w:rPr>
      </w:pPr>
      <w:r>
        <w:rPr>
          <w:rFonts w:hint="eastAsia"/>
          <w:color w:val="auto"/>
          <w:sz w:val="24"/>
          <w:szCs w:val="20"/>
          <w:highlight w:val="none"/>
        </w:rPr>
        <w:br w:type="page" w:clear="all"/>
      </w:r>
      <w:r/>
    </w:p>
    <w:p>
      <w:pPr>
        <w:spacing w:line="360" w:lineRule="auto"/>
        <w:rPr>
          <w:color w:val="auto"/>
          <w:sz w:val="24"/>
          <w:szCs w:val="20"/>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auto"/>
          <w:sz w:val="24"/>
          <w:szCs w:val="20"/>
          <w:highlight w:val="none"/>
          <w:lang w:val="en-US" w:eastAsia="zh-CN"/>
        </w:rPr>
        <w:t xml:space="preserve">15</w:t>
      </w:r>
      <w:bookmarkStart w:id="660" w:name="_GoBack"/>
      <w:r/>
      <w:bookmarkEnd w:id="660"/>
      <w:r>
        <w:rPr>
          <w:rFonts w:hint="eastAsia"/>
          <w:color w:val="auto"/>
          <w:sz w:val="24"/>
          <w:szCs w:val="20"/>
          <w:highlight w:val="none"/>
          <w:lang w:val="en-US" w:eastAsia="zh-CN"/>
        </w:rPr>
        <w:t xml:space="preserve">  </w:t>
      </w:r>
      <w:r>
        <w:rPr>
          <w:color w:val="auto"/>
          <w:sz w:val="24"/>
          <w:szCs w:val="20"/>
          <w:highlight w:val="none"/>
        </w:rPr>
        <w:t xml:space="preserve">招标文件要求提供或投标人认为应附的其他材料</w:t>
      </w:r>
      <w:r/>
    </w:p>
    <w:p>
      <w:pPr>
        <w:rPr>
          <w:color w:val="auto"/>
          <w:sz w:val="24"/>
          <w:highlight w:val="none"/>
          <w:lang w:val="zh-CN"/>
        </w:rPr>
        <w:outlineLvl w:val="9"/>
      </w:pPr>
      <w:r>
        <w:rPr>
          <w:color w:val="auto"/>
          <w:sz w:val="24"/>
          <w:highlight w:val="none"/>
          <w:lang w:val="zh-CN"/>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PMingLiU">
    <w:panose1 w:val="02020500000000000000"/>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3"/>
      </w:rPr>
      <w:framePr w:wrap="around" w:vAnchor="text" w:hAnchor="margin" w:xAlign="center" w:y="1"/>
    </w:pPr>
    <w:r>
      <w:fldChar w:fldCharType="begin"/>
    </w:r>
    <w:r>
      <w:rPr>
        <w:rStyle w:val="1073"/>
      </w:rPr>
      <w:instrText xml:space="preserve">PAGE  </w:instrText>
    </w:r>
    <w:r>
      <w:fldChar w:fldCharType="end"/>
    </w:r>
    <w:r/>
  </w:p>
  <w:p>
    <w:pPr>
      <w:pStyle w:val="104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3"/>
      </w:rPr>
      <w:framePr w:wrap="around" w:vAnchor="text" w:hAnchor="margin" w:xAlign="right" w:y="1"/>
    </w:pPr>
    <w:r>
      <w:rPr>
        <w:rStyle w:val="1073"/>
      </w:rPr>
      <w:fldChar w:fldCharType="begin"/>
    </w:r>
    <w:r>
      <w:rPr>
        <w:rStyle w:val="1073"/>
      </w:rPr>
      <w:instrText xml:space="preserve">PAGE  </w:instrText>
    </w:r>
    <w:r>
      <w:rPr>
        <w:rStyle w:val="1073"/>
      </w:rPr>
      <w:fldChar w:fldCharType="end"/>
    </w:r>
    <w:r/>
  </w:p>
  <w:p>
    <w:pPr>
      <w:pStyle w:val="1047"/>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lang w:eastAsia="zh-CN"/>
      </w:rPr>
      <w:t xml:space="preserve">新北区联防联控指挥部保障项目</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rPr>
        <w:rFonts w:hint="eastAsia" w:eastAsia="宋体"/>
        <w:lang w:eastAsia="zh-CN"/>
      </w:rPr>
      <w:pBdr>
        <w:bottom w:val="single" w:color="000000" w:sz="4" w:space="1"/>
      </w:pBdr>
    </w:pPr>
    <w:r>
      <w:rPr>
        <w:rFonts w:hint="eastAsia"/>
        <w:lang w:eastAsia="zh-CN"/>
      </w:rPr>
      <w:t xml:space="preserve">新北区联防联控指挥部保障项目竞争性磋商文件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lowerLetter"/>
      <w:pStyle w:val="122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18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93"/>
      <w:isLgl w:val="false"/>
      <w:suff w:val="tab"/>
      <w:lvlText w:val="%1"/>
      <w:lvlJc w:val="left"/>
      <w:pPr>
        <w:ind w:left="680" w:hanging="680"/>
      </w:pPr>
      <w:rPr>
        <w:rFonts w:hint="eastAsia" w:ascii="宋体" w:hAnsi="宋体" w:eastAsia="宋体"/>
      </w:rPr>
    </w:lvl>
    <w:lvl w:ilvl="1">
      <w:start w:val="1"/>
      <w:numFmt w:val="decimal"/>
      <w:pStyle w:val="1137"/>
      <w:isLgl w:val="false"/>
      <w:suff w:val="tab"/>
      <w:lvlText w:val="%1.%2"/>
      <w:lvlJc w:val="left"/>
      <w:pPr>
        <w:ind w:left="851" w:hanging="851"/>
      </w:pPr>
      <w:rPr>
        <w:rFonts w:hint="eastAsia" w:ascii="宋体" w:hAnsi="宋体" w:eastAsia="宋体"/>
        <w:color w:val="000000"/>
      </w:rPr>
    </w:lvl>
    <w:lvl w:ilvl="2">
      <w:start w:val="1"/>
      <w:numFmt w:val="decimal"/>
      <w:pStyle w:val="124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lvlRestart w:val="2"/>
      <w:isLgl w:val="false"/>
      <w:suff w:val="tab"/>
      <w:lvlText w:val="%1.%2.%3.%4"/>
      <w:lvlJc w:val="left"/>
      <w:pPr>
        <w:ind w:left="900" w:hanging="900"/>
        <w:tabs>
          <w:tab w:val="left" w:pos="900" w:leader="none"/>
        </w:tabs>
      </w:pPr>
      <w:rPr>
        <w:rFonts w:hint="default"/>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pStyle w:val="114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4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5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12"/>
      <w:isLgl w:val="false"/>
      <w:suff w:val="nothing"/>
      <w:lvlText w:val="%1.%2.%3.%4.%5.%6　"/>
      <w:lvlJc w:val="left"/>
      <w:pPr>
        <w:ind w:left="-25" w:firstLine="0"/>
      </w:pPr>
      <w:rPr>
        <w:rFonts w:ascii="Times New Roman" w:hAnsi="Times New Roman" w:eastAsia="宋体"/>
        <w:b/>
        <w:i w:val="0"/>
        <w:sz w:val="28"/>
      </w:rPr>
    </w:lvl>
    <w:lvl w:ilvl="6">
      <w:start w:val="1"/>
      <w:numFmt w:val="lowerLetter"/>
      <w:pStyle w:val="113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23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5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10"/>
  </w:num>
  <w:num w:numId="4">
    <w:abstractNumId w:val="2"/>
  </w:num>
  <w:num w:numId="5">
    <w:abstractNumId w:val="1"/>
  </w:num>
  <w:num w:numId="6">
    <w:abstractNumId w:val="7"/>
  </w:num>
  <w:num w:numId="7">
    <w:abstractNumId w:val="8"/>
  </w:num>
  <w:num w:numId="8">
    <w:abstractNumId w:val="11"/>
  </w:num>
  <w:num w:numId="9">
    <w:abstractNumId w:val="4"/>
  </w:num>
  <w:num w:numId="10">
    <w:abstractNumId w:val="6"/>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link w:val="11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name w:val="Heading 1"/>
    <w:basedOn w:val="809"/>
    <w:next w:val="809"/>
    <w:link w:val="852"/>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3"/>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4"/>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21"/>
    <w:link w:val="855"/>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6"/>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7"/>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59"/>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0"/>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Normal Indent"/>
    <w:basedOn w:val="809"/>
    <w:next w:val="809"/>
    <w:uiPriority w:val="0"/>
    <w:qFormat/>
    <w:pPr>
      <w:ind w:firstLine="420"/>
      <w:jc w:val="left"/>
    </w:pPr>
    <w:rPr>
      <w:rFonts w:ascii="宋体"/>
      <w:sz w:val="24"/>
    </w:rPr>
  </w:style>
  <w:style w:type="paragraph" w:styleId="822">
    <w:name w:val="toc 7"/>
    <w:basedOn w:val="809"/>
    <w:next w:val="809"/>
    <w:uiPriority w:val="39"/>
    <w:unhideWhenUsed/>
    <w:qFormat/>
    <w:pPr>
      <w:ind w:left="1701" w:right="0" w:firstLine="0"/>
      <w:spacing w:after="57"/>
    </w:pPr>
  </w:style>
  <w:style w:type="paragraph" w:styleId="823">
    <w:name w:val="Caption"/>
    <w:basedOn w:val="809"/>
    <w:next w:val="809"/>
    <w:uiPriority w:val="35"/>
    <w:semiHidden/>
    <w:unhideWhenUsed/>
    <w:qFormat/>
    <w:pPr>
      <w:spacing w:line="276" w:lineRule="auto"/>
    </w:pPr>
    <w:rPr>
      <w:b/>
      <w:bCs/>
      <w:color w:val="4f81bd" w:themeColor="accent1"/>
      <w:sz w:val="18"/>
      <w:szCs w:val="18"/>
    </w:rPr>
  </w:style>
  <w:style w:type="paragraph" w:styleId="824">
    <w:name w:val="Document Map"/>
    <w:basedOn w:val="809"/>
    <w:next w:val="809"/>
    <w:uiPriority w:val="0"/>
    <w:qFormat/>
    <w:pPr>
      <w:shd w:val="clear" w:color="auto" w:fill="000080"/>
    </w:pPr>
  </w:style>
  <w:style w:type="paragraph" w:styleId="825">
    <w:name w:val="annotation text"/>
    <w:basedOn w:val="809"/>
    <w:uiPriority w:val="99"/>
    <w:semiHidden/>
    <w:unhideWhenUsed/>
    <w:qFormat/>
    <w:pPr>
      <w:jc w:val="left"/>
    </w:pPr>
  </w:style>
  <w:style w:type="paragraph" w:styleId="826">
    <w:name w:val="Body Text"/>
    <w:basedOn w:val="809"/>
    <w:next w:val="809"/>
    <w:uiPriority w:val="0"/>
    <w:qFormat/>
    <w:pPr>
      <w:spacing w:before="120" w:line="22" w:lineRule="atLeast"/>
      <w:tabs>
        <w:tab w:val="left" w:pos="567" w:leader="none"/>
      </w:tabs>
    </w:pPr>
    <w:rPr>
      <w:rFonts w:ascii="宋体" w:hAnsi="宋体"/>
      <w:sz w:val="24"/>
    </w:rPr>
  </w:style>
  <w:style w:type="paragraph" w:styleId="827">
    <w:name w:val="Body Text Indent"/>
    <w:basedOn w:val="809"/>
    <w:next w:val="809"/>
    <w:uiPriority w:val="0"/>
    <w:qFormat/>
    <w:pPr>
      <w:ind w:firstLine="570"/>
      <w:spacing w:line="360" w:lineRule="auto"/>
    </w:pPr>
    <w:rPr>
      <w:sz w:val="24"/>
    </w:rPr>
  </w:style>
  <w:style w:type="paragraph" w:styleId="828">
    <w:name w:val="toc 5"/>
    <w:basedOn w:val="809"/>
    <w:next w:val="809"/>
    <w:uiPriority w:val="39"/>
    <w:unhideWhenUsed/>
    <w:qFormat/>
    <w:pPr>
      <w:ind w:left="1134" w:right="0" w:firstLine="0"/>
      <w:spacing w:after="57"/>
    </w:pPr>
  </w:style>
  <w:style w:type="paragraph" w:styleId="829">
    <w:name w:val="toc 3"/>
    <w:basedOn w:val="809"/>
    <w:next w:val="809"/>
    <w:uiPriority w:val="39"/>
    <w:unhideWhenUsed/>
    <w:qFormat/>
    <w:pPr>
      <w:ind w:left="567" w:right="0" w:firstLine="0"/>
      <w:spacing w:after="57"/>
    </w:pPr>
  </w:style>
  <w:style w:type="paragraph" w:styleId="830">
    <w:name w:val="Plain Text"/>
    <w:basedOn w:val="809"/>
    <w:next w:val="821"/>
    <w:uiPriority w:val="0"/>
    <w:qFormat/>
    <w:rPr>
      <w:rFonts w:hint="eastAsia" w:ascii="宋体" w:hAnsi="Courier New"/>
      <w:szCs w:val="20"/>
    </w:rPr>
  </w:style>
  <w:style w:type="paragraph" w:styleId="831">
    <w:name w:val="toc 8"/>
    <w:basedOn w:val="809"/>
    <w:next w:val="809"/>
    <w:uiPriority w:val="39"/>
    <w:unhideWhenUsed/>
    <w:qFormat/>
    <w:pPr>
      <w:ind w:left="1984" w:right="0" w:firstLine="0"/>
      <w:spacing w:after="57"/>
    </w:pPr>
  </w:style>
  <w:style w:type="paragraph" w:styleId="832">
    <w:name w:val="endnote text"/>
    <w:basedOn w:val="809"/>
    <w:link w:val="997"/>
    <w:uiPriority w:val="99"/>
    <w:semiHidden/>
    <w:unhideWhenUsed/>
    <w:qFormat/>
    <w:pPr>
      <w:spacing w:after="0" w:line="240" w:lineRule="auto"/>
    </w:pPr>
    <w:rPr>
      <w:sz w:val="20"/>
    </w:rPr>
  </w:style>
  <w:style w:type="paragraph" w:styleId="833">
    <w:name w:val="Footer"/>
    <w:basedOn w:val="809"/>
    <w:link w:val="870"/>
    <w:uiPriority w:val="99"/>
    <w:unhideWhenUsed/>
    <w:qFormat/>
    <w:pPr>
      <w:spacing w:after="0" w:line="240" w:lineRule="auto"/>
      <w:tabs>
        <w:tab w:val="center" w:pos="7143" w:leader="none"/>
        <w:tab w:val="right" w:pos="14287" w:leader="none"/>
      </w:tabs>
    </w:pPr>
  </w:style>
  <w:style w:type="paragraph" w:styleId="834">
    <w:name w:val="Header"/>
    <w:basedOn w:val="809"/>
    <w:link w:val="868"/>
    <w:uiPriority w:val="99"/>
    <w:unhideWhenUsed/>
    <w:qFormat/>
    <w:pPr>
      <w:spacing w:after="0" w:line="240" w:lineRule="auto"/>
      <w:tabs>
        <w:tab w:val="center" w:pos="7143" w:leader="none"/>
        <w:tab w:val="right" w:pos="14287" w:leader="none"/>
      </w:tabs>
    </w:pPr>
  </w:style>
  <w:style w:type="paragraph" w:styleId="835">
    <w:name w:val="toc 1"/>
    <w:basedOn w:val="809"/>
    <w:next w:val="809"/>
    <w:uiPriority w:val="39"/>
    <w:unhideWhenUsed/>
    <w:qFormat/>
    <w:pPr>
      <w:ind w:left="0" w:right="0" w:firstLine="0"/>
      <w:spacing w:after="57"/>
    </w:pPr>
  </w:style>
  <w:style w:type="paragraph" w:styleId="836">
    <w:name w:val="toc 4"/>
    <w:basedOn w:val="809"/>
    <w:next w:val="809"/>
    <w:uiPriority w:val="39"/>
    <w:unhideWhenUsed/>
    <w:qFormat/>
    <w:pPr>
      <w:ind w:left="850" w:right="0" w:firstLine="0"/>
      <w:spacing w:after="57"/>
    </w:pPr>
  </w:style>
  <w:style w:type="paragraph" w:styleId="837">
    <w:name w:val="Subtitle"/>
    <w:basedOn w:val="809"/>
    <w:next w:val="809"/>
    <w:link w:val="863"/>
    <w:uiPriority w:val="11"/>
    <w:qFormat/>
    <w:pPr>
      <w:spacing w:before="200" w:after="200"/>
    </w:pPr>
    <w:rPr>
      <w:sz w:val="24"/>
      <w:szCs w:val="24"/>
    </w:rPr>
  </w:style>
  <w:style w:type="paragraph" w:styleId="838">
    <w:name w:val="footnote text"/>
    <w:basedOn w:val="809"/>
    <w:link w:val="996"/>
    <w:uiPriority w:val="99"/>
    <w:semiHidden/>
    <w:unhideWhenUsed/>
    <w:qFormat/>
    <w:pPr>
      <w:spacing w:after="40" w:line="240" w:lineRule="auto"/>
    </w:pPr>
    <w:rPr>
      <w:sz w:val="18"/>
    </w:rPr>
  </w:style>
  <w:style w:type="paragraph" w:styleId="839">
    <w:name w:val="toc 6"/>
    <w:basedOn w:val="809"/>
    <w:next w:val="809"/>
    <w:uiPriority w:val="39"/>
    <w:unhideWhenUsed/>
    <w:qFormat/>
    <w:pPr>
      <w:ind w:left="1417" w:right="0" w:firstLine="0"/>
      <w:spacing w:after="57"/>
    </w:pPr>
  </w:style>
  <w:style w:type="paragraph" w:styleId="840">
    <w:name w:val="table of figures"/>
    <w:basedOn w:val="809"/>
    <w:next w:val="809"/>
    <w:uiPriority w:val="99"/>
    <w:unhideWhenUsed/>
    <w:qFormat/>
    <w:pPr>
      <w:spacing w:after="0" w:afterAutospacing="0"/>
    </w:pPr>
  </w:style>
  <w:style w:type="paragraph" w:styleId="841">
    <w:name w:val="toc 2"/>
    <w:basedOn w:val="809"/>
    <w:next w:val="809"/>
    <w:uiPriority w:val="39"/>
    <w:unhideWhenUsed/>
    <w:qFormat/>
    <w:pPr>
      <w:ind w:left="283" w:right="0" w:firstLine="0"/>
      <w:spacing w:after="57"/>
    </w:pPr>
  </w:style>
  <w:style w:type="paragraph" w:styleId="842">
    <w:name w:val="toc 9"/>
    <w:basedOn w:val="809"/>
    <w:next w:val="809"/>
    <w:uiPriority w:val="39"/>
    <w:unhideWhenUsed/>
    <w:qFormat/>
    <w:pPr>
      <w:ind w:left="2268" w:right="0" w:firstLine="0"/>
      <w:spacing w:after="57"/>
    </w:pPr>
  </w:style>
  <w:style w:type="paragraph" w:styleId="843">
    <w:name w:val="Normal (Web)"/>
    <w:basedOn w:val="809"/>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44">
    <w:name w:val="Title"/>
    <w:basedOn w:val="809"/>
    <w:next w:val="809"/>
    <w:link w:val="862"/>
    <w:uiPriority w:val="10"/>
    <w:qFormat/>
    <w:pPr>
      <w:contextualSpacing/>
      <w:spacing w:before="300" w:after="200"/>
    </w:pPr>
    <w:rPr>
      <w:sz w:val="48"/>
      <w:szCs w:val="48"/>
    </w:rPr>
  </w:style>
  <w:style w:type="paragraph" w:styleId="845">
    <w:name w:val="Body Text First Indent 2"/>
    <w:basedOn w:val="827"/>
    <w:next w:val="809"/>
    <w:uiPriority w:val="0"/>
    <w:qFormat/>
    <w:pPr>
      <w:ind w:left="420" w:firstLine="420"/>
      <w:spacing w:after="120" w:line="360" w:lineRule="auto"/>
    </w:pPr>
    <w:rPr>
      <w:color w:val="000000"/>
      <w:sz w:val="20"/>
      <w:szCs w:val="24"/>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Emphasis"/>
    <w:uiPriority w:val="0"/>
    <w:qFormat/>
    <w:rPr>
      <w:color w:val="cc0033"/>
    </w:rPr>
  </w:style>
  <w:style w:type="character" w:styleId="849">
    <w:name w:val="Hyperlink"/>
    <w:uiPriority w:val="99"/>
    <w:unhideWhenUsed/>
    <w:qFormat/>
    <w:rPr>
      <w:color w:val="0000ff" w:themeColor="hyperlink"/>
      <w:u w:val="single"/>
    </w:rPr>
  </w:style>
  <w:style w:type="character" w:styleId="850">
    <w:name w:val="footnote reference"/>
    <w:uiPriority w:val="99"/>
    <w:unhideWhenUsed/>
    <w:qFormat/>
    <w:rPr>
      <w:vertAlign w:val="superscript"/>
    </w:rPr>
  </w:style>
  <w:style w:type="paragraph" w:styleId="851" w:customStyle="1">
    <w:name w:val="段"/>
    <w:next w:val="809"/>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character" w:styleId="852" w:customStyle="1">
    <w:name w:val="Heading 1 Char"/>
    <w:link w:val="810"/>
    <w:uiPriority w:val="9"/>
    <w:qFormat/>
    <w:rPr>
      <w:rFonts w:ascii="Arial" w:hAnsi="Arial" w:eastAsia="Arial" w:cs="Arial"/>
      <w:sz w:val="40"/>
      <w:szCs w:val="40"/>
    </w:rPr>
  </w:style>
  <w:style w:type="character" w:styleId="853" w:customStyle="1">
    <w:name w:val="Heading 2 Char"/>
    <w:link w:val="811"/>
    <w:uiPriority w:val="9"/>
    <w:qFormat/>
    <w:rPr>
      <w:rFonts w:ascii="Arial" w:hAnsi="Arial" w:eastAsia="Arial" w:cs="Arial"/>
      <w:sz w:val="34"/>
    </w:rPr>
  </w:style>
  <w:style w:type="character" w:styleId="854" w:customStyle="1">
    <w:name w:val="Heading 3 Char"/>
    <w:link w:val="812"/>
    <w:uiPriority w:val="9"/>
    <w:qFormat/>
    <w:rPr>
      <w:rFonts w:ascii="Arial" w:hAnsi="Arial" w:eastAsia="Arial" w:cs="Arial"/>
      <w:sz w:val="30"/>
      <w:szCs w:val="30"/>
    </w:rPr>
  </w:style>
  <w:style w:type="character" w:styleId="855" w:customStyle="1">
    <w:name w:val="Heading 4 Char"/>
    <w:link w:val="813"/>
    <w:uiPriority w:val="9"/>
    <w:qFormat/>
    <w:rPr>
      <w:rFonts w:ascii="Arial" w:hAnsi="Arial" w:eastAsia="Arial" w:cs="Arial"/>
      <w:b/>
      <w:bCs/>
      <w:sz w:val="26"/>
      <w:szCs w:val="26"/>
    </w:rPr>
  </w:style>
  <w:style w:type="character" w:styleId="856" w:customStyle="1">
    <w:name w:val="Heading 5 Char"/>
    <w:link w:val="814"/>
    <w:uiPriority w:val="9"/>
    <w:qFormat/>
    <w:rPr>
      <w:rFonts w:ascii="Arial" w:hAnsi="Arial" w:eastAsia="Arial" w:cs="Arial"/>
      <w:b/>
      <w:bCs/>
      <w:sz w:val="24"/>
      <w:szCs w:val="24"/>
    </w:rPr>
  </w:style>
  <w:style w:type="character" w:styleId="857" w:customStyle="1">
    <w:name w:val="Heading 6 Char"/>
    <w:link w:val="815"/>
    <w:uiPriority w:val="9"/>
    <w:qFormat/>
    <w:rPr>
      <w:rFonts w:ascii="Arial" w:hAnsi="Arial" w:eastAsia="Arial" w:cs="Arial"/>
      <w:b/>
      <w:bCs/>
      <w:sz w:val="22"/>
      <w:szCs w:val="22"/>
    </w:rPr>
  </w:style>
  <w:style w:type="character" w:styleId="858" w:customStyle="1">
    <w:name w:val="Heading 7 Char"/>
    <w:link w:val="816"/>
    <w:uiPriority w:val="9"/>
    <w:qFormat/>
    <w:rPr>
      <w:rFonts w:ascii="Arial" w:hAnsi="Arial" w:eastAsia="Arial" w:cs="Arial"/>
      <w:b/>
      <w:bCs/>
      <w:i/>
      <w:iCs/>
      <w:sz w:val="22"/>
      <w:szCs w:val="22"/>
    </w:rPr>
  </w:style>
  <w:style w:type="character" w:styleId="859" w:customStyle="1">
    <w:name w:val="Heading 8 Char"/>
    <w:link w:val="817"/>
    <w:uiPriority w:val="9"/>
    <w:qFormat/>
    <w:rPr>
      <w:rFonts w:ascii="Arial" w:hAnsi="Arial" w:eastAsia="Arial" w:cs="Arial"/>
      <w:i/>
      <w:iCs/>
      <w:sz w:val="22"/>
      <w:szCs w:val="22"/>
    </w:rPr>
  </w:style>
  <w:style w:type="character" w:styleId="860" w:customStyle="1">
    <w:name w:val="Heading 9 Char"/>
    <w:link w:val="818"/>
    <w:uiPriority w:val="9"/>
    <w:qFormat/>
    <w:rPr>
      <w:rFonts w:ascii="Arial" w:hAnsi="Arial" w:eastAsia="Arial" w:cs="Arial"/>
      <w:i/>
      <w:iCs/>
      <w:sz w:val="21"/>
      <w:szCs w:val="21"/>
    </w:rPr>
  </w:style>
  <w:style w:type="paragraph" w:styleId="861">
    <w:name w:val="No Spacing"/>
    <w:uiPriority w:val="1"/>
    <w:qFormat/>
    <w:pPr>
      <w:spacing w:before="0" w:after="0" w:line="240" w:lineRule="auto"/>
    </w:pPr>
    <w:rPr>
      <w:rFonts w:hint="default" w:ascii="Times New Roman" w:hAnsi="Times New Roman" w:eastAsia="宋体" w:cs="Times New Roman"/>
    </w:rPr>
  </w:style>
  <w:style w:type="character" w:styleId="862" w:customStyle="1">
    <w:name w:val="Title Char"/>
    <w:link w:val="844"/>
    <w:uiPriority w:val="10"/>
    <w:qFormat/>
    <w:rPr>
      <w:sz w:val="48"/>
      <w:szCs w:val="48"/>
    </w:rPr>
  </w:style>
  <w:style w:type="character" w:styleId="863" w:customStyle="1">
    <w:name w:val="Subtitle Char"/>
    <w:link w:val="837"/>
    <w:uiPriority w:val="11"/>
    <w:qFormat/>
    <w:rPr>
      <w:sz w:val="24"/>
      <w:szCs w:val="24"/>
    </w:rPr>
  </w:style>
  <w:style w:type="paragraph" w:styleId="864">
    <w:name w:val="Quote"/>
    <w:basedOn w:val="809"/>
    <w:next w:val="809"/>
    <w:link w:val="865"/>
    <w:uiPriority w:val="29"/>
    <w:qFormat/>
    <w:pPr>
      <w:ind w:left="720" w:right="720"/>
    </w:pPr>
    <w:rPr>
      <w:i/>
    </w:rPr>
  </w:style>
  <w:style w:type="character" w:styleId="865" w:customStyle="1">
    <w:name w:val="Quote Char"/>
    <w:link w:val="864"/>
    <w:uiPriority w:val="29"/>
    <w:qFormat/>
    <w:rPr>
      <w:i/>
    </w:rPr>
  </w:style>
  <w:style w:type="paragraph" w:styleId="866">
    <w:name w:val="Intense Quote"/>
    <w:basedOn w:val="809"/>
    <w:next w:val="809"/>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Intense Quote Char"/>
    <w:link w:val="866"/>
    <w:uiPriority w:val="30"/>
    <w:qFormat/>
    <w:rPr>
      <w:i/>
    </w:rPr>
  </w:style>
  <w:style w:type="character" w:styleId="868" w:customStyle="1">
    <w:name w:val="Header Char"/>
    <w:link w:val="834"/>
    <w:uiPriority w:val="99"/>
    <w:qFormat/>
  </w:style>
  <w:style w:type="character" w:styleId="869" w:customStyle="1">
    <w:name w:val="Footer Char"/>
    <w:link w:val="833"/>
    <w:uiPriority w:val="99"/>
    <w:qFormat/>
  </w:style>
  <w:style w:type="character" w:styleId="870" w:customStyle="1">
    <w:name w:val="Caption Char"/>
    <w:link w:val="833"/>
    <w:uiPriority w:val="99"/>
    <w:qFormat/>
  </w:style>
  <w:style w:type="table" w:styleId="8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Footnote Text Char"/>
    <w:link w:val="838"/>
    <w:uiPriority w:val="99"/>
    <w:qFormat/>
    <w:rPr>
      <w:sz w:val="18"/>
    </w:rPr>
  </w:style>
  <w:style w:type="character" w:styleId="997" w:customStyle="1">
    <w:name w:val="Endnote Text Char"/>
    <w:link w:val="832"/>
    <w:uiPriority w:val="99"/>
    <w:qFormat/>
    <w:rPr>
      <w:sz w:val="20"/>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809"/>
    <w:next w:val="809"/>
    <w:link w:val="1011"/>
    <w:uiPriority w:val="0"/>
    <w:qFormat/>
    <w:pPr>
      <w:jc w:val="center"/>
      <w:keepLines/>
      <w:keepNext/>
      <w:spacing w:before="240" w:after="120" w:line="300" w:lineRule="auto"/>
      <w:outlineLvl w:val="0"/>
    </w:pPr>
    <w:rPr>
      <w:rFonts w:ascii="宋体"/>
      <w:b/>
      <w:sz w:val="32"/>
      <w:szCs w:val="20"/>
    </w:rPr>
  </w:style>
  <w:style w:type="paragraph" w:styleId="1000" w:customStyle="1">
    <w:name w:val="标题 21"/>
    <w:basedOn w:val="809"/>
    <w:next w:val="1001"/>
    <w:link w:val="1012"/>
    <w:uiPriority w:val="0"/>
    <w:qFormat/>
    <w:pPr>
      <w:jc w:val="center"/>
      <w:keepLines/>
      <w:keepNext/>
      <w:spacing w:before="120" w:line="300" w:lineRule="auto"/>
      <w:outlineLvl w:val="1"/>
    </w:pPr>
    <w:rPr>
      <w:rFonts w:ascii="Arial" w:hAnsi="Arial" w:eastAsia="黑体"/>
      <w:b/>
      <w:sz w:val="30"/>
      <w:szCs w:val="20"/>
    </w:rPr>
  </w:style>
  <w:style w:type="paragraph" w:styleId="1001" w:customStyle="1">
    <w:name w:val="正文缩进11"/>
    <w:basedOn w:val="809"/>
    <w:next w:val="809"/>
    <w:link w:val="1013"/>
    <w:uiPriority w:val="0"/>
    <w:qFormat/>
    <w:pPr>
      <w:ind w:firstLine="420"/>
      <w:jc w:val="left"/>
    </w:pPr>
    <w:rPr>
      <w:rFonts w:ascii="宋体"/>
      <w:sz w:val="24"/>
    </w:rPr>
  </w:style>
  <w:style w:type="paragraph" w:styleId="1002" w:customStyle="1">
    <w:name w:val="标题 31"/>
    <w:basedOn w:val="809"/>
    <w:next w:val="809"/>
    <w:link w:val="1014"/>
    <w:uiPriority w:val="0"/>
    <w:qFormat/>
    <w:pPr>
      <w:jc w:val="left"/>
      <w:keepLines/>
      <w:keepNext/>
      <w:spacing w:before="360" w:after="120"/>
      <w:outlineLvl w:val="2"/>
    </w:pPr>
    <w:rPr>
      <w:rFonts w:ascii="宋体"/>
      <w:b/>
      <w:sz w:val="24"/>
      <w:szCs w:val="20"/>
      <w:u w:val="single"/>
    </w:rPr>
  </w:style>
  <w:style w:type="paragraph" w:styleId="1003" w:customStyle="1">
    <w:name w:val="标题 41"/>
    <w:basedOn w:val="809"/>
    <w:next w:val="809"/>
    <w:link w:val="1015"/>
    <w:uiPriority w:val="0"/>
    <w:qFormat/>
    <w:pPr>
      <w:keepLines/>
      <w:keepNext/>
      <w:spacing w:before="280" w:after="290" w:line="376" w:lineRule="atLeast"/>
      <w:outlineLvl w:val="3"/>
    </w:pPr>
    <w:rPr>
      <w:rFonts w:ascii="Arial" w:hAnsi="Arial" w:eastAsia="黑体"/>
      <w:b/>
      <w:sz w:val="28"/>
      <w:szCs w:val="20"/>
    </w:rPr>
  </w:style>
  <w:style w:type="paragraph" w:styleId="1004" w:customStyle="1">
    <w:name w:val="标题 51"/>
    <w:basedOn w:val="809"/>
    <w:next w:val="809"/>
    <w:link w:val="1016"/>
    <w:uiPriority w:val="0"/>
    <w:qFormat/>
    <w:pPr>
      <w:keepLines/>
      <w:keepNext/>
      <w:spacing w:before="280" w:after="290" w:line="376" w:lineRule="atLeast"/>
      <w:outlineLvl w:val="4"/>
    </w:pPr>
    <w:rPr>
      <w:b/>
      <w:sz w:val="28"/>
      <w:szCs w:val="20"/>
    </w:rPr>
  </w:style>
  <w:style w:type="paragraph" w:styleId="1005" w:customStyle="1">
    <w:name w:val="标题 61"/>
    <w:basedOn w:val="809"/>
    <w:next w:val="809"/>
    <w:link w:val="1017"/>
    <w:uiPriority w:val="0"/>
    <w:qFormat/>
    <w:pPr>
      <w:keepLines/>
      <w:keepNext/>
      <w:spacing w:before="240" w:after="64" w:line="320" w:lineRule="atLeast"/>
      <w:outlineLvl w:val="5"/>
    </w:pPr>
    <w:rPr>
      <w:rFonts w:ascii="Arial" w:hAnsi="Arial" w:eastAsia="黑体"/>
      <w:b/>
      <w:sz w:val="24"/>
      <w:szCs w:val="20"/>
    </w:rPr>
  </w:style>
  <w:style w:type="paragraph" w:styleId="1006" w:customStyle="1">
    <w:name w:val="标题 71"/>
    <w:basedOn w:val="809"/>
    <w:next w:val="809"/>
    <w:link w:val="1018"/>
    <w:uiPriority w:val="0"/>
    <w:qFormat/>
    <w:pPr>
      <w:keepLines/>
      <w:keepNext/>
      <w:spacing w:before="240" w:after="64" w:line="320" w:lineRule="atLeast"/>
      <w:outlineLvl w:val="6"/>
    </w:pPr>
    <w:rPr>
      <w:b/>
      <w:sz w:val="24"/>
      <w:szCs w:val="20"/>
    </w:rPr>
  </w:style>
  <w:style w:type="paragraph" w:styleId="1007" w:customStyle="1">
    <w:name w:val="标题 81"/>
    <w:basedOn w:val="809"/>
    <w:next w:val="809"/>
    <w:link w:val="1019"/>
    <w:uiPriority w:val="0"/>
    <w:qFormat/>
    <w:pPr>
      <w:keepLines/>
      <w:keepNext/>
      <w:spacing w:before="240" w:after="64" w:line="320" w:lineRule="atLeast"/>
      <w:outlineLvl w:val="7"/>
    </w:pPr>
    <w:rPr>
      <w:rFonts w:ascii="Arial" w:hAnsi="Arial" w:eastAsia="黑体"/>
      <w:sz w:val="24"/>
      <w:szCs w:val="20"/>
    </w:rPr>
  </w:style>
  <w:style w:type="paragraph" w:styleId="1008" w:customStyle="1">
    <w:name w:val="标题 91"/>
    <w:basedOn w:val="809"/>
    <w:next w:val="809"/>
    <w:link w:val="1020"/>
    <w:uiPriority w:val="0"/>
    <w:qFormat/>
    <w:pPr>
      <w:keepLines/>
      <w:keepNext/>
      <w:spacing w:before="240" w:after="64" w:line="320" w:lineRule="atLeast"/>
      <w:outlineLvl w:val="8"/>
    </w:pPr>
    <w:rPr>
      <w:rFonts w:ascii="Arial" w:hAnsi="Arial" w:eastAsia="黑体"/>
      <w:szCs w:val="20"/>
    </w:rPr>
  </w:style>
  <w:style w:type="character" w:styleId="1009" w:customStyle="1">
    <w:name w:val="默认段落字体1"/>
    <w:link w:val="809"/>
    <w:uiPriority w:val="1"/>
    <w:unhideWhenUsed/>
    <w:qFormat/>
  </w:style>
  <w:style w:type="table" w:styleId="1010" w:customStyle="1">
    <w:name w:val="普通表格1"/>
    <w:uiPriority w:val="99"/>
    <w:unhideWhenUsed/>
    <w:qFormat/>
    <w:tblPr/>
  </w:style>
  <w:style w:type="character" w:styleId="1011" w:customStyle="1">
    <w:name w:val="标题 1 Char"/>
    <w:basedOn w:val="1009"/>
    <w:link w:val="999"/>
    <w:uiPriority w:val="0"/>
    <w:qFormat/>
    <w:rPr>
      <w:rFonts w:ascii="宋体"/>
      <w:b/>
      <w:sz w:val="32"/>
    </w:rPr>
  </w:style>
  <w:style w:type="character" w:styleId="1012" w:customStyle="1">
    <w:name w:val="标题 2 Char1"/>
    <w:link w:val="1000"/>
    <w:uiPriority w:val="0"/>
    <w:qFormat/>
    <w:rPr>
      <w:rFonts w:ascii="Arial" w:hAnsi="Arial" w:eastAsia="黑体"/>
      <w:b/>
      <w:sz w:val="30"/>
      <w:lang w:val="en-US" w:eastAsia="zh-CN" w:bidi="ar-SA"/>
    </w:rPr>
  </w:style>
  <w:style w:type="character" w:styleId="1013" w:customStyle="1">
    <w:name w:val="正文缩进 Char1"/>
    <w:link w:val="1001"/>
    <w:uiPriority w:val="0"/>
    <w:qFormat/>
    <w:rPr>
      <w:rFonts w:ascii="宋体" w:eastAsia="宋体"/>
      <w:sz w:val="24"/>
      <w:szCs w:val="24"/>
      <w:lang w:val="en-US" w:eastAsia="zh-CN" w:bidi="ar-SA"/>
    </w:rPr>
  </w:style>
  <w:style w:type="character" w:styleId="1014" w:customStyle="1">
    <w:name w:val="标题 3 Char1"/>
    <w:link w:val="1002"/>
    <w:uiPriority w:val="0"/>
    <w:qFormat/>
    <w:rPr>
      <w:rFonts w:ascii="宋体" w:eastAsia="宋体"/>
      <w:b/>
      <w:sz w:val="24"/>
      <w:u w:val="single"/>
      <w:lang w:val="en-US" w:eastAsia="zh-CN" w:bidi="ar-SA"/>
    </w:rPr>
  </w:style>
  <w:style w:type="character" w:styleId="1015" w:customStyle="1">
    <w:name w:val="标题 4 Char"/>
    <w:basedOn w:val="1009"/>
    <w:link w:val="1003"/>
    <w:uiPriority w:val="0"/>
    <w:qFormat/>
    <w:rPr>
      <w:rFonts w:ascii="Arial" w:hAnsi="Arial" w:eastAsia="黑体"/>
      <w:b/>
      <w:sz w:val="28"/>
    </w:rPr>
  </w:style>
  <w:style w:type="character" w:styleId="1016" w:customStyle="1">
    <w:name w:val="标题 5 Char"/>
    <w:basedOn w:val="1009"/>
    <w:link w:val="1004"/>
    <w:uiPriority w:val="0"/>
    <w:qFormat/>
    <w:rPr>
      <w:b/>
      <w:sz w:val="28"/>
    </w:rPr>
  </w:style>
  <w:style w:type="character" w:styleId="1017" w:customStyle="1">
    <w:name w:val="标题 6 Char"/>
    <w:basedOn w:val="1009"/>
    <w:link w:val="1005"/>
    <w:uiPriority w:val="0"/>
    <w:qFormat/>
    <w:rPr>
      <w:rFonts w:ascii="Arial" w:hAnsi="Arial" w:eastAsia="黑体"/>
      <w:b/>
      <w:sz w:val="24"/>
    </w:rPr>
  </w:style>
  <w:style w:type="character" w:styleId="1018" w:customStyle="1">
    <w:name w:val="标题 7 Char"/>
    <w:basedOn w:val="1009"/>
    <w:link w:val="1006"/>
    <w:uiPriority w:val="0"/>
    <w:qFormat/>
    <w:rPr>
      <w:b/>
      <w:sz w:val="24"/>
    </w:rPr>
  </w:style>
  <w:style w:type="character" w:styleId="1019" w:customStyle="1">
    <w:name w:val="标题 8 Char"/>
    <w:basedOn w:val="1009"/>
    <w:link w:val="1007"/>
    <w:uiPriority w:val="0"/>
    <w:qFormat/>
    <w:rPr>
      <w:rFonts w:ascii="Arial" w:hAnsi="Arial" w:eastAsia="黑体"/>
      <w:sz w:val="24"/>
    </w:rPr>
  </w:style>
  <w:style w:type="character" w:styleId="1020" w:customStyle="1">
    <w:name w:val="标题 9 Char"/>
    <w:basedOn w:val="1009"/>
    <w:link w:val="1008"/>
    <w:uiPriority w:val="0"/>
    <w:qFormat/>
    <w:rPr>
      <w:rFonts w:ascii="Arial" w:hAnsi="Arial" w:eastAsia="黑体"/>
      <w:sz w:val="21"/>
    </w:rPr>
  </w:style>
  <w:style w:type="paragraph" w:styleId="1021" w:customStyle="1">
    <w:name w:val="目录 71"/>
    <w:basedOn w:val="809"/>
    <w:next w:val="809"/>
    <w:uiPriority w:val="0"/>
    <w:qFormat/>
    <w:pPr>
      <w:ind w:left="2520"/>
    </w:pPr>
  </w:style>
  <w:style w:type="paragraph" w:styleId="1022" w:customStyle="1">
    <w:name w:val="题注1"/>
    <w:basedOn w:val="809"/>
    <w:next w:val="809"/>
    <w:uiPriority w:val="0"/>
    <w:qFormat/>
    <w:pPr>
      <w:spacing w:line="480" w:lineRule="auto"/>
    </w:pPr>
    <w:rPr>
      <w:rFonts w:ascii="华文中宋" w:hAnsi="华文中宋" w:eastAsia="华文中宋"/>
      <w:sz w:val="36"/>
      <w:szCs w:val="20"/>
    </w:rPr>
  </w:style>
  <w:style w:type="paragraph" w:styleId="1023" w:customStyle="1">
    <w:name w:val="索引 51"/>
    <w:basedOn w:val="809"/>
    <w:next w:val="809"/>
    <w:uiPriority w:val="99"/>
    <w:unhideWhenUsed/>
    <w:qFormat/>
    <w:pPr>
      <w:ind w:left="800"/>
    </w:pPr>
  </w:style>
  <w:style w:type="paragraph" w:styleId="1024" w:customStyle="1">
    <w:name w:val="文档结构图1"/>
    <w:basedOn w:val="809"/>
    <w:next w:val="809"/>
    <w:link w:val="1025"/>
    <w:uiPriority w:val="0"/>
    <w:qFormat/>
    <w:pPr>
      <w:shd w:val="clear" w:color="auto" w:fill="000080"/>
    </w:pPr>
  </w:style>
  <w:style w:type="character" w:styleId="1025" w:customStyle="1">
    <w:name w:val="文档结构图 Char"/>
    <w:basedOn w:val="1009"/>
    <w:link w:val="1024"/>
    <w:uiPriority w:val="0"/>
    <w:qFormat/>
    <w:rPr>
      <w:sz w:val="21"/>
      <w:szCs w:val="24"/>
      <w:shd w:val="clear" w:color="auto" w:fill="000080"/>
    </w:rPr>
  </w:style>
  <w:style w:type="paragraph" w:styleId="1026" w:customStyle="1">
    <w:name w:val="批注文字1"/>
    <w:basedOn w:val="809"/>
    <w:link w:val="1027"/>
    <w:uiPriority w:val="99"/>
    <w:qFormat/>
    <w:pPr>
      <w:jc w:val="left"/>
    </w:pPr>
  </w:style>
  <w:style w:type="character" w:styleId="1027" w:customStyle="1">
    <w:name w:val="批注文字 Char1"/>
    <w:link w:val="1026"/>
    <w:uiPriority w:val="99"/>
    <w:qFormat/>
    <w:rPr>
      <w:sz w:val="21"/>
      <w:szCs w:val="24"/>
    </w:rPr>
  </w:style>
  <w:style w:type="paragraph" w:styleId="1028" w:customStyle="1">
    <w:name w:val="正文文本 31"/>
    <w:basedOn w:val="809"/>
    <w:link w:val="1029"/>
    <w:uiPriority w:val="0"/>
    <w:qFormat/>
    <w:pPr>
      <w:spacing w:after="120"/>
    </w:pPr>
    <w:rPr>
      <w:sz w:val="16"/>
      <w:szCs w:val="16"/>
    </w:rPr>
  </w:style>
  <w:style w:type="character" w:styleId="1029" w:customStyle="1">
    <w:name w:val="正文文本 3 Char"/>
    <w:basedOn w:val="1009"/>
    <w:link w:val="1028"/>
    <w:uiPriority w:val="0"/>
    <w:qFormat/>
    <w:rPr>
      <w:sz w:val="16"/>
      <w:szCs w:val="16"/>
    </w:rPr>
  </w:style>
  <w:style w:type="paragraph" w:styleId="1030" w:customStyle="1">
    <w:name w:val="正文文本1"/>
    <w:basedOn w:val="809"/>
    <w:next w:val="809"/>
    <w:link w:val="1031"/>
    <w:uiPriority w:val="0"/>
    <w:qFormat/>
    <w:pPr>
      <w:spacing w:before="120" w:line="22" w:lineRule="atLeast"/>
      <w:tabs>
        <w:tab w:val="left" w:pos="567" w:leader="none"/>
      </w:tabs>
    </w:pPr>
    <w:rPr>
      <w:rFonts w:ascii="宋体" w:hAnsi="宋体"/>
      <w:sz w:val="24"/>
    </w:rPr>
  </w:style>
  <w:style w:type="character" w:styleId="1031" w:customStyle="1">
    <w:name w:val="正文文本 Char"/>
    <w:basedOn w:val="1009"/>
    <w:link w:val="1030"/>
    <w:uiPriority w:val="0"/>
    <w:qFormat/>
    <w:rPr>
      <w:rFonts w:ascii="宋体" w:hAnsi="宋体"/>
      <w:sz w:val="24"/>
      <w:szCs w:val="24"/>
    </w:rPr>
  </w:style>
  <w:style w:type="paragraph" w:styleId="1032" w:customStyle="1">
    <w:name w:val="正文文本缩进11"/>
    <w:basedOn w:val="809"/>
    <w:next w:val="809"/>
    <w:link w:val="1033"/>
    <w:uiPriority w:val="0"/>
    <w:qFormat/>
    <w:pPr>
      <w:ind w:firstLine="570"/>
      <w:spacing w:line="360" w:lineRule="auto"/>
    </w:pPr>
    <w:rPr>
      <w:sz w:val="24"/>
    </w:rPr>
  </w:style>
  <w:style w:type="character" w:styleId="1033" w:customStyle="1">
    <w:name w:val="正文文本缩进 Char2"/>
    <w:link w:val="1032"/>
    <w:uiPriority w:val="0"/>
    <w:qFormat/>
    <w:rPr>
      <w:rFonts w:eastAsia="宋体"/>
      <w:sz w:val="24"/>
      <w:szCs w:val="24"/>
      <w:lang w:val="en-US" w:eastAsia="zh-CN" w:bidi="ar-SA"/>
    </w:rPr>
  </w:style>
  <w:style w:type="paragraph" w:styleId="1034" w:customStyle="1">
    <w:name w:val="列表 21"/>
    <w:basedOn w:val="809"/>
    <w:uiPriority w:val="0"/>
    <w:qFormat/>
    <w:pPr>
      <w:ind w:left="100" w:hanging="200"/>
    </w:pPr>
  </w:style>
  <w:style w:type="paragraph" w:styleId="1035" w:customStyle="1">
    <w:name w:val="文本块1"/>
    <w:basedOn w:val="809"/>
    <w:uiPriority w:val="0"/>
    <w:qFormat/>
    <w:pPr>
      <w:ind w:left="480" w:right="-341" w:firstLine="513"/>
      <w:widowControl/>
    </w:pPr>
    <w:rPr>
      <w:sz w:val="24"/>
      <w:szCs w:val="20"/>
    </w:rPr>
  </w:style>
  <w:style w:type="paragraph" w:styleId="1036" w:customStyle="1">
    <w:name w:val="目录 51"/>
    <w:basedOn w:val="809"/>
    <w:next w:val="809"/>
    <w:uiPriority w:val="0"/>
    <w:qFormat/>
    <w:pPr>
      <w:ind w:left="1680"/>
    </w:pPr>
  </w:style>
  <w:style w:type="paragraph" w:styleId="1037" w:customStyle="1">
    <w:name w:val="目录 31"/>
    <w:basedOn w:val="809"/>
    <w:next w:val="809"/>
    <w:uiPriority w:val="39"/>
    <w:qFormat/>
    <w:pPr>
      <w:ind w:left="840"/>
    </w:pPr>
  </w:style>
  <w:style w:type="paragraph" w:styleId="1038" w:customStyle="1">
    <w:name w:val="纯文本11"/>
    <w:basedOn w:val="809"/>
    <w:next w:val="1001"/>
    <w:link w:val="1039"/>
    <w:uiPriority w:val="0"/>
    <w:qFormat/>
    <w:rPr>
      <w:rFonts w:hint="eastAsia" w:ascii="宋体" w:hAnsi="Courier New"/>
      <w:szCs w:val="20"/>
    </w:rPr>
  </w:style>
  <w:style w:type="character" w:styleId="1039" w:customStyle="1">
    <w:name w:val="纯文本 Char"/>
    <w:basedOn w:val="1009"/>
    <w:link w:val="1038"/>
    <w:uiPriority w:val="0"/>
    <w:qFormat/>
    <w:rPr>
      <w:rFonts w:hint="eastAsia" w:ascii="宋体" w:hAnsi="Courier New" w:eastAsia="宋体" w:cs="宋体"/>
      <w:sz w:val="21"/>
    </w:rPr>
  </w:style>
  <w:style w:type="paragraph" w:styleId="1040" w:customStyle="1">
    <w:name w:val="目录 81"/>
    <w:basedOn w:val="809"/>
    <w:next w:val="809"/>
    <w:uiPriority w:val="0"/>
    <w:qFormat/>
    <w:pPr>
      <w:ind w:left="2940"/>
    </w:pPr>
  </w:style>
  <w:style w:type="paragraph" w:styleId="1041" w:customStyle="1">
    <w:name w:val="日期1"/>
    <w:basedOn w:val="809"/>
    <w:next w:val="809"/>
    <w:link w:val="1042"/>
    <w:uiPriority w:val="0"/>
    <w:qFormat/>
    <w:pPr>
      <w:ind w:left="100"/>
    </w:pPr>
    <w:rPr>
      <w:rFonts w:ascii="仿宋_GB2312" w:hAnsi="宋体" w:eastAsia="仿宋_GB2312"/>
      <w:color w:val="000000"/>
      <w:sz w:val="24"/>
    </w:rPr>
  </w:style>
  <w:style w:type="character" w:styleId="1042" w:customStyle="1">
    <w:name w:val="日期 Char"/>
    <w:basedOn w:val="1009"/>
    <w:link w:val="1041"/>
    <w:uiPriority w:val="0"/>
    <w:qFormat/>
    <w:rPr>
      <w:rFonts w:ascii="仿宋_GB2312" w:hAnsi="宋体" w:eastAsia="仿宋_GB2312"/>
      <w:color w:val="000000"/>
      <w:sz w:val="24"/>
      <w:szCs w:val="24"/>
    </w:rPr>
  </w:style>
  <w:style w:type="paragraph" w:styleId="1043" w:customStyle="1">
    <w:name w:val="正文文本缩进 21"/>
    <w:basedOn w:val="809"/>
    <w:link w:val="1044"/>
    <w:uiPriority w:val="0"/>
    <w:qFormat/>
    <w:pPr>
      <w:ind w:firstLine="480"/>
    </w:pPr>
    <w:rPr>
      <w:rFonts w:ascii="仿宋_GB2312" w:eastAsia="仿宋_GB2312"/>
      <w:sz w:val="24"/>
    </w:rPr>
  </w:style>
  <w:style w:type="character" w:styleId="1044" w:customStyle="1">
    <w:name w:val="正文文本缩进 2 Char"/>
    <w:basedOn w:val="1009"/>
    <w:link w:val="1043"/>
    <w:uiPriority w:val="0"/>
    <w:qFormat/>
    <w:rPr>
      <w:rFonts w:ascii="仿宋_GB2312" w:eastAsia="仿宋_GB2312"/>
      <w:sz w:val="24"/>
      <w:szCs w:val="24"/>
    </w:rPr>
  </w:style>
  <w:style w:type="paragraph" w:styleId="1045" w:customStyle="1">
    <w:name w:val="批注框文本1"/>
    <w:basedOn w:val="809"/>
    <w:link w:val="1046"/>
    <w:uiPriority w:val="0"/>
    <w:qFormat/>
    <w:rPr>
      <w:sz w:val="18"/>
      <w:szCs w:val="18"/>
    </w:rPr>
  </w:style>
  <w:style w:type="character" w:styleId="1046" w:customStyle="1">
    <w:name w:val="批注框文本 Char"/>
    <w:basedOn w:val="1009"/>
    <w:link w:val="1045"/>
    <w:uiPriority w:val="0"/>
    <w:qFormat/>
    <w:rPr>
      <w:sz w:val="18"/>
      <w:szCs w:val="18"/>
    </w:rPr>
  </w:style>
  <w:style w:type="paragraph" w:styleId="1047" w:customStyle="1">
    <w:name w:val="页脚1"/>
    <w:basedOn w:val="809"/>
    <w:link w:val="1048"/>
    <w:uiPriority w:val="99"/>
    <w:qFormat/>
    <w:pPr>
      <w:jc w:val="left"/>
      <w:tabs>
        <w:tab w:val="center" w:pos="4153" w:leader="none"/>
        <w:tab w:val="right" w:pos="8306" w:leader="none"/>
      </w:tabs>
    </w:pPr>
    <w:rPr>
      <w:rFonts w:ascii="宋体"/>
      <w:sz w:val="18"/>
      <w:szCs w:val="20"/>
    </w:rPr>
  </w:style>
  <w:style w:type="character" w:styleId="1048" w:customStyle="1">
    <w:name w:val="页脚 Char1"/>
    <w:link w:val="1047"/>
    <w:uiPriority w:val="99"/>
    <w:qFormat/>
    <w:rPr>
      <w:rFonts w:ascii="宋体" w:eastAsia="宋体"/>
      <w:sz w:val="18"/>
      <w:lang w:val="en-US" w:eastAsia="zh-CN" w:bidi="ar-SA"/>
    </w:rPr>
  </w:style>
  <w:style w:type="paragraph" w:styleId="1049" w:customStyle="1">
    <w:name w:val="页眉1"/>
    <w:basedOn w:val="809"/>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0" w:customStyle="1">
    <w:name w:val="页眉 Char1"/>
    <w:link w:val="1049"/>
    <w:uiPriority w:val="0"/>
    <w:qFormat/>
    <w:rPr>
      <w:rFonts w:eastAsia="宋体"/>
      <w:sz w:val="18"/>
      <w:szCs w:val="18"/>
      <w:lang w:val="en-US" w:eastAsia="zh-CN" w:bidi="ar-SA"/>
    </w:rPr>
  </w:style>
  <w:style w:type="paragraph" w:styleId="1051" w:customStyle="1">
    <w:name w:val="目录 11"/>
    <w:basedOn w:val="809"/>
    <w:next w:val="809"/>
    <w:uiPriority w:val="39"/>
    <w:qFormat/>
    <w:pPr>
      <w:spacing w:line="300" w:lineRule="auto"/>
      <w:tabs>
        <w:tab w:val="left" w:pos="1050" w:leader="none"/>
        <w:tab w:val="right" w:pos="8937" w:leader="dot"/>
      </w:tabs>
    </w:pPr>
    <w:rPr>
      <w:rFonts w:ascii="宋体" w:hAnsi="宋体"/>
      <w:b/>
      <w:sz w:val="24"/>
    </w:rPr>
  </w:style>
  <w:style w:type="paragraph" w:styleId="1052" w:customStyle="1">
    <w:name w:val="目录 41"/>
    <w:basedOn w:val="809"/>
    <w:next w:val="809"/>
    <w:uiPriority w:val="0"/>
    <w:qFormat/>
    <w:pPr>
      <w:ind w:left="1260"/>
    </w:pPr>
  </w:style>
  <w:style w:type="paragraph" w:styleId="1053" w:customStyle="1">
    <w:name w:val="脚注文本1"/>
    <w:basedOn w:val="809"/>
    <w:next w:val="1023"/>
    <w:uiPriority w:val="0"/>
    <w:qFormat/>
    <w:pPr>
      <w:ind w:firstLine="425"/>
      <w:jc w:val="left"/>
      <w:spacing w:before="120" w:line="360" w:lineRule="auto"/>
    </w:pPr>
    <w:rPr>
      <w:sz w:val="18"/>
      <w:szCs w:val="20"/>
    </w:rPr>
  </w:style>
  <w:style w:type="paragraph" w:styleId="1054" w:customStyle="1">
    <w:name w:val="目录 61"/>
    <w:basedOn w:val="809"/>
    <w:next w:val="809"/>
    <w:uiPriority w:val="0"/>
    <w:qFormat/>
    <w:pPr>
      <w:ind w:left="2100"/>
    </w:pPr>
  </w:style>
  <w:style w:type="paragraph" w:styleId="1055" w:customStyle="1">
    <w:name w:val="正文文本缩进 31"/>
    <w:basedOn w:val="809"/>
    <w:link w:val="1056"/>
    <w:uiPriority w:val="0"/>
    <w:qFormat/>
    <w:pPr>
      <w:ind w:left="720" w:firstLine="480"/>
      <w:jc w:val="left"/>
      <w:spacing w:before="120" w:line="22" w:lineRule="atLeast"/>
    </w:pPr>
    <w:rPr>
      <w:rFonts w:ascii="宋体"/>
      <w:sz w:val="24"/>
      <w:szCs w:val="20"/>
    </w:rPr>
  </w:style>
  <w:style w:type="character" w:styleId="1056" w:customStyle="1">
    <w:name w:val="正文文本缩进 3 Char"/>
    <w:basedOn w:val="1009"/>
    <w:link w:val="1055"/>
    <w:uiPriority w:val="0"/>
    <w:qFormat/>
    <w:rPr>
      <w:rFonts w:ascii="宋体"/>
      <w:sz w:val="24"/>
    </w:rPr>
  </w:style>
  <w:style w:type="paragraph" w:styleId="1057" w:customStyle="1">
    <w:name w:val="目录 21"/>
    <w:basedOn w:val="809"/>
    <w:next w:val="809"/>
    <w:uiPriority w:val="39"/>
    <w:qFormat/>
    <w:pPr>
      <w:ind w:left="420"/>
      <w:spacing w:line="312" w:lineRule="auto"/>
      <w:tabs>
        <w:tab w:val="right" w:pos="8937" w:leader="dot"/>
      </w:tabs>
    </w:pPr>
  </w:style>
  <w:style w:type="paragraph" w:styleId="1058" w:customStyle="1">
    <w:name w:val="目录 91"/>
    <w:basedOn w:val="809"/>
    <w:next w:val="809"/>
    <w:uiPriority w:val="0"/>
    <w:qFormat/>
    <w:pPr>
      <w:ind w:left="3360"/>
    </w:pPr>
  </w:style>
  <w:style w:type="paragraph" w:styleId="1059" w:customStyle="1">
    <w:name w:val="HTML 预设格式1"/>
    <w:basedOn w:val="809"/>
    <w:link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60" w:customStyle="1">
    <w:name w:val="HTML 预设格式 Char"/>
    <w:basedOn w:val="1009"/>
    <w:link w:val="1059"/>
    <w:uiPriority w:val="0"/>
    <w:qFormat/>
    <w:rPr>
      <w:rFonts w:ascii="宋体" w:hAnsi="宋体" w:cs="宋体"/>
      <w:sz w:val="24"/>
      <w:szCs w:val="24"/>
    </w:rPr>
  </w:style>
  <w:style w:type="paragraph" w:styleId="1061" w:customStyle="1">
    <w:name w:val="普通(网站)1"/>
    <w:basedOn w:val="809"/>
    <w:uiPriority w:val="99"/>
    <w:unhideWhenUsed/>
    <w:qFormat/>
    <w:pPr>
      <w:jc w:val="left"/>
      <w:spacing w:before="100" w:beforeAutospacing="1" w:after="100" w:afterAutospacing="1"/>
      <w:widowControl/>
    </w:pPr>
    <w:rPr>
      <w:rFonts w:ascii="宋体" w:hAnsi="宋体" w:cs="宋体"/>
      <w:sz w:val="24"/>
    </w:rPr>
  </w:style>
  <w:style w:type="paragraph" w:styleId="1062" w:customStyle="1">
    <w:name w:val="索引 11"/>
    <w:basedOn w:val="809"/>
    <w:next w:val="809"/>
    <w:uiPriority w:val="0"/>
    <w:qFormat/>
    <w:rPr>
      <w:szCs w:val="20"/>
    </w:rPr>
  </w:style>
  <w:style w:type="paragraph" w:styleId="1063" w:customStyle="1">
    <w:name w:val="标题1"/>
    <w:basedOn w:val="809"/>
    <w:link w:val="1064"/>
    <w:uiPriority w:val="0"/>
    <w:qFormat/>
    <w:pPr>
      <w:jc w:val="center"/>
      <w:outlineLvl w:val="0"/>
    </w:pPr>
    <w:rPr>
      <w:b/>
      <w:sz w:val="32"/>
      <w:szCs w:val="20"/>
    </w:rPr>
  </w:style>
  <w:style w:type="character" w:styleId="1064" w:customStyle="1">
    <w:name w:val="标题 Char1"/>
    <w:link w:val="1063"/>
    <w:uiPriority w:val="0"/>
    <w:qFormat/>
    <w:rPr>
      <w:b/>
      <w:sz w:val="32"/>
    </w:rPr>
  </w:style>
  <w:style w:type="paragraph" w:styleId="1065" w:customStyle="1">
    <w:name w:val="批注主题1"/>
    <w:basedOn w:val="1026"/>
    <w:next w:val="1026"/>
    <w:link w:val="1066"/>
    <w:uiPriority w:val="0"/>
    <w:qFormat/>
    <w:rPr>
      <w:b/>
      <w:bCs/>
    </w:rPr>
  </w:style>
  <w:style w:type="character" w:styleId="1066" w:customStyle="1">
    <w:name w:val="批注主题 Char"/>
    <w:basedOn w:val="1067"/>
    <w:link w:val="1065"/>
    <w:uiPriority w:val="0"/>
    <w:qFormat/>
    <w:rPr>
      <w:rFonts w:ascii="Times New Roman" w:hAnsi="Times New Roman" w:eastAsia="宋体" w:cs="Times New Roman"/>
      <w:b/>
      <w:bCs/>
      <w:sz w:val="21"/>
      <w:szCs w:val="24"/>
      <w:lang w:val="en-US" w:eastAsia="zh-CN" w:bidi="ar-SA"/>
    </w:rPr>
  </w:style>
  <w:style w:type="character" w:styleId="1067" w:customStyle="1">
    <w:name w:val="批注文字 字符"/>
    <w:link w:val="809"/>
    <w:uiPriority w:val="99"/>
    <w:qFormat/>
    <w:rPr>
      <w:rFonts w:ascii="Times New Roman" w:hAnsi="Times New Roman" w:eastAsia="宋体" w:cs="Times New Roman"/>
      <w:sz w:val="24"/>
      <w:lang w:val="en-US" w:eastAsia="zh-CN" w:bidi="ar-SA"/>
    </w:rPr>
  </w:style>
  <w:style w:type="paragraph" w:styleId="1068" w:customStyle="1">
    <w:name w:val="正文首行缩进 21"/>
    <w:basedOn w:val="1032"/>
    <w:next w:val="809"/>
    <w:link w:val="1069"/>
    <w:uiPriority w:val="0"/>
    <w:qFormat/>
    <w:pPr>
      <w:ind w:left="420" w:firstLine="420"/>
      <w:spacing w:after="120" w:line="480" w:lineRule="exact"/>
    </w:pPr>
    <w:rPr>
      <w:szCs w:val="20"/>
    </w:rPr>
  </w:style>
  <w:style w:type="character" w:styleId="1069" w:customStyle="1">
    <w:name w:val="正文首行缩进 2 Char"/>
    <w:basedOn w:val="1033"/>
    <w:link w:val="1068"/>
    <w:uiPriority w:val="0"/>
    <w:qFormat/>
    <w:rPr>
      <w:rFonts w:eastAsia="宋体"/>
      <w:sz w:val="24"/>
      <w:szCs w:val="24"/>
      <w:lang w:val="en-US" w:eastAsia="zh-CN" w:bidi="ar-SA"/>
    </w:rPr>
  </w:style>
  <w:style w:type="table" w:styleId="1070" w:customStyle="1">
    <w:name w:val="网格型1"/>
    <w:basedOn w:val="1010"/>
    <w:uiPriority w:val="39"/>
    <w:qFormat/>
    <w:tblPr/>
  </w:style>
  <w:style w:type="table" w:styleId="1071" w:customStyle="1">
    <w:name w:val="中等深浅网格 1 - 强调文字颜色 21"/>
    <w:basedOn w:val="1010"/>
    <w:uiPriority w:val="0"/>
    <w:qFormat/>
    <w:rPr>
      <w:sz w:val="21"/>
      <w:szCs w:val="24"/>
    </w:rPr>
    <w:tblPr/>
  </w:style>
  <w:style w:type="character" w:styleId="1072" w:customStyle="1">
    <w:name w:val="要点1"/>
    <w:link w:val="809"/>
    <w:uiPriority w:val="0"/>
    <w:qFormat/>
    <w:rPr>
      <w:b/>
      <w:bCs/>
    </w:rPr>
  </w:style>
  <w:style w:type="character" w:styleId="1073" w:customStyle="1">
    <w:name w:val="页码1"/>
    <w:basedOn w:val="1009"/>
    <w:link w:val="809"/>
    <w:uiPriority w:val="0"/>
    <w:qFormat/>
  </w:style>
  <w:style w:type="character" w:styleId="1074" w:customStyle="1">
    <w:name w:val="已访问的超链接1"/>
    <w:link w:val="809"/>
    <w:uiPriority w:val="0"/>
    <w:qFormat/>
    <w:rPr>
      <w:color w:val="800080"/>
      <w:u w:val="single"/>
    </w:rPr>
  </w:style>
  <w:style w:type="character" w:styleId="1075" w:customStyle="1">
    <w:name w:val="强调1"/>
    <w:link w:val="809"/>
    <w:uiPriority w:val="0"/>
    <w:qFormat/>
    <w:rPr>
      <w:color w:val="cc0033"/>
    </w:rPr>
  </w:style>
  <w:style w:type="character" w:styleId="1076" w:customStyle="1">
    <w:name w:val="超链接1"/>
    <w:link w:val="809"/>
    <w:uiPriority w:val="99"/>
    <w:qFormat/>
    <w:rPr>
      <w:color w:val="0000ff"/>
      <w:u w:val="single"/>
    </w:rPr>
  </w:style>
  <w:style w:type="character" w:styleId="1077" w:customStyle="1">
    <w:name w:val="批注引用1"/>
    <w:link w:val="809"/>
    <w:uiPriority w:val="99"/>
    <w:qFormat/>
    <w:rPr>
      <w:sz w:val="21"/>
      <w:szCs w:val="21"/>
    </w:rPr>
  </w:style>
  <w:style w:type="character" w:styleId="1078" w:customStyle="1">
    <w:name w:val="HTML 引文1"/>
    <w:link w:val="809"/>
    <w:uiPriority w:val="0"/>
    <w:qFormat/>
    <w:rPr>
      <w:i/>
      <w:iCs/>
    </w:rPr>
  </w:style>
  <w:style w:type="paragraph" w:styleId="1079" w:customStyle="1">
    <w:name w:val="首行缩进"/>
    <w:basedOn w:val="809"/>
    <w:uiPriority w:val="0"/>
    <w:qFormat/>
    <w:pPr>
      <w:ind w:firstLine="720"/>
    </w:pPr>
    <w:rPr>
      <w:sz w:val="24"/>
    </w:rPr>
  </w:style>
  <w:style w:type="paragraph" w:styleId="1080"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1081" w:customStyle="1">
    <w:name w:val="Normal_0"/>
    <w:next w:val="1030"/>
    <w:uiPriority w:val="0"/>
    <w:qFormat/>
    <w:pPr>
      <w:jc w:val="both"/>
      <w:widowControl w:val="off"/>
    </w:pPr>
    <w:rPr>
      <w:rFonts w:hint="default" w:ascii="Calibri" w:hAnsi="Calibri" w:eastAsia="Times New Roman" w:cs="Times New Roman"/>
      <w:lang w:val="en-US" w:eastAsia="zh-CN" w:bidi="ar-SA"/>
    </w:rPr>
  </w:style>
  <w:style w:type="character" w:styleId="1082" w:customStyle="1">
    <w:name w:val="street-address"/>
    <w:basedOn w:val="1009"/>
    <w:link w:val="809"/>
    <w:uiPriority w:val="0"/>
    <w:qFormat/>
  </w:style>
  <w:style w:type="character" w:styleId="1083" w:customStyle="1">
    <w:name w:val="注释 Char"/>
    <w:link w:val="1084"/>
    <w:uiPriority w:val="0"/>
    <w:qFormat/>
    <w:rPr>
      <w:rFonts w:ascii="宋体" w:hAnsi="宋体"/>
      <w:sz w:val="21"/>
      <w:szCs w:val="21"/>
    </w:rPr>
  </w:style>
  <w:style w:type="paragraph" w:styleId="1084" w:customStyle="1">
    <w:name w:val="注释"/>
    <w:basedOn w:val="809"/>
    <w:link w:val="1083"/>
    <w:uiPriority w:val="0"/>
    <w:qFormat/>
    <w:pPr>
      <w:ind w:left="420" w:hanging="420"/>
      <w:jc w:val="left"/>
    </w:pPr>
    <w:rPr>
      <w:rFonts w:ascii="宋体" w:hAnsi="宋体"/>
      <w:szCs w:val="21"/>
    </w:rPr>
  </w:style>
  <w:style w:type="character" w:styleId="1085" w:customStyle="1">
    <w:name w:val="locality"/>
    <w:basedOn w:val="1009"/>
    <w:link w:val="809"/>
    <w:uiPriority w:val="0"/>
    <w:qFormat/>
  </w:style>
  <w:style w:type="character" w:styleId="1086" w:customStyle="1">
    <w:name w:val="标题 Char"/>
    <w:link w:val="809"/>
    <w:uiPriority w:val="0"/>
    <w:qFormat/>
    <w:rPr>
      <w:b/>
      <w:sz w:val="32"/>
    </w:rPr>
  </w:style>
  <w:style w:type="character" w:styleId="1087" w:customStyle="1">
    <w:name w:val="标题 2 Char"/>
    <w:link w:val="809"/>
    <w:uiPriority w:val="0"/>
    <w:qFormat/>
    <w:rPr>
      <w:rFonts w:ascii="Arial" w:hAnsi="Arial" w:eastAsia="黑体"/>
      <w:b/>
      <w:sz w:val="30"/>
      <w:lang w:val="en-US" w:eastAsia="zh-CN" w:bidi="ar-SA"/>
    </w:rPr>
  </w:style>
  <w:style w:type="character" w:styleId="1088" w:customStyle="1">
    <w:name w:val="纯文本 Char1"/>
    <w:link w:val="809"/>
    <w:uiPriority w:val="0"/>
    <w:qFormat/>
    <w:rPr>
      <w:rFonts w:ascii="宋体" w:hAnsi="Courier New" w:eastAsia="宋体"/>
      <w:sz w:val="21"/>
      <w:lang w:val="en-US" w:eastAsia="zh-CN" w:bidi="ar-SA"/>
    </w:rPr>
  </w:style>
  <w:style w:type="character" w:styleId="1089" w:customStyle="1">
    <w:name w:val="Char Char11"/>
    <w:link w:val="809"/>
    <w:uiPriority w:val="0"/>
    <w:qFormat/>
    <w:rPr>
      <w:rFonts w:ascii="宋体" w:eastAsia="宋体"/>
      <w:b/>
      <w:sz w:val="24"/>
      <w:u w:val="single"/>
      <w:lang w:val="en-US" w:eastAsia="zh-CN" w:bidi="ar-SA"/>
    </w:rPr>
  </w:style>
  <w:style w:type="character" w:styleId="1090" w:customStyle="1">
    <w:name w:val="页脚 Char"/>
    <w:link w:val="809"/>
    <w:uiPriority w:val="0"/>
    <w:qFormat/>
    <w:rPr>
      <w:rFonts w:ascii="宋体" w:eastAsia="宋体"/>
      <w:sz w:val="18"/>
      <w:lang w:val="en-US" w:eastAsia="zh-CN" w:bidi="ar-SA"/>
    </w:rPr>
  </w:style>
  <w:style w:type="character" w:styleId="1091" w:customStyle="1">
    <w:name w:val="列出段落 Char"/>
    <w:link w:val="809"/>
    <w:uiPriority w:val="0"/>
    <w:qFormat/>
    <w:rPr>
      <w:rFonts w:ascii="Calibri" w:hAnsi="Calibri" w:eastAsia="宋体"/>
      <w:sz w:val="21"/>
      <w:szCs w:val="22"/>
      <w:lang w:val="en-US" w:eastAsia="zh-CN" w:bidi="ar-SA"/>
    </w:rPr>
  </w:style>
  <w:style w:type="character" w:styleId="1092" w:customStyle="1">
    <w:name w:val="纯文本 字符1"/>
    <w:link w:val="809"/>
    <w:uiPriority w:val="0"/>
    <w:qFormat/>
    <w:rPr>
      <w:rFonts w:ascii="宋体" w:hAnsi="Courier New"/>
    </w:rPr>
  </w:style>
  <w:style w:type="character" w:styleId="1093" w:customStyle="1">
    <w:name w:val="chanpin1"/>
    <w:link w:val="809"/>
    <w:uiPriority w:val="0"/>
    <w:qFormat/>
    <w:rPr>
      <w:rFonts w:ascii="ˎ̥" w:hAnsi="ˎ̥"/>
      <w:color w:val="000000"/>
      <w:sz w:val="20"/>
      <w:szCs w:val="20"/>
      <w:u w:val="none"/>
    </w:rPr>
  </w:style>
  <w:style w:type="character" w:styleId="1094" w:customStyle="1">
    <w:name w:val="apple-style-span"/>
    <w:link w:val="809"/>
    <w:uiPriority w:val="0"/>
    <w:qFormat/>
    <w:rPr>
      <w:rFonts w:cs="Times New Roman"/>
    </w:rPr>
  </w:style>
  <w:style w:type="character" w:styleId="1095" w:customStyle="1">
    <w:name w:val="c21"/>
    <w:link w:val="809"/>
    <w:uiPriority w:val="0"/>
    <w:qFormat/>
    <w:rPr>
      <w:rFonts w:ascii="ˎ̥" w:hAnsi="ˎ̥"/>
      <w:color w:val="000000"/>
      <w:sz w:val="20"/>
      <w:szCs w:val="20"/>
      <w:u w:val="none"/>
    </w:rPr>
  </w:style>
  <w:style w:type="character" w:styleId="1096" w:customStyle="1">
    <w:name w:val="正文缩进 Char Char"/>
    <w:link w:val="1097"/>
    <w:uiPriority w:val="0"/>
    <w:qFormat/>
    <w:rPr>
      <w:rFonts w:ascii="宋体" w:eastAsia="宋体"/>
      <w:color w:val="000000"/>
      <w:sz w:val="28"/>
      <w:lang w:bidi="ar-SA"/>
    </w:rPr>
  </w:style>
  <w:style w:type="paragraph" w:styleId="1097" w:customStyle="1">
    <w:name w:val="正文缩进1"/>
    <w:basedOn w:val="809"/>
    <w:link w:val="1096"/>
    <w:uiPriority w:val="0"/>
    <w:qFormat/>
    <w:pPr>
      <w:ind w:firstLine="567"/>
      <w:spacing w:line="480" w:lineRule="exact"/>
      <w:widowControl/>
    </w:pPr>
    <w:rPr>
      <w:rFonts w:ascii="宋体"/>
      <w:color w:val="000000"/>
      <w:sz w:val="28"/>
      <w:szCs w:val="20"/>
    </w:rPr>
  </w:style>
  <w:style w:type="character" w:styleId="1098" w:customStyle="1">
    <w:name w:val="标题 2 Char Char"/>
    <w:link w:val="809"/>
    <w:uiPriority w:val="0"/>
    <w:qFormat/>
    <w:rPr>
      <w:rFonts w:ascii="Arial" w:hAnsi="Arial" w:eastAsia="黑体"/>
      <w:b/>
      <w:bCs/>
      <w:sz w:val="32"/>
      <w:szCs w:val="32"/>
      <w:lang w:val="en-US" w:eastAsia="zh-CN" w:bidi="ar-SA"/>
    </w:rPr>
  </w:style>
  <w:style w:type="character" w:styleId="1099" w:customStyle="1">
    <w:name w:val="段1 Char"/>
    <w:link w:val="809"/>
    <w:uiPriority w:val="0"/>
    <w:qFormat/>
    <w:rPr>
      <w:rFonts w:ascii="宋体" w:eastAsia="宋体"/>
      <w:sz w:val="24"/>
      <w:lang w:val="en-US" w:eastAsia="zh-CN" w:bidi="ar-SA"/>
    </w:rPr>
  </w:style>
  <w:style w:type="character" w:styleId="1100" w:customStyle="1">
    <w:name w:val="成文日期 Char"/>
    <w:link w:val="1101"/>
    <w:uiPriority w:val="0"/>
    <w:qFormat/>
    <w:rPr>
      <w:rFonts w:ascii="仿宋_GB2312" w:eastAsia="仿宋_GB2312"/>
      <w:sz w:val="32"/>
    </w:rPr>
  </w:style>
  <w:style w:type="paragraph" w:styleId="1101" w:customStyle="1">
    <w:name w:val="成文日期"/>
    <w:basedOn w:val="809"/>
    <w:link w:val="1100"/>
    <w:uiPriority w:val="0"/>
    <w:qFormat/>
    <w:pPr>
      <w:ind w:right="400" w:firstLine="200"/>
      <w:jc w:val="right"/>
      <w:spacing w:line="570" w:lineRule="exact"/>
    </w:pPr>
    <w:rPr>
      <w:rFonts w:ascii="仿宋_GB2312" w:eastAsia="仿宋_GB2312"/>
      <w:sz w:val="32"/>
      <w:szCs w:val="20"/>
    </w:rPr>
  </w:style>
  <w:style w:type="character" w:styleId="1102" w:customStyle="1">
    <w:name w:val="中等深浅网格 1 - 强调文字颜色 2 Char"/>
    <w:link w:val="1103"/>
    <w:uiPriority w:val="0"/>
    <w:qFormat/>
    <w:rPr>
      <w:sz w:val="21"/>
      <w:szCs w:val="24"/>
      <w:lang w:val="zh-CN" w:eastAsia="zh-CN" w:bidi="ar-SA"/>
    </w:rPr>
  </w:style>
  <w:style w:type="paragraph" w:styleId="1103" w:customStyle="1">
    <w:name w:val="1"/>
    <w:link w:val="1102"/>
    <w:uiPriority w:val="0"/>
    <w:qFormat/>
    <w:rPr>
      <w:rFonts w:hint="default" w:ascii="Times New Roman" w:hAnsi="Times New Roman" w:eastAsia="宋体" w:cs="Times New Roman"/>
      <w:sz w:val="21"/>
      <w:szCs w:val="24"/>
      <w:lang w:val="zh-CN" w:eastAsia="zh-CN" w:bidi="ar-SA"/>
    </w:rPr>
  </w:style>
  <w:style w:type="character" w:styleId="1104" w:customStyle="1">
    <w:name w:val="标题 3 Char Char"/>
    <w:link w:val="809"/>
    <w:uiPriority w:val="0"/>
    <w:qFormat/>
    <w:rPr>
      <w:rFonts w:eastAsia="宋体"/>
      <w:b/>
      <w:bCs/>
      <w:sz w:val="32"/>
      <w:szCs w:val="32"/>
      <w:lang w:val="en-US" w:eastAsia="zh-CN" w:bidi="ar-SA"/>
    </w:rPr>
  </w:style>
  <w:style w:type="character" w:styleId="1105" w:customStyle="1">
    <w:name w:val="txt"/>
    <w:basedOn w:val="1009"/>
    <w:link w:val="809"/>
    <w:uiPriority w:val="0"/>
    <w:qFormat/>
  </w:style>
  <w:style w:type="character" w:styleId="1106" w:customStyle="1">
    <w:name w:val="纯文本 字符"/>
    <w:link w:val="809"/>
    <w:uiPriority w:val="99"/>
    <w:qFormat/>
    <w:rPr>
      <w:rFonts w:ascii="宋体" w:hAnsi="Courier New" w:eastAsia="宋体" w:cs="Times New Roman"/>
      <w:sz w:val="21"/>
      <w:szCs w:val="21"/>
      <w:lang w:val="en-US" w:eastAsia="zh-CN" w:bidi="ar-SA"/>
    </w:rPr>
  </w:style>
  <w:style w:type="character" w:styleId="1107" w:customStyle="1">
    <w:name w:val="正文大标题 Char"/>
    <w:link w:val="1108"/>
    <w:uiPriority w:val="0"/>
    <w:qFormat/>
    <w:rPr>
      <w:rFonts w:ascii="宋体" w:hAnsi="宋体"/>
      <w:b/>
      <w:color w:val="000000"/>
      <w:sz w:val="28"/>
      <w:szCs w:val="21"/>
    </w:rPr>
  </w:style>
  <w:style w:type="paragraph" w:styleId="1108" w:customStyle="1">
    <w:name w:val="正文大标题"/>
    <w:basedOn w:val="1109"/>
    <w:next w:val="1001"/>
    <w:link w:val="1107"/>
    <w:uiPriority w:val="0"/>
    <w:qFormat/>
    <w:pPr>
      <w:jc w:val="center"/>
    </w:pPr>
    <w:rPr>
      <w:i w:val="0"/>
      <w:color w:val="000000"/>
      <w:sz w:val="28"/>
      <w:szCs w:val="21"/>
    </w:rPr>
  </w:style>
  <w:style w:type="paragraph" w:styleId="1109" w:customStyle="1">
    <w:name w:val="正文小标题"/>
    <w:basedOn w:val="809"/>
    <w:next w:val="1001"/>
    <w:link w:val="1110"/>
    <w:uiPriority w:val="0"/>
    <w:qFormat/>
    <w:pPr>
      <w:ind w:firstLine="482"/>
      <w:jc w:val="left"/>
      <w:spacing w:before="312" w:after="312"/>
    </w:pPr>
    <w:rPr>
      <w:rFonts w:ascii="宋体" w:hAnsi="宋体"/>
      <w:b/>
      <w:i/>
      <w:color w:val="ff0000"/>
      <w:sz w:val="24"/>
      <w:szCs w:val="20"/>
    </w:rPr>
  </w:style>
  <w:style w:type="character" w:styleId="1110" w:customStyle="1">
    <w:name w:val="正文小标题 Char"/>
    <w:link w:val="1109"/>
    <w:uiPriority w:val="0"/>
    <w:qFormat/>
    <w:rPr>
      <w:rFonts w:ascii="宋体" w:hAnsi="宋体"/>
      <w:b/>
      <w:i/>
      <w:color w:val="ff0000"/>
      <w:sz w:val="24"/>
    </w:rPr>
  </w:style>
  <w:style w:type="character" w:styleId="1111" w:customStyle="1">
    <w:name w:val="正文格式 Char"/>
    <w:link w:val="1112"/>
    <w:uiPriority w:val="0"/>
    <w:qFormat/>
    <w:rPr>
      <w:rFonts w:ascii="宋体" w:hAnsi="宋体"/>
      <w:sz w:val="24"/>
      <w:szCs w:val="24"/>
      <w:lang w:val="en-GB"/>
    </w:rPr>
  </w:style>
  <w:style w:type="paragraph" w:styleId="1112" w:customStyle="1">
    <w:name w:val="正文格式"/>
    <w:basedOn w:val="809"/>
    <w:link w:val="1111"/>
    <w:uiPriority w:val="0"/>
    <w:qFormat/>
    <w:pPr>
      <w:ind w:firstLine="480"/>
      <w:spacing w:line="360" w:lineRule="auto"/>
    </w:pPr>
    <w:rPr>
      <w:rFonts w:ascii="宋体" w:hAnsi="宋体"/>
      <w:sz w:val="24"/>
      <w:lang w:val="en-GB"/>
    </w:rPr>
  </w:style>
  <w:style w:type="character" w:styleId="1113" w:customStyle="1">
    <w:name w:val="title4"/>
    <w:link w:val="809"/>
    <w:uiPriority w:val="0"/>
    <w:qFormat/>
    <w:rPr>
      <w:b/>
      <w:bCs/>
      <w:color w:val="1d87b3"/>
      <w:sz w:val="15"/>
      <w:szCs w:val="15"/>
    </w:rPr>
  </w:style>
  <w:style w:type="character" w:styleId="1114" w:customStyle="1">
    <w:name w:val="列出段落 Char1"/>
    <w:link w:val="1115"/>
    <w:uiPriority w:val="34"/>
    <w:qFormat/>
    <w:rPr>
      <w:rFonts w:ascii="Calibri" w:hAnsi="Calibri" w:eastAsia="宋体"/>
      <w:sz w:val="21"/>
      <w:szCs w:val="22"/>
      <w:lang w:val="en-US" w:eastAsia="zh-CN" w:bidi="ar-SA"/>
    </w:rPr>
  </w:style>
  <w:style w:type="paragraph" w:styleId="1115" w:customStyle="1">
    <w:name w:val="列出段落"/>
    <w:basedOn w:val="809"/>
    <w:link w:val="1114"/>
    <w:uiPriority w:val="34"/>
    <w:qFormat/>
    <w:pPr>
      <w:ind w:firstLine="420"/>
    </w:pPr>
    <w:rPr>
      <w:rFonts w:ascii="Calibri" w:hAnsi="Calibri"/>
      <w:szCs w:val="22"/>
    </w:rPr>
  </w:style>
  <w:style w:type="character" w:styleId="1116" w:customStyle="1">
    <w:name w:val="批注文字 Char"/>
    <w:link w:val="809"/>
    <w:uiPriority w:val="99"/>
    <w:qFormat/>
    <w:rPr>
      <w:sz w:val="21"/>
      <w:szCs w:val="24"/>
    </w:rPr>
  </w:style>
  <w:style w:type="character" w:styleId="1117" w:customStyle="1">
    <w:name w:val="chanpin拷贝"/>
    <w:basedOn w:val="1009"/>
    <w:link w:val="809"/>
    <w:uiPriority w:val="0"/>
    <w:qFormat/>
  </w:style>
  <w:style w:type="character" w:styleId="1118" w:customStyle="1">
    <w:name w:val="普通文字1 Char1"/>
    <w:link w:val="809"/>
    <w:uiPriority w:val="0"/>
    <w:qFormat/>
    <w:rPr>
      <w:rFonts w:ascii="宋体" w:hAnsi="Courier New" w:eastAsia="宋体"/>
      <w:sz w:val="21"/>
      <w:lang w:val="en-US" w:eastAsia="zh-CN" w:bidi="ar-SA"/>
    </w:rPr>
  </w:style>
  <w:style w:type="character" w:styleId="1119" w:customStyle="1">
    <w:name w:val="正文表格 Char"/>
    <w:link w:val="1120"/>
    <w:uiPriority w:val="0"/>
    <w:qFormat/>
    <w:rPr>
      <w:rFonts w:ascii="宋体" w:hAnsi="宋体"/>
      <w:color w:val="000000"/>
      <w:sz w:val="21"/>
      <w:szCs w:val="21"/>
    </w:rPr>
  </w:style>
  <w:style w:type="paragraph" w:styleId="1120" w:customStyle="1">
    <w:name w:val="正文表格"/>
    <w:basedOn w:val="809"/>
    <w:link w:val="1119"/>
    <w:uiPriority w:val="0"/>
    <w:qFormat/>
    <w:pPr>
      <w:jc w:val="left"/>
    </w:pPr>
    <w:rPr>
      <w:rFonts w:ascii="宋体" w:hAnsi="宋体"/>
      <w:color w:val="000000"/>
      <w:szCs w:val="21"/>
    </w:rPr>
  </w:style>
  <w:style w:type="character" w:styleId="1121" w:customStyle="1">
    <w:name w:val="正文缩进 Char"/>
    <w:link w:val="809"/>
    <w:uiPriority w:val="0"/>
    <w:qFormat/>
    <w:rPr>
      <w:rFonts w:ascii="宋体" w:eastAsia="宋体"/>
      <w:sz w:val="24"/>
      <w:szCs w:val="24"/>
      <w:lang w:val="en-US" w:eastAsia="zh-CN" w:bidi="ar-SA"/>
    </w:rPr>
  </w:style>
  <w:style w:type="character" w:styleId="1122" w:customStyle="1">
    <w:name w:val="页眉 Char"/>
    <w:link w:val="809"/>
    <w:uiPriority w:val="0"/>
    <w:qFormat/>
    <w:rPr>
      <w:rFonts w:eastAsia="宋体"/>
      <w:sz w:val="18"/>
      <w:szCs w:val="18"/>
      <w:lang w:val="en-US" w:eastAsia="zh-CN" w:bidi="ar-SA"/>
    </w:rPr>
  </w:style>
  <w:style w:type="character" w:styleId="1123" w:customStyle="1">
    <w:name w:val="black1"/>
    <w:link w:val="809"/>
    <w:uiPriority w:val="0"/>
    <w:qFormat/>
    <w:rPr>
      <w:color w:val="000000"/>
    </w:rPr>
  </w:style>
  <w:style w:type="character" w:styleId="1124" w:customStyle="1">
    <w:name w:val="正文文本缩进 Char"/>
    <w:link w:val="809"/>
    <w:uiPriority w:val="0"/>
    <w:qFormat/>
    <w:rPr>
      <w:rFonts w:eastAsia="宋体"/>
      <w:sz w:val="24"/>
      <w:szCs w:val="24"/>
      <w:lang w:val="en-US" w:eastAsia="zh-CN" w:bidi="ar-SA"/>
    </w:rPr>
  </w:style>
  <w:style w:type="character" w:styleId="1125" w:customStyle="1">
    <w:name w:val="正文文本缩进 Char1"/>
    <w:link w:val="1126"/>
    <w:uiPriority w:val="0"/>
    <w:qFormat/>
    <w:rPr>
      <w:rFonts w:ascii="宋体" w:hAnsi="宋体" w:eastAsia="宋体"/>
      <w:sz w:val="24"/>
      <w:szCs w:val="24"/>
      <w:lang w:bidi="ar-SA"/>
    </w:rPr>
  </w:style>
  <w:style w:type="paragraph" w:styleId="1126" w:customStyle="1">
    <w:name w:val="正文文本缩进1"/>
    <w:basedOn w:val="809"/>
    <w:link w:val="1125"/>
    <w:uiPriority w:val="0"/>
    <w:qFormat/>
    <w:pPr>
      <w:ind w:firstLine="480"/>
      <w:spacing w:line="480" w:lineRule="exact"/>
    </w:pPr>
    <w:rPr>
      <w:rFonts w:ascii="宋体" w:hAnsi="宋体"/>
      <w:sz w:val="24"/>
    </w:rPr>
  </w:style>
  <w:style w:type="character" w:styleId="1127" w:customStyle="1">
    <w:name w:val="正文重点 Char"/>
    <w:link w:val="1128"/>
    <w:uiPriority w:val="0"/>
    <w:qFormat/>
    <w:rPr>
      <w:b/>
      <w:sz w:val="24"/>
    </w:rPr>
  </w:style>
  <w:style w:type="paragraph" w:styleId="1128" w:customStyle="1">
    <w:name w:val="正文重点"/>
    <w:basedOn w:val="809"/>
    <w:link w:val="1127"/>
    <w:uiPriority w:val="0"/>
    <w:qFormat/>
    <w:pPr>
      <w:ind w:firstLine="482"/>
      <w:jc w:val="left"/>
      <w:spacing w:line="360" w:lineRule="auto"/>
    </w:pPr>
    <w:rPr>
      <w:b/>
      <w:sz w:val="24"/>
      <w:szCs w:val="20"/>
    </w:rPr>
  </w:style>
  <w:style w:type="character" w:styleId="1129" w:customStyle="1">
    <w:name w:val="标题 3 Char"/>
    <w:link w:val="809"/>
    <w:uiPriority w:val="0"/>
    <w:qFormat/>
    <w:rPr>
      <w:rFonts w:ascii="宋体" w:eastAsia="宋体"/>
      <w:b/>
      <w:sz w:val="24"/>
      <w:u w:val="single"/>
      <w:lang w:val="en-US" w:eastAsia="zh-CN" w:bidi="ar-SA"/>
    </w:rPr>
  </w:style>
  <w:style w:type="character" w:styleId="1130" w:customStyle="1">
    <w:name w:val="Char Char111"/>
    <w:link w:val="809"/>
    <w:uiPriority w:val="0"/>
    <w:qFormat/>
    <w:rPr>
      <w:rFonts w:ascii="宋体" w:eastAsia="宋体"/>
      <w:b/>
      <w:sz w:val="24"/>
      <w:u w:val="single"/>
      <w:lang w:val="en-US" w:eastAsia="zh-CN" w:bidi="ar-SA"/>
    </w:rPr>
  </w:style>
  <w:style w:type="character" w:styleId="1131" w:customStyle="1">
    <w:name w:val="bjh-p"/>
    <w:link w:val="809"/>
    <w:uiPriority w:val="0"/>
    <w:qFormat/>
  </w:style>
  <w:style w:type="paragraph" w:styleId="1132" w:customStyle="1">
    <w:name w:val="xl36"/>
    <w:basedOn w:val="80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customStyle="1">
    <w:name w:val="font5"/>
    <w:basedOn w:val="809"/>
    <w:uiPriority w:val="0"/>
    <w:qFormat/>
    <w:pPr>
      <w:jc w:val="left"/>
      <w:spacing w:before="100" w:beforeAutospacing="1" w:after="100" w:afterAutospacing="1"/>
      <w:widowControl/>
    </w:pPr>
    <w:rPr>
      <w:rFonts w:ascii="宋体" w:hAnsi="宋体" w:cs="宋体"/>
      <w:sz w:val="18"/>
      <w:szCs w:val="18"/>
    </w:rPr>
  </w:style>
  <w:style w:type="paragraph" w:styleId="1134" w:customStyle="1">
    <w:name w:val="图中文字"/>
    <w:basedOn w:val="809"/>
    <w:uiPriority w:val="0"/>
    <w:qFormat/>
    <w:pPr>
      <w:jc w:val="center"/>
      <w:spacing w:line="0" w:lineRule="atLeast"/>
    </w:pPr>
    <w:rPr>
      <w:sz w:val="24"/>
      <w:szCs w:val="20"/>
    </w:rPr>
  </w:style>
  <w:style w:type="paragraph" w:styleId="1135" w:customStyle="1">
    <w:name w:val="1 Char Char Char Char"/>
    <w:basedOn w:val="809"/>
    <w:uiPriority w:val="0"/>
    <w:qFormat/>
    <w:rPr>
      <w:rFonts w:ascii="Tahoma" w:hAnsi="Tahoma"/>
      <w:sz w:val="24"/>
      <w:szCs w:val="20"/>
    </w:rPr>
  </w:style>
  <w:style w:type="paragraph" w:styleId="1136" w:customStyle="1">
    <w:name w:val="正文列项_字母"/>
    <w:basedOn w:val="80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7" w:customStyle="1">
    <w:name w:val="正文须知-2级"/>
    <w:basedOn w:val="809"/>
    <w:uiPriority w:val="0"/>
    <w:qFormat/>
    <w:pPr>
      <w:numPr>
        <w:ilvl w:val="1"/>
        <w:numId w:val="2"/>
      </w:numPr>
      <w:spacing w:line="300" w:lineRule="auto"/>
    </w:pPr>
    <w:rPr>
      <w:rFonts w:ascii="宋体" w:hAnsi="Calibri"/>
      <w:sz w:val="24"/>
      <w:szCs w:val="21"/>
    </w:rPr>
  </w:style>
  <w:style w:type="paragraph" w:styleId="1138" w:customStyle="1">
    <w:name w:val="Char1 Char Char Char1"/>
    <w:basedOn w:val="809"/>
    <w:uiPriority w:val="0"/>
    <w:qFormat/>
    <w:rPr>
      <w:rFonts w:ascii="Tahoma" w:hAnsi="Tahoma" w:cs="仿宋_GB2312"/>
      <w:sz w:val="24"/>
      <w:szCs w:val="28"/>
    </w:rPr>
  </w:style>
  <w:style w:type="paragraph" w:styleId="1139" w:customStyle="1">
    <w:name w:val="xl30"/>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customStyle="1">
    <w:name w:val="二级条标题"/>
    <w:basedOn w:val="1141"/>
    <w:next w:val="80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1" w:customStyle="1">
    <w:name w:val="一级条标题"/>
    <w:basedOn w:val="1142"/>
    <w:next w:val="809"/>
    <w:uiPriority w:val="0"/>
    <w:qFormat/>
    <w:pPr>
      <w:numPr>
        <w:ilvl w:val="1"/>
      </w:numPr>
      <w:ind w:left="0" w:hanging="840"/>
      <w:tabs>
        <w:tab w:val="left" w:pos="360" w:leader="none"/>
        <w:tab w:val="left" w:pos="840" w:leader="none"/>
      </w:tabs>
      <w:outlineLvl w:val="1"/>
    </w:pPr>
  </w:style>
  <w:style w:type="paragraph" w:styleId="1142" w:customStyle="1">
    <w:name w:val="章标题"/>
    <w:next w:val="80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43" w:customStyle="1">
    <w:name w:val="xl2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4" w:customStyle="1">
    <w:name w:val="正文文本样式"/>
    <w:basedOn w:val="809"/>
    <w:uiPriority w:val="0"/>
    <w:qFormat/>
    <w:pPr>
      <w:ind w:firstLine="482"/>
      <w:spacing w:line="360" w:lineRule="auto"/>
    </w:pPr>
    <w:rPr>
      <w:rFonts w:cs="宋体"/>
      <w:sz w:val="24"/>
      <w:szCs w:val="20"/>
    </w:rPr>
  </w:style>
  <w:style w:type="paragraph" w:styleId="1145" w:customStyle="1">
    <w:name w:val="Char2 Char Char Char Char Char Char"/>
    <w:basedOn w:val="809"/>
    <w:uiPriority w:val="0"/>
    <w:qFormat/>
    <w:pPr>
      <w:jc w:val="center"/>
      <w:spacing w:line="400" w:lineRule="exact"/>
      <w:widowControl/>
    </w:pPr>
  </w:style>
  <w:style w:type="paragraph" w:styleId="1146" w:customStyle="1">
    <w:name w:val="Char Char1 Char Char Char Char Char Char Char Char"/>
    <w:basedOn w:val="809"/>
    <w:uiPriority w:val="0"/>
    <w:qFormat/>
    <w:pPr>
      <w:jc w:val="left"/>
      <w:spacing w:after="160" w:line="240" w:lineRule="exact"/>
      <w:widowControl/>
    </w:pPr>
    <w:rPr>
      <w:rFonts w:ascii="Verdana" w:hAnsi="Verdana"/>
      <w:sz w:val="20"/>
      <w:szCs w:val="20"/>
      <w:lang w:eastAsia="en-US"/>
    </w:rPr>
  </w:style>
  <w:style w:type="paragraph" w:styleId="1147" w:customStyle="1">
    <w:name w:val="正文列项_数字"/>
    <w:basedOn w:val="80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48" w:customStyle="1">
    <w:name w:val="表格1"/>
    <w:basedOn w:val="809"/>
    <w:uiPriority w:val="0"/>
    <w:qFormat/>
    <w:pPr>
      <w:ind w:firstLine="480"/>
      <w:jc w:val="center"/>
    </w:pPr>
    <w:rPr>
      <w:sz w:val="24"/>
      <w:szCs w:val="20"/>
    </w:rPr>
  </w:style>
  <w:style w:type="paragraph" w:styleId="1149" w:customStyle="1">
    <w:name w:val="纯文本1"/>
    <w:uiPriority w:val="0"/>
    <w:qFormat/>
    <w:pPr>
      <w:jc w:val="both"/>
      <w:widowControl w:val="off"/>
    </w:pPr>
    <w:rPr>
      <w:rFonts w:hint="default" w:ascii="宋体" w:hAnsi="宋体" w:eastAsia="宋体" w:cs="Times New Roman"/>
      <w:sz w:val="26"/>
      <w:lang w:val="en-US" w:eastAsia="zh-CN" w:bidi="ar-SA"/>
    </w:rPr>
  </w:style>
  <w:style w:type="paragraph" w:styleId="1150" w:customStyle="1">
    <w:name w:val="xl23"/>
    <w:basedOn w:val="809"/>
    <w:uiPriority w:val="0"/>
    <w:qFormat/>
    <w:pPr>
      <w:spacing w:before="100" w:beforeAutospacing="1" w:after="100" w:afterAutospacing="1" w:line="360" w:lineRule="auto"/>
      <w:widowControl/>
    </w:pPr>
    <w:rPr>
      <w:sz w:val="24"/>
      <w:szCs w:val="20"/>
    </w:rPr>
  </w:style>
  <w:style w:type="paragraph" w:styleId="1151" w:customStyle="1">
    <w:name w:val="项目符号1"/>
    <w:basedOn w:val="1144"/>
    <w:uiPriority w:val="0"/>
    <w:qFormat/>
    <w:pPr>
      <w:ind w:left="-25" w:firstLine="0"/>
    </w:pPr>
  </w:style>
  <w:style w:type="paragraph" w:styleId="1152" w:customStyle="1">
    <w:name w:val="正文 + 宋体"/>
    <w:basedOn w:val="809"/>
    <w:uiPriority w:val="0"/>
    <w:qFormat/>
    <w:pPr>
      <w:ind w:left="360" w:hanging="360"/>
      <w:jc w:val="left"/>
      <w:widowControl/>
    </w:pPr>
    <w:rPr>
      <w:rFonts w:ascii="宋体" w:hAnsi="宋体" w:cs="宋体"/>
      <w:b/>
      <w:bCs/>
      <w:color w:val="000000"/>
      <w:sz w:val="18"/>
      <w:szCs w:val="18"/>
    </w:rPr>
  </w:style>
  <w:style w:type="paragraph" w:styleId="1153" w:customStyle="1">
    <w:name w:val="xl52"/>
    <w:basedOn w:val="8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4" w:customStyle="1">
    <w:name w:val="图文"/>
    <w:basedOn w:val="809"/>
    <w:uiPriority w:val="0"/>
    <w:qFormat/>
    <w:pPr>
      <w:spacing w:after="50" w:line="360" w:lineRule="auto"/>
    </w:pPr>
    <w:rPr>
      <w:sz w:val="24"/>
    </w:rPr>
  </w:style>
  <w:style w:type="paragraph" w:styleId="1155" w:customStyle="1">
    <w:name w:val="xl47"/>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customStyle="1">
    <w:name w:val="项目编号1"/>
    <w:basedOn w:val="809"/>
    <w:uiPriority w:val="0"/>
    <w:qFormat/>
    <w:pPr>
      <w:numPr>
        <w:ilvl w:val="0"/>
        <w:numId w:val="3"/>
      </w:numPr>
      <w:spacing w:before="100" w:beforeAutospacing="1" w:after="100" w:afterAutospacing="1" w:line="360" w:lineRule="auto"/>
    </w:pPr>
    <w:rPr>
      <w:sz w:val="24"/>
    </w:rPr>
  </w:style>
  <w:style w:type="paragraph" w:styleId="1157" w:customStyle="1">
    <w:name w:val="三级条标题"/>
    <w:basedOn w:val="1140"/>
    <w:next w:val="809"/>
    <w:uiPriority w:val="0"/>
    <w:qFormat/>
    <w:pPr>
      <w:numPr>
        <w:ilvl w:val="3"/>
        <w:numId w:val="1"/>
      </w:numPr>
      <w:ind w:left="0" w:hanging="840"/>
      <w:outlineLvl w:val="3"/>
    </w:pPr>
  </w:style>
  <w:style w:type="paragraph" w:styleId="115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159" w:customStyle="1">
    <w:name w:val="字元 字元1"/>
    <w:basedOn w:val="809"/>
    <w:uiPriority w:val="0"/>
    <w:qFormat/>
    <w:rPr>
      <w:rFonts w:ascii="Tahoma" w:hAnsi="Tahoma"/>
      <w:sz w:val="24"/>
      <w:szCs w:val="20"/>
    </w:rPr>
  </w:style>
  <w:style w:type="paragraph" w:styleId="1160" w:customStyle="1">
    <w:name w:val="Char3"/>
    <w:basedOn w:val="809"/>
    <w:uiPriority w:val="0"/>
    <w:qFormat/>
    <w:pPr>
      <w:tabs>
        <w:tab w:val="left" w:pos="360" w:leader="none"/>
      </w:tabs>
    </w:pPr>
    <w:rPr>
      <w:sz w:val="24"/>
    </w:rPr>
  </w:style>
  <w:style w:type="paragraph" w:styleId="1161" w:customStyle="1">
    <w:name w:val="xl43"/>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2" w:customStyle="1">
    <w:name w:val="xl50"/>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3" w:customStyle="1">
    <w:name w:val="Table Paragraph"/>
    <w:basedOn w:val="809"/>
    <w:uiPriority w:val="1"/>
    <w:qFormat/>
    <w:pPr>
      <w:jc w:val="left"/>
    </w:pPr>
    <w:rPr>
      <w:rFonts w:ascii="宋体" w:hAnsi="宋体" w:cs="宋体"/>
      <w:sz w:val="22"/>
      <w:szCs w:val="22"/>
      <w:lang w:eastAsia="en-US"/>
    </w:rPr>
  </w:style>
  <w:style w:type="paragraph" w:styleId="1164" w:customStyle="1">
    <w:name w:val="Char Char1"/>
    <w:basedOn w:val="1024"/>
    <w:uiPriority w:val="0"/>
    <w:qFormat/>
    <w:rPr>
      <w:rFonts w:ascii="Tahoma" w:hAnsi="Tahoma"/>
      <w:sz w:val="24"/>
    </w:rPr>
  </w:style>
  <w:style w:type="paragraph" w:styleId="1165" w:customStyle="1">
    <w:name w:val="xl27"/>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6" w:customStyle="1">
    <w:name w:val="Char22"/>
    <w:basedOn w:val="809"/>
    <w:uiPriority w:val="0"/>
    <w:qFormat/>
    <w:rPr>
      <w:rFonts w:ascii="Tahoma" w:hAnsi="Tahoma"/>
      <w:sz w:val="24"/>
      <w:szCs w:val="20"/>
    </w:rPr>
  </w:style>
  <w:style w:type="paragraph" w:styleId="1167" w:customStyle="1">
    <w:name w:val="font9"/>
    <w:basedOn w:val="80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68" w:customStyle="1">
    <w:name w:val="xl25"/>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customStyle="1">
    <w:name w:val="Char2 Char Char Char Char Char Char1"/>
    <w:basedOn w:val="809"/>
    <w:uiPriority w:val="0"/>
    <w:qFormat/>
    <w:pPr>
      <w:jc w:val="center"/>
      <w:spacing w:line="400" w:lineRule="exact"/>
      <w:widowControl/>
    </w:pPr>
  </w:style>
  <w:style w:type="paragraph" w:styleId="1170" w:customStyle="1">
    <w:name w:val="Char Char Char Char Char Char Char Char Char Char1"/>
    <w:basedOn w:val="809"/>
    <w:uiPriority w:val="0"/>
    <w:qFormat/>
    <w:rPr>
      <w:rFonts w:ascii="宋体" w:hAnsi="宋体" w:cs="Courier New"/>
      <w:sz w:val="32"/>
      <w:szCs w:val="32"/>
    </w:rPr>
  </w:style>
  <w:style w:type="paragraph" w:styleId="1171" w:customStyle="1">
    <w:name w:val="Char Char Char1 Char"/>
    <w:basedOn w:val="809"/>
    <w:uiPriority w:val="0"/>
    <w:qFormat/>
    <w:rPr>
      <w:rFonts w:ascii="Tahoma" w:hAnsi="Tahoma"/>
      <w:sz w:val="24"/>
      <w:szCs w:val="20"/>
    </w:rPr>
  </w:style>
  <w:style w:type="paragraph" w:styleId="1172" w:customStyle="1">
    <w:name w:val="正文文本样式 加粗"/>
    <w:basedOn w:val="1144"/>
    <w:uiPriority w:val="0"/>
    <w:qFormat/>
    <w:rPr>
      <w:b/>
    </w:rPr>
  </w:style>
  <w:style w:type="paragraph" w:styleId="1173" w:customStyle="1">
    <w:name w:val="xl33"/>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customStyle="1">
    <w:name w:val="xl39"/>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customStyle="1">
    <w:name w:val="xl26"/>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6" w:customStyle="1">
    <w:name w:val="xl53"/>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customStyle="1">
    <w:name w:val="font8"/>
    <w:basedOn w:val="809"/>
    <w:uiPriority w:val="0"/>
    <w:qFormat/>
    <w:pPr>
      <w:jc w:val="left"/>
      <w:spacing w:before="100" w:beforeAutospacing="1" w:after="100" w:afterAutospacing="1"/>
      <w:widowControl/>
    </w:pPr>
    <w:rPr>
      <w:sz w:val="36"/>
      <w:szCs w:val="36"/>
    </w:rPr>
  </w:style>
  <w:style w:type="paragraph" w:styleId="1178" w:customStyle="1">
    <w:name w:val="xl38"/>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9" w:customStyle="1">
    <w:name w:val="Char Char1 Char Char Char Char Char Char"/>
    <w:basedOn w:val="809"/>
    <w:uiPriority w:val="0"/>
    <w:qFormat/>
    <w:pPr>
      <w:jc w:val="left"/>
      <w:spacing w:after="160" w:line="240" w:lineRule="exact"/>
      <w:widowControl/>
    </w:pPr>
    <w:rPr>
      <w:rFonts w:ascii="Verdana" w:hAnsi="Verdana" w:eastAsia="仿宋_GB2312"/>
      <w:sz w:val="24"/>
      <w:szCs w:val="20"/>
      <w:lang w:eastAsia="en-US"/>
    </w:rPr>
  </w:style>
  <w:style w:type="paragraph" w:styleId="1180" w:customStyle="1">
    <w:name w:val="22222222222222"/>
    <w:basedOn w:val="809"/>
    <w:uiPriority w:val="0"/>
    <w:qFormat/>
    <w:pPr>
      <w:ind w:firstLine="480"/>
      <w:jc w:val="left"/>
      <w:spacing w:line="360" w:lineRule="auto"/>
      <w:widowControl/>
    </w:pPr>
    <w:rPr>
      <w:color w:val="ff0000"/>
      <w:sz w:val="24"/>
      <w:szCs w:val="20"/>
    </w:rPr>
  </w:style>
  <w:style w:type="paragraph" w:styleId="1181" w:customStyle="1">
    <w:name w:val="四级条标题"/>
    <w:basedOn w:val="1157"/>
    <w:next w:val="809"/>
    <w:uiPriority w:val="0"/>
    <w:qFormat/>
    <w:pPr>
      <w:numPr>
        <w:ilvl w:val="4"/>
      </w:numPr>
      <w:ind w:left="0" w:hanging="840"/>
      <w:outlineLvl w:val="4"/>
    </w:pPr>
  </w:style>
  <w:style w:type="paragraph" w:styleId="1182" w:customStyle="1">
    <w:name w:val="项目编号2"/>
    <w:basedOn w:val="1156"/>
    <w:uiPriority w:val="0"/>
    <w:qFormat/>
    <w:pPr>
      <w:numPr>
        <w:numId w:val="4"/>
      </w:numPr>
    </w:pPr>
  </w:style>
  <w:style w:type="paragraph" w:styleId="1183" w:customStyle="1">
    <w:name w:val="Char"/>
    <w:basedOn w:val="809"/>
    <w:uiPriority w:val="0"/>
    <w:qFormat/>
    <w:pPr>
      <w:tabs>
        <w:tab w:val="left" w:pos="360" w:leader="none"/>
      </w:tabs>
    </w:pPr>
    <w:rPr>
      <w:sz w:val="24"/>
    </w:rPr>
  </w:style>
  <w:style w:type="paragraph" w:styleId="1184" w:customStyle="1">
    <w:name w:val="Char Char Char1 Char2"/>
    <w:basedOn w:val="809"/>
    <w:uiPriority w:val="0"/>
    <w:qFormat/>
    <w:rPr>
      <w:rFonts w:ascii="Tahoma" w:hAnsi="Tahoma"/>
      <w:sz w:val="24"/>
      <w:szCs w:val="20"/>
    </w:rPr>
  </w:style>
  <w:style w:type="paragraph" w:styleId="1185" w:customStyle="1">
    <w:name w:val="Char1"/>
    <w:basedOn w:val="809"/>
    <w:uiPriority w:val="0"/>
    <w:qFormat/>
    <w:pPr>
      <w:tabs>
        <w:tab w:val="left" w:pos="360" w:leader="none"/>
      </w:tabs>
    </w:pPr>
    <w:rPr>
      <w:sz w:val="24"/>
    </w:rPr>
  </w:style>
  <w:style w:type="paragraph" w:styleId="1186" w:customStyle="1">
    <w:name w:val="Char Char Char Char Char Char Char"/>
    <w:basedOn w:val="809"/>
    <w:uiPriority w:val="0"/>
    <w:qFormat/>
    <w:pPr>
      <w:ind w:firstLine="200"/>
      <w:spacing w:line="360" w:lineRule="auto"/>
    </w:pPr>
    <w:rPr>
      <w:rFonts w:eastAsia="仿宋_GB2312"/>
      <w:sz w:val="24"/>
    </w:rPr>
  </w:style>
  <w:style w:type="paragraph" w:styleId="1187" w:customStyle="1">
    <w:name w:val="Char Char Char Char Char Char Char Char Char Char Char Char Char Char Char Char1"/>
    <w:basedOn w:val="809"/>
    <w:uiPriority w:val="0"/>
    <w:qFormat/>
    <w:pPr>
      <w:jc w:val="center"/>
      <w:spacing w:after="160" w:line="240" w:lineRule="exact"/>
      <w:widowControl/>
    </w:pPr>
    <w:rPr>
      <w:rFonts w:ascii="宋体" w:hAnsi="宋体"/>
      <w:b/>
      <w:sz w:val="30"/>
      <w:szCs w:val="30"/>
      <w:lang w:eastAsia="en-US"/>
    </w:rPr>
  </w:style>
  <w:style w:type="paragraph" w:styleId="1188" w:customStyle="1">
    <w:name w:val="Char Char Char2"/>
    <w:basedOn w:val="809"/>
    <w:uiPriority w:val="0"/>
    <w:qFormat/>
    <w:rPr>
      <w:rFonts w:ascii="Tahoma" w:hAnsi="Tahoma"/>
      <w:sz w:val="24"/>
      <w:szCs w:val="20"/>
    </w:rPr>
  </w:style>
  <w:style w:type="paragraph" w:styleId="1189" w:customStyle="1">
    <w:name w:val="xl49"/>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0" w:customStyle="1">
    <w:name w:val="xl34"/>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customStyle="1">
    <w:name w:val="样式2"/>
    <w:basedOn w:val="1062"/>
    <w:uiPriority w:val="0"/>
    <w:qFormat/>
    <w:pPr>
      <w:jc w:val="center"/>
      <w:spacing w:line="360" w:lineRule="auto"/>
    </w:pPr>
    <w:rPr>
      <w:sz w:val="24"/>
    </w:rPr>
  </w:style>
  <w:style w:type="paragraph" w:styleId="119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93" w:customStyle="1">
    <w:name w:val="正文须知-1级"/>
    <w:basedOn w:val="809"/>
    <w:next w:val="809"/>
    <w:uiPriority w:val="0"/>
    <w:qFormat/>
    <w:pPr>
      <w:numPr>
        <w:ilvl w:val="0"/>
        <w:numId w:val="2"/>
      </w:numPr>
      <w:spacing w:line="300" w:lineRule="auto"/>
    </w:pPr>
    <w:rPr>
      <w:rFonts w:ascii="宋体" w:hAnsi="Calibri"/>
      <w:sz w:val="24"/>
      <w:szCs w:val="21"/>
    </w:rPr>
  </w:style>
  <w:style w:type="paragraph" w:styleId="1194" w:customStyle="1">
    <w:name w:val="xl41"/>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5" w:customStyle="1">
    <w:name w:val="font7"/>
    <w:basedOn w:val="809"/>
    <w:uiPriority w:val="0"/>
    <w:qFormat/>
    <w:pPr>
      <w:jc w:val="left"/>
      <w:spacing w:before="100" w:beforeAutospacing="1" w:after="100" w:afterAutospacing="1"/>
      <w:widowControl/>
    </w:pPr>
    <w:rPr>
      <w:rFonts w:eastAsia="Arial Unicode MS"/>
      <w:b/>
      <w:bCs/>
      <w:color w:val="000000"/>
      <w:sz w:val="20"/>
      <w:szCs w:val="20"/>
    </w:rPr>
  </w:style>
  <w:style w:type="paragraph" w:styleId="119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_Style 160"/>
    <w:uiPriority w:val="0"/>
    <w:qFormat/>
    <w:rPr>
      <w:rFonts w:hint="default" w:ascii="Times New Roman" w:hAnsi="Times New Roman" w:eastAsia="宋体" w:cs="Times New Roman"/>
      <w:sz w:val="21"/>
      <w:szCs w:val="24"/>
      <w:lang w:val="en-US" w:eastAsia="zh-CN" w:bidi="ar-SA"/>
    </w:rPr>
  </w:style>
  <w:style w:type="paragraph" w:styleId="1198" w:customStyle="1">
    <w:name w:val="xl31"/>
    <w:basedOn w:val="8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customStyle="1">
    <w:name w:val="Revision"/>
    <w:uiPriority w:val="0"/>
    <w:qFormat/>
    <w:rPr>
      <w:rFonts w:hint="default" w:ascii="Times New Roman" w:hAnsi="Times New Roman" w:eastAsia="宋体" w:cs="Times New Roman"/>
      <w:sz w:val="21"/>
      <w:szCs w:val="24"/>
      <w:lang w:val="en-US" w:eastAsia="zh-CN" w:bidi="ar-SA"/>
    </w:rPr>
  </w:style>
  <w:style w:type="paragraph" w:styleId="1200" w:customStyle="1">
    <w:name w:val="xl46"/>
    <w:basedOn w:val="80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customStyle="1">
    <w:name w:val="xl42"/>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2" w:customStyle="1">
    <w:name w:val="Char Char Char Char Char Char Char Char Char Char"/>
    <w:basedOn w:val="809"/>
    <w:uiPriority w:val="0"/>
    <w:qFormat/>
  </w:style>
  <w:style w:type="paragraph" w:styleId="1203" w:customStyle="1">
    <w:name w:val="xl35"/>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4" w:customStyle="1">
    <w:name w:val="Char Char Char Char Char Char Char Char Char Char2"/>
    <w:basedOn w:val="809"/>
    <w:uiPriority w:val="0"/>
    <w:qFormat/>
    <w:rPr>
      <w:rFonts w:ascii="宋体" w:hAnsi="宋体" w:cs="Courier New"/>
      <w:sz w:val="32"/>
      <w:szCs w:val="32"/>
    </w:rPr>
  </w:style>
  <w:style w:type="paragraph" w:styleId="1205" w:customStyle="1">
    <w:name w:val="xl40"/>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无标题条"/>
    <w:next w:val="809"/>
    <w:uiPriority w:val="0"/>
    <w:qFormat/>
    <w:pPr>
      <w:jc w:val="both"/>
    </w:pPr>
    <w:rPr>
      <w:rFonts w:hint="default" w:ascii="Times New Roman" w:hAnsi="Times New Roman" w:eastAsia="宋体" w:cs="Times New Roman"/>
      <w:sz w:val="21"/>
      <w:lang w:val="en-US" w:eastAsia="zh-CN" w:bidi="ar-SA"/>
    </w:rPr>
  </w:style>
  <w:style w:type="paragraph" w:styleId="1207" w:customStyle="1">
    <w:name w:val="缺省文本"/>
    <w:basedOn w:val="809"/>
    <w:uiPriority w:val="0"/>
    <w:qFormat/>
    <w:pPr>
      <w:jc w:val="left"/>
    </w:pPr>
    <w:rPr>
      <w:sz w:val="24"/>
    </w:rPr>
  </w:style>
  <w:style w:type="paragraph" w:styleId="1208" w:customStyle="1">
    <w:name w:val="默认段落字体 Para Char Char Char Char"/>
    <w:basedOn w:val="809"/>
    <w:uiPriority w:val="0"/>
    <w:qFormat/>
    <w:rPr>
      <w:rFonts w:ascii="Arial" w:hAnsi="Arial" w:cs="Arial"/>
      <w:szCs w:val="21"/>
    </w:rPr>
  </w:style>
  <w:style w:type="paragraph" w:styleId="1209" w:customStyle="1">
    <w:name w:val="列出段落2"/>
    <w:basedOn w:val="809"/>
    <w:uiPriority w:val="0"/>
    <w:qFormat/>
    <w:pPr>
      <w:ind w:firstLine="420"/>
    </w:pPr>
    <w:rPr>
      <w:rFonts w:ascii="Calibri" w:hAnsi="Calibri"/>
      <w:szCs w:val="22"/>
    </w:rPr>
  </w:style>
  <w:style w:type="paragraph" w:styleId="1210" w:customStyle="1">
    <w:name w:val="Char Char Char1"/>
    <w:basedOn w:val="809"/>
    <w:uiPriority w:val="0"/>
    <w:qFormat/>
    <w:rPr>
      <w:rFonts w:ascii="Tahoma" w:hAnsi="Tahoma"/>
      <w:sz w:val="24"/>
      <w:szCs w:val="20"/>
    </w:rPr>
  </w:style>
  <w:style w:type="paragraph" w:styleId="1211" w:customStyle="1">
    <w:name w:val="Char21"/>
    <w:basedOn w:val="809"/>
    <w:uiPriority w:val="0"/>
    <w:qFormat/>
    <w:rPr>
      <w:rFonts w:ascii="Tahoma" w:hAnsi="Tahoma"/>
      <w:sz w:val="24"/>
      <w:szCs w:val="20"/>
    </w:rPr>
  </w:style>
  <w:style w:type="paragraph" w:styleId="1212" w:customStyle="1">
    <w:name w:val="五级条标题"/>
    <w:basedOn w:val="1181"/>
    <w:next w:val="809"/>
    <w:uiPriority w:val="0"/>
    <w:qFormat/>
    <w:pPr>
      <w:numPr>
        <w:ilvl w:val="5"/>
      </w:numPr>
      <w:ind w:left="0" w:hanging="840"/>
      <w:outlineLvl w:val="5"/>
    </w:pPr>
  </w:style>
  <w:style w:type="paragraph" w:styleId="1213" w:customStyle="1">
    <w:name w:val="正文 + 楷体_GB2312"/>
    <w:basedOn w:val="809"/>
    <w:uiPriority w:val="0"/>
    <w:qFormat/>
    <w:pPr>
      <w:jc w:val="left"/>
      <w:widowControl/>
    </w:pPr>
    <w:rPr>
      <w:rFonts w:ascii="楷体_GB2312" w:eastAsia="楷体_GB2312" w:cs="Arial"/>
      <w:sz w:val="24"/>
    </w:rPr>
  </w:style>
  <w:style w:type="paragraph" w:styleId="1214" w:customStyle="1">
    <w:name w:val="xl37"/>
    <w:basedOn w:val="80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5" w:customStyle="1">
    <w:name w:val="xl32"/>
    <w:basedOn w:val="8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字元 字元2"/>
    <w:basedOn w:val="809"/>
    <w:uiPriority w:val="0"/>
    <w:qFormat/>
    <w:rPr>
      <w:rFonts w:ascii="Tahoma" w:hAnsi="Tahoma"/>
      <w:sz w:val="24"/>
      <w:szCs w:val="20"/>
    </w:rPr>
  </w:style>
  <w:style w:type="paragraph" w:styleId="1217" w:customStyle="1">
    <w:name w:val="样式 宋体 五号 行距: 单倍行距"/>
    <w:basedOn w:val="809"/>
    <w:uiPriority w:val="0"/>
    <w:qFormat/>
    <w:pPr>
      <w:jc w:val="left"/>
    </w:pPr>
    <w:rPr>
      <w:rFonts w:ascii="宋体" w:hAnsi="宋体"/>
      <w:szCs w:val="20"/>
    </w:rPr>
  </w:style>
  <w:style w:type="paragraph" w:styleId="1218" w:customStyle="1">
    <w:name w:val="列出段落1"/>
    <w:basedOn w:val="1081"/>
    <w:uiPriority w:val="0"/>
    <w:qFormat/>
    <w:pPr>
      <w:ind w:firstLine="420"/>
    </w:pPr>
    <w:rPr>
      <w:rFonts w:ascii="Calibri" w:hAnsi="Calibri"/>
      <w:szCs w:val="22"/>
    </w:rPr>
  </w:style>
  <w:style w:type="paragraph" w:styleId="1219" w:customStyle="1">
    <w:name w:val="Char2"/>
    <w:basedOn w:val="809"/>
    <w:uiPriority w:val="0"/>
    <w:qFormat/>
    <w:rPr>
      <w:rFonts w:ascii="Tahoma" w:hAnsi="Tahoma"/>
      <w:sz w:val="24"/>
      <w:szCs w:val="20"/>
    </w:rPr>
  </w:style>
  <w:style w:type="paragraph" w:styleId="1220" w:customStyle="1">
    <w:name w:val="字元 字元"/>
    <w:basedOn w:val="809"/>
    <w:uiPriority w:val="0"/>
    <w:qFormat/>
    <w:rPr>
      <w:rFonts w:ascii="Tahoma" w:hAnsi="Tahoma"/>
      <w:sz w:val="24"/>
      <w:szCs w:val="20"/>
    </w:rPr>
  </w:style>
  <w:style w:type="paragraph" w:styleId="1221" w:customStyle="1">
    <w:name w:val="文档正文"/>
    <w:basedOn w:val="809"/>
    <w:uiPriority w:val="0"/>
    <w:qFormat/>
    <w:pPr>
      <w:spacing w:before="120" w:after="120" w:line="180" w:lineRule="auto"/>
    </w:pPr>
    <w:rPr>
      <w:rFonts w:ascii="Arial" w:hAnsi="Arial"/>
      <w:szCs w:val="20"/>
    </w:rPr>
  </w:style>
  <w:style w:type="paragraph" w:styleId="1222" w:customStyle="1">
    <w:name w:val="正文缩进2"/>
    <w:basedOn w:val="809"/>
    <w:uiPriority w:val="0"/>
    <w:qFormat/>
    <w:pPr>
      <w:ind w:firstLine="567"/>
      <w:spacing w:line="480" w:lineRule="exact"/>
      <w:widowControl/>
    </w:pPr>
    <w:rPr>
      <w:rFonts w:ascii="宋体"/>
      <w:color w:val="000000"/>
      <w:sz w:val="28"/>
      <w:szCs w:val="20"/>
      <w:lang w:val="zh-CN" w:eastAsia="zh-CN"/>
    </w:rPr>
  </w:style>
  <w:style w:type="paragraph" w:styleId="1223" w:customStyle="1">
    <w:name w:val="Char3 Char Char Char1"/>
    <w:basedOn w:val="809"/>
    <w:uiPriority w:val="0"/>
    <w:qFormat/>
    <w:rPr>
      <w:rFonts w:ascii="Tahoma" w:hAnsi="Tahoma"/>
      <w:sz w:val="24"/>
      <w:szCs w:val="20"/>
    </w:rPr>
  </w:style>
  <w:style w:type="paragraph" w:styleId="1224" w:customStyle="1">
    <w:name w:val="Char Char Char Char Char Char Char Char Char Char Char Char Char Char Char Char"/>
    <w:basedOn w:val="809"/>
    <w:uiPriority w:val="0"/>
    <w:qFormat/>
    <w:pPr>
      <w:jc w:val="center"/>
      <w:spacing w:after="160" w:line="240" w:lineRule="exact"/>
      <w:widowControl/>
    </w:pPr>
    <w:rPr>
      <w:rFonts w:ascii="宋体" w:hAnsi="宋体"/>
      <w:b/>
      <w:sz w:val="30"/>
      <w:szCs w:val="30"/>
      <w:lang w:eastAsia="en-US"/>
    </w:rPr>
  </w:style>
  <w:style w:type="paragraph" w:styleId="1225" w:customStyle="1">
    <w:name w:val="图例"/>
    <w:basedOn w:val="809"/>
    <w:uiPriority w:val="0"/>
    <w:qFormat/>
    <w:pPr>
      <w:jc w:val="center"/>
      <w:spacing w:before="120" w:after="120" w:line="360" w:lineRule="auto"/>
    </w:pPr>
    <w:rPr>
      <w:rFonts w:eastAsia="仿宋_GB2312"/>
      <w:b/>
      <w:sz w:val="24"/>
      <w:szCs w:val="20"/>
    </w:rPr>
  </w:style>
  <w:style w:type="paragraph" w:styleId="1226" w:customStyle="1">
    <w:name w:val="xl24"/>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customStyle="1">
    <w:name w:val="font6"/>
    <w:basedOn w:val="809"/>
    <w:uiPriority w:val="0"/>
    <w:qFormat/>
    <w:pPr>
      <w:jc w:val="left"/>
      <w:spacing w:before="100" w:beforeAutospacing="1" w:after="100" w:afterAutospacing="1"/>
      <w:widowControl/>
    </w:pPr>
    <w:rPr>
      <w:rFonts w:ascii="宋体" w:hAnsi="宋体" w:cs="宋体"/>
      <w:sz w:val="20"/>
      <w:szCs w:val="20"/>
    </w:rPr>
  </w:style>
  <w:style w:type="paragraph" w:styleId="1228" w:customStyle="1">
    <w:name w:val="项目编号3"/>
    <w:basedOn w:val="1144"/>
    <w:uiPriority w:val="0"/>
    <w:qFormat/>
    <w:pPr>
      <w:numPr>
        <w:ilvl w:val="0"/>
        <w:numId w:val="5"/>
      </w:numPr>
    </w:pPr>
  </w:style>
  <w:style w:type="paragraph" w:styleId="1229" w:customStyle="1">
    <w:name w:val="样式 标题 2 + 宋体 五号 行距: 单倍行距"/>
    <w:basedOn w:val="1000"/>
    <w:uiPriority w:val="0"/>
    <w:qFormat/>
    <w:pPr>
      <w:numPr>
        <w:ilvl w:val="1"/>
        <w:numId w:val="6"/>
      </w:numPr>
      <w:jc w:val="left"/>
      <w:spacing w:before="260" w:after="260" w:line="240" w:lineRule="auto"/>
    </w:pPr>
    <w:rPr>
      <w:rFonts w:ascii="宋体" w:hAnsi="宋体" w:eastAsia="宋体"/>
      <w:bCs/>
      <w:sz w:val="21"/>
    </w:rPr>
  </w:style>
  <w:style w:type="paragraph" w:styleId="1230" w:customStyle="1">
    <w:name w:val="Char Char Char1 Char1"/>
    <w:basedOn w:val="809"/>
    <w:uiPriority w:val="0"/>
    <w:qFormat/>
    <w:rPr>
      <w:rFonts w:ascii="Tahoma" w:hAnsi="Tahoma"/>
      <w:sz w:val="24"/>
      <w:szCs w:val="20"/>
    </w:rPr>
  </w:style>
  <w:style w:type="paragraph" w:styleId="1231" w:customStyle="1">
    <w:name w:val="1名"/>
    <w:basedOn w:val="809"/>
    <w:uiPriority w:val="0"/>
    <w:qFormat/>
    <w:pPr>
      <w:numPr>
        <w:ilvl w:val="0"/>
        <w:numId w:val="7"/>
      </w:numPr>
      <w:spacing w:before="120"/>
    </w:pPr>
    <w:rPr>
      <w:rFonts w:ascii="宋体"/>
      <w:sz w:val="28"/>
      <w:szCs w:val="20"/>
    </w:rPr>
  </w:style>
  <w:style w:type="paragraph" w:styleId="1232" w:customStyle="1">
    <w:name w:val="Default_0"/>
    <w:basedOn w:val="809"/>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233" w:customStyle="1">
    <w:name w:val="background1"/>
    <w:basedOn w:val="809"/>
    <w:uiPriority w:val="0"/>
    <w:qFormat/>
    <w:pPr>
      <w:jc w:val="left"/>
      <w:spacing w:before="100" w:beforeAutospacing="1" w:after="100" w:afterAutospacing="1"/>
      <w:widowControl/>
    </w:pPr>
    <w:rPr>
      <w:rFonts w:ascii="宋体" w:hAnsi="宋体" w:cs="宋体"/>
      <w:sz w:val="24"/>
    </w:rPr>
  </w:style>
  <w:style w:type="paragraph" w:styleId="1234" w:customStyle="1">
    <w:name w:val="Char Char Char Char Char Char Char2"/>
    <w:basedOn w:val="809"/>
    <w:uiPriority w:val="0"/>
    <w:qFormat/>
    <w:pPr>
      <w:ind w:firstLine="200"/>
      <w:spacing w:line="360" w:lineRule="auto"/>
    </w:pPr>
    <w:rPr>
      <w:rFonts w:eastAsia="仿宋_GB2312"/>
      <w:sz w:val="24"/>
    </w:rPr>
  </w:style>
  <w:style w:type="paragraph" w:styleId="1235" w:customStyle="1">
    <w:name w:val="Char3 Char Char Char"/>
    <w:basedOn w:val="809"/>
    <w:uiPriority w:val="0"/>
    <w:qFormat/>
    <w:rPr>
      <w:rFonts w:ascii="Tahoma" w:hAnsi="Tahoma"/>
      <w:sz w:val="24"/>
      <w:szCs w:val="20"/>
    </w:rPr>
  </w:style>
  <w:style w:type="paragraph" w:styleId="1236" w:customStyle="1">
    <w:name w:val="xl45"/>
    <w:basedOn w:val="8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7" w:customStyle="1">
    <w:name w:val="List Paragraph1"/>
    <w:basedOn w:val="809"/>
    <w:uiPriority w:val="0"/>
    <w:qFormat/>
    <w:pPr>
      <w:ind w:firstLine="420"/>
    </w:pPr>
    <w:rPr>
      <w:rFonts w:ascii="Calibri" w:hAnsi="Calibri"/>
      <w:szCs w:val="22"/>
    </w:rPr>
  </w:style>
  <w:style w:type="paragraph" w:styleId="1238" w:customStyle="1">
    <w:name w:val="xl44"/>
    <w:basedOn w:val="80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customStyle="1">
    <w:name w:val="xl51"/>
    <w:basedOn w:val="80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1" w:customStyle="1">
    <w:name w:val="Char3 Char Char Char2"/>
    <w:basedOn w:val="809"/>
    <w:uiPriority w:val="0"/>
    <w:qFormat/>
    <w:rPr>
      <w:rFonts w:ascii="Tahoma" w:hAnsi="Tahoma"/>
      <w:sz w:val="24"/>
      <w:szCs w:val="20"/>
    </w:rPr>
  </w:style>
  <w:style w:type="paragraph" w:styleId="1242" w:customStyle="1">
    <w:name w:val="xl48"/>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3" w:customStyle="1">
    <w:name w:val="xl28"/>
    <w:basedOn w:val="80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4" w:customStyle="1">
    <w:name w:val="正文须知-3级"/>
    <w:basedOn w:val="809"/>
    <w:uiPriority w:val="0"/>
    <w:qFormat/>
    <w:pPr>
      <w:numPr>
        <w:ilvl w:val="2"/>
        <w:numId w:val="2"/>
      </w:numPr>
      <w:ind w:hanging="355"/>
      <w:spacing w:line="300" w:lineRule="auto"/>
    </w:pPr>
    <w:rPr>
      <w:rFonts w:ascii="宋体" w:hAnsi="Calibri"/>
      <w:sz w:val="24"/>
      <w:szCs w:val="21"/>
    </w:rPr>
  </w:style>
  <w:style w:type="paragraph" w:styleId="1245" w:customStyle="1">
    <w:name w:val="Char Char1 Char Char Char Char Char Char1"/>
    <w:basedOn w:val="809"/>
    <w:uiPriority w:val="0"/>
    <w:qFormat/>
    <w:pPr>
      <w:jc w:val="left"/>
      <w:spacing w:after="160" w:line="240" w:lineRule="exact"/>
      <w:widowControl/>
    </w:pPr>
    <w:rPr>
      <w:rFonts w:ascii="Verdana" w:hAnsi="Verdana" w:eastAsia="仿宋_GB2312"/>
      <w:sz w:val="24"/>
      <w:szCs w:val="20"/>
      <w:lang w:eastAsia="en-US"/>
    </w:rPr>
  </w:style>
  <w:style w:type="paragraph" w:styleId="1246" w:customStyle="1">
    <w:name w:val="Char Char Char Char Char Char Char1"/>
    <w:basedOn w:val="809"/>
    <w:uiPriority w:val="0"/>
    <w:qFormat/>
    <w:pPr>
      <w:ind w:firstLine="200"/>
      <w:spacing w:line="360" w:lineRule="auto"/>
    </w:pPr>
    <w:rPr>
      <w:rFonts w:eastAsia="仿宋_GB2312"/>
      <w:sz w:val="24"/>
    </w:rPr>
  </w:style>
  <w:style w:type="paragraph" w:styleId="1247" w:customStyle="1">
    <w:name w:val="Char Char41"/>
    <w:basedOn w:val="809"/>
    <w:uiPriority w:val="0"/>
    <w:qFormat/>
    <w:pPr>
      <w:jc w:val="center"/>
      <w:spacing w:line="400" w:lineRule="exact"/>
      <w:widowControl/>
    </w:pPr>
  </w:style>
  <w:style w:type="paragraph" w:styleId="1248" w:customStyle="1">
    <w:name w:val="Char Char4"/>
    <w:basedOn w:val="809"/>
    <w:uiPriority w:val="0"/>
    <w:qFormat/>
    <w:pPr>
      <w:jc w:val="center"/>
      <w:spacing w:line="400" w:lineRule="exact"/>
      <w:widowControl/>
    </w:pPr>
  </w:style>
  <w:style w:type="paragraph" w:styleId="1249" w:customStyle="1">
    <w:name w:val="一、"/>
    <w:basedOn w:val="809"/>
    <w:uiPriority w:val="0"/>
    <w:qFormat/>
    <w:pPr>
      <w:ind w:firstLine="640"/>
    </w:pPr>
    <w:rPr>
      <w:rFonts w:ascii="黑体" w:hAnsi="黑体" w:eastAsia="黑体"/>
      <w:szCs w:val="32"/>
    </w:rPr>
  </w:style>
  <w:style w:type="paragraph" w:styleId="1250" w:customStyle="1">
    <w:name w:val="标题1-附件"/>
    <w:basedOn w:val="999"/>
    <w:uiPriority w:val="0"/>
    <w:qFormat/>
    <w:pPr>
      <w:jc w:val="left"/>
    </w:pPr>
    <w:rPr>
      <w:sz w:val="24"/>
      <w:szCs w:val="24"/>
    </w:rPr>
  </w:style>
  <w:style w:type="paragraph" w:styleId="1251" w:customStyle="1">
    <w:name w:val="表格文字"/>
    <w:basedOn w:val="1032"/>
    <w:uiPriority w:val="0"/>
    <w:qFormat/>
    <w:pPr>
      <w:ind w:firstLine="0"/>
      <w:spacing w:before="20" w:after="20" w:line="240" w:lineRule="auto"/>
    </w:pPr>
    <w:rPr>
      <w:rFonts w:ascii="Century Gothic" w:hAnsi="Century Gothic"/>
      <w:sz w:val="20"/>
      <w:szCs w:val="20"/>
    </w:rPr>
  </w:style>
  <w:style w:type="paragraph" w:styleId="125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Char Char Char"/>
    <w:basedOn w:val="809"/>
    <w:uiPriority w:val="0"/>
    <w:qFormat/>
    <w:rPr>
      <w:rFonts w:ascii="Tahoma" w:hAnsi="Tahoma"/>
      <w:sz w:val="24"/>
      <w:szCs w:val="20"/>
    </w:rPr>
  </w:style>
  <w:style w:type="paragraph" w:styleId="1254" w:customStyle="1">
    <w:name w:val="default"/>
    <w:basedOn w:val="809"/>
    <w:uiPriority w:val="0"/>
    <w:qFormat/>
    <w:pPr>
      <w:jc w:val="left"/>
      <w:spacing w:before="100" w:beforeAutospacing="1" w:after="100" w:afterAutospacing="1"/>
      <w:widowControl/>
    </w:pPr>
    <w:rPr>
      <w:rFonts w:ascii="宋体" w:hAnsi="宋体" w:cs="宋体"/>
      <w:sz w:val="24"/>
    </w:rPr>
  </w:style>
  <w:style w:type="paragraph" w:styleId="1255">
    <w:name w:val="List Paragraph"/>
    <w:basedOn w:val="809"/>
    <w:uiPriority w:val="0"/>
    <w:qFormat/>
    <w:pPr>
      <w:ind w:firstLine="420"/>
    </w:pPr>
    <w:rPr>
      <w:rFonts w:ascii="Calibri" w:hAnsi="Calibri" w:cs="黑体"/>
      <w:szCs w:val="22"/>
    </w:rPr>
  </w:style>
  <w:style w:type="paragraph" w:styleId="1256" w:customStyle="1">
    <w:name w:val="正文文本缩进2"/>
    <w:basedOn w:val="809"/>
    <w:uiPriority w:val="0"/>
    <w:qFormat/>
    <w:pPr>
      <w:ind w:firstLine="480"/>
      <w:spacing w:line="480" w:lineRule="exact"/>
    </w:pPr>
    <w:rPr>
      <w:rFonts w:ascii="宋体" w:hAnsi="宋体"/>
      <w:sz w:val="24"/>
      <w:lang w:val="zh-CN" w:eastAsia="zh-CN"/>
    </w:rPr>
  </w:style>
  <w:style w:type="paragraph" w:styleId="1257" w:customStyle="1">
    <w:name w:val="正文_1_0"/>
    <w:basedOn w:val="809"/>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258" w:customStyle="1">
    <w:name w:val="Table Normal"/>
    <w:uiPriority w:val="2"/>
    <w:semiHidden/>
    <w:qFormat/>
    <w:pPr>
      <w:widowControl w:val="off"/>
    </w:pPr>
    <w:rPr>
      <w:rFonts w:ascii="Calibri" w:hAnsi="Calibri"/>
      <w:sz w:val="22"/>
      <w:szCs w:val="22"/>
      <w:lang w:val="en-US" w:eastAsia="en-US" w:bidi="ar-SA"/>
    </w:rPr>
    <w:tblPr/>
  </w:style>
  <w:style w:type="paragraph" w:styleId="1259" w:customStyle="1">
    <w:name w:val="null3"/>
    <w:uiPriority w:val="0"/>
    <w:qFormat/>
    <w:rPr>
      <w:rFonts w:hint="eastAsia" w:ascii="Calibri" w:hAnsi="Calibri" w:eastAsia="宋体" w:cs="Times New Roman"/>
      <w:lang w:val="en-US" w:eastAsia="zh-CN" w:bidi="ar-SA"/>
    </w:rPr>
  </w:style>
  <w:style w:type="paragraph" w:styleId="1260" w:customStyle="1">
    <w:name w:val="Table Text"/>
    <w:basedOn w:val="809"/>
    <w:uiPriority w:val="0"/>
    <w:qFormat/>
    <w:pPr>
      <w:ind w:left="0" w:firstLine="0"/>
      <w:jc w:val="both"/>
      <w:keepLines w:val="0"/>
      <w:keepNext w:val="0"/>
      <w:spacing w:before="0" w:beforeAutospacing="0" w:after="0" w:afterAutospacing="0" w:line="240" w:lineRule="auto"/>
      <w:widowControl w:val="off"/>
      <w:suppressLineNumbers w:val="0"/>
    </w:pPr>
    <w:rPr>
      <w:rFonts w:ascii="微软雅黑" w:hAnsi="微软雅黑" w:eastAsia="微软雅黑" w:cs="微软雅黑"/>
      <w:sz w:val="20"/>
      <w:szCs w:val="20"/>
      <w:lang w:val="en-US" w:eastAsia="zh-CN" w:bidi="ar"/>
    </w:rPr>
  </w:style>
  <w:style w:type="character" w:styleId="1261" w:customStyle="1">
    <w:name w:val="NormalCharacter"/>
    <w:uiPriority w:val="0"/>
    <w:qFormat/>
    <w:rPr>
      <w:rFonts w:ascii="Calibri" w:hAnsi="Calibri" w:eastAsia="宋体" w:cs="Times New Roman"/>
      <w:sz w:val="21"/>
      <w:szCs w:val="22"/>
      <w:lang w:val="en-US" w:eastAsia="zh-CN" w:bidi="ar-SA"/>
    </w:rPr>
  </w:style>
  <w:style w:type="numbering" w:styleId="13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王涛</cp:lastModifiedBy>
  <cp:revision>7</cp:revision>
  <dcterms:created xsi:type="dcterms:W3CDTF">2022-05-30T08:03:00Z</dcterms:created>
  <dcterms:modified xsi:type="dcterms:W3CDTF">2026-03-10T02:58:31Z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763559E4711E44208FA25BEAC7B7A4F0_12</vt:lpwstr>
  </property>
  <property fmtid="{D5CDD505-2E9C-101B-9397-08002B2CF9AE}" pid="4" name="KSOTemplateDocerSaveRecord">
    <vt:lpwstr>eyJoZGlkIjoiNzg1YTVmYzFjY2M0ZDdmYzc3MTFlYTU5ZGUyYWVhZmIiLCJ1c2VySWQiOiI3MjIwMTA2MTUifQ==</vt:lpwstr>
  </property>
</Properties>
</file>