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8"/>
        <w:ind w:firstLine="160"/>
        <w:spacing w:line="360" w:lineRule="auto"/>
        <w:rPr>
          <w:rFonts w:hint="eastAsia" w:ascii="CESI黑体-GB2312" w:hAnsi="CESI黑体-GB2312" w:eastAsia="CESI黑体-GB2312" w:cs="CESI黑体-GB2312"/>
          <w:sz w:val="32"/>
          <w:szCs w:val="32"/>
        </w:rPr>
      </w:pPr>
      <w:r>
        <w:rPr>
          <w:rFonts w:hint="eastAsia" w:ascii="CESI黑体-GB2312" w:hAnsi="CESI黑体-GB2312" w:eastAsia="CESI黑体-GB2312" w:cs="CESI黑体-GB2312"/>
          <w:sz w:val="32"/>
          <w:szCs w:val="32"/>
        </w:rPr>
        <w:t xml:space="preserve"> </w:t>
      </w:r>
      <w:r>
        <w:rPr>
          <w:rFonts w:hint="eastAsia" w:ascii="CESI黑体-GB2312" w:hAnsi="CESI黑体-GB2312" w:eastAsia="CESI黑体-GB2312" w:cs="CESI黑体-GB2312"/>
          <w:sz w:val="32"/>
          <w:szCs w:val="32"/>
        </w:rPr>
      </w:r>
      <w:r/>
    </w:p>
    <w:p>
      <w:pPr>
        <w:pStyle w:val="1118"/>
        <w:ind w:firstLine="300"/>
        <w:spacing w:line="360" w:lineRule="auto"/>
        <w:rPr>
          <w:sz w:val="60"/>
          <w:szCs w:val="60"/>
        </w:rPr>
      </w:pPr>
      <w:r>
        <w:rPr>
          <w:sz w:val="60"/>
          <w:szCs w:val="60"/>
        </w:rPr>
      </w:r>
      <w:r/>
    </w:p>
    <w:p>
      <w:pPr>
        <w:pStyle w:val="1118"/>
        <w:jc w:val="center"/>
        <w:rPr>
          <w:b/>
          <w:bCs/>
          <w:sz w:val="60"/>
          <w:szCs w:val="60"/>
        </w:rPr>
      </w:pPr>
      <w:r>
        <w:rPr>
          <w:rFonts w:hint="eastAsia"/>
          <w:b/>
          <w:bCs/>
          <w:sz w:val="60"/>
          <w:szCs w:val="60"/>
        </w:rPr>
        <w:t xml:space="preserve">竞争性磋商文件</w:t>
      </w:r>
      <w:r>
        <w:rPr>
          <w:b/>
          <w:bCs/>
          <w:sz w:val="60"/>
          <w:szCs w:val="60"/>
        </w:rPr>
      </w:r>
      <w:r/>
    </w:p>
    <w:p>
      <w:pPr>
        <w:pStyle w:val="1118"/>
        <w:jc w:val="center"/>
        <w:spacing w:line="360" w:lineRule="auto"/>
        <w:rPr>
          <w:rFonts w:ascii="宋体" w:hAnsi="宋体"/>
          <w:b/>
          <w:bCs/>
          <w:sz w:val="60"/>
          <w:szCs w:val="60"/>
        </w:rPr>
      </w:pPr>
      <w:r>
        <w:rPr>
          <w:rFonts w:ascii="宋体" w:hAnsi="宋体"/>
          <w:b/>
          <w:bCs/>
          <w:sz w:val="60"/>
          <w:szCs w:val="60"/>
        </w:rPr>
      </w:r>
      <w:r/>
    </w:p>
    <w:p>
      <w:pPr>
        <w:pStyle w:val="1118"/>
        <w:jc w:val="center"/>
        <w:spacing w:line="360" w:lineRule="auto"/>
        <w:rPr>
          <w:rFonts w:ascii="宋体" w:hAnsi="宋体"/>
          <w:b/>
          <w:bCs/>
          <w:sz w:val="60"/>
          <w:szCs w:val="60"/>
        </w:rPr>
      </w:pPr>
      <w:r>
        <w:rPr>
          <w:rFonts w:ascii="宋体" w:hAnsi="宋体"/>
          <w:b/>
          <w:bCs/>
          <w:sz w:val="60"/>
          <w:szCs w:val="60"/>
        </w:rPr>
      </w:r>
      <w:r/>
    </w:p>
    <w:p>
      <w:pPr>
        <w:pStyle w:val="1118"/>
        <w:ind w:firstLine="960"/>
        <w:jc w:val="left"/>
        <w:spacing w:line="360" w:lineRule="auto"/>
        <w:tabs>
          <w:tab w:val="left" w:pos="3240" w:leader="none"/>
          <w:tab w:val="left" w:pos="3420" w:leader="none"/>
        </w:tabs>
        <w:rPr>
          <w:bCs/>
          <w:sz w:val="32"/>
          <w:szCs w:val="32"/>
        </w:rPr>
      </w:pPr>
      <w:r>
        <w:rPr>
          <w:bCs/>
          <w:sz w:val="32"/>
          <w:szCs w:val="32"/>
        </w:rPr>
        <w:t xml:space="preserve">项目名称</w:t>
      </w:r>
      <w:r>
        <w:rPr>
          <w:rFonts w:hint="eastAsia" w:ascii="Times New Roman" w:hAnsi="Times New Roman" w:eastAsia="宋体" w:cs="Times New Roman"/>
          <w:bCs/>
          <w:sz w:val="32"/>
          <w:szCs w:val="32"/>
        </w:rPr>
        <w:t xml:space="preserve">：</w:t>
      </w:r>
      <w:r>
        <w:rPr>
          <w:rFonts w:hint="eastAsia" w:ascii="Times New Roman" w:hAnsi="Times New Roman" w:eastAsia="宋体" w:cs="Times New Roman"/>
          <w:bCs/>
          <w:sz w:val="32"/>
          <w:szCs w:val="32"/>
          <w:lang w:eastAsia="zh-CN"/>
        </w:rPr>
        <w:t xml:space="preserve">江苏省常州体育运动学校器材采购 </w:t>
      </w:r>
      <w:r>
        <w:rPr>
          <w:rFonts w:hint="eastAsia" w:ascii="Times New Roman" w:hAnsi="Times New Roman" w:eastAsia="宋体" w:cs="Times New Roman"/>
          <w:bCs/>
          <w:sz w:val="32"/>
          <w:szCs w:val="32"/>
        </w:rPr>
        <w:t xml:space="preserve"> </w:t>
      </w:r>
      <w:r>
        <w:rPr>
          <w:bCs/>
          <w:sz w:val="32"/>
          <w:szCs w:val="32"/>
        </w:rPr>
      </w:r>
      <w:r/>
    </w:p>
    <w:p>
      <w:pPr>
        <w:pStyle w:val="1118"/>
        <w:ind w:firstLine="960"/>
        <w:spacing w:line="360" w:lineRule="auto"/>
        <w:rPr>
          <w:rFonts w:hint="eastAsia" w:ascii="宋体" w:hAnsi="宋体" w:eastAsia="宋体" w:cs="宋体"/>
          <w:sz w:val="32"/>
          <w:szCs w:val="32"/>
          <w:lang w:eastAsia="zh-CN"/>
        </w:rPr>
      </w:pPr>
      <w:r>
        <w:rPr>
          <w:rFonts w:hint="eastAsia" w:ascii="宋体" w:hAnsi="宋体" w:cs="宋体"/>
          <w:sz w:val="32"/>
          <w:szCs w:val="32"/>
        </w:rPr>
        <w:t xml:space="preserve">项目编号：</w:t>
      </w:r>
      <w:r>
        <w:rPr>
          <w:rFonts w:hint="eastAsia" w:ascii="Times New Roman" w:hAnsi="Times New Roman" w:eastAsia="宋体" w:cs="Times New Roman"/>
          <w:bCs/>
          <w:sz w:val="32"/>
          <w:szCs w:val="32"/>
          <w:lang w:eastAsia="zh-CN"/>
        </w:rPr>
        <w:t xml:space="preserve">JSZC-320400-CZZH-C2026-0014</w:t>
      </w:r>
      <w:r>
        <w:rPr>
          <w:rFonts w:hint="eastAsia" w:ascii="宋体" w:hAnsi="宋体" w:eastAsia="宋体" w:cs="宋体"/>
          <w:sz w:val="32"/>
          <w:szCs w:val="32"/>
          <w:lang w:eastAsia="zh-CN"/>
        </w:rPr>
      </w:r>
      <w:r/>
    </w:p>
    <w:p>
      <w:pPr>
        <w:pStyle w:val="1118"/>
        <w:ind w:firstLine="960"/>
        <w:spacing w:line="360" w:lineRule="auto"/>
        <w:rPr>
          <w:rFonts w:hint="eastAsia" w:eastAsia="宋体"/>
          <w:bCs/>
          <w:sz w:val="32"/>
          <w:szCs w:val="32"/>
          <w:lang w:eastAsia="zh-CN"/>
        </w:rPr>
      </w:pPr>
      <w:r>
        <w:rPr>
          <w:bCs/>
          <w:sz w:val="32"/>
          <w:szCs w:val="32"/>
        </w:rPr>
        <w:t xml:space="preserve">采 购 人：</w:t>
      </w:r>
      <w:r>
        <w:rPr>
          <w:rFonts w:hint="eastAsia" w:ascii="宋体" w:hAnsi="宋体" w:cs="宋体"/>
          <w:sz w:val="32"/>
          <w:szCs w:val="32"/>
          <w:lang w:eastAsia="zh-CN"/>
        </w:rPr>
        <w:t xml:space="preserve">江苏省常州体育运动学校</w:t>
      </w:r>
      <w:r>
        <w:rPr>
          <w:rFonts w:hint="eastAsia" w:eastAsia="宋体"/>
          <w:bCs/>
          <w:sz w:val="32"/>
          <w:szCs w:val="32"/>
          <w:lang w:eastAsia="zh-CN"/>
        </w:rPr>
      </w:r>
      <w:r/>
    </w:p>
    <w:p>
      <w:pPr>
        <w:pStyle w:val="1118"/>
        <w:ind w:firstLine="960"/>
        <w:spacing w:line="360" w:lineRule="auto"/>
        <w:rPr>
          <w:rFonts w:ascii="宋体" w:hAnsi="宋体" w:cs="宋体"/>
          <w:bCs/>
          <w:sz w:val="32"/>
          <w:szCs w:val="32"/>
        </w:rPr>
      </w:pPr>
      <w:r>
        <w:rPr>
          <w:rFonts w:hint="eastAsia"/>
          <w:bCs/>
          <w:sz w:val="32"/>
          <w:szCs w:val="32"/>
        </w:rPr>
        <w:t xml:space="preserve">采购</w:t>
      </w:r>
      <w:r>
        <w:rPr>
          <w:bCs/>
          <w:sz w:val="32"/>
          <w:szCs w:val="32"/>
        </w:rPr>
        <w:t xml:space="preserve">代理机构</w:t>
      </w:r>
      <w:r>
        <w:rPr>
          <w:rFonts w:hint="eastAsia"/>
          <w:bCs/>
          <w:sz w:val="32"/>
          <w:szCs w:val="32"/>
        </w:rPr>
        <w:t xml:space="preserve">：</w:t>
      </w:r>
      <w:r>
        <w:rPr>
          <w:rFonts w:hint="eastAsia" w:ascii="宋体" w:hAnsi="宋体" w:cs="宋体"/>
          <w:bCs/>
          <w:sz w:val="32"/>
          <w:szCs w:val="32"/>
        </w:rPr>
        <w:t xml:space="preserve">常州正衡招投标有限公司</w:t>
      </w:r>
      <w:r>
        <w:rPr>
          <w:rFonts w:ascii="宋体" w:hAnsi="宋体" w:cs="宋体"/>
          <w:bCs/>
          <w:sz w:val="32"/>
          <w:szCs w:val="32"/>
        </w:rPr>
      </w:r>
      <w:r/>
    </w:p>
    <w:p>
      <w:pPr>
        <w:pStyle w:val="1118"/>
        <w:ind w:firstLine="1280"/>
        <w:spacing w:line="360" w:lineRule="auto"/>
        <w:rPr>
          <w:rFonts w:ascii="宋体" w:hAnsi="宋体" w:cs="宋体"/>
          <w:bCs/>
          <w:sz w:val="32"/>
          <w:szCs w:val="32"/>
        </w:rPr>
      </w:pPr>
      <w:r>
        <w:rPr>
          <w:rFonts w:ascii="宋体" w:hAnsi="宋体" w:cs="宋体"/>
          <w:bCs/>
          <w:sz w:val="32"/>
          <w:szCs w:val="32"/>
        </w:rPr>
      </w:r>
      <w:r/>
    </w:p>
    <w:p>
      <w:pPr>
        <w:pStyle w:val="1118"/>
        <w:ind w:firstLine="3200"/>
        <w:spacing w:line="360" w:lineRule="auto"/>
        <w:rPr>
          <w:rFonts w:ascii="宋体" w:hAnsi="宋体" w:cs="宋体"/>
          <w:bCs/>
          <w:sz w:val="32"/>
          <w:szCs w:val="32"/>
        </w:rPr>
        <w:sectPr>
          <w:headerReference w:type="default" r:id="rId9"/>
          <w:headerReference w:type="first" r:id="rId10"/>
          <w:footerReference w:type="default" r:id="rId14"/>
          <w:footerReference w:type="even" r:id="rId15"/>
          <w:footerReference w:type="first" r:id="rId16"/>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ascii="宋体" w:hAnsi="宋体" w:cs="宋体"/>
          <w:bCs/>
          <w:sz w:val="32"/>
          <w:szCs w:val="32"/>
        </w:rPr>
        <w:t xml:space="preserve">二零二</w:t>
      </w:r>
      <w:r>
        <w:rPr>
          <w:rFonts w:hint="eastAsia" w:ascii="宋体" w:hAnsi="宋体" w:cs="宋体"/>
          <w:bCs/>
          <w:sz w:val="32"/>
          <w:szCs w:val="32"/>
          <w:lang w:val="en-US" w:eastAsia="zh-CN"/>
        </w:rPr>
        <w:t xml:space="preserve">六</w:t>
      </w:r>
      <w:r>
        <w:rPr>
          <w:rFonts w:hint="eastAsia" w:ascii="宋体" w:hAnsi="宋体" w:cs="宋体"/>
          <w:bCs/>
          <w:sz w:val="32"/>
          <w:szCs w:val="32"/>
        </w:rPr>
        <w:t xml:space="preserve">年</w:t>
      </w:r>
      <w:r>
        <w:rPr>
          <w:rFonts w:hint="eastAsia" w:ascii="宋体" w:hAnsi="宋体" w:cs="宋体"/>
          <w:bCs/>
          <w:sz w:val="32"/>
          <w:szCs w:val="32"/>
          <w:lang w:val="en-US" w:eastAsia="zh-CN"/>
        </w:rPr>
        <w:t xml:space="preserve">三</w:t>
      </w:r>
      <w:r>
        <w:rPr>
          <w:rFonts w:hint="eastAsia" w:ascii="宋体" w:hAnsi="宋体" w:cs="宋体"/>
          <w:bCs/>
          <w:sz w:val="32"/>
          <w:szCs w:val="32"/>
        </w:rPr>
        <w:t xml:space="preserve">月</w:t>
      </w:r>
      <w:r>
        <w:rPr>
          <w:rFonts w:ascii="宋体" w:hAnsi="宋体" w:cs="宋体"/>
          <w:bCs/>
          <w:sz w:val="32"/>
          <w:szCs w:val="32"/>
        </w:rPr>
      </w:r>
      <w:r/>
    </w:p>
    <w:p>
      <w:pPr>
        <w:pStyle w:val="1200"/>
        <w:ind w:firstLine="480"/>
      </w:pPr>
      <w:r/>
      <w:r/>
    </w:p>
    <w:p>
      <w:pPr>
        <w:pStyle w:val="1201"/>
        <w:spacing w:line="360" w:lineRule="auto"/>
        <w:rPr>
          <w:rFonts w:ascii="Times New Roman" w:hAnsi="Times New Roman" w:cs="Times New Roman"/>
        </w:rPr>
      </w:pPr>
      <w:r>
        <w:rPr>
          <w:rFonts w:ascii="Times New Roman" w:hAnsi="Times New Roman" w:cs="Times New Roman"/>
        </w:rPr>
      </w:r>
      <w:r/>
    </w:p>
    <w:p>
      <w:pPr>
        <w:pStyle w:val="1118"/>
        <w:jc w:val="center"/>
        <w:spacing w:line="360" w:lineRule="auto"/>
        <w:rPr>
          <w:b/>
          <w:sz w:val="36"/>
          <w:szCs w:val="36"/>
        </w:rPr>
        <w:outlineLvl w:val="0"/>
      </w:pPr>
      <w:r/>
      <w:bookmarkStart w:id="0" w:name="_Toc31599"/>
      <w:r/>
      <w:bookmarkStart w:id="1" w:name="_Toc104818924"/>
      <w:r/>
      <w:bookmarkStart w:id="2" w:name="_Toc7787"/>
      <w:r>
        <w:rPr>
          <w:rFonts w:hint="eastAsia"/>
          <w:b/>
          <w:sz w:val="36"/>
          <w:szCs w:val="36"/>
        </w:rPr>
        <w:t xml:space="preserve">目</w:t>
      </w:r>
      <w:r>
        <w:rPr>
          <w:b/>
          <w:sz w:val="36"/>
          <w:szCs w:val="36"/>
        </w:rPr>
        <w:t xml:space="preserve">      </w:t>
      </w:r>
      <w:r>
        <w:rPr>
          <w:rFonts w:hint="eastAsia"/>
          <w:b/>
          <w:sz w:val="36"/>
          <w:szCs w:val="36"/>
        </w:rPr>
        <w:t xml:space="preserve">录</w:t>
      </w:r>
      <w:bookmarkEnd w:id="0"/>
      <w:r/>
      <w:bookmarkEnd w:id="1"/>
      <w:r/>
      <w:bookmarkEnd w:id="2"/>
      <w:r>
        <w:rPr>
          <w:b/>
          <w:sz w:val="36"/>
          <w:szCs w:val="36"/>
        </w:rPr>
      </w:r>
      <w:r/>
    </w:p>
    <w:p>
      <w:pPr>
        <w:pStyle w:val="1118"/>
      </w:pPr>
      <w:r/>
      <w:r/>
    </w:p>
    <w:p>
      <w:pPr>
        <w:pStyle w:val="1118"/>
      </w:pPr>
      <w:r/>
      <w:r/>
    </w:p>
    <w:p>
      <w:pPr>
        <w:pStyle w:val="1118"/>
      </w:pPr>
      <w:r/>
      <w:r/>
    </w:p>
    <w:p>
      <w:pPr>
        <w:pStyle w:val="1118"/>
      </w:pPr>
      <w:r/>
      <w:r/>
    </w:p>
    <w:p>
      <w:pPr>
        <w:pStyle w:val="1174"/>
        <w:tabs>
          <w:tab w:val="right" w:pos="9072" w:leader="dot"/>
        </w:tabs>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rPr>
        <w:fldChar w:fldCharType="begin"/>
      </w:r>
      <w:r>
        <w:rPr>
          <w:rFonts w:ascii="Times New Roman" w:hAnsi="Times New Roman"/>
        </w:rPr>
        <w:instrText xml:space="preserve"> HYPERLINK \l _Toc7787 </w:instrText>
      </w:r>
      <w:r>
        <w:rPr>
          <w:rFonts w:ascii="Times New Roman" w:hAnsi="Times New Roman"/>
        </w:rPr>
        <w:fldChar w:fldCharType="separate"/>
      </w:r>
      <w:r>
        <w:rPr>
          <w:rFonts w:hint="eastAsia"/>
          <w:szCs w:val="36"/>
        </w:rPr>
        <w:t xml:space="preserve">目</w:t>
      </w:r>
      <w:r>
        <w:rPr>
          <w:szCs w:val="36"/>
        </w:rPr>
        <w:t xml:space="preserve">      </w:t>
      </w:r>
      <w:r>
        <w:rPr>
          <w:rFonts w:hint="eastAsia"/>
          <w:szCs w:val="36"/>
        </w:rPr>
        <w:t xml:space="preserve"> 录</w:t>
      </w:r>
      <w:r>
        <w:tab/>
      </w:r>
      <w:r>
        <w:fldChar w:fldCharType="begin"/>
      </w:r>
      <w:r>
        <w:instrText xml:space="preserve"> PAGEREF _Toc7787 \h </w:instrText>
      </w:r>
      <w:r>
        <w:fldChar w:fldCharType="separate"/>
      </w:r>
      <w:r>
        <w:t xml:space="preserve">1</w:t>
      </w:r>
      <w:r>
        <w:fldChar w:fldCharType="end"/>
      </w:r>
      <w:r>
        <w:rPr>
          <w:rFonts w:ascii="Times New Roman" w:hAnsi="Times New Roman"/>
        </w:rPr>
        <w:fldChar w:fldCharType="end"/>
      </w:r>
      <w:r/>
    </w:p>
    <w:p>
      <w:pPr>
        <w:pStyle w:val="1174"/>
        <w:tabs>
          <w:tab w:val="right" w:pos="9072" w:leader="dot"/>
        </w:tabs>
      </w:pPr>
      <w:r>
        <w:rPr>
          <w:rFonts w:ascii="Times New Roman" w:hAnsi="Times New Roman"/>
        </w:rPr>
        <w:fldChar w:fldCharType="begin"/>
      </w:r>
      <w:r>
        <w:rPr>
          <w:rFonts w:ascii="Times New Roman" w:hAnsi="Times New Roman"/>
        </w:rPr>
        <w:instrText xml:space="preserve"> HYPERLINK \l _Toc8395 </w:instrText>
      </w:r>
      <w:r>
        <w:rPr>
          <w:rFonts w:ascii="Times New Roman" w:hAnsi="Times New Roman"/>
        </w:rPr>
        <w:fldChar w:fldCharType="separate"/>
      </w:r>
      <w:r>
        <w:rPr>
          <w:szCs w:val="36"/>
        </w:rPr>
        <w:t xml:space="preserve">第一章  </w:t>
      </w:r>
      <w:r>
        <w:rPr>
          <w:rFonts w:hint="eastAsia"/>
          <w:szCs w:val="36"/>
        </w:rPr>
        <w:t xml:space="preserve"> 竞争性磋商公告</w:t>
      </w:r>
      <w:r>
        <w:tab/>
      </w:r>
      <w:r>
        <w:rPr>
          <w:rFonts w:hint="eastAsia"/>
        </w:rPr>
        <w:t xml:space="preserve">2</w:t>
      </w:r>
      <w:r>
        <w:rPr>
          <w:rFonts w:ascii="Times New Roman" w:hAnsi="Times New Roman"/>
        </w:rPr>
        <w:fldChar w:fldCharType="end"/>
      </w:r>
      <w:r/>
    </w:p>
    <w:p>
      <w:pPr>
        <w:pStyle w:val="1174"/>
        <w:tabs>
          <w:tab w:val="right" w:pos="9072" w:leader="dot"/>
        </w:tabs>
      </w:pPr>
      <w:r>
        <w:rPr>
          <w:rFonts w:ascii="Times New Roman" w:hAnsi="Times New Roman"/>
        </w:rPr>
        <w:fldChar w:fldCharType="begin"/>
      </w:r>
      <w:r>
        <w:rPr>
          <w:rFonts w:ascii="Times New Roman" w:hAnsi="Times New Roman"/>
        </w:rPr>
        <w:instrText xml:space="preserve"> HYPERLINK \l _Toc6690 </w:instrText>
      </w:r>
      <w:r>
        <w:rPr>
          <w:rFonts w:ascii="Times New Roman" w:hAnsi="Times New Roman"/>
        </w:rPr>
        <w:fldChar w:fldCharType="separate"/>
      </w:r>
      <w:r>
        <w:rPr>
          <w:szCs w:val="36"/>
        </w:rPr>
        <w:t xml:space="preserve">第二章   供应商须知</w:t>
      </w:r>
      <w:r>
        <w:tab/>
      </w:r>
      <w:r>
        <w:rPr>
          <w:rFonts w:hint="eastAsia"/>
        </w:rPr>
        <w:t xml:space="preserve">5</w:t>
      </w:r>
      <w:r>
        <w:rPr>
          <w:rFonts w:ascii="Times New Roman" w:hAnsi="Times New Roman"/>
        </w:rPr>
        <w:fldChar w:fldCharType="end"/>
      </w:r>
      <w:r/>
    </w:p>
    <w:p>
      <w:pPr>
        <w:pStyle w:val="1174"/>
        <w:tabs>
          <w:tab w:val="right" w:pos="9072" w:leader="dot"/>
        </w:tabs>
      </w:pPr>
      <w:r>
        <w:rPr>
          <w:rFonts w:ascii="Times New Roman" w:hAnsi="Times New Roman"/>
        </w:rPr>
        <w:fldChar w:fldCharType="begin"/>
      </w:r>
      <w:r>
        <w:rPr>
          <w:rFonts w:ascii="Times New Roman" w:hAnsi="Times New Roman"/>
        </w:rPr>
        <w:instrText xml:space="preserve"> HYPERLINK \l _Toc20589 </w:instrText>
      </w:r>
      <w:r>
        <w:rPr>
          <w:rFonts w:ascii="Times New Roman" w:hAnsi="Times New Roman"/>
        </w:rPr>
        <w:fldChar w:fldCharType="separate"/>
      </w:r>
      <w:r>
        <w:rPr>
          <w:szCs w:val="36"/>
        </w:rPr>
        <w:t xml:space="preserve">第三章   评审</w:t>
      </w:r>
      <w:r>
        <w:rPr>
          <w:rFonts w:hint="eastAsia"/>
          <w:szCs w:val="36"/>
        </w:rPr>
        <w:t xml:space="preserve">程序、评审</w:t>
      </w:r>
      <w:r>
        <w:rPr>
          <w:szCs w:val="36"/>
        </w:rPr>
        <w:t xml:space="preserve">方法和评审标准</w:t>
      </w:r>
      <w:r>
        <w:tab/>
      </w:r>
      <w:r>
        <w:fldChar w:fldCharType="begin"/>
      </w:r>
      <w:r>
        <w:instrText xml:space="preserve"> PAGEREF _Toc20589 \h </w:instrText>
      </w:r>
      <w:r>
        <w:fldChar w:fldCharType="separate"/>
      </w:r>
      <w:r>
        <w:t xml:space="preserve">20</w:t>
      </w:r>
      <w:r>
        <w:fldChar w:fldCharType="end"/>
      </w:r>
      <w:r>
        <w:rPr>
          <w:rFonts w:ascii="Times New Roman" w:hAnsi="Times New Roman"/>
        </w:rPr>
        <w:fldChar w:fldCharType="end"/>
      </w:r>
      <w:r/>
    </w:p>
    <w:p>
      <w:pPr>
        <w:pStyle w:val="1174"/>
        <w:tabs>
          <w:tab w:val="right" w:pos="9072" w:leader="dot"/>
        </w:tabs>
        <w:rPr>
          <w:rFonts w:hint="eastAsia"/>
        </w:rPr>
      </w:pPr>
      <w:r>
        <w:rPr>
          <w:rFonts w:ascii="Times New Roman" w:hAnsi="Times New Roman"/>
        </w:rPr>
        <w:fldChar w:fldCharType="begin"/>
      </w:r>
      <w:r>
        <w:rPr>
          <w:rFonts w:ascii="Times New Roman" w:hAnsi="Times New Roman"/>
        </w:rPr>
        <w:instrText xml:space="preserve"> HYPERLINK \l _Toc7049 </w:instrText>
      </w:r>
      <w:r>
        <w:rPr>
          <w:rFonts w:ascii="Times New Roman" w:hAnsi="Times New Roman"/>
        </w:rPr>
        <w:fldChar w:fldCharType="separate"/>
      </w:r>
      <w:r>
        <w:rPr>
          <w:rFonts w:hint="eastAsia"/>
          <w:szCs w:val="36"/>
        </w:rPr>
        <w:t xml:space="preserve">第四章 </w:t>
      </w:r>
      <w:r>
        <w:rPr>
          <w:szCs w:val="36"/>
        </w:rPr>
        <w:t xml:space="preserve">  采购需求</w:t>
      </w:r>
      <w:r>
        <w:tab/>
      </w:r>
      <w:r>
        <w:rPr>
          <w:rFonts w:hint="eastAsia"/>
        </w:rPr>
        <w:t xml:space="preserve">3</w:t>
      </w:r>
      <w:r>
        <w:rPr>
          <w:rFonts w:ascii="Times New Roman" w:hAnsi="Times New Roman"/>
        </w:rPr>
        <w:fldChar w:fldCharType="end"/>
      </w:r>
      <w:r>
        <w:rPr>
          <w:rFonts w:hint="eastAsia" w:ascii="Times New Roman" w:hAnsi="Times New Roman"/>
        </w:rPr>
        <w:t xml:space="preserve">0</w:t>
      </w:r>
      <w:r>
        <w:rPr>
          <w:rFonts w:hint="eastAsia"/>
        </w:rPr>
      </w:r>
      <w:r/>
    </w:p>
    <w:p>
      <w:pPr>
        <w:pStyle w:val="1174"/>
        <w:tabs>
          <w:tab w:val="right" w:pos="9072" w:leader="dot"/>
        </w:tabs>
      </w:pPr>
      <w:r>
        <w:rPr>
          <w:rFonts w:ascii="Times New Roman" w:hAnsi="Times New Roman"/>
        </w:rPr>
        <w:fldChar w:fldCharType="begin"/>
      </w:r>
      <w:r>
        <w:rPr>
          <w:rFonts w:ascii="Times New Roman" w:hAnsi="Times New Roman"/>
        </w:rPr>
        <w:instrText xml:space="preserve"> HYPERLINK \l _Toc12649 </w:instrText>
      </w:r>
      <w:r>
        <w:rPr>
          <w:rFonts w:ascii="Times New Roman" w:hAnsi="Times New Roman"/>
        </w:rPr>
        <w:fldChar w:fldCharType="separate"/>
      </w:r>
      <w:r>
        <w:rPr>
          <w:szCs w:val="36"/>
        </w:rPr>
        <w:t xml:space="preserve">第五章   合同</w:t>
      </w:r>
      <w:r>
        <w:rPr>
          <w:rFonts w:hint="eastAsia"/>
          <w:szCs w:val="36"/>
        </w:rPr>
        <w:t xml:space="preserve">主要</w:t>
      </w:r>
      <w:r>
        <w:rPr>
          <w:szCs w:val="36"/>
        </w:rPr>
        <w:t xml:space="preserve">条款</w:t>
      </w:r>
      <w:r>
        <w:tab/>
      </w:r>
      <w:r>
        <w:fldChar w:fldCharType="begin"/>
      </w:r>
      <w:r>
        <w:instrText xml:space="preserve"> PAGEREF _Toc12649 \h </w:instrText>
      </w:r>
      <w:r>
        <w:fldChar w:fldCharType="separate"/>
      </w:r>
      <w:r>
        <w:t xml:space="preserve">29</w:t>
      </w:r>
      <w:r>
        <w:fldChar w:fldCharType="end"/>
      </w:r>
      <w:r>
        <w:rPr>
          <w:rFonts w:ascii="Times New Roman" w:hAnsi="Times New Roman"/>
        </w:rPr>
        <w:fldChar w:fldCharType="end"/>
      </w:r>
      <w:r/>
    </w:p>
    <w:p>
      <w:pPr>
        <w:pStyle w:val="1174"/>
        <w:tabs>
          <w:tab w:val="right" w:pos="9072" w:leader="dot"/>
        </w:tabs>
        <w:rPr>
          <w:rFonts w:hint="eastAsia"/>
        </w:rPr>
      </w:pPr>
      <w:r>
        <w:rPr>
          <w:rFonts w:ascii="Times New Roman" w:hAnsi="Times New Roman"/>
        </w:rPr>
        <w:fldChar w:fldCharType="begin"/>
      </w:r>
      <w:r>
        <w:rPr>
          <w:rFonts w:ascii="Times New Roman" w:hAnsi="Times New Roman"/>
        </w:rPr>
        <w:instrText xml:space="preserve"> HYPERLINK \l _Toc1692 </w:instrText>
      </w:r>
      <w:r>
        <w:rPr>
          <w:rFonts w:ascii="Times New Roman" w:hAnsi="Times New Roman"/>
        </w:rPr>
        <w:fldChar w:fldCharType="separate"/>
      </w:r>
      <w:r>
        <w:rPr>
          <w:szCs w:val="36"/>
        </w:rPr>
        <w:t xml:space="preserve">第六章   响应文件格式</w:t>
      </w:r>
      <w:r>
        <w:tab/>
      </w:r>
      <w:r>
        <w:rPr>
          <w:rFonts w:hint="eastAsia"/>
        </w:rPr>
        <w:t xml:space="preserve">3</w:t>
      </w:r>
      <w:r>
        <w:rPr>
          <w:rFonts w:ascii="Times New Roman" w:hAnsi="Times New Roman"/>
        </w:rPr>
        <w:fldChar w:fldCharType="end"/>
      </w:r>
      <w:r>
        <w:rPr>
          <w:rFonts w:hint="eastAsia" w:ascii="Times New Roman" w:hAnsi="Times New Roman"/>
        </w:rPr>
        <w:t xml:space="preserve">5</w:t>
      </w:r>
      <w:r>
        <w:rPr>
          <w:rFonts w:hint="eastAsia"/>
        </w:rPr>
      </w:r>
      <w:r/>
    </w:p>
    <w:p>
      <w:pPr>
        <w:pStyle w:val="1174"/>
        <w:spacing w:line="360" w:lineRule="auto"/>
        <w:tabs>
          <w:tab w:val="left" w:pos="1050" w:leader="none"/>
          <w:tab w:val="right" w:pos="8937" w:leader="dot"/>
        </w:tabs>
        <w:rPr>
          <w:rFonts w:ascii="Times New Roman" w:hAnsi="Times New Roman"/>
          <w:b w:val="0"/>
        </w:rPr>
      </w:pPr>
      <w:r>
        <w:rPr>
          <w:rFonts w:ascii="Times New Roman" w:hAnsi="Times New Roman"/>
        </w:rPr>
        <w:fldChar w:fldCharType="end"/>
      </w:r>
      <w:r>
        <w:rPr>
          <w:rFonts w:ascii="Times New Roman" w:hAnsi="Times New Roman"/>
          <w:b w:val="0"/>
        </w:rPr>
      </w:r>
      <w:r/>
    </w:p>
    <w:p>
      <w:pPr>
        <w:pStyle w:val="1174"/>
        <w:spacing w:line="360" w:lineRule="auto"/>
        <w:tabs>
          <w:tab w:val="left" w:pos="1050" w:leader="none"/>
          <w:tab w:val="right" w:pos="8937" w:leader="dot"/>
        </w:tabs>
        <w:rPr>
          <w:b w:val="0"/>
          <w:sz w:val="36"/>
          <w:szCs w:val="36"/>
        </w:rPr>
      </w:pPr>
      <w:r>
        <w:rPr>
          <w:b w:val="0"/>
          <w:sz w:val="36"/>
          <w:szCs w:val="36"/>
        </w:rPr>
      </w:r>
      <w:r/>
    </w:p>
    <w:p>
      <w:pPr>
        <w:pStyle w:val="1118"/>
        <w:jc w:val="center"/>
        <w:spacing w:line="360" w:lineRule="auto"/>
        <w:rPr>
          <w:b/>
          <w:sz w:val="36"/>
          <w:szCs w:val="36"/>
        </w:rPr>
        <w:sectPr>
          <w:headerReference w:type="default" r:id="rId11"/>
          <w:footerReference w:type="default" r:id="rId17"/>
          <w:footerReference w:type="first" r:id="rId18"/>
          <w:footnotePr/>
          <w:endnotePr/>
          <w:type w:val="nextPage"/>
          <w:pgSz w:w="11907" w:h="16840" w:orient="portrait"/>
          <w:pgMar w:top="1418" w:right="1134" w:bottom="1418" w:left="1701" w:header="851" w:footer="851" w:gutter="0"/>
          <w:pgNumType w:start="1"/>
          <w:cols w:num="1" w:sep="0" w:space="1701" w:equalWidth="1"/>
          <w:docGrid w:linePitch="360"/>
        </w:sectPr>
        <w:outlineLvl w:val="0"/>
      </w:pPr>
      <w:r>
        <w:rPr>
          <w:b/>
          <w:sz w:val="36"/>
          <w:szCs w:val="36"/>
        </w:rPr>
      </w:r>
      <w:r/>
    </w:p>
    <w:p>
      <w:pPr>
        <w:pStyle w:val="1118"/>
        <w:ind w:firstLine="480"/>
        <w:spacing w:line="360" w:lineRule="auto"/>
        <w:rPr>
          <w:sz w:val="24"/>
        </w:rPr>
      </w:pPr>
      <w:r/>
      <w:bookmarkStart w:id="3" w:name="_Toc28359002"/>
      <w:r/>
      <w:bookmarkStart w:id="4" w:name="_Toc35393790"/>
      <w:r/>
      <w:bookmarkStart w:id="5" w:name="_Toc28359079"/>
      <w:r/>
      <w:bookmarkStart w:id="6" w:name="_Hlk24379207"/>
      <w:r/>
      <w:bookmarkStart w:id="7" w:name="_Toc35393621"/>
      <w:r>
        <w:rPr>
          <w:sz w:val="24"/>
        </w:rPr>
      </w:r>
      <w:r/>
    </w:p>
    <w:p>
      <w:pPr>
        <w:pStyle w:val="1118"/>
        <w:jc w:val="center"/>
        <w:spacing w:line="360" w:lineRule="auto"/>
        <w:rPr>
          <w:sz w:val="24"/>
        </w:rPr>
        <w:outlineLvl w:val="0"/>
      </w:pPr>
      <w:r/>
      <w:bookmarkEnd w:id="3"/>
      <w:r/>
      <w:bookmarkEnd w:id="4"/>
      <w:r/>
      <w:bookmarkEnd w:id="5"/>
      <w:r/>
      <w:bookmarkEnd w:id="6"/>
      <w:r/>
      <w:bookmarkEnd w:id="7"/>
      <w:r/>
      <w:bookmarkStart w:id="8" w:name="_Toc104818925"/>
      <w:r/>
      <w:bookmarkStart w:id="9" w:name="_Toc8395"/>
      <w:r/>
      <w:bookmarkStart w:id="10" w:name="_Toc28359081"/>
      <w:r/>
      <w:bookmarkStart w:id="11" w:name="_Toc28359004"/>
      <w:r>
        <w:rPr>
          <w:b/>
          <w:sz w:val="36"/>
          <w:szCs w:val="36"/>
        </w:rPr>
        <w:t xml:space="preserve">第一章  </w:t>
      </w:r>
      <w:bookmarkEnd w:id="8"/>
      <w:r>
        <w:rPr>
          <w:rFonts w:hint="eastAsia"/>
          <w:b/>
          <w:sz w:val="36"/>
          <w:szCs w:val="36"/>
        </w:rPr>
        <w:t xml:space="preserve">竞争性磋商公告</w:t>
      </w:r>
      <w:bookmarkEnd w:id="9"/>
      <w:r>
        <w:rPr>
          <w:sz w:val="24"/>
        </w:rPr>
      </w:r>
      <w:r/>
    </w:p>
    <w:p>
      <w:pPr>
        <w:pStyle w:val="1118"/>
        <w:spacing w:line="360" w:lineRule="auto"/>
        <w:rPr>
          <w:rFonts w:ascii="宋体" w:hAnsi="宋体" w:cs="宋体"/>
        </w:rPr>
      </w:pPr>
      <w:r>
        <w:rPr>
          <w:rFonts w:hint="eastAsia" w:ascii="宋体" w:hAnsi="宋体" w:cs="宋体"/>
        </w:rPr>
        <w:tab/>
      </w:r>
      <w:r>
        <w:rPr>
          <w:rFonts w:ascii="宋体" w:hAnsi="宋体" w:cs="宋体"/>
        </w:rPr>
      </w:r>
      <w:r/>
    </w:p>
    <w:tbl>
      <w:tblPr>
        <w:tblW w:w="94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vAlign w:val="top"/>
            <w:textDirection w:val="lrTb"/>
            <w:noWrap w:val="false"/>
          </w:tcPr>
          <w:p>
            <w:pPr>
              <w:pStyle w:val="1118"/>
              <w:spacing w:line="360" w:lineRule="auto"/>
              <w:rPr>
                <w:rFonts w:ascii="宋体" w:hAnsi="宋体" w:cs="宋体"/>
                <w:b/>
                <w:bCs/>
              </w:rPr>
            </w:pPr>
            <w:r>
              <w:rPr>
                <w:rFonts w:hint="eastAsia" w:ascii="宋体" w:hAnsi="宋体" w:cs="宋体"/>
                <w:b/>
                <w:bCs/>
              </w:rPr>
              <w:t xml:space="preserve">项目概况</w:t>
            </w:r>
            <w:r>
              <w:rPr>
                <w:rFonts w:ascii="宋体" w:hAnsi="宋体" w:cs="宋体"/>
                <w:b/>
                <w:bCs/>
              </w:rPr>
            </w:r>
            <w:r/>
          </w:p>
          <w:p>
            <w:pPr>
              <w:pStyle w:val="1118"/>
              <w:ind w:firstLine="422"/>
              <w:spacing w:line="360" w:lineRule="auto"/>
              <w:rPr>
                <w:rFonts w:ascii="宋体" w:hAnsi="宋体" w:cs="宋体"/>
              </w:rPr>
            </w:pPr>
            <w:r>
              <w:rPr>
                <w:rFonts w:hint="eastAsia" w:ascii="宋体" w:hAnsi="宋体" w:cs="宋体"/>
                <w:b/>
                <w:bCs/>
                <w:lang w:eastAsia="zh-CN"/>
              </w:rPr>
              <w:t xml:space="preserve">江苏省常州体育运动学校器材采购 </w:t>
            </w:r>
            <w:r>
              <w:rPr>
                <w:rFonts w:hint="eastAsia" w:ascii="宋体" w:hAnsi="宋体" w:cs="宋体"/>
              </w:rPr>
              <w:t xml:space="preserve">的潜在供应商应在</w:t>
            </w:r>
            <w:r>
              <w:rPr>
                <w:rFonts w:hint="eastAsia"/>
                <w:b/>
                <w:bCs/>
                <w:szCs w:val="32"/>
              </w:rPr>
              <w:t xml:space="preserve">“苏采云”政府采购一体化平台</w:t>
            </w:r>
            <w:r>
              <w:rPr>
                <w:rFonts w:hint="eastAsia" w:ascii="宋体" w:hAnsi="宋体" w:cs="宋体"/>
                <w:szCs w:val="21"/>
              </w:rPr>
              <w:t xml:space="preserve">获取</w:t>
            </w:r>
            <w:r>
              <w:rPr>
                <w:rFonts w:hint="eastAsia"/>
                <w:szCs w:val="32"/>
              </w:rPr>
              <w:t xml:space="preserve">磋商文件</w:t>
            </w:r>
            <w:r>
              <w:rPr>
                <w:rFonts w:hint="eastAsia" w:ascii="宋体" w:hAnsi="宋体" w:cs="宋体"/>
                <w:szCs w:val="21"/>
              </w:rPr>
              <w:t xml:space="preserve">，并于</w:t>
            </w:r>
            <w:r>
              <w:rPr>
                <w:rFonts w:hint="eastAsia" w:ascii="宋体" w:hAnsi="宋体" w:cs="宋体"/>
                <w:b/>
                <w:szCs w:val="21"/>
              </w:rPr>
              <w:t xml:space="preserve">202</w:t>
            </w:r>
            <w:r>
              <w:rPr>
                <w:rFonts w:hint="eastAsia" w:ascii="宋体" w:hAnsi="宋体" w:cs="宋体"/>
                <w:b/>
                <w:szCs w:val="21"/>
                <w:lang w:val="en-US" w:eastAsia="zh-CN"/>
              </w:rPr>
              <w:t xml:space="preserve">6</w:t>
            </w:r>
            <w:r>
              <w:rPr>
                <w:rFonts w:hint="eastAsia" w:ascii="宋体" w:hAnsi="宋体" w:cs="宋体"/>
                <w:b/>
                <w:szCs w:val="21"/>
              </w:rPr>
              <w:t xml:space="preserve">年</w:t>
            </w:r>
            <w:r>
              <w:rPr>
                <w:rFonts w:hint="eastAsia" w:ascii="宋体" w:hAnsi="宋体" w:cs="宋体"/>
                <w:b/>
                <w:szCs w:val="21"/>
                <w:lang w:val="en-US" w:eastAsia="zh-CN"/>
              </w:rPr>
              <w:t xml:space="preserve">3月23</w:t>
            </w:r>
            <w:r>
              <w:rPr>
                <w:rFonts w:hint="eastAsia" w:ascii="宋体" w:hAnsi="宋体" w:cs="宋体"/>
                <w:b/>
                <w:szCs w:val="21"/>
              </w:rPr>
              <w:t xml:space="preserve">日9:30</w:t>
            </w:r>
            <w:r>
              <w:rPr>
                <w:rFonts w:hint="eastAsia" w:ascii="宋体" w:hAnsi="宋体" w:cs="宋体"/>
                <w:szCs w:val="21"/>
              </w:rPr>
              <w:t xml:space="preserve">（北京时间）前提交投标文件。</w:t>
            </w:r>
            <w:r>
              <w:rPr>
                <w:rFonts w:ascii="宋体" w:hAnsi="宋体" w:cs="宋体"/>
              </w:rPr>
            </w:r>
            <w:r/>
          </w:p>
        </w:tc>
      </w:tr>
    </w:tbl>
    <w:p>
      <w:pPr>
        <w:pStyle w:val="1118"/>
        <w:ind w:firstLine="422"/>
        <w:spacing w:line="360" w:lineRule="auto"/>
        <w:rPr>
          <w:rFonts w:ascii="宋体" w:hAnsi="宋体" w:cs="宋体"/>
          <w:b/>
          <w:bCs/>
        </w:rPr>
      </w:pPr>
      <w:r>
        <w:rPr>
          <w:rFonts w:hint="eastAsia" w:ascii="宋体" w:hAnsi="宋体" w:cs="宋体"/>
          <w:b/>
          <w:bCs/>
        </w:rPr>
        <w:t xml:space="preserve">一、项目基本情况  </w:t>
      </w:r>
      <w:r>
        <w:rPr>
          <w:rFonts w:ascii="宋体" w:hAnsi="宋体" w:cs="宋体"/>
          <w:b/>
          <w:bCs/>
        </w:rPr>
      </w:r>
      <w:r/>
    </w:p>
    <w:p>
      <w:pPr>
        <w:pStyle w:val="1118"/>
        <w:ind w:firstLine="422"/>
        <w:spacing w:line="360" w:lineRule="auto"/>
        <w:rPr>
          <w:rFonts w:hint="eastAsia" w:ascii="宋体" w:hAnsi="宋体" w:eastAsia="宋体" w:cs="宋体"/>
          <w:lang w:eastAsia="zh-CN"/>
        </w:rPr>
      </w:pPr>
      <w:r>
        <w:rPr>
          <w:rFonts w:hint="eastAsia" w:ascii="宋体" w:hAnsi="宋体" w:cs="宋体"/>
          <w:b/>
        </w:rPr>
        <w:t xml:space="preserve">项目编号：</w:t>
      </w:r>
      <w:r>
        <w:rPr>
          <w:rFonts w:hint="eastAsia" w:ascii="宋体" w:hAnsi="宋体" w:eastAsia="宋体" w:cs="宋体"/>
          <w:lang w:eastAsia="zh-CN"/>
        </w:rPr>
        <w:t xml:space="preserve">JSZC-320400-CZZH-C2026-0014</w:t>
      </w:r>
      <w:r>
        <w:rPr>
          <w:rFonts w:hint="eastAsia" w:ascii="宋体" w:hAnsi="宋体" w:eastAsia="宋体" w:cs="宋体"/>
          <w:lang w:eastAsia="zh-CN"/>
        </w:rPr>
      </w:r>
      <w:r/>
    </w:p>
    <w:p>
      <w:pPr>
        <w:pStyle w:val="1118"/>
        <w:ind w:firstLine="422"/>
        <w:spacing w:line="360" w:lineRule="auto"/>
        <w:rPr>
          <w:rFonts w:hint="eastAsia" w:ascii="宋体" w:hAnsi="宋体" w:eastAsia="宋体" w:cs="宋体"/>
          <w:lang w:eastAsia="zh-CN"/>
        </w:rPr>
      </w:pPr>
      <w:r>
        <w:rPr>
          <w:rFonts w:hint="eastAsia" w:ascii="宋体" w:hAnsi="宋体" w:cs="宋体"/>
          <w:b/>
        </w:rPr>
        <w:t xml:space="preserve">项目名称：</w:t>
      </w:r>
      <w:r>
        <w:rPr>
          <w:rFonts w:hint="eastAsia" w:ascii="宋体" w:hAnsi="宋体" w:cs="宋体"/>
          <w:lang w:eastAsia="zh-CN"/>
        </w:rPr>
        <w:t xml:space="preserve">江苏省常州体育运动学校器材采购 </w:t>
      </w:r>
      <w:r>
        <w:rPr>
          <w:rFonts w:hint="eastAsia" w:ascii="宋体" w:hAnsi="宋体" w:eastAsia="宋体" w:cs="宋体"/>
          <w:lang w:eastAsia="zh-CN"/>
        </w:rPr>
      </w:r>
      <w:r/>
    </w:p>
    <w:p>
      <w:pPr>
        <w:pStyle w:val="1118"/>
        <w:ind w:firstLine="430"/>
        <w:spacing w:line="360" w:lineRule="auto"/>
        <w:rPr>
          <w:rFonts w:ascii="宋体" w:hAnsi="宋体" w:cs="宋体"/>
          <w:b/>
          <w:spacing w:val="2"/>
        </w:rPr>
      </w:pPr>
      <w:r>
        <w:rPr>
          <w:rFonts w:hint="eastAsia" w:ascii="宋体" w:hAnsi="宋体" w:cs="宋体"/>
          <w:b/>
          <w:spacing w:val="2"/>
        </w:rPr>
        <w:t xml:space="preserve">采购方式：</w:t>
      </w:r>
      <w:r>
        <w:rPr>
          <w:rFonts w:hint="eastAsia" w:ascii="宋体" w:hAnsi="宋体" w:cs="宋体"/>
          <w:spacing w:val="2"/>
        </w:rPr>
        <w:t xml:space="preserve">竞争性磋商</w:t>
      </w:r>
      <w:r>
        <w:rPr>
          <w:rFonts w:ascii="宋体" w:hAnsi="宋体" w:cs="宋体"/>
          <w:b/>
          <w:spacing w:val="2"/>
        </w:rPr>
      </w:r>
      <w:r/>
    </w:p>
    <w:p>
      <w:pPr>
        <w:pStyle w:val="1118"/>
        <w:ind w:firstLine="430"/>
        <w:spacing w:line="360" w:lineRule="auto"/>
        <w:rPr>
          <w:rFonts w:ascii="Segoe UI" w:hAnsi="Segoe UI" w:eastAsia="Segoe UI" w:cs="Segoe UI"/>
          <w:i w:val="0"/>
          <w:iCs w:val="0"/>
          <w:caps w:val="0"/>
          <w:color w:val="000000"/>
          <w:spacing w:val="0"/>
          <w:sz w:val="21"/>
          <w:szCs w:val="21"/>
          <w:highlight w:val="none"/>
          <w:shd w:val="clear" w:color="auto" w:fill="ffffff"/>
        </w:rPr>
      </w:pPr>
      <w:r>
        <w:rPr>
          <w:rFonts w:hint="eastAsia" w:ascii="宋体" w:hAnsi="宋体" w:cs="宋体"/>
          <w:b/>
          <w:spacing w:val="2"/>
          <w:highlight w:val="none"/>
        </w:rPr>
        <w:t xml:space="preserve">预算金额:</w:t>
      </w:r>
      <w:r>
        <w:rPr>
          <w:rFonts w:hint="eastAsia" w:ascii="宋体" w:hAnsi="宋体" w:cs="宋体"/>
          <w:b/>
          <w:spacing w:val="2"/>
          <w:highlight w:val="none"/>
          <w:lang w:val="en-US" w:eastAsia="zh-CN"/>
        </w:rPr>
        <w:t xml:space="preserve"> </w:t>
      </w:r>
      <w:r>
        <w:rPr>
          <w:rFonts w:hint="eastAsia" w:ascii="宋体" w:hAnsi="宋体" w:cs="宋体"/>
          <w:b/>
          <w:color w:val="000000"/>
          <w:spacing w:val="2"/>
          <w:highlight w:val="none"/>
          <w:lang w:val="en-US" w:eastAsia="zh-CN"/>
        </w:rPr>
        <w:t xml:space="preserve">8</w:t>
      </w:r>
      <w:r>
        <w:rPr>
          <w:rFonts w:hint="eastAsia" w:ascii="宋体" w:hAnsi="宋体" w:cs="宋体"/>
          <w:b/>
          <w:color w:val="000000"/>
          <w:spacing w:val="2"/>
          <w:highlight w:val="none"/>
          <w:lang w:val="en-US" w:eastAsia="zh-CN"/>
        </w:rPr>
        <w:t xml:space="preserve">6.074万</w:t>
      </w:r>
      <w:r>
        <w:rPr>
          <w:rFonts w:hint="eastAsia" w:ascii="宋体" w:hAnsi="宋体" w:eastAsia="宋体" w:cs="宋体"/>
          <w:bCs/>
          <w:color w:val="000000"/>
          <w:spacing w:val="2"/>
          <w:highlight w:val="none"/>
          <w:lang w:val="en-US" w:eastAsia="zh-CN"/>
        </w:rPr>
        <w:t xml:space="preserve">元</w:t>
      </w:r>
      <w:r>
        <w:rPr>
          <w:rFonts w:hint="eastAsia" w:ascii="宋体" w:hAnsi="宋体" w:cs="宋体"/>
          <w:bCs/>
          <w:color w:val="000000"/>
          <w:spacing w:val="2"/>
          <w:highlight w:val="none"/>
          <w:lang w:val="en-US" w:eastAsia="zh-CN"/>
        </w:rPr>
        <w:t xml:space="preserve">，其中采购包1：</w:t>
      </w:r>
      <w:r>
        <w:rPr>
          <w:rFonts w:ascii="Segoe UI" w:hAnsi="Segoe UI" w:eastAsia="Segoe UI" w:cs="Segoe UI"/>
          <w:i w:val="0"/>
          <w:iCs w:val="0"/>
          <w:caps w:val="0"/>
          <w:color w:val="000000"/>
          <w:spacing w:val="0"/>
          <w:sz w:val="21"/>
          <w:szCs w:val="21"/>
          <w:highlight w:val="none"/>
          <w:shd w:val="clear" w:color="auto" w:fill="ffffff"/>
        </w:rPr>
        <w:t xml:space="preserve">35.292万元</w:t>
      </w:r>
      <w:r>
        <w:rPr>
          <w:rFonts w:hint="eastAsia" w:ascii="宋体" w:hAnsi="宋体" w:cs="宋体"/>
          <w:bCs/>
          <w:color w:val="000000"/>
          <w:spacing w:val="2"/>
          <w:highlight w:val="none"/>
          <w:lang w:val="en-US" w:eastAsia="zh-CN"/>
        </w:rPr>
        <w:t xml:space="preserve">、采购包2：</w:t>
      </w:r>
      <w:r>
        <w:rPr>
          <w:rFonts w:ascii="Segoe UI" w:hAnsi="Segoe UI" w:eastAsia="Segoe UI" w:cs="Segoe UI"/>
          <w:i w:val="0"/>
          <w:iCs w:val="0"/>
          <w:caps w:val="0"/>
          <w:color w:val="000000"/>
          <w:spacing w:val="0"/>
          <w:sz w:val="21"/>
          <w:szCs w:val="21"/>
          <w:highlight w:val="none"/>
          <w:shd w:val="clear" w:color="auto" w:fill="ffffff"/>
        </w:rPr>
        <w:t xml:space="preserve">50.782万元</w:t>
      </w:r>
      <w:r>
        <w:rPr>
          <w:rFonts w:ascii="Segoe UI" w:hAnsi="Segoe UI" w:eastAsia="Segoe UI" w:cs="Segoe UI"/>
          <w:i w:val="0"/>
          <w:iCs w:val="0"/>
          <w:caps w:val="0"/>
          <w:color w:val="000000"/>
          <w:spacing w:val="0"/>
          <w:sz w:val="21"/>
          <w:szCs w:val="21"/>
          <w:highlight w:val="none"/>
          <w:shd w:val="clear" w:color="auto" w:fill="ffffff"/>
        </w:rPr>
      </w:r>
      <w:r/>
    </w:p>
    <w:p>
      <w:pPr>
        <w:pStyle w:val="1118"/>
        <w:ind w:firstLine="430"/>
        <w:spacing w:line="360" w:lineRule="auto"/>
        <w:rPr>
          <w:rFonts w:ascii="宋体" w:hAnsi="宋体" w:eastAsia="宋体" w:cs="宋体"/>
          <w:bCs/>
          <w:spacing w:val="2"/>
          <w:szCs w:val="21"/>
          <w:highlight w:val="yellow"/>
          <w:lang w:val="en-US" w:eastAsia="zh-CN"/>
        </w:rPr>
      </w:pPr>
      <w:r>
        <w:rPr>
          <w:rFonts w:hint="eastAsia" w:ascii="宋体" w:hAnsi="宋体" w:cs="宋体"/>
          <w:b/>
          <w:spacing w:val="2"/>
          <w:szCs w:val="21"/>
          <w:highlight w:val="none"/>
        </w:rPr>
        <w:t xml:space="preserve">最高限价</w:t>
      </w:r>
      <w:r>
        <w:rPr>
          <w:rFonts w:hint="eastAsia" w:ascii="宋体" w:hAnsi="宋体" w:cs="宋体"/>
          <w:b/>
          <w:spacing w:val="2"/>
          <w:szCs w:val="21"/>
          <w:highlight w:val="none"/>
          <w:lang w:eastAsia="zh-CN"/>
        </w:rPr>
        <w:t xml:space="preserve">：</w:t>
      </w:r>
      <w:r>
        <w:rPr>
          <w:rFonts w:hint="eastAsia" w:ascii="宋体" w:hAnsi="宋体" w:cs="宋体"/>
          <w:b/>
          <w:spacing w:val="2"/>
          <w:highlight w:val="none"/>
          <w:lang w:val="en-US" w:eastAsia="zh-CN"/>
        </w:rPr>
        <w:t xml:space="preserve">86.074万</w:t>
      </w:r>
      <w:r>
        <w:rPr>
          <w:rFonts w:hint="eastAsia" w:ascii="宋体" w:hAnsi="宋体" w:eastAsia="宋体" w:cs="宋体"/>
          <w:bCs/>
          <w:spacing w:val="2"/>
          <w:highlight w:val="none"/>
          <w:lang w:val="en-US" w:eastAsia="zh-CN"/>
        </w:rPr>
        <w:t xml:space="preserve">元</w:t>
      </w:r>
      <w:r>
        <w:rPr>
          <w:rFonts w:hint="eastAsia" w:ascii="宋体" w:hAnsi="宋体" w:cs="宋体"/>
          <w:bCs/>
          <w:spacing w:val="2"/>
          <w:highlight w:val="none"/>
          <w:lang w:val="en-US" w:eastAsia="zh-CN"/>
        </w:rPr>
        <w:t xml:space="preserve">，</w:t>
      </w:r>
      <w:r>
        <w:rPr>
          <w:rFonts w:hint="eastAsia" w:ascii="宋体" w:hAnsi="宋体" w:cs="宋体"/>
          <w:bCs/>
          <w:color w:val="000000"/>
          <w:spacing w:val="2"/>
          <w:highlight w:val="none"/>
          <w:lang w:val="en-US" w:eastAsia="zh-CN"/>
        </w:rPr>
        <w:t xml:space="preserve">其中采购包1：</w:t>
      </w:r>
      <w:r>
        <w:rPr>
          <w:rFonts w:ascii="Segoe UI" w:hAnsi="Segoe UI" w:eastAsia="Segoe UI" w:cs="Segoe UI"/>
          <w:i w:val="0"/>
          <w:iCs w:val="0"/>
          <w:caps w:val="0"/>
          <w:color w:val="000000"/>
          <w:spacing w:val="0"/>
          <w:sz w:val="21"/>
          <w:szCs w:val="21"/>
          <w:highlight w:val="none"/>
          <w:shd w:val="clear" w:color="auto" w:fill="ffffff"/>
        </w:rPr>
        <w:t xml:space="preserve">35.292万元</w:t>
      </w:r>
      <w:r>
        <w:rPr>
          <w:rFonts w:hint="eastAsia" w:ascii="宋体" w:hAnsi="宋体" w:cs="宋体"/>
          <w:bCs/>
          <w:color w:val="000000"/>
          <w:spacing w:val="2"/>
          <w:highlight w:val="none"/>
          <w:lang w:val="en-US" w:eastAsia="zh-CN"/>
        </w:rPr>
        <w:t xml:space="preserve">、采购包2：</w:t>
      </w:r>
      <w:r>
        <w:rPr>
          <w:rFonts w:ascii="Segoe UI" w:hAnsi="Segoe UI" w:eastAsia="Segoe UI" w:cs="Segoe UI"/>
          <w:i w:val="0"/>
          <w:iCs w:val="0"/>
          <w:caps w:val="0"/>
          <w:color w:val="000000"/>
          <w:spacing w:val="0"/>
          <w:sz w:val="21"/>
          <w:szCs w:val="21"/>
          <w:highlight w:val="none"/>
          <w:shd w:val="clear" w:color="auto" w:fill="ffffff"/>
        </w:rPr>
        <w:t xml:space="preserve">50.782万元</w:t>
      </w:r>
      <w:r>
        <w:rPr>
          <w:rFonts w:ascii="宋体" w:hAnsi="宋体" w:eastAsia="宋体" w:cs="宋体"/>
          <w:bCs/>
          <w:spacing w:val="2"/>
          <w:szCs w:val="21"/>
          <w:highlight w:val="yellow"/>
          <w:lang w:val="en-US" w:eastAsia="zh-CN"/>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b/>
          <w:spacing w:val="2"/>
          <w:szCs w:val="21"/>
          <w:highlight w:val="none"/>
        </w:rPr>
        <w:t xml:space="preserve">采购需求：</w:t>
      </w:r>
      <w:r>
        <w:rPr>
          <w:rFonts w:hint="eastAsia" w:ascii="宋体" w:hAnsi="宋体" w:eastAsia="宋体" w:cs="宋体"/>
          <w:color w:val="000000"/>
          <w:sz w:val="21"/>
          <w:szCs w:val="21"/>
        </w:rPr>
        <w:t xml:space="preserve">本项目共分</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个采购包，供应商可对本次采购项目中的一个采购包或全部采购包进行响应，每个供应商仅限中一个采购包。</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个采购包依次评审，按采购包1-采购包</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的顺序依次确定成交供应商，如供应商被列为采购包1的第一成交候选人，</w:t>
      </w:r>
      <w:r>
        <w:rPr>
          <w:rFonts w:hint="eastAsia" w:ascii="宋体" w:hAnsi="宋体" w:eastAsia="宋体" w:cs="宋体"/>
          <w:b/>
          <w:spacing w:val="2"/>
          <w:szCs w:val="21"/>
          <w:highlight w:val="none"/>
        </w:rPr>
      </w:r>
      <w:r>
        <w:rPr>
          <w:rFonts w:ascii="SimSun" w:hAnsi="SimSun" w:eastAsia="SimSun" w:cs="SimSun"/>
          <w:color w:val="000000"/>
          <w:sz w:val="21"/>
        </w:rPr>
        <w:t xml:space="preserve">将不再列入采购包2的成交候选人名单。</w:t>
      </w:r>
      <w:r/>
      <w:r>
        <w:rPr>
          <w:rFonts w:hint="eastAsia" w:ascii="宋体" w:hAnsi="宋体" w:eastAsia="宋体" w:cs="宋体"/>
          <w:color w:val="000000"/>
          <w:sz w:val="21"/>
          <w:szCs w:val="21"/>
        </w:rPr>
      </w:r>
      <w:r/>
      <w:r/>
      <w:r>
        <w:rPr>
          <w:sz w:val="21"/>
        </w:rPr>
      </w:r>
    </w:p>
    <w:p>
      <w:pPr>
        <w:pStyle w:val="1118"/>
        <w:ind w:firstLine="428"/>
        <w:spacing w:line="360" w:lineRule="auto"/>
        <w:rPr>
          <w:rFonts w:ascii="宋体" w:hAnsi="宋体" w:eastAsia="宋体" w:cs="宋体"/>
          <w:b w:val="0"/>
          <w:bCs/>
          <w:spacing w:val="2"/>
          <w:szCs w:val="21"/>
          <w:highlight w:val="none"/>
          <w:lang w:val="en-US" w:eastAsia="zh-CN"/>
        </w:rPr>
      </w:pPr>
      <w:r>
        <w:rPr>
          <w:rFonts w:hint="eastAsia" w:ascii="宋体" w:hAnsi="宋体" w:cs="宋体"/>
          <w:b w:val="0"/>
          <w:bCs/>
          <w:spacing w:val="2"/>
          <w:szCs w:val="21"/>
          <w:highlight w:val="none"/>
          <w:lang w:val="en-US" w:eastAsia="zh-CN"/>
        </w:rPr>
        <w:t xml:space="preserve">采购包1拟采购的内容：</w:t>
      </w:r>
      <w:r>
        <w:rPr>
          <w:rFonts w:ascii="Segoe UI" w:hAnsi="Segoe UI" w:eastAsia="Segoe UI" w:cs="Segoe UI"/>
          <w:b w:val="0"/>
          <w:bCs/>
          <w:i w:val="0"/>
          <w:iCs w:val="0"/>
          <w:caps w:val="0"/>
          <w:spacing w:val="0"/>
          <w:sz w:val="21"/>
          <w:szCs w:val="21"/>
          <w:highlight w:val="none"/>
        </w:rPr>
        <w:t xml:space="preserve">赛艇训练器材</w:t>
      </w:r>
      <w:r>
        <w:rPr>
          <w:rFonts w:hint="eastAsia" w:ascii="宋体" w:hAnsi="宋体" w:cs="宋体"/>
          <w:b w:val="0"/>
          <w:bCs/>
          <w:spacing w:val="2"/>
          <w:szCs w:val="21"/>
          <w:highlight w:val="none"/>
          <w:lang w:val="en-US" w:eastAsia="zh-CN"/>
        </w:rPr>
        <w:t xml:space="preserve">；采购包2拟采购的内容：</w:t>
      </w:r>
      <w:r>
        <w:rPr>
          <w:rFonts w:ascii="Segoe UI" w:hAnsi="Segoe UI" w:eastAsia="Segoe UI" w:cs="Segoe UI"/>
          <w:b w:val="0"/>
          <w:bCs/>
          <w:i w:val="0"/>
          <w:iCs w:val="0"/>
          <w:caps w:val="0"/>
          <w:spacing w:val="0"/>
          <w:sz w:val="21"/>
          <w:szCs w:val="21"/>
          <w:highlight w:val="none"/>
          <w:shd w:val="clear" w:color="auto" w:fill="fafafa"/>
        </w:rPr>
        <w:t xml:space="preserve">自行车训练器材</w:t>
      </w:r>
      <w:r>
        <w:rPr>
          <w:rFonts w:hint="eastAsia" w:ascii="宋体" w:hAnsi="宋体" w:cs="宋体"/>
          <w:b w:val="0"/>
          <w:bCs/>
          <w:spacing w:val="2"/>
          <w:szCs w:val="21"/>
          <w:highlight w:val="none"/>
          <w:lang w:val="en-US" w:eastAsia="zh-CN"/>
        </w:rPr>
        <w:t xml:space="preserve">。详见采购需求。</w:t>
      </w:r>
      <w:r>
        <w:rPr>
          <w:rFonts w:ascii="宋体" w:hAnsi="宋体" w:eastAsia="宋体" w:cs="宋体"/>
          <w:b w:val="0"/>
          <w:bCs/>
          <w:spacing w:val="2"/>
          <w:szCs w:val="21"/>
          <w:highlight w:val="none"/>
          <w:lang w:val="en-US" w:eastAsia="zh-CN"/>
        </w:rPr>
      </w:r>
      <w:r/>
    </w:p>
    <w:p>
      <w:pPr>
        <w:pStyle w:val="1118"/>
        <w:ind w:firstLine="430"/>
        <w:spacing w:line="360" w:lineRule="auto"/>
        <w:rPr>
          <w:rFonts w:hint="eastAsia"/>
          <w:highlight w:val="none"/>
        </w:rPr>
      </w:pPr>
      <w:r>
        <w:rPr>
          <w:rFonts w:hint="eastAsia" w:ascii="宋体" w:hAnsi="宋体" w:cs="宋体"/>
          <w:b/>
          <w:spacing w:val="2"/>
          <w:szCs w:val="21"/>
        </w:rPr>
        <w:t xml:space="preserve">合同履行期限：</w:t>
      </w:r>
      <w:r>
        <w:rPr>
          <w:rFonts w:hint="eastAsia" w:hAnsi="宋体"/>
          <w:color w:val="000000"/>
          <w:highlight w:val="none"/>
          <w:lang w:val="en-US" w:eastAsia="zh-CN"/>
        </w:rPr>
        <w:t xml:space="preserve">自收到采购人通知后</w:t>
      </w:r>
      <w:r>
        <w:rPr>
          <w:rFonts w:hint="eastAsia" w:hAnsi="宋体"/>
          <w:color w:val="000000"/>
          <w:highlight w:val="none"/>
          <w:u w:val="single"/>
          <w:lang w:val="en-US" w:eastAsia="zh-CN"/>
        </w:rPr>
        <w:t xml:space="preserve">  15    </w:t>
      </w:r>
      <w:r>
        <w:rPr>
          <w:rFonts w:hint="eastAsia" w:hAnsi="宋体"/>
          <w:b w:val="0"/>
          <w:bCs w:val="0"/>
          <w:color w:val="000000"/>
          <w:highlight w:val="none"/>
          <w:lang w:val="en-US" w:eastAsia="zh-CN"/>
        </w:rPr>
        <w:t xml:space="preserve">日内</w:t>
      </w:r>
      <w:r>
        <w:rPr>
          <w:rFonts w:hint="eastAsia" w:hAnsi="宋体"/>
          <w:color w:val="000000"/>
          <w:highlight w:val="none"/>
          <w:lang w:val="en-US" w:eastAsia="zh-CN"/>
        </w:rPr>
        <w:t xml:space="preserve">完成供货</w:t>
      </w:r>
      <w:r>
        <w:rPr>
          <w:rFonts w:hAnsi="宋体"/>
          <w:color w:val="000000"/>
          <w:highlight w:val="none"/>
        </w:rPr>
        <w:t xml:space="preserve">。</w:t>
      </w:r>
      <w:r>
        <w:rPr>
          <w:rFonts w:hint="eastAsia"/>
          <w:highlight w:val="none"/>
        </w:rPr>
      </w:r>
      <w:r/>
    </w:p>
    <w:p>
      <w:pPr>
        <w:pStyle w:val="1118"/>
        <w:ind w:firstLine="430"/>
        <w:spacing w:line="360" w:lineRule="auto"/>
        <w:rPr>
          <w:rFonts w:hint="eastAsia" w:ascii="宋体" w:hAnsi="宋体" w:cs="宋体"/>
          <w:bCs/>
          <w:spacing w:val="2"/>
          <w:szCs w:val="21"/>
        </w:rPr>
      </w:pPr>
      <w:r/>
      <w:bookmarkStart w:id="12" w:name="_Toc35393622"/>
      <w:r/>
      <w:bookmarkStart w:id="13" w:name="_Toc28359080"/>
      <w:r/>
      <w:bookmarkStart w:id="14" w:name="_Toc35393791"/>
      <w:r/>
      <w:bookmarkStart w:id="15" w:name="_Toc28359003"/>
      <w:r>
        <w:rPr>
          <w:rFonts w:hint="eastAsia" w:ascii="宋体" w:hAnsi="宋体" w:cs="宋体"/>
          <w:b/>
          <w:spacing w:val="2"/>
          <w:szCs w:val="21"/>
        </w:rPr>
        <w:t xml:space="preserve">二、申请人的资格要求：</w:t>
      </w:r>
      <w:bookmarkEnd w:id="12"/>
      <w:r/>
      <w:bookmarkEnd w:id="13"/>
      <w:r/>
      <w:bookmarkEnd w:id="14"/>
      <w:r/>
      <w:bookmarkEnd w:id="15"/>
      <w:r>
        <w:rPr>
          <w:rFonts w:hint="eastAsia" w:ascii="宋体" w:hAnsi="宋体" w:cs="宋体"/>
          <w:bCs/>
          <w:spacing w:val="2"/>
          <w:szCs w:val="21"/>
        </w:rPr>
      </w:r>
      <w:r/>
    </w:p>
    <w:p>
      <w:pPr>
        <w:pStyle w:val="1118"/>
        <w:ind w:firstLine="428"/>
        <w:spacing w:line="360" w:lineRule="auto"/>
        <w:rPr>
          <w:rFonts w:hint="eastAsia" w:ascii="宋体" w:hAnsi="宋体" w:cs="宋体"/>
          <w:bCs/>
          <w:spacing w:val="2"/>
          <w:szCs w:val="21"/>
        </w:rPr>
      </w:pPr>
      <w:r>
        <w:rPr>
          <w:rFonts w:hint="eastAsia" w:ascii="宋体" w:hAnsi="宋体" w:cs="宋体"/>
          <w:bCs/>
          <w:spacing w:val="2"/>
          <w:szCs w:val="21"/>
        </w:rPr>
        <w:t xml:space="preserve">1.满足《中华人民共和国政府采购法》第二十二条规定</w:t>
      </w:r>
      <w:r>
        <w:rPr>
          <w:rFonts w:hint="eastAsia" w:ascii="宋体" w:hAnsi="宋体" w:cs="宋体"/>
          <w:bCs/>
          <w:spacing w:val="2"/>
          <w:szCs w:val="21"/>
        </w:rPr>
      </w:r>
      <w:r/>
    </w:p>
    <w:p>
      <w:pPr>
        <w:pStyle w:val="1118"/>
        <w:ind w:firstLine="430"/>
        <w:spacing w:line="360" w:lineRule="auto"/>
        <w:rPr>
          <w:rFonts w:hint="eastAsia" w:ascii="宋体" w:hAnsi="宋体" w:cs="宋体"/>
          <w:bCs/>
          <w:spacing w:val="2"/>
          <w:szCs w:val="21"/>
        </w:rPr>
      </w:pPr>
      <w:r>
        <w:rPr>
          <w:rFonts w:hint="eastAsia" w:ascii="宋体" w:hAnsi="宋体" w:cs="宋体"/>
          <w:b/>
          <w:spacing w:val="2"/>
          <w:szCs w:val="21"/>
        </w:rPr>
        <w:t xml:space="preserve">2.落实政府采购政策需满足的资格要求</w:t>
      </w:r>
      <w:r>
        <w:rPr>
          <w:rFonts w:hint="eastAsia" w:ascii="宋体" w:hAnsi="宋体" w:cs="宋体"/>
          <w:bCs/>
          <w:spacing w:val="2"/>
          <w:szCs w:val="21"/>
        </w:rPr>
        <w:t xml:space="preserve">：</w:t>
      </w:r>
      <w:r>
        <w:rPr>
          <w:rFonts w:hint="eastAsia" w:ascii="宋体" w:hAnsi="宋体" w:cs="宋体"/>
          <w:bCs/>
          <w:spacing w:val="2"/>
          <w:szCs w:val="21"/>
        </w:rPr>
      </w:r>
      <w:r/>
    </w:p>
    <w:p>
      <w:pPr>
        <w:pStyle w:val="1118"/>
        <w:ind w:firstLine="428"/>
        <w:spacing w:line="360" w:lineRule="auto"/>
        <w:rPr>
          <w:rFonts w:hint="eastAsia" w:ascii="宋体" w:hAnsi="宋体" w:cs="宋体"/>
          <w:bCs/>
          <w:spacing w:val="2"/>
          <w:szCs w:val="21"/>
        </w:rPr>
      </w:pPr>
      <w:r>
        <w:rPr>
          <w:rFonts w:hint="eastAsia" w:ascii="宋体" w:hAnsi="宋体" w:cs="宋体"/>
          <w:bCs/>
          <w:spacing w:val="2"/>
          <w:szCs w:val="21"/>
        </w:rPr>
        <w:t xml:space="preserve">2.1 中小企业政策</w:t>
      </w:r>
      <w:r>
        <w:rPr>
          <w:rFonts w:hint="eastAsia" w:ascii="宋体" w:hAnsi="宋体" w:cs="宋体"/>
          <w:bCs/>
          <w:spacing w:val="2"/>
          <w:szCs w:val="21"/>
        </w:rPr>
      </w:r>
      <w:r/>
    </w:p>
    <w:p>
      <w:pPr>
        <w:pStyle w:val="1118"/>
        <w:ind w:firstLine="428"/>
        <w:spacing w:line="360" w:lineRule="auto"/>
        <w:rPr>
          <w:rFonts w:hint="eastAsia" w:ascii="宋体" w:hAnsi="宋体" w:cs="宋体"/>
          <w:bCs/>
          <w:color w:val="000000"/>
          <w:spacing w:val="2"/>
          <w:szCs w:val="21"/>
          <w:highlight w:val="none"/>
        </w:rPr>
      </w:pPr>
      <w:r>
        <w:rPr>
          <w:rFonts w:hint="eastAsia" w:ascii="宋体" w:hAnsi="宋体" w:cs="宋体"/>
          <w:bCs/>
          <w:color w:val="000000"/>
          <w:spacing w:val="2"/>
          <w:szCs w:val="21"/>
          <w:highlight w:val="none"/>
        </w:rPr>
        <w:t xml:space="preserve">本项目</w:t>
      </w:r>
      <w:r>
        <w:rPr>
          <w:rFonts w:hint="eastAsia" w:ascii="宋体" w:hAnsi="宋体" w:cs="宋体"/>
          <w:bCs/>
          <w:color w:val="000000"/>
          <w:spacing w:val="2"/>
          <w:szCs w:val="21"/>
          <w:highlight w:val="none"/>
          <w:lang w:val="en-US" w:eastAsia="zh-CN"/>
        </w:rPr>
        <w:t xml:space="preserve">不</w:t>
      </w:r>
      <w:r>
        <w:rPr>
          <w:rFonts w:hint="eastAsia" w:ascii="宋体" w:hAnsi="宋体" w:cs="宋体"/>
          <w:bCs/>
          <w:color w:val="000000"/>
          <w:spacing w:val="2"/>
          <w:szCs w:val="21"/>
          <w:highlight w:val="none"/>
        </w:rPr>
        <w:t xml:space="preserve">专门面向中小企业采购</w:t>
      </w:r>
      <w:r>
        <w:rPr>
          <w:rFonts w:hint="eastAsia" w:ascii="宋体" w:hAnsi="宋体" w:cs="宋体"/>
          <w:bCs/>
          <w:color w:val="000000"/>
          <w:spacing w:val="2"/>
          <w:szCs w:val="21"/>
          <w:highlight w:val="none"/>
        </w:rPr>
      </w:r>
      <w:r/>
    </w:p>
    <w:p>
      <w:pPr>
        <w:pStyle w:val="1118"/>
        <w:ind w:firstLine="428"/>
        <w:spacing w:line="360" w:lineRule="auto"/>
        <w:rPr>
          <w:rFonts w:hint="eastAsia" w:ascii="宋体" w:hAnsi="宋体" w:cs="宋体"/>
          <w:bCs/>
          <w:spacing w:val="2"/>
          <w:szCs w:val="21"/>
        </w:rPr>
      </w:pPr>
      <w:r>
        <w:rPr>
          <w:rFonts w:hint="eastAsia" w:ascii="宋体" w:hAnsi="宋体" w:cs="宋体"/>
          <w:bCs/>
          <w:spacing w:val="2"/>
          <w:szCs w:val="21"/>
        </w:rPr>
        <w:t xml:space="preserve">2.2 其它落实政府采购政策的资格要求（如有）：无。</w:t>
      </w:r>
      <w:r>
        <w:rPr>
          <w:rFonts w:hint="eastAsia" w:ascii="宋体" w:hAnsi="宋体" w:cs="宋体"/>
          <w:bCs/>
          <w:spacing w:val="2"/>
          <w:szCs w:val="21"/>
        </w:rPr>
      </w:r>
      <w:r/>
    </w:p>
    <w:p>
      <w:pPr>
        <w:pStyle w:val="1118"/>
        <w:ind w:firstLine="428"/>
        <w:spacing w:line="360" w:lineRule="auto"/>
        <w:rPr>
          <w:rFonts w:hint="eastAsia" w:ascii="宋体" w:hAnsi="宋体" w:cs="宋体"/>
          <w:bCs/>
          <w:spacing w:val="2"/>
          <w:szCs w:val="21"/>
        </w:rPr>
      </w:pPr>
      <w:r>
        <w:rPr>
          <w:rFonts w:hint="eastAsia" w:ascii="宋体" w:hAnsi="宋体" w:cs="宋体"/>
          <w:bCs/>
          <w:spacing w:val="2"/>
          <w:szCs w:val="21"/>
        </w:rPr>
        <w:t xml:space="preserve">3.本项目的特定资格要求：</w:t>
      </w:r>
      <w:r>
        <w:rPr>
          <w:rFonts w:hint="eastAsia" w:ascii="宋体" w:hAnsi="宋体" w:cs="宋体"/>
          <w:bCs/>
          <w:spacing w:val="2"/>
          <w:szCs w:val="21"/>
        </w:rPr>
      </w:r>
      <w:r/>
    </w:p>
    <w:p>
      <w:pPr>
        <w:pStyle w:val="1118"/>
        <w:ind w:firstLine="428"/>
        <w:spacing w:line="360" w:lineRule="auto"/>
        <w:rPr>
          <w:rFonts w:hint="eastAsia" w:ascii="宋体" w:hAnsi="宋体" w:cs="宋体"/>
          <w:bCs/>
          <w:spacing w:val="2"/>
          <w:szCs w:val="21"/>
        </w:rPr>
      </w:pPr>
      <w:r>
        <w:rPr>
          <w:rFonts w:hint="eastAsia" w:ascii="宋体" w:hAnsi="宋体" w:cs="宋体"/>
          <w:bCs/>
          <w:spacing w:val="2"/>
          <w:szCs w:val="21"/>
        </w:rPr>
        <w:t xml:space="preserve">3.1未被“信用中国”网站（WWW.creditchina.gov.cn）或“中国政府采购网”网站（www.ccgp.gov.cn）列入失信被执行人、重大税收违法失信主体、政府采购严重失信行为记录名单。</w:t>
      </w:r>
      <w:r>
        <w:rPr>
          <w:rFonts w:hint="eastAsia" w:ascii="宋体" w:hAnsi="宋体" w:cs="宋体"/>
          <w:bCs/>
          <w:spacing w:val="2"/>
          <w:szCs w:val="21"/>
        </w:rPr>
      </w:r>
      <w:r/>
    </w:p>
    <w:p>
      <w:pPr>
        <w:pStyle w:val="1118"/>
        <w:ind w:firstLine="428"/>
        <w:spacing w:line="360" w:lineRule="auto"/>
        <w:rPr>
          <w:rFonts w:hint="eastAsia" w:ascii="宋体" w:hAnsi="宋体" w:cs="宋体"/>
          <w:bCs/>
          <w:spacing w:val="2"/>
          <w:szCs w:val="21"/>
        </w:rPr>
      </w:pPr>
      <w:r>
        <w:rPr>
          <w:rFonts w:hint="eastAsia" w:ascii="宋体" w:hAnsi="宋体" w:cs="宋体"/>
          <w:bCs/>
          <w:spacing w:val="2"/>
          <w:szCs w:val="21"/>
        </w:rPr>
        <w:t xml:space="preserve">3.2单位负责人为同一人或者存在直接控股、管理关系的不同供应商（包含法定代人为同一个人的两个及两个以上法人，母公司、全资子公司及其控股公司），不得参加同一合同项下的政府采购活动。</w:t>
      </w:r>
      <w:r>
        <w:rPr>
          <w:rFonts w:hint="eastAsia" w:ascii="宋体" w:hAnsi="宋体" w:cs="宋体"/>
          <w:bCs/>
          <w:spacing w:val="2"/>
          <w:szCs w:val="21"/>
        </w:rPr>
      </w:r>
      <w:r/>
    </w:p>
    <w:p>
      <w:pPr>
        <w:pStyle w:val="1118"/>
        <w:ind w:firstLine="428"/>
        <w:spacing w:line="360" w:lineRule="auto"/>
        <w:rPr>
          <w:rFonts w:hint="eastAsia" w:ascii="宋体" w:hAnsi="宋体" w:cs="宋体"/>
          <w:bCs/>
          <w:spacing w:val="2"/>
          <w:szCs w:val="21"/>
        </w:rPr>
      </w:pPr>
      <w:r>
        <w:rPr>
          <w:rFonts w:hint="eastAsia" w:ascii="宋体" w:hAnsi="宋体" w:cs="宋体"/>
          <w:bCs/>
          <w:spacing w:val="2"/>
          <w:szCs w:val="21"/>
        </w:rPr>
        <w:t xml:space="preserve">3.3本项目不接受联合体，中标后不允许转包</w:t>
      </w:r>
      <w:r>
        <w:rPr>
          <w:rFonts w:hint="eastAsia" w:ascii="宋体" w:hAnsi="宋体" w:cs="宋体"/>
          <w:bCs/>
          <w:spacing w:val="2"/>
          <w:szCs w:val="21"/>
        </w:rPr>
      </w:r>
      <w:r/>
    </w:p>
    <w:p>
      <w:pPr>
        <w:pStyle w:val="1118"/>
        <w:ind w:firstLine="428"/>
        <w:spacing w:line="360" w:lineRule="auto"/>
        <w:rPr>
          <w:rFonts w:hint="eastAsia" w:ascii="宋体" w:hAnsi="宋体" w:cs="宋体"/>
          <w:bCs/>
          <w:spacing w:val="2"/>
          <w:szCs w:val="21"/>
        </w:rPr>
      </w:pPr>
      <w:r>
        <w:rPr>
          <w:rFonts w:hint="eastAsia" w:ascii="宋体" w:hAnsi="宋体" w:cs="宋体"/>
          <w:bCs/>
          <w:spacing w:val="2"/>
          <w:szCs w:val="21"/>
        </w:rPr>
        <w:t xml:space="preserve">3.4本项目是否接受分支机构参与响应：否</w:t>
      </w:r>
      <w:r>
        <w:rPr>
          <w:rFonts w:hint="eastAsia" w:ascii="宋体" w:hAnsi="宋体" w:cs="宋体"/>
          <w:bCs/>
          <w:spacing w:val="2"/>
          <w:szCs w:val="21"/>
        </w:rPr>
      </w:r>
      <w:r/>
    </w:p>
    <w:p>
      <w:pPr>
        <w:pStyle w:val="1118"/>
        <w:ind w:firstLine="428"/>
        <w:spacing w:line="360" w:lineRule="auto"/>
        <w:rPr>
          <w:rFonts w:hint="eastAsia" w:ascii="宋体" w:hAnsi="宋体" w:eastAsia="宋体" w:cs="宋体"/>
          <w:bCs/>
          <w:spacing w:val="2"/>
          <w:szCs w:val="21"/>
          <w:lang w:val="en-US" w:eastAsia="zh-CN"/>
        </w:rPr>
      </w:pPr>
      <w:r>
        <w:rPr>
          <w:rFonts w:hint="eastAsia" w:ascii="宋体" w:hAnsi="宋体" w:eastAsia="宋体" w:cs="宋体"/>
          <w:bCs/>
          <w:spacing w:val="2"/>
          <w:szCs w:val="21"/>
        </w:rPr>
        <w:t xml:space="preserve">3.5本项目是否属于政府购买服务：</w:t>
      </w:r>
      <w:r>
        <w:rPr>
          <w:rFonts w:hint="eastAsia" w:ascii="宋体" w:hAnsi="宋体" w:eastAsia="宋体" w:cs="宋体"/>
          <w:bCs/>
          <w:spacing w:val="2"/>
          <w:szCs w:val="21"/>
          <w:lang w:val="en-US" w:eastAsia="zh-CN"/>
        </w:rPr>
        <w:t xml:space="preserve">否</w:t>
      </w:r>
      <w:r>
        <w:rPr>
          <w:rFonts w:hint="eastAsia" w:ascii="宋体" w:hAnsi="宋体" w:eastAsia="宋体" w:cs="宋体"/>
          <w:bCs/>
          <w:spacing w:val="2"/>
          <w:szCs w:val="21"/>
          <w:lang w:val="en-US" w:eastAsia="zh-CN"/>
        </w:rPr>
      </w:r>
      <w:r/>
    </w:p>
    <w:p>
      <w:pPr>
        <w:pStyle w:val="1118"/>
        <w:ind w:firstLine="428"/>
        <w:spacing w:line="360" w:lineRule="auto"/>
        <w:rPr>
          <w:rFonts w:ascii="宋体" w:hAnsi="宋体" w:eastAsia="宋体" w:cs="宋体"/>
          <w:bCs/>
          <w:spacing w:val="2"/>
          <w:szCs w:val="21"/>
          <w:highlight w:val="none"/>
          <w:lang w:val="en-US" w:eastAsia="zh-CN"/>
        </w:rPr>
      </w:pPr>
      <w:r>
        <w:rPr>
          <w:rFonts w:hint="eastAsia" w:ascii="宋体" w:hAnsi="宋体" w:eastAsia="宋体" w:cs="宋体"/>
          <w:bCs/>
          <w:spacing w:val="2"/>
          <w:szCs w:val="21"/>
          <w:highlight w:val="none"/>
          <w:lang w:val="en-US" w:eastAsia="zh-CN"/>
        </w:rPr>
        <w:t xml:space="preserve">3.6本项目是否接受进口产品：否</w:t>
      </w:r>
      <w:r>
        <w:rPr>
          <w:rFonts w:ascii="宋体" w:hAnsi="宋体" w:eastAsia="宋体" w:cs="宋体"/>
          <w:bCs/>
          <w:spacing w:val="2"/>
          <w:szCs w:val="21"/>
          <w:highlight w:val="none"/>
          <w:lang w:val="en-US" w:eastAsia="zh-CN"/>
        </w:rPr>
      </w:r>
      <w:r/>
    </w:p>
    <w:p>
      <w:pPr>
        <w:pStyle w:val="1118"/>
        <w:ind w:firstLine="428"/>
        <w:spacing w:line="360" w:lineRule="auto"/>
        <w:rPr>
          <w:rFonts w:hint="eastAsia" w:ascii="宋体" w:hAnsi="宋体" w:eastAsia="宋体" w:cs="宋体"/>
          <w:bCs/>
          <w:spacing w:val="2"/>
          <w:szCs w:val="21"/>
        </w:rPr>
      </w:pPr>
      <w:r>
        <w:rPr>
          <w:rFonts w:hint="eastAsia" w:ascii="宋体" w:hAnsi="宋体" w:eastAsia="宋体" w:cs="宋体"/>
          <w:bCs/>
          <w:spacing w:val="2"/>
          <w:szCs w:val="21"/>
        </w:rPr>
        <w:t xml:space="preserve">3.</w:t>
      </w:r>
      <w:r>
        <w:rPr>
          <w:rFonts w:hint="eastAsia" w:ascii="宋体" w:hAnsi="宋体" w:eastAsia="宋体" w:cs="宋体"/>
          <w:bCs/>
          <w:spacing w:val="2"/>
          <w:szCs w:val="21"/>
          <w:lang w:val="en-US" w:eastAsia="zh-CN"/>
        </w:rPr>
        <w:t xml:space="preserve">7</w:t>
      </w:r>
      <w:r>
        <w:rPr>
          <w:rFonts w:hint="eastAsia" w:ascii="宋体" w:hAnsi="宋体" w:eastAsia="宋体" w:cs="宋体"/>
          <w:bCs/>
          <w:spacing w:val="2"/>
          <w:szCs w:val="21"/>
        </w:rPr>
        <w:t xml:space="preserve">其他特定资格要求：</w:t>
      </w:r>
      <w:r>
        <w:rPr>
          <w:rFonts w:hint="eastAsia" w:ascii="宋体" w:hAnsi="宋体" w:eastAsia="宋体" w:cs="宋体"/>
          <w:bCs/>
          <w:spacing w:val="2"/>
          <w:szCs w:val="21"/>
          <w:lang w:val="en-US" w:eastAsia="zh-CN"/>
        </w:rPr>
        <w:t xml:space="preserve">无</w:t>
      </w:r>
      <w:r>
        <w:rPr>
          <w:rFonts w:hint="eastAsia" w:ascii="宋体" w:hAnsi="宋体" w:eastAsia="宋体" w:cs="宋体"/>
          <w:bCs/>
          <w:spacing w:val="2"/>
          <w:szCs w:val="21"/>
        </w:rPr>
      </w:r>
      <w:r/>
    </w:p>
    <w:p>
      <w:pPr>
        <w:pStyle w:val="1120"/>
        <w:ind w:firstLine="422"/>
        <w:jc w:val="left"/>
        <w:spacing w:before="0" w:line="360" w:lineRule="auto"/>
        <w:widowControl/>
        <w:rPr>
          <w:rFonts w:hint="eastAsia" w:ascii="Times New Roman" w:hAnsi="Times New Roman" w:eastAsia="宋体"/>
          <w:bCs/>
          <w:sz w:val="21"/>
          <w:szCs w:val="32"/>
        </w:rPr>
      </w:pPr>
      <w:r/>
      <w:bookmarkEnd w:id="10"/>
      <w:r/>
      <w:bookmarkEnd w:id="11"/>
      <w:r/>
      <w:bookmarkStart w:id="16" w:name="_Toc35393623"/>
      <w:r/>
      <w:bookmarkStart w:id="17" w:name="_Toc35393792"/>
      <w:r>
        <w:rPr>
          <w:rFonts w:hint="eastAsia" w:ascii="Times New Roman" w:hAnsi="Times New Roman" w:eastAsia="宋体"/>
          <w:bCs/>
          <w:sz w:val="21"/>
          <w:szCs w:val="32"/>
        </w:rPr>
        <w:t xml:space="preserve">三、获取采购文件</w:t>
      </w:r>
      <w:bookmarkEnd w:id="16"/>
      <w:r/>
      <w:bookmarkEnd w:id="17"/>
      <w:r>
        <w:rPr>
          <w:rFonts w:hint="eastAsia" w:ascii="Times New Roman" w:hAnsi="Times New Roman" w:eastAsia="宋体"/>
          <w:bCs/>
          <w:sz w:val="21"/>
          <w:szCs w:val="32"/>
        </w:rPr>
      </w:r>
      <w:r/>
    </w:p>
    <w:p>
      <w:pPr>
        <w:pStyle w:val="1118"/>
        <w:ind w:firstLine="420"/>
        <w:spacing w:line="360" w:lineRule="auto"/>
        <w:rPr>
          <w:rFonts w:hint="eastAsia"/>
          <w:szCs w:val="32"/>
        </w:rPr>
      </w:pPr>
      <w:r>
        <w:rPr>
          <w:rFonts w:hint="eastAsia"/>
          <w:szCs w:val="32"/>
        </w:rPr>
        <w:t xml:space="preserve">1.时间：</w:t>
      </w:r>
      <w:r>
        <w:rPr>
          <w:rFonts w:hint="eastAsia" w:ascii="宋体" w:hAnsi="宋体" w:eastAsia="宋体" w:cs="宋体"/>
          <w:szCs w:val="21"/>
        </w:rPr>
        <w:t xml:space="preserve">自招标文件公告发布之日起5个工作日 </w:t>
      </w:r>
      <w:r>
        <w:rPr>
          <w:rFonts w:hint="eastAsia"/>
          <w:szCs w:val="32"/>
        </w:rPr>
      </w:r>
      <w:r/>
    </w:p>
    <w:p>
      <w:pPr>
        <w:pStyle w:val="1118"/>
        <w:ind w:firstLine="420"/>
        <w:spacing w:line="360" w:lineRule="auto"/>
        <w:rPr>
          <w:rFonts w:hint="eastAsia"/>
          <w:szCs w:val="32"/>
        </w:rPr>
      </w:pPr>
      <w:r>
        <w:rPr>
          <w:rFonts w:hint="eastAsia"/>
          <w:szCs w:val="32"/>
        </w:rPr>
        <w:t xml:space="preserve">2.地点：“苏采云”政府采购一体化平台</w:t>
      </w:r>
      <w:r>
        <w:rPr>
          <w:rFonts w:hint="eastAsia"/>
          <w:szCs w:val="32"/>
        </w:rPr>
      </w:r>
      <w:r/>
    </w:p>
    <w:p>
      <w:pPr>
        <w:pStyle w:val="1118"/>
        <w:ind w:firstLine="420"/>
        <w:jc w:val="left"/>
        <w:spacing w:line="360" w:lineRule="auto"/>
        <w:widowControl/>
        <w:rPr>
          <w:rFonts w:hint="eastAsia"/>
          <w:szCs w:val="32"/>
        </w:rPr>
      </w:pPr>
      <w:r>
        <w:rPr>
          <w:rFonts w:hint="eastAsia"/>
          <w:szCs w:val="32"/>
        </w:rPr>
        <w:t xml:space="preserve">3.方式：供应商持CA数字认证证书登录“苏采云”政府采购一体化平台（</w:t>
      </w:r>
      <w:r>
        <w:rPr>
          <w:rFonts w:ascii="宋体" w:hAnsi="宋体" w:eastAsia="宋体" w:cs="宋体"/>
          <w:sz w:val="24"/>
          <w:szCs w:val="24"/>
        </w:rPr>
        <w:t xml:space="preserve">http://jszfcg.jsczt.cn/</w:t>
      </w:r>
      <w:r>
        <w:rPr>
          <w:rFonts w:hint="eastAsia"/>
          <w:szCs w:val="32"/>
        </w:rPr>
        <w:t xml:space="preserve">）获取电子版磋商文件。</w:t>
      </w:r>
      <w:r>
        <w:rPr>
          <w:rFonts w:hint="eastAsia"/>
          <w:szCs w:val="32"/>
        </w:rPr>
      </w:r>
      <w:r/>
    </w:p>
    <w:p>
      <w:pPr>
        <w:pStyle w:val="1118"/>
        <w:ind w:firstLine="420"/>
        <w:jc w:val="left"/>
        <w:spacing w:line="360" w:lineRule="auto"/>
        <w:widowControl/>
        <w:rPr>
          <w:rFonts w:hint="eastAsia"/>
          <w:szCs w:val="32"/>
        </w:rPr>
      </w:pPr>
      <w:r>
        <w:rPr>
          <w:rFonts w:hint="eastAsia"/>
          <w:szCs w:val="32"/>
        </w:rPr>
        <w:t xml:space="preserve">4.售价：0元。</w:t>
      </w:r>
      <w:r>
        <w:rPr>
          <w:rFonts w:hint="eastAsia"/>
          <w:szCs w:val="32"/>
        </w:rPr>
      </w:r>
      <w:r/>
    </w:p>
    <w:p>
      <w:pPr>
        <w:pStyle w:val="1118"/>
        <w:spacing w:line="360" w:lineRule="auto"/>
        <w:rPr>
          <w:rFonts w:hint="eastAsia"/>
          <w:b/>
          <w:bCs/>
          <w:szCs w:val="32"/>
        </w:rPr>
      </w:pPr>
      <w:r/>
      <w:bookmarkStart w:id="18" w:name="_Toc35393793"/>
      <w:r>
        <w:rPr>
          <w:rFonts w:hint="eastAsia"/>
          <w:b/>
          <w:bCs/>
          <w:szCs w:val="32"/>
        </w:rPr>
        <w:t xml:space="preserve">四、响应文件提交</w:t>
      </w:r>
      <w:r>
        <w:rPr>
          <w:rFonts w:hint="eastAsia"/>
          <w:b/>
          <w:bCs/>
          <w:szCs w:val="32"/>
        </w:rPr>
      </w:r>
      <w:r/>
    </w:p>
    <w:p>
      <w:pPr>
        <w:pStyle w:val="1118"/>
        <w:ind w:firstLine="420"/>
        <w:spacing w:line="360" w:lineRule="auto"/>
        <w:rPr>
          <w:rFonts w:hint="eastAsia"/>
          <w:szCs w:val="32"/>
        </w:rPr>
      </w:pPr>
      <w:r>
        <w:rPr>
          <w:rFonts w:hint="eastAsia"/>
          <w:szCs w:val="32"/>
        </w:rPr>
        <w:t xml:space="preserve">截止时间：</w:t>
      </w:r>
      <w:bookmarkEnd w:id="18"/>
      <w:r/>
      <w:bookmarkStart w:id="19" w:name="XMTBJSR_1"/>
      <w:r>
        <w:rPr>
          <w:rFonts w:hint="eastAsia"/>
          <w:szCs w:val="32"/>
        </w:rPr>
        <w:t xml:space="preserve">202</w:t>
      </w:r>
      <w:r>
        <w:rPr>
          <w:rFonts w:hint="eastAsia"/>
          <w:szCs w:val="32"/>
          <w:lang w:val="en-US" w:eastAsia="zh-CN"/>
        </w:rPr>
        <w:t xml:space="preserve">6</w:t>
      </w:r>
      <w:r>
        <w:rPr>
          <w:rFonts w:hint="eastAsia"/>
          <w:szCs w:val="32"/>
        </w:rPr>
        <w:t xml:space="preserve">年</w:t>
      </w:r>
      <w:r>
        <w:rPr>
          <w:rFonts w:hint="eastAsia"/>
          <w:szCs w:val="32"/>
          <w:lang w:val="en-US" w:eastAsia="zh-CN"/>
        </w:rPr>
        <w:t xml:space="preserve">3</w:t>
      </w:r>
      <w:r>
        <w:rPr>
          <w:rFonts w:hint="eastAsia"/>
          <w:szCs w:val="32"/>
        </w:rPr>
        <w:t xml:space="preserve">月</w:t>
      </w:r>
      <w:r>
        <w:rPr>
          <w:rFonts w:hint="eastAsia"/>
          <w:szCs w:val="32"/>
          <w:lang w:val="en-US" w:eastAsia="zh-CN"/>
        </w:rPr>
        <w:t xml:space="preserve">23</w:t>
      </w:r>
      <w:r>
        <w:rPr>
          <w:rFonts w:hint="eastAsia"/>
          <w:szCs w:val="32"/>
        </w:rPr>
        <w:t xml:space="preserve">日 9：30（北京时间）</w:t>
      </w:r>
      <w:r>
        <w:rPr>
          <w:rFonts w:hint="eastAsia"/>
          <w:szCs w:val="32"/>
        </w:rPr>
      </w:r>
      <w:r/>
    </w:p>
    <w:p>
      <w:pPr>
        <w:pStyle w:val="1118"/>
        <w:ind w:firstLine="420"/>
        <w:spacing w:line="360" w:lineRule="auto"/>
        <w:rPr>
          <w:rFonts w:hint="eastAsia"/>
          <w:szCs w:val="32"/>
        </w:rPr>
      </w:pPr>
      <w:r>
        <w:rPr>
          <w:rFonts w:hint="eastAsia"/>
          <w:szCs w:val="32"/>
        </w:rPr>
        <w:t xml:space="preserve">地点：本项目采用不见面交易方式，无需到现场提交，供应商登录“苏采云”政府采购一体化平台供应商端，通过系统在线提交电子响应文件</w:t>
      </w:r>
      <w:r>
        <w:rPr>
          <w:rFonts w:hint="eastAsia"/>
          <w:szCs w:val="32"/>
        </w:rPr>
      </w:r>
      <w:r/>
    </w:p>
    <w:p>
      <w:pPr>
        <w:pStyle w:val="1118"/>
        <w:spacing w:line="360" w:lineRule="auto"/>
        <w:rPr>
          <w:rFonts w:hint="eastAsia"/>
          <w:b/>
          <w:bCs/>
          <w:szCs w:val="32"/>
        </w:rPr>
      </w:pPr>
      <w:r>
        <w:rPr>
          <w:rFonts w:hint="eastAsia"/>
          <w:b/>
          <w:bCs/>
          <w:szCs w:val="32"/>
        </w:rPr>
        <w:t xml:space="preserve">五、开启</w:t>
      </w:r>
      <w:r>
        <w:rPr>
          <w:rFonts w:hint="eastAsia"/>
          <w:b/>
          <w:bCs/>
          <w:szCs w:val="32"/>
        </w:rPr>
      </w:r>
      <w:r/>
    </w:p>
    <w:p>
      <w:pPr>
        <w:pStyle w:val="1118"/>
        <w:ind w:firstLine="420"/>
        <w:spacing w:line="360" w:lineRule="auto"/>
        <w:rPr>
          <w:rFonts w:hint="eastAsia"/>
          <w:szCs w:val="32"/>
        </w:rPr>
      </w:pPr>
      <w:r>
        <w:rPr>
          <w:rFonts w:hint="eastAsia"/>
          <w:szCs w:val="32"/>
        </w:rPr>
        <w:t xml:space="preserve">时间：</w:t>
      </w:r>
      <w:bookmarkEnd w:id="19"/>
      <w:r/>
      <w:bookmarkStart w:id="20" w:name="XMTBJSR_2"/>
      <w:r>
        <w:rPr>
          <w:rFonts w:hint="eastAsia"/>
          <w:szCs w:val="32"/>
        </w:rPr>
        <w:t xml:space="preserve">202</w:t>
      </w:r>
      <w:r>
        <w:rPr>
          <w:rFonts w:hint="eastAsia"/>
          <w:szCs w:val="32"/>
          <w:lang w:val="en-US" w:eastAsia="zh-CN"/>
        </w:rPr>
        <w:t xml:space="preserve">6</w:t>
      </w:r>
      <w:r>
        <w:rPr>
          <w:rFonts w:hint="eastAsia"/>
          <w:szCs w:val="32"/>
        </w:rPr>
        <w:t xml:space="preserve">年</w:t>
      </w:r>
      <w:r>
        <w:rPr>
          <w:rFonts w:hint="eastAsia"/>
          <w:szCs w:val="32"/>
          <w:lang w:val="en-US" w:eastAsia="zh-CN"/>
        </w:rPr>
        <w:t xml:space="preserve">3</w:t>
      </w:r>
      <w:r>
        <w:rPr>
          <w:rFonts w:hint="eastAsia"/>
          <w:szCs w:val="32"/>
        </w:rPr>
        <w:t xml:space="preserve">月</w:t>
      </w:r>
      <w:r>
        <w:rPr>
          <w:rFonts w:hint="eastAsia"/>
          <w:szCs w:val="32"/>
          <w:lang w:val="en-US" w:eastAsia="zh-CN"/>
        </w:rPr>
        <w:t xml:space="preserve">23</w:t>
      </w:r>
      <w:r>
        <w:rPr>
          <w:rFonts w:hint="eastAsia"/>
          <w:szCs w:val="32"/>
        </w:rPr>
        <w:t xml:space="preserve">日 9：30（北京时间）</w:t>
      </w:r>
      <w:r>
        <w:rPr>
          <w:rFonts w:hint="eastAsia"/>
          <w:szCs w:val="32"/>
        </w:rPr>
      </w:r>
      <w:r/>
    </w:p>
    <w:p>
      <w:pPr>
        <w:pStyle w:val="1118"/>
        <w:ind w:firstLine="420"/>
        <w:spacing w:line="360" w:lineRule="auto"/>
        <w:rPr>
          <w:rFonts w:hint="eastAsia"/>
          <w:szCs w:val="32"/>
        </w:rPr>
      </w:pPr>
      <w:r>
        <w:rPr>
          <w:rFonts w:hint="eastAsia"/>
          <w:szCs w:val="32"/>
        </w:rPr>
        <w:t xml:space="preserve">地点：本项目采用不见面交易方式，无需到现场提交，供应商登录“苏采云”政府采购交易系统网上开标大厅，通过系统在线解密电子响应文件</w:t>
      </w:r>
      <w:bookmarkEnd w:id="20"/>
      <w:r>
        <w:rPr>
          <w:rFonts w:hint="eastAsia"/>
          <w:szCs w:val="32"/>
        </w:rPr>
      </w:r>
      <w:r/>
    </w:p>
    <w:p>
      <w:pPr>
        <w:pStyle w:val="1120"/>
        <w:jc w:val="left"/>
        <w:spacing w:before="0" w:line="360" w:lineRule="auto"/>
        <w:rPr>
          <w:rFonts w:hint="eastAsia" w:ascii="Times New Roman" w:hAnsi="Times New Roman" w:eastAsia="宋体"/>
          <w:bCs/>
          <w:sz w:val="21"/>
          <w:szCs w:val="32"/>
        </w:rPr>
      </w:pPr>
      <w:r/>
      <w:bookmarkStart w:id="21" w:name="_Toc35393794"/>
      <w:r/>
      <w:bookmarkStart w:id="22" w:name="_Toc35393625"/>
      <w:r/>
      <w:bookmarkStart w:id="23" w:name="_Toc28359084"/>
      <w:r/>
      <w:bookmarkStart w:id="24" w:name="_Toc28359007"/>
      <w:r>
        <w:rPr>
          <w:rFonts w:hint="eastAsia" w:ascii="Times New Roman" w:hAnsi="Times New Roman" w:eastAsia="宋体"/>
          <w:bCs/>
          <w:sz w:val="21"/>
          <w:szCs w:val="32"/>
        </w:rPr>
        <w:t xml:space="preserve">六、公告期限</w:t>
      </w:r>
      <w:bookmarkEnd w:id="21"/>
      <w:r/>
      <w:bookmarkEnd w:id="22"/>
      <w:r/>
      <w:bookmarkEnd w:id="23"/>
      <w:r/>
      <w:bookmarkEnd w:id="24"/>
      <w:r>
        <w:rPr>
          <w:rFonts w:hint="eastAsia" w:ascii="Times New Roman" w:hAnsi="Times New Roman" w:eastAsia="宋体"/>
          <w:bCs/>
          <w:sz w:val="21"/>
          <w:szCs w:val="32"/>
        </w:rPr>
      </w:r>
      <w:r/>
    </w:p>
    <w:p>
      <w:pPr>
        <w:pStyle w:val="1118"/>
        <w:ind w:firstLine="420"/>
        <w:spacing w:line="360" w:lineRule="auto"/>
        <w:rPr>
          <w:rFonts w:hint="eastAsia"/>
          <w:szCs w:val="32"/>
        </w:rPr>
      </w:pPr>
      <w:r>
        <w:rPr>
          <w:rFonts w:hint="eastAsia"/>
          <w:szCs w:val="32"/>
        </w:rPr>
        <w:t xml:space="preserve">自本公告发布之日起3个工作日。</w:t>
      </w:r>
      <w:r>
        <w:rPr>
          <w:rFonts w:hint="eastAsia"/>
          <w:szCs w:val="32"/>
        </w:rPr>
      </w:r>
      <w:r/>
    </w:p>
    <w:p>
      <w:pPr>
        <w:pStyle w:val="1118"/>
        <w:spacing w:line="360" w:lineRule="auto"/>
        <w:rPr>
          <w:rFonts w:hint="eastAsia" w:ascii="宋体" w:hAnsi="宋体" w:cs="宋体"/>
          <w:szCs w:val="21"/>
        </w:rPr>
      </w:pPr>
      <w:r>
        <w:rPr>
          <w:rFonts w:hint="eastAsia" w:cs="宋体"/>
          <w:b/>
          <w:spacing w:val="2"/>
        </w:rPr>
        <w:t xml:space="preserve">七、其他补充事宜</w:t>
      </w:r>
      <w:r>
        <w:rPr>
          <w:rFonts w:hint="eastAsia" w:ascii="宋体" w:hAnsi="宋体" w:cs="宋体"/>
          <w:szCs w:val="21"/>
        </w:rPr>
      </w:r>
      <w:r/>
    </w:p>
    <w:p>
      <w:pPr>
        <w:pStyle w:val="1118"/>
        <w:ind w:firstLine="420"/>
        <w:spacing w:line="360" w:lineRule="auto"/>
        <w:rPr>
          <w:rFonts w:hint="eastAsia"/>
          <w:szCs w:val="32"/>
        </w:rPr>
      </w:pPr>
      <w:r>
        <w:rPr>
          <w:rFonts w:hint="eastAsia"/>
          <w:szCs w:val="32"/>
        </w:rPr>
        <w:t xml:space="preserve">1.本项目采用不见面交易方式，请供应商认真学习常州市政府采购网发布的相关操作手册，办理CA认证证书、进行“苏采云”政府采购一体化平台注册绑定，并认真核实数字认证证书情况确认是否符合本项目电子化采购流程要求</w:t>
      </w:r>
      <w:r>
        <w:rPr>
          <w:rFonts w:hint="eastAsia"/>
          <w:szCs w:val="32"/>
        </w:rPr>
      </w:r>
      <w:r/>
    </w:p>
    <w:p>
      <w:pPr>
        <w:pStyle w:val="1118"/>
        <w:ind w:firstLine="420"/>
        <w:spacing w:line="360" w:lineRule="auto"/>
        <w:rPr>
          <w:rFonts w:hint="eastAsia"/>
          <w:szCs w:val="32"/>
        </w:rPr>
      </w:pPr>
      <w:r>
        <w:rPr>
          <w:rFonts w:hint="eastAsia"/>
          <w:szCs w:val="32"/>
        </w:rPr>
        <w:t xml:space="preserve">技术支持服务热线:0519-85588210</w:t>
      </w:r>
      <w:r>
        <w:rPr>
          <w:rFonts w:hint="eastAsia"/>
          <w:szCs w:val="32"/>
        </w:rPr>
      </w:r>
      <w:r/>
    </w:p>
    <w:p>
      <w:pPr>
        <w:pStyle w:val="1201"/>
        <w:ind w:firstLine="420"/>
        <w:spacing w:line="360" w:lineRule="auto"/>
        <w:rPr>
          <w:rFonts w:hint="eastAsia" w:ascii="Times New Roman" w:hAnsi="Times New Roman" w:cs="Times New Roman"/>
          <w:color w:val="000000"/>
          <w:sz w:val="21"/>
          <w:szCs w:val="32"/>
        </w:rPr>
      </w:pPr>
      <w:r>
        <w:rPr>
          <w:rFonts w:hint="eastAsia" w:ascii="Times New Roman" w:hAnsi="Times New Roman" w:cs="Times New Roman"/>
          <w:color w:val="000000"/>
          <w:sz w:val="21"/>
          <w:szCs w:val="32"/>
        </w:rPr>
        <w:t xml:space="preserve">CA认证证书办理联系电话   0519-85588120</w:t>
      </w:r>
      <w:r>
        <w:rPr>
          <w:rFonts w:hint="eastAsia" w:ascii="Times New Roman" w:hAnsi="Times New Roman" w:cs="Times New Roman"/>
          <w:color w:val="000000"/>
          <w:sz w:val="21"/>
          <w:szCs w:val="32"/>
        </w:rPr>
      </w:r>
      <w:r/>
    </w:p>
    <w:p>
      <w:pPr>
        <w:pStyle w:val="1118"/>
        <w:ind w:firstLine="420"/>
        <w:spacing w:line="360" w:lineRule="auto"/>
        <w:rPr>
          <w:rFonts w:hint="eastAsia" w:ascii="宋体" w:hAnsi="宋体" w:cs="宋体"/>
          <w:szCs w:val="21"/>
        </w:rPr>
      </w:pPr>
      <w:r>
        <w:rPr>
          <w:rFonts w:hint="eastAsia" w:ascii="宋体" w:hAnsi="宋体" w:cs="宋体"/>
          <w:szCs w:val="21"/>
        </w:rPr>
        <w:t xml:space="preserve">2.关于常州市中小企业政府采购信用融资：</w:t>
      </w:r>
      <w:r>
        <w:rPr>
          <w:rFonts w:hint="eastAsia" w:ascii="宋体" w:hAnsi="宋体" w:cs="宋体"/>
          <w:szCs w:val="21"/>
        </w:rPr>
      </w:r>
      <w:r/>
    </w:p>
    <w:p>
      <w:pPr>
        <w:pStyle w:val="1118"/>
        <w:ind w:firstLine="420"/>
        <w:spacing w:line="360" w:lineRule="auto"/>
        <w:rPr>
          <w:rFonts w:hint="eastAsia" w:ascii="宋体" w:hAnsi="宋体" w:cs="宋体"/>
          <w:szCs w:val="21"/>
        </w:rPr>
      </w:pPr>
      <w:r>
        <w:rPr>
          <w:rFonts w:hint="eastAsia" w:ascii="宋体" w:hAnsi="宋体" w:cs="宋体"/>
          <w:szCs w:val="21"/>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szCs w:val="21"/>
        </w:rPr>
      </w:r>
      <w:r/>
    </w:p>
    <w:p>
      <w:pPr>
        <w:pStyle w:val="1118"/>
        <w:ind w:firstLine="430"/>
        <w:spacing w:line="360" w:lineRule="auto"/>
        <w:rPr>
          <w:rFonts w:ascii="宋体" w:hAnsi="宋体" w:cs="宋体"/>
          <w:b/>
          <w:spacing w:val="2"/>
        </w:rPr>
      </w:pPr>
      <w:r>
        <w:rPr>
          <w:rFonts w:hint="eastAsia" w:ascii="宋体" w:hAnsi="宋体" w:cs="宋体"/>
          <w:b/>
          <w:spacing w:val="2"/>
        </w:rPr>
        <w:t xml:space="preserve">八、凡对本次采购提出询问，请按以下方式联系：</w:t>
      </w:r>
      <w:r>
        <w:rPr>
          <w:rFonts w:ascii="宋体" w:hAnsi="宋体" w:cs="宋体"/>
          <w:b/>
          <w:spacing w:val="2"/>
        </w:rPr>
      </w:r>
      <w:r/>
    </w:p>
    <w:p>
      <w:pPr>
        <w:pStyle w:val="1118"/>
        <w:ind w:firstLine="420"/>
        <w:spacing w:line="360" w:lineRule="auto"/>
        <w:rPr>
          <w:rFonts w:hint="eastAsia" w:ascii="宋体" w:hAnsi="宋体" w:cs="宋体"/>
          <w:szCs w:val="21"/>
        </w:rPr>
      </w:pPr>
      <w:r>
        <w:rPr>
          <w:rFonts w:hint="eastAsia" w:ascii="宋体" w:hAnsi="宋体" w:cs="宋体"/>
          <w:szCs w:val="21"/>
        </w:rPr>
        <w:t xml:space="preserve">1.采购人信息</w:t>
      </w:r>
      <w:r>
        <w:rPr>
          <w:rFonts w:hint="eastAsia" w:ascii="宋体" w:hAnsi="宋体" w:cs="宋体"/>
          <w:szCs w:val="21"/>
        </w:rPr>
      </w:r>
      <w:r/>
    </w:p>
    <w:p>
      <w:pPr>
        <w:pStyle w:val="1118"/>
        <w:ind w:firstLine="420"/>
        <w:spacing w:line="360" w:lineRule="auto"/>
        <w:rPr>
          <w:rFonts w:hint="eastAsia" w:ascii="宋体" w:hAnsi="宋体" w:eastAsia="宋体" w:cs="宋体"/>
          <w:szCs w:val="21"/>
          <w:lang w:eastAsia="zh-CN"/>
        </w:rPr>
      </w:pPr>
      <w:r>
        <w:rPr>
          <w:rFonts w:hint="eastAsia" w:ascii="宋体" w:hAnsi="宋体" w:cs="宋体"/>
          <w:szCs w:val="21"/>
        </w:rPr>
        <w:t xml:space="preserve">名 称：</w:t>
      </w:r>
      <w:r>
        <w:rPr>
          <w:rFonts w:hint="eastAsia" w:ascii="宋体" w:hAnsi="宋体" w:cs="宋体"/>
          <w:szCs w:val="21"/>
          <w:lang w:eastAsia="zh-CN"/>
        </w:rPr>
        <w:t xml:space="preserve">江苏省常州体育运动学校</w:t>
      </w:r>
      <w:r>
        <w:rPr>
          <w:rFonts w:hint="eastAsia" w:ascii="宋体" w:hAnsi="宋体" w:eastAsia="宋体" w:cs="宋体"/>
          <w:szCs w:val="21"/>
          <w:lang w:eastAsia="zh-CN"/>
        </w:rPr>
      </w:r>
      <w:r/>
    </w:p>
    <w:p>
      <w:pPr>
        <w:pStyle w:val="1118"/>
        <w:ind w:firstLine="420"/>
        <w:spacing w:line="360" w:lineRule="auto"/>
        <w:rPr>
          <w:rFonts w:ascii="宋体" w:hAnsi="宋体" w:cs="宋体"/>
          <w:szCs w:val="21"/>
        </w:rPr>
      </w:pPr>
      <w:r>
        <w:rPr>
          <w:rFonts w:hint="eastAsia" w:ascii="宋体" w:hAnsi="宋体" w:cs="宋体"/>
          <w:szCs w:val="21"/>
        </w:rPr>
        <w:t xml:space="preserve">地 址：</w:t>
      </w:r>
      <w:r>
        <w:rPr>
          <w:rFonts w:hint="eastAsia" w:ascii="宋体" w:hAnsi="宋体" w:eastAsia="宋体" w:cs="宋体"/>
          <w:szCs w:val="21"/>
          <w:lang w:eastAsia="zh-CN"/>
        </w:rPr>
        <w:t xml:space="preserve">江苏省常州市新北区晋陵北路11号</w:t>
      </w:r>
      <w:r>
        <w:rPr>
          <w:rFonts w:ascii="宋体" w:hAnsi="宋体" w:cs="宋体"/>
          <w:szCs w:val="21"/>
        </w:rPr>
      </w:r>
      <w:r/>
    </w:p>
    <w:p>
      <w:pPr>
        <w:pStyle w:val="1118"/>
        <w:ind w:firstLine="428"/>
        <w:spacing w:line="360" w:lineRule="auto"/>
        <w:rPr>
          <w:rFonts w:hint="eastAsia" w:eastAsia="宋体" w:cs="宋体"/>
          <w:bCs/>
          <w:color w:val="000000"/>
          <w:spacing w:val="2"/>
          <w:lang w:val="en-US" w:eastAsia="zh-CN"/>
        </w:rPr>
      </w:pPr>
      <w:r>
        <w:rPr>
          <w:rFonts w:hint="eastAsia" w:cs="宋体"/>
          <w:bCs/>
          <w:color w:val="000000"/>
          <w:spacing w:val="2"/>
        </w:rPr>
        <w:t xml:space="preserve">联系人：</w:t>
      </w:r>
      <w:r>
        <w:rPr>
          <w:rFonts w:hint="eastAsia" w:cs="宋体"/>
          <w:bCs/>
          <w:color w:val="000000"/>
          <w:spacing w:val="2"/>
          <w:lang w:val="en-US" w:eastAsia="zh-CN"/>
        </w:rPr>
        <w:t xml:space="preserve">金老师</w:t>
      </w:r>
      <w:r>
        <w:rPr>
          <w:rFonts w:hint="eastAsia" w:eastAsia="宋体" w:cs="宋体"/>
          <w:bCs/>
          <w:color w:val="000000"/>
          <w:spacing w:val="2"/>
          <w:lang w:val="en-US" w:eastAsia="zh-CN"/>
        </w:rPr>
      </w:r>
      <w:r/>
    </w:p>
    <w:p>
      <w:pPr>
        <w:pStyle w:val="1118"/>
        <w:ind w:firstLine="428"/>
        <w:spacing w:line="360" w:lineRule="auto"/>
        <w:rPr>
          <w:rFonts w:eastAsia="宋体" w:cs="宋体"/>
          <w:bCs/>
          <w:color w:val="000000"/>
          <w:spacing w:val="2"/>
          <w:highlight w:val="none"/>
          <w:lang w:val="en-US" w:eastAsia="zh-CN"/>
        </w:rPr>
      </w:pPr>
      <w:r>
        <w:rPr>
          <w:rFonts w:hint="eastAsia" w:cs="宋体"/>
          <w:bCs/>
          <w:color w:val="000000"/>
          <w:spacing w:val="2"/>
          <w:highlight w:val="none"/>
        </w:rPr>
        <w:t xml:space="preserve">电话： </w:t>
      </w:r>
      <w:r>
        <w:rPr>
          <w:rFonts w:hint="eastAsia" w:cs="宋体"/>
          <w:bCs/>
          <w:color w:val="000000"/>
          <w:spacing w:val="2"/>
          <w:highlight w:val="none"/>
          <w:lang w:val="en-US" w:eastAsia="zh-CN"/>
        </w:rPr>
        <w:t xml:space="preserve">0519-85120893</w:t>
      </w:r>
      <w:r>
        <w:rPr>
          <w:rFonts w:eastAsia="宋体" w:cs="宋体"/>
          <w:bCs/>
          <w:color w:val="000000"/>
          <w:spacing w:val="2"/>
          <w:highlight w:val="none"/>
          <w:lang w:val="en-US" w:eastAsia="zh-CN"/>
        </w:rPr>
      </w:r>
      <w:r/>
    </w:p>
    <w:p>
      <w:pPr>
        <w:pStyle w:val="1118"/>
        <w:ind w:firstLine="420"/>
        <w:spacing w:line="360" w:lineRule="auto"/>
        <w:rPr>
          <w:rFonts w:hint="eastAsia" w:ascii="宋体" w:hAnsi="宋体" w:cs="宋体"/>
          <w:szCs w:val="21"/>
        </w:rPr>
      </w:pPr>
      <w:r>
        <w:rPr>
          <w:rFonts w:hint="eastAsia" w:ascii="宋体" w:hAnsi="宋体" w:cs="宋体"/>
          <w:szCs w:val="21"/>
        </w:rPr>
        <w:t xml:space="preserve">2.采购代理机构信息</w:t>
      </w:r>
      <w:r>
        <w:rPr>
          <w:rFonts w:hint="eastAsia" w:ascii="宋体" w:hAnsi="宋体" w:cs="宋体"/>
          <w:szCs w:val="21"/>
        </w:rPr>
      </w:r>
      <w:r/>
    </w:p>
    <w:p>
      <w:pPr>
        <w:pStyle w:val="1118"/>
        <w:ind w:firstLine="420"/>
        <w:spacing w:line="360" w:lineRule="auto"/>
        <w:rPr>
          <w:rFonts w:hint="eastAsia" w:ascii="宋体" w:hAnsi="宋体" w:cs="宋体"/>
          <w:szCs w:val="21"/>
        </w:rPr>
      </w:pPr>
      <w:r>
        <w:rPr>
          <w:rFonts w:hint="eastAsia" w:ascii="宋体" w:hAnsi="宋体" w:cs="宋体"/>
          <w:szCs w:val="21"/>
        </w:rPr>
        <w:t xml:space="preserve">名 称：常州正衡招投标有限公司 </w:t>
      </w:r>
      <w:r>
        <w:rPr>
          <w:rFonts w:hint="eastAsia" w:ascii="宋体" w:hAnsi="宋体" w:cs="宋体"/>
          <w:szCs w:val="21"/>
        </w:rPr>
      </w:r>
      <w:r/>
    </w:p>
    <w:p>
      <w:pPr>
        <w:pStyle w:val="1118"/>
        <w:ind w:firstLine="420"/>
        <w:spacing w:line="360" w:lineRule="auto"/>
        <w:rPr>
          <w:rFonts w:hint="eastAsia" w:ascii="宋体" w:hAnsi="宋体" w:cs="宋体"/>
          <w:szCs w:val="21"/>
        </w:rPr>
      </w:pPr>
      <w:r>
        <w:rPr>
          <w:rFonts w:hint="eastAsia" w:ascii="宋体" w:hAnsi="宋体" w:cs="宋体"/>
          <w:szCs w:val="21"/>
        </w:rPr>
        <w:t xml:space="preserve">地 址：常州市新北区新城府翰苑6栋9楼</w:t>
      </w:r>
      <w:r>
        <w:rPr>
          <w:rFonts w:hint="eastAsia" w:ascii="宋体" w:hAnsi="宋体" w:cs="宋体"/>
          <w:szCs w:val="21"/>
        </w:rPr>
      </w:r>
      <w:r/>
    </w:p>
    <w:p>
      <w:pPr>
        <w:pStyle w:val="1118"/>
        <w:ind w:firstLine="420"/>
        <w:spacing w:line="360" w:lineRule="auto"/>
        <w:rPr>
          <w:rFonts w:hint="eastAsia" w:ascii="宋体" w:hAnsi="宋体" w:cs="宋体"/>
          <w:szCs w:val="21"/>
        </w:rPr>
      </w:pPr>
      <w:r>
        <w:rPr>
          <w:rFonts w:hint="eastAsia" w:ascii="宋体" w:hAnsi="宋体" w:cs="宋体"/>
          <w:szCs w:val="21"/>
        </w:rPr>
        <w:t xml:space="preserve">3.项目联系方式</w:t>
      </w:r>
      <w:r>
        <w:rPr>
          <w:rFonts w:hint="eastAsia" w:ascii="宋体" w:hAnsi="宋体" w:cs="宋体"/>
          <w:szCs w:val="21"/>
        </w:rPr>
      </w:r>
      <w:r/>
    </w:p>
    <w:p>
      <w:pPr>
        <w:pStyle w:val="1118"/>
        <w:ind w:firstLine="420"/>
        <w:spacing w:line="360" w:lineRule="auto"/>
        <w:rPr>
          <w:rFonts w:hint="eastAsia" w:ascii="宋体" w:hAnsi="宋体" w:cs="宋体"/>
          <w:szCs w:val="21"/>
        </w:rPr>
      </w:pPr>
      <w:r>
        <w:rPr>
          <w:rFonts w:hint="eastAsia" w:ascii="宋体" w:hAnsi="宋体" w:cs="宋体"/>
          <w:szCs w:val="21"/>
        </w:rPr>
        <w:t xml:space="preserve">项目联系人：刘欢</w:t>
      </w:r>
      <w:r>
        <w:rPr>
          <w:rFonts w:hint="eastAsia" w:ascii="宋体" w:hAnsi="宋体" w:cs="宋体"/>
          <w:szCs w:val="21"/>
        </w:rPr>
      </w:r>
      <w:r/>
    </w:p>
    <w:p>
      <w:pPr>
        <w:pStyle w:val="1118"/>
        <w:ind w:firstLine="420"/>
        <w:spacing w:line="360" w:lineRule="auto"/>
        <w:rPr>
          <w:rFonts w:hint="eastAsia" w:ascii="宋体" w:hAnsi="宋体" w:cs="宋体"/>
          <w:szCs w:val="21"/>
        </w:rPr>
      </w:pPr>
      <w:r>
        <w:rPr>
          <w:rFonts w:hint="eastAsia" w:ascii="宋体" w:hAnsi="宋体" w:cs="宋体"/>
          <w:szCs w:val="21"/>
        </w:rPr>
        <w:t xml:space="preserve">电　话：0519-85510566</w:t>
      </w:r>
      <w:r>
        <w:rPr>
          <w:rFonts w:hint="eastAsia" w:ascii="宋体" w:hAnsi="宋体" w:cs="宋体"/>
          <w:szCs w:val="21"/>
        </w:rPr>
      </w:r>
      <w:r/>
    </w:p>
    <w:p>
      <w:pPr>
        <w:pStyle w:val="1118"/>
        <w:ind w:firstLine="723"/>
        <w:spacing w:line="360" w:lineRule="auto"/>
        <w:rPr>
          <w:b/>
          <w:sz w:val="36"/>
          <w:szCs w:val="36"/>
        </w:rPr>
      </w:pPr>
      <w:r/>
      <w:bookmarkStart w:id="25" w:name="_Toc127161488"/>
      <w:r/>
      <w:bookmarkStart w:id="26" w:name="_Toc127151777"/>
      <w:r/>
      <w:bookmarkStart w:id="27" w:name="_Toc353873938"/>
      <w:r/>
      <w:bookmarkStart w:id="28" w:name="_Toc104818926"/>
      <w:r/>
      <w:bookmarkStart w:id="29" w:name="_Toc195842950"/>
      <w:r/>
      <w:bookmarkStart w:id="30" w:name="_Toc265228423"/>
      <w:r/>
      <w:bookmarkStart w:id="31" w:name="_Toc264969275"/>
      <w:r/>
      <w:bookmarkStart w:id="32" w:name="_Toc305158928"/>
      <w:r/>
      <w:bookmarkStart w:id="33" w:name="_Toc6690"/>
      <w:r/>
      <w:bookmarkStart w:id="34" w:name="_Toc305158854"/>
      <w:r/>
      <w:bookmarkStart w:id="35" w:name="_Toc226965856"/>
      <w:r/>
      <w:bookmarkStart w:id="36" w:name="_Toc150774783"/>
      <w:r/>
      <w:bookmarkStart w:id="37" w:name="_Toc353825548"/>
      <w:r/>
      <w:bookmarkStart w:id="38" w:name="_Toc512937850"/>
      <w:r/>
      <w:bookmarkStart w:id="39" w:name="_Toc226337215"/>
      <w:r/>
      <w:bookmarkStart w:id="40" w:name="_Toc164351613"/>
      <w:r/>
      <w:bookmarkStart w:id="41" w:name="_Toc150480757"/>
      <w:r/>
      <w:bookmarkStart w:id="42" w:name="_Toc164229214"/>
      <w:r/>
      <w:bookmarkStart w:id="43" w:name="_Toc164229360"/>
      <w:r/>
      <w:bookmarkStart w:id="44" w:name="_Toc520356144"/>
      <w:r/>
      <w:bookmarkStart w:id="45" w:name="_Toc164608633"/>
      <w:r/>
      <w:bookmarkStart w:id="46" w:name="_Toc151193833"/>
      <w:r/>
      <w:bookmarkStart w:id="47" w:name="_Toc127151720"/>
      <w:r/>
      <w:bookmarkStart w:id="48" w:name="_Toc127151519"/>
      <w:r/>
      <w:bookmarkStart w:id="49" w:name="_Toc150509270"/>
      <w:r/>
      <w:bookmarkStart w:id="50" w:name="_Toc164608788"/>
      <w:r/>
      <w:bookmarkStart w:id="51" w:name="_Toc195842884"/>
      <w:r/>
      <w:bookmarkStart w:id="52" w:name="_Toc150774619"/>
      <w:r/>
      <w:bookmarkStart w:id="53" w:name="_Toc226309763"/>
      <w:r/>
      <w:bookmarkStart w:id="54" w:name="_Toc151190146"/>
      <w:r/>
      <w:bookmarkStart w:id="55" w:name="_Toc226965709"/>
      <w:r/>
      <w:bookmarkStart w:id="56" w:name="_Toc142311021"/>
      <w:r/>
      <w:bookmarkStart w:id="57" w:name="_Toc150774724"/>
      <w:r/>
      <w:bookmarkStart w:id="58" w:name="_Toc151193761"/>
      <w:r/>
      <w:bookmarkStart w:id="59" w:name="_Toc226965792"/>
      <w:r/>
      <w:bookmarkStart w:id="60" w:name="_Toc151193689"/>
      <w:r/>
      <w:bookmarkStart w:id="61" w:name="_Toc127161433"/>
      <w:r/>
      <w:bookmarkStart w:id="62" w:name="_Toc151193907"/>
      <w:r/>
      <w:bookmarkStart w:id="63" w:name="_Toc149720812"/>
      <w:r/>
      <w:bookmarkStart w:id="64" w:name="_Toc151193617"/>
      <w:r>
        <w:rPr>
          <w:b/>
          <w:sz w:val="36"/>
          <w:szCs w:val="36"/>
        </w:rPr>
        <w:br w:type="page" w:clear="all"/>
      </w:r>
      <w:r>
        <w:rPr>
          <w:b/>
          <w:sz w:val="36"/>
          <w:szCs w:val="36"/>
        </w:rPr>
      </w:r>
      <w:r/>
    </w:p>
    <w:p>
      <w:pPr>
        <w:pStyle w:val="1118"/>
        <w:jc w:val="center"/>
        <w:spacing w:line="360" w:lineRule="auto"/>
        <w:rPr>
          <w:b/>
          <w:sz w:val="32"/>
          <w:szCs w:val="32"/>
        </w:rPr>
        <w:outlineLvl w:val="0"/>
      </w:pPr>
      <w:r>
        <w:rPr>
          <w:b/>
          <w:sz w:val="36"/>
          <w:szCs w:val="36"/>
        </w:rPr>
        <w:t xml:space="preserve">第二章   供应商须知</w:t>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rPr>
          <w:b/>
          <w:sz w:val="32"/>
          <w:szCs w:val="32"/>
        </w:rPr>
      </w:r>
      <w:r/>
    </w:p>
    <w:p>
      <w:pPr>
        <w:pStyle w:val="1120"/>
        <w:spacing w:before="0" w:line="360" w:lineRule="auto"/>
        <w:tabs>
          <w:tab w:val="center" w:pos="4592" w:leader="none"/>
          <w:tab w:val="left" w:pos="7860" w:leader="none"/>
        </w:tabs>
        <w:rPr>
          <w:rFonts w:ascii="Times New Roman" w:hAnsi="Times New Roman" w:eastAsia="宋体"/>
          <w:b w:val="0"/>
          <w:sz w:val="28"/>
        </w:rPr>
      </w:pPr>
      <w:r>
        <w:rPr>
          <w:rFonts w:ascii="Times New Roman" w:hAnsi="Times New Roman" w:eastAsia="宋体"/>
          <w:sz w:val="28"/>
        </w:rPr>
        <w:t xml:space="preserve">供应商须知资料表</w:t>
      </w:r>
      <w:r>
        <w:rPr>
          <w:rFonts w:ascii="Times New Roman" w:hAnsi="Times New Roman" w:eastAsia="宋体"/>
          <w:b w:val="0"/>
          <w:sz w:val="28"/>
        </w:rPr>
      </w:r>
      <w:r/>
    </w:p>
    <w:p>
      <w:pPr>
        <w:pStyle w:val="1118"/>
        <w:jc w:val="center"/>
        <w:rPr>
          <w:b/>
          <w:sz w:val="28"/>
          <w:szCs w:val="28"/>
        </w:rPr>
      </w:pPr>
      <w:r>
        <w:rPr>
          <w:b/>
          <w:sz w:val="28"/>
          <w:szCs w:val="28"/>
        </w:rPr>
      </w:r>
      <w:r/>
    </w:p>
    <w:p>
      <w:pPr>
        <w:pStyle w:val="1118"/>
        <w:jc w:val="left"/>
        <w:rPr>
          <w:rFonts w:hint="eastAsia" w:ascii="宋体" w:hAnsi="宋体" w:cs="宋体"/>
          <w:szCs w:val="21"/>
        </w:rPr>
      </w:pPr>
      <w:r>
        <w:rPr>
          <w:rFonts w:hint="eastAsia" w:ascii="宋体" w:hAnsi="宋体" w:cs="宋体"/>
          <w:szCs w:val="21"/>
        </w:rPr>
        <w:t xml:space="preserve">本表是对供应商须知的具体补充和修改，如有矛盾，均以本资料表为准。标记“</w:t>
      </w:r>
      <w:r>
        <w:rPr>
          <w:rFonts w:ascii="Wingdings 2" w:hAnsi="Wingdings 2" w:eastAsia="Wingdings 2" w:cs="Wingdings 2"/>
          <w:szCs w:val="21"/>
        </w:rPr>
        <w:t xml:space="preserve">R</w:t>
      </w:r>
      <w:r>
        <w:rPr>
          <w:rFonts w:hint="eastAsia" w:ascii="宋体" w:hAnsi="宋体" w:cs="宋体"/>
          <w:szCs w:val="21"/>
        </w:rPr>
        <w:t xml:space="preserve">”的选项意为适用于本项目，标记“□”的选项意为不适用于本项目。</w:t>
      </w:r>
      <w:r>
        <w:rPr>
          <w:rFonts w:hint="eastAsia" w:ascii="宋体" w:hAnsi="宋体" w:cs="宋体"/>
          <w:szCs w:val="21"/>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1118"/>
              <w:jc w:val="center"/>
              <w:rPr>
                <w:b/>
                <w:bCs/>
                <w:sz w:val="24"/>
              </w:rPr>
            </w:pPr>
            <w:r>
              <w:rPr>
                <w:b/>
                <w:sz w:val="24"/>
              </w:rPr>
              <w:t xml:space="preserve">条款号</w:t>
            </w:r>
            <w:r>
              <w:rPr>
                <w:b/>
                <w:bCs/>
                <w:sz w:val="24"/>
              </w:rPr>
            </w:r>
            <w:r/>
          </w:p>
        </w:tc>
        <w:tc>
          <w:tcPr>
            <w:tcW w:w="1701" w:type="dxa"/>
            <w:vAlign w:val="center"/>
            <w:textDirection w:val="lrTb"/>
            <w:noWrap w:val="false"/>
          </w:tcPr>
          <w:p>
            <w:pPr>
              <w:pStyle w:val="1118"/>
              <w:jc w:val="center"/>
              <w:rPr>
                <w:b/>
                <w:bCs/>
                <w:sz w:val="24"/>
              </w:rPr>
            </w:pPr>
            <w:r>
              <w:rPr>
                <w:b/>
                <w:bCs/>
                <w:sz w:val="24"/>
              </w:rPr>
              <w:t xml:space="preserve">条目</w:t>
            </w:r>
            <w:r>
              <w:rPr>
                <w:b/>
                <w:bCs/>
                <w:sz w:val="24"/>
              </w:rPr>
            </w:r>
            <w:r/>
          </w:p>
        </w:tc>
        <w:tc>
          <w:tcPr>
            <w:tcW w:w="7253" w:type="dxa"/>
            <w:vAlign w:val="center"/>
            <w:textDirection w:val="lrTb"/>
            <w:noWrap w:val="false"/>
          </w:tcPr>
          <w:p>
            <w:pPr>
              <w:pStyle w:val="1118"/>
              <w:jc w:val="center"/>
              <w:rPr>
                <w:b/>
                <w:bCs/>
                <w:sz w:val="24"/>
              </w:rPr>
            </w:pPr>
            <w:r>
              <w:rPr>
                <w:b/>
                <w:bCs/>
                <w:sz w:val="24"/>
              </w:rPr>
              <w:t xml:space="preserve">内容</w:t>
            </w:r>
            <w:r>
              <w:rPr>
                <w:b/>
                <w:bCs/>
                <w:sz w:val="24"/>
              </w:rPr>
            </w:r>
            <w:r/>
          </w:p>
        </w:tc>
      </w:tr>
      <w:tr>
        <w:trPr>
          <w:trHeight w:val="20"/>
        </w:trPr>
        <w:tc>
          <w:tcPr>
            <w:tcW w:w="988" w:type="dxa"/>
            <w:vAlign w:val="center"/>
            <w:textDirection w:val="lrTb"/>
            <w:noWrap w:val="false"/>
          </w:tcPr>
          <w:p>
            <w:pPr>
              <w:pStyle w:val="1160"/>
              <w:jc w:val="center"/>
              <w:rPr>
                <w:rFonts w:hAnsi="宋体" w:cs="宋体"/>
                <w:szCs w:val="21"/>
              </w:rPr>
            </w:pPr>
            <w:r>
              <w:rPr>
                <w:rFonts w:hAnsi="宋体" w:cs="宋体"/>
                <w:szCs w:val="21"/>
              </w:rPr>
              <w:t xml:space="preserve">2.2</w:t>
            </w:r>
            <w:r>
              <w:rPr>
                <w:rFonts w:hAnsi="宋体" w:cs="宋体"/>
                <w:szCs w:val="21"/>
              </w:rPr>
            </w:r>
            <w:r/>
          </w:p>
        </w:tc>
        <w:tc>
          <w:tcPr>
            <w:tcW w:w="1701" w:type="dxa"/>
            <w:vAlign w:val="center"/>
            <w:textDirection w:val="lrTb"/>
            <w:noWrap w:val="false"/>
          </w:tcPr>
          <w:p>
            <w:pPr>
              <w:pStyle w:val="1118"/>
              <w:jc w:val="center"/>
              <w:rPr>
                <w:rFonts w:ascii="宋体" w:hAnsi="宋体" w:cs="宋体"/>
                <w:szCs w:val="21"/>
              </w:rPr>
            </w:pPr>
            <w:r>
              <w:rPr>
                <w:rFonts w:hint="eastAsia" w:ascii="宋体" w:hAnsi="宋体" w:cs="宋体"/>
                <w:szCs w:val="21"/>
              </w:rPr>
              <w:t xml:space="preserve">项目属性</w:t>
            </w:r>
            <w:r>
              <w:rPr>
                <w:rFonts w:ascii="宋体" w:hAnsi="宋体" w:cs="宋体"/>
                <w:szCs w:val="21"/>
              </w:rPr>
            </w:r>
            <w:r/>
          </w:p>
        </w:tc>
        <w:tc>
          <w:tcPr>
            <w:tcW w:w="7253" w:type="dxa"/>
            <w:vAlign w:val="center"/>
            <w:textDirection w:val="lrTb"/>
            <w:noWrap w:val="false"/>
          </w:tcPr>
          <w:p>
            <w:pPr>
              <w:pStyle w:val="1118"/>
              <w:jc w:val="left"/>
              <w:rPr>
                <w:rFonts w:ascii="宋体" w:hAnsi="宋体" w:cs="宋体"/>
                <w:szCs w:val="21"/>
              </w:rPr>
            </w:pPr>
            <w:r>
              <w:rPr>
                <w:rFonts w:hint="eastAsia" w:ascii="宋体" w:hAnsi="宋体" w:cs="宋体"/>
                <w:szCs w:val="21"/>
              </w:rPr>
              <w:t xml:space="preserve">项目属性：</w:t>
            </w:r>
            <w:r>
              <w:rPr>
                <w:rFonts w:ascii="宋体" w:hAnsi="宋体" w:cs="宋体"/>
                <w:szCs w:val="21"/>
              </w:rPr>
            </w:r>
            <w:r/>
          </w:p>
          <w:p>
            <w:pPr>
              <w:pStyle w:val="1118"/>
              <w:jc w:val="left"/>
              <w:rPr>
                <w:rFonts w:ascii="宋体" w:hAnsi="宋体" w:eastAsia="宋体" w:cs="宋体"/>
                <w:szCs w:val="21"/>
                <w:u w:val="single"/>
                <w:lang w:val="en-US" w:eastAsia="zh-CN"/>
              </w:rPr>
            </w:pPr>
            <w:r>
              <w:rPr>
                <w:rFonts w:hint="eastAsia" w:ascii="宋体" w:hAnsi="宋体" w:cs="宋体"/>
                <w:szCs w:val="21"/>
                <w:u w:val="single"/>
                <w:lang w:val="en-US" w:eastAsia="zh-CN"/>
              </w:rPr>
              <w:t xml:space="preserve">货物</w:t>
            </w:r>
            <w:r>
              <w:rPr>
                <w:rFonts w:ascii="宋体" w:hAnsi="宋体" w:eastAsia="宋体" w:cs="宋体"/>
                <w:szCs w:val="21"/>
                <w:u w:val="single"/>
                <w:lang w:val="en-US" w:eastAsia="zh-CN"/>
              </w:rPr>
            </w:r>
            <w:r/>
          </w:p>
        </w:tc>
      </w:tr>
      <w:tr>
        <w:trPr>
          <w:trHeight w:val="20"/>
        </w:trPr>
        <w:tc>
          <w:tcPr>
            <w:tcW w:w="988" w:type="dxa"/>
            <w:vAlign w:val="center"/>
            <w:textDirection w:val="lrTb"/>
            <w:noWrap w:val="false"/>
          </w:tcPr>
          <w:p>
            <w:pPr>
              <w:pStyle w:val="1160"/>
              <w:jc w:val="center"/>
              <w:rPr>
                <w:rFonts w:hAnsi="宋体" w:cs="宋体"/>
                <w:szCs w:val="21"/>
              </w:rPr>
            </w:pPr>
            <w:r>
              <w:rPr>
                <w:rFonts w:hAnsi="宋体" w:cs="宋体"/>
                <w:szCs w:val="21"/>
              </w:rPr>
              <w:t xml:space="preserve">2.3</w:t>
            </w:r>
            <w:r>
              <w:rPr>
                <w:rFonts w:hAnsi="宋体" w:cs="宋体"/>
                <w:szCs w:val="21"/>
              </w:rPr>
            </w:r>
            <w:r/>
          </w:p>
        </w:tc>
        <w:tc>
          <w:tcPr>
            <w:tcW w:w="1701" w:type="dxa"/>
            <w:vAlign w:val="center"/>
            <w:textDirection w:val="lrTb"/>
            <w:noWrap w:val="false"/>
          </w:tcPr>
          <w:p>
            <w:pPr>
              <w:pStyle w:val="1118"/>
              <w:jc w:val="center"/>
              <w:rPr>
                <w:rFonts w:ascii="宋体" w:hAnsi="宋体" w:cs="宋体"/>
                <w:szCs w:val="21"/>
              </w:rPr>
            </w:pPr>
            <w:r>
              <w:rPr>
                <w:rFonts w:hint="eastAsia" w:ascii="宋体" w:hAnsi="宋体" w:cs="宋体"/>
                <w:szCs w:val="21"/>
              </w:rPr>
              <w:t xml:space="preserve">科研仪器设备</w:t>
            </w:r>
            <w:r>
              <w:rPr>
                <w:rFonts w:ascii="宋体" w:hAnsi="宋体" w:cs="宋体"/>
                <w:szCs w:val="21"/>
              </w:rPr>
            </w:r>
            <w:r/>
          </w:p>
        </w:tc>
        <w:tc>
          <w:tcPr>
            <w:tcW w:w="7253" w:type="dxa"/>
            <w:vAlign w:val="center"/>
            <w:textDirection w:val="lrTb"/>
            <w:noWrap w:val="false"/>
          </w:tcPr>
          <w:p>
            <w:pPr>
              <w:pStyle w:val="1118"/>
              <w:jc w:val="left"/>
              <w:rPr>
                <w:rFonts w:ascii="宋体" w:hAnsi="宋体" w:cs="宋体"/>
                <w:szCs w:val="21"/>
              </w:rPr>
            </w:pPr>
            <w:r>
              <w:rPr>
                <w:rFonts w:hint="eastAsia" w:ascii="宋体" w:hAnsi="宋体" w:cs="宋体"/>
                <w:szCs w:val="21"/>
              </w:rPr>
              <w:t xml:space="preserve">是否属于科研仪器设备采购项目：</w:t>
            </w:r>
            <w:r>
              <w:rPr>
                <w:rFonts w:ascii="宋体" w:hAnsi="宋体" w:cs="宋体"/>
                <w:szCs w:val="21"/>
              </w:rPr>
            </w:r>
            <w:r/>
          </w:p>
          <w:p>
            <w:pPr>
              <w:pStyle w:val="1118"/>
              <w:jc w:val="left"/>
              <w:rPr>
                <w:rFonts w:ascii="宋体" w:hAnsi="宋体" w:cs="宋体"/>
                <w:szCs w:val="21"/>
              </w:rPr>
            </w:pPr>
            <w:r>
              <w:rPr>
                <w:rFonts w:hint="eastAsia" w:ascii="宋体" w:hAnsi="宋体" w:cs="宋体"/>
                <w:szCs w:val="21"/>
              </w:rPr>
              <w:t xml:space="preserve">□是</w:t>
            </w:r>
            <w:r>
              <w:rPr>
                <w:rFonts w:ascii="宋体" w:hAnsi="宋体" w:cs="宋体"/>
                <w:szCs w:val="21"/>
              </w:rPr>
            </w:r>
            <w:r/>
          </w:p>
          <w:p>
            <w:pPr>
              <w:pStyle w:val="1118"/>
              <w:jc w:val="left"/>
              <w:rPr>
                <w:rFonts w:ascii="宋体" w:hAnsi="宋体" w:cs="宋体"/>
                <w:szCs w:val="21"/>
              </w:rPr>
            </w:pPr>
            <w:r>
              <w:rPr>
                <w:rFonts w:hint="eastAsia" w:ascii="宋体" w:hAnsi="宋体" w:cs="宋体"/>
                <w:szCs w:val="21"/>
              </w:rPr>
              <w:t xml:space="preserve">☑否</w:t>
            </w:r>
            <w:r>
              <w:rPr>
                <w:rFonts w:ascii="宋体" w:hAnsi="宋体" w:cs="宋体"/>
                <w:szCs w:val="21"/>
              </w:rPr>
            </w:r>
            <w:r/>
          </w:p>
        </w:tc>
      </w:tr>
      <w:tr>
        <w:trPr>
          <w:trHeight w:val="20"/>
        </w:trPr>
        <w:tc>
          <w:tcPr>
            <w:tcW w:w="988" w:type="dxa"/>
            <w:vAlign w:val="center"/>
            <w:vMerge w:val="restart"/>
            <w:textDirection w:val="lrTb"/>
            <w:noWrap w:val="false"/>
          </w:tcPr>
          <w:p>
            <w:pPr>
              <w:pStyle w:val="1160"/>
              <w:jc w:val="center"/>
              <w:rPr>
                <w:rFonts w:hAnsi="宋体" w:cs="宋体"/>
                <w:szCs w:val="21"/>
              </w:rPr>
            </w:pPr>
            <w:r>
              <w:rPr>
                <w:rFonts w:hAnsi="宋体" w:cs="宋体"/>
                <w:szCs w:val="21"/>
              </w:rPr>
              <w:t xml:space="preserve">3.1</w:t>
            </w:r>
            <w:r>
              <w:rPr>
                <w:rFonts w:hAnsi="宋体" w:cs="宋体"/>
                <w:szCs w:val="21"/>
              </w:rPr>
            </w:r>
            <w:r/>
          </w:p>
        </w:tc>
        <w:tc>
          <w:tcPr>
            <w:tcW w:w="1701" w:type="dxa"/>
            <w:vAlign w:val="center"/>
            <w:textDirection w:val="lrTb"/>
            <w:noWrap w:val="false"/>
          </w:tcPr>
          <w:p>
            <w:pPr>
              <w:pStyle w:val="1118"/>
              <w:jc w:val="center"/>
              <w:rPr>
                <w:rFonts w:ascii="宋体" w:hAnsi="宋体" w:cs="宋体"/>
                <w:szCs w:val="21"/>
              </w:rPr>
            </w:pPr>
            <w:r>
              <w:rPr>
                <w:rFonts w:hint="eastAsia" w:ascii="宋体" w:hAnsi="宋体" w:cs="宋体"/>
                <w:szCs w:val="21"/>
              </w:rPr>
              <w:t xml:space="preserve">现场考察</w:t>
            </w:r>
            <w:r>
              <w:rPr>
                <w:rFonts w:ascii="宋体" w:hAnsi="宋体" w:cs="宋体"/>
                <w:szCs w:val="21"/>
              </w:rPr>
            </w:r>
            <w:r/>
          </w:p>
        </w:tc>
        <w:tc>
          <w:tcPr>
            <w:tcW w:w="7253" w:type="dxa"/>
            <w:vAlign w:val="center"/>
            <w:textDirection w:val="lrTb"/>
            <w:noWrap w:val="false"/>
          </w:tcPr>
          <w:p>
            <w:pPr>
              <w:pStyle w:val="1118"/>
              <w:jc w:val="left"/>
              <w:rPr>
                <w:rFonts w:ascii="宋体" w:hAnsi="宋体" w:cs="宋体"/>
                <w:szCs w:val="21"/>
              </w:rPr>
            </w:pPr>
            <w:r>
              <w:rPr>
                <w:rFonts w:hint="eastAsia" w:ascii="宋体" w:hAnsi="宋体" w:cs="宋体"/>
                <w:szCs w:val="21"/>
              </w:rPr>
              <w:t xml:space="preserve">☑不组织</w:t>
            </w:r>
            <w:r>
              <w:rPr>
                <w:rFonts w:ascii="宋体" w:hAnsi="宋体" w:cs="宋体"/>
                <w:szCs w:val="21"/>
              </w:rPr>
            </w:r>
            <w:r/>
          </w:p>
          <w:p>
            <w:pPr>
              <w:pStyle w:val="1118"/>
              <w:jc w:val="left"/>
              <w:rPr>
                <w:rFonts w:ascii="宋体" w:hAnsi="宋体" w:cs="宋体"/>
                <w:bCs/>
                <w:szCs w:val="21"/>
              </w:rPr>
            </w:pPr>
            <w:r>
              <w:rPr>
                <w:rFonts w:hint="eastAsia" w:ascii="宋体" w:hAnsi="宋体" w:cs="宋体"/>
                <w:szCs w:val="21"/>
              </w:rPr>
              <w:t xml:space="preserve">□组织，考察时间：___</w:t>
            </w:r>
            <w:r>
              <w:rPr>
                <w:rFonts w:hint="eastAsia" w:ascii="宋体" w:hAnsi="宋体" w:cs="宋体"/>
                <w:szCs w:val="21"/>
                <w:lang w:bidi="ar"/>
              </w:rPr>
              <w:t xml:space="preserve">年</w:t>
            </w:r>
            <w:r>
              <w:rPr>
                <w:rFonts w:hint="eastAsia" w:ascii="宋体" w:hAnsi="宋体" w:cs="宋体"/>
                <w:szCs w:val="21"/>
              </w:rPr>
              <w:t xml:space="preserve">___</w:t>
            </w:r>
            <w:r>
              <w:rPr>
                <w:rFonts w:hint="eastAsia" w:ascii="宋体" w:hAnsi="宋体" w:cs="宋体"/>
                <w:szCs w:val="21"/>
                <w:lang w:bidi="ar"/>
              </w:rPr>
              <w:t xml:space="preserve">月</w:t>
            </w:r>
            <w:r>
              <w:rPr>
                <w:rFonts w:hint="eastAsia" w:ascii="宋体" w:hAnsi="宋体" w:cs="宋体"/>
                <w:szCs w:val="21"/>
              </w:rPr>
              <w:t xml:space="preserve">___</w:t>
            </w:r>
            <w:r>
              <w:rPr>
                <w:rFonts w:hint="eastAsia" w:ascii="宋体" w:hAnsi="宋体" w:cs="宋体"/>
                <w:szCs w:val="21"/>
                <w:lang w:bidi="ar"/>
              </w:rPr>
              <w:t xml:space="preserve">日</w:t>
            </w:r>
            <w:r>
              <w:rPr>
                <w:rFonts w:hint="eastAsia" w:ascii="宋体" w:hAnsi="宋体" w:cs="宋体"/>
                <w:szCs w:val="21"/>
              </w:rPr>
              <w:t xml:space="preserve">___</w:t>
            </w:r>
            <w:r>
              <w:rPr>
                <w:rFonts w:hint="eastAsia" w:ascii="宋体" w:hAnsi="宋体" w:cs="宋体"/>
                <w:szCs w:val="21"/>
                <w:lang w:bidi="ar"/>
              </w:rPr>
              <w:t xml:space="preserve">点</w:t>
            </w:r>
            <w:r>
              <w:rPr>
                <w:rFonts w:hint="eastAsia" w:ascii="宋体" w:hAnsi="宋体" w:cs="宋体"/>
                <w:szCs w:val="21"/>
              </w:rPr>
              <w:t xml:space="preserve">___</w:t>
            </w:r>
            <w:r>
              <w:rPr>
                <w:rFonts w:hint="eastAsia" w:ascii="宋体" w:hAnsi="宋体" w:cs="宋体"/>
                <w:szCs w:val="21"/>
                <w:lang w:bidi="ar"/>
              </w:rPr>
              <w:t xml:space="preserve">分</w:t>
            </w:r>
            <w:r>
              <w:rPr>
                <w:rFonts w:ascii="宋体" w:hAnsi="宋体" w:cs="宋体"/>
                <w:bCs/>
                <w:szCs w:val="21"/>
              </w:rPr>
            </w:r>
            <w:r/>
          </w:p>
          <w:p>
            <w:pPr>
              <w:pStyle w:val="1160"/>
              <w:rPr>
                <w:rFonts w:hAnsi="宋体" w:cs="宋体"/>
                <w:szCs w:val="21"/>
              </w:rPr>
            </w:pPr>
            <w:r>
              <w:rPr>
                <w:rFonts w:hAnsi="宋体" w:cs="宋体"/>
                <w:szCs w:val="21"/>
              </w:rPr>
              <w:t xml:space="preserve">考察地点：___________。</w:t>
            </w:r>
            <w:r>
              <w:rPr>
                <w:rFonts w:hAnsi="宋体" w:cs="宋体"/>
                <w:szCs w:val="21"/>
              </w:rPr>
            </w:r>
            <w:r/>
          </w:p>
        </w:tc>
      </w:tr>
      <w:tr>
        <w:trPr>
          <w:trHeight w:val="20"/>
        </w:trPr>
        <w:tc>
          <w:tcPr>
            <w:tcW w:w="988" w:type="dxa"/>
            <w:vAlign w:val="center"/>
            <w:vMerge w:val="continue"/>
            <w:textDirection w:val="lrTb"/>
            <w:noWrap w:val="false"/>
          </w:tcPr>
          <w:p>
            <w:pPr>
              <w:pStyle w:val="1160"/>
              <w:jc w:val="center"/>
              <w:rPr>
                <w:rFonts w:hAnsi="宋体" w:cs="宋体"/>
                <w:szCs w:val="21"/>
              </w:rPr>
            </w:pPr>
            <w:r>
              <w:rPr>
                <w:rFonts w:hAnsi="宋体" w:cs="宋体"/>
                <w:szCs w:val="21"/>
              </w:rPr>
            </w:r>
            <w:r/>
          </w:p>
        </w:tc>
        <w:tc>
          <w:tcPr>
            <w:tcW w:w="1701" w:type="dxa"/>
            <w:vAlign w:val="center"/>
            <w:textDirection w:val="lrTb"/>
            <w:noWrap w:val="false"/>
          </w:tcPr>
          <w:p>
            <w:pPr>
              <w:pStyle w:val="1118"/>
              <w:jc w:val="center"/>
              <w:rPr>
                <w:rFonts w:ascii="宋体" w:hAnsi="宋体" w:cs="宋体"/>
                <w:szCs w:val="21"/>
              </w:rPr>
            </w:pPr>
            <w:r>
              <w:rPr>
                <w:rFonts w:hint="eastAsia" w:ascii="宋体" w:hAnsi="宋体" w:cs="宋体"/>
                <w:szCs w:val="21"/>
              </w:rPr>
              <w:t xml:space="preserve">磋商前答疑会</w:t>
            </w:r>
            <w:r>
              <w:rPr>
                <w:rFonts w:ascii="宋体" w:hAnsi="宋体" w:cs="宋体"/>
                <w:szCs w:val="21"/>
              </w:rPr>
            </w:r>
            <w:r/>
          </w:p>
        </w:tc>
        <w:tc>
          <w:tcPr>
            <w:tcW w:w="7253" w:type="dxa"/>
            <w:vAlign w:val="center"/>
            <w:textDirection w:val="lrTb"/>
            <w:noWrap w:val="false"/>
          </w:tcPr>
          <w:p>
            <w:pPr>
              <w:pStyle w:val="1118"/>
              <w:jc w:val="left"/>
              <w:rPr>
                <w:rFonts w:ascii="宋体" w:hAnsi="宋体" w:cs="宋体"/>
                <w:szCs w:val="21"/>
              </w:rPr>
            </w:pPr>
            <w:r>
              <w:rPr>
                <w:rFonts w:hint="eastAsia" w:ascii="宋体" w:hAnsi="宋体" w:cs="宋体"/>
                <w:szCs w:val="21"/>
              </w:rPr>
              <w:t xml:space="preserve">☑不召开</w:t>
            </w:r>
            <w:r>
              <w:rPr>
                <w:rFonts w:ascii="宋体" w:hAnsi="宋体" w:cs="宋体"/>
                <w:szCs w:val="21"/>
              </w:rPr>
            </w:r>
            <w:r/>
          </w:p>
          <w:p>
            <w:pPr>
              <w:pStyle w:val="1118"/>
              <w:jc w:val="left"/>
              <w:rPr>
                <w:rFonts w:ascii="宋体" w:hAnsi="宋体" w:cs="宋体"/>
                <w:szCs w:val="21"/>
              </w:rPr>
            </w:pPr>
            <w:r>
              <w:rPr>
                <w:rFonts w:hint="eastAsia" w:ascii="宋体" w:hAnsi="宋体" w:cs="宋体"/>
                <w:szCs w:val="21"/>
              </w:rPr>
              <w:t xml:space="preserve">□召开，召开时间：___</w:t>
            </w:r>
            <w:r>
              <w:rPr>
                <w:rFonts w:hint="eastAsia" w:ascii="宋体" w:hAnsi="宋体" w:cs="宋体"/>
                <w:szCs w:val="21"/>
                <w:lang w:bidi="ar"/>
              </w:rPr>
              <w:t xml:space="preserve">年</w:t>
            </w:r>
            <w:r>
              <w:rPr>
                <w:rFonts w:hint="eastAsia" w:ascii="宋体" w:hAnsi="宋体" w:cs="宋体"/>
                <w:szCs w:val="21"/>
              </w:rPr>
              <w:t xml:space="preserve">___</w:t>
            </w:r>
            <w:r>
              <w:rPr>
                <w:rFonts w:hint="eastAsia" w:ascii="宋体" w:hAnsi="宋体" w:cs="宋体"/>
                <w:szCs w:val="21"/>
                <w:lang w:bidi="ar"/>
              </w:rPr>
              <w:t xml:space="preserve">月</w:t>
            </w:r>
            <w:r>
              <w:rPr>
                <w:rFonts w:hint="eastAsia" w:ascii="宋体" w:hAnsi="宋体" w:cs="宋体"/>
                <w:szCs w:val="21"/>
              </w:rPr>
              <w:t xml:space="preserve">___</w:t>
            </w:r>
            <w:r>
              <w:rPr>
                <w:rFonts w:hint="eastAsia" w:ascii="宋体" w:hAnsi="宋体" w:cs="宋体"/>
                <w:szCs w:val="21"/>
                <w:lang w:bidi="ar"/>
              </w:rPr>
              <w:t xml:space="preserve">日</w:t>
            </w:r>
            <w:r>
              <w:rPr>
                <w:rFonts w:hint="eastAsia" w:ascii="宋体" w:hAnsi="宋体" w:cs="宋体"/>
                <w:szCs w:val="21"/>
              </w:rPr>
              <w:t xml:space="preserve">___</w:t>
            </w:r>
            <w:r>
              <w:rPr>
                <w:rFonts w:hint="eastAsia" w:ascii="宋体" w:hAnsi="宋体" w:cs="宋体"/>
                <w:szCs w:val="21"/>
                <w:lang w:bidi="ar"/>
              </w:rPr>
              <w:t xml:space="preserve">点</w:t>
            </w:r>
            <w:r>
              <w:rPr>
                <w:rFonts w:hint="eastAsia" w:ascii="宋体" w:hAnsi="宋体" w:cs="宋体"/>
                <w:szCs w:val="21"/>
              </w:rPr>
              <w:t xml:space="preserve">___</w:t>
            </w:r>
            <w:r>
              <w:rPr>
                <w:rFonts w:hint="eastAsia" w:ascii="宋体" w:hAnsi="宋体" w:cs="宋体"/>
                <w:szCs w:val="21"/>
                <w:lang w:bidi="ar"/>
              </w:rPr>
              <w:t xml:space="preserve">分</w:t>
            </w:r>
            <w:r>
              <w:rPr>
                <w:rFonts w:ascii="宋体" w:hAnsi="宋体" w:cs="宋体"/>
                <w:szCs w:val="21"/>
              </w:rPr>
            </w:r>
            <w:r/>
          </w:p>
          <w:p>
            <w:pPr>
              <w:pStyle w:val="1118"/>
              <w:jc w:val="left"/>
              <w:rPr>
                <w:rFonts w:ascii="宋体" w:hAnsi="宋体" w:cs="宋体"/>
                <w:szCs w:val="21"/>
              </w:rPr>
            </w:pPr>
            <w:r>
              <w:rPr>
                <w:rFonts w:hint="eastAsia" w:ascii="宋体" w:hAnsi="宋体" w:cs="宋体"/>
                <w:szCs w:val="21"/>
              </w:rPr>
              <w:t xml:space="preserve">召开地点：___________。</w:t>
            </w:r>
            <w:r>
              <w:rPr>
                <w:rFonts w:ascii="宋体" w:hAnsi="宋体" w:cs="宋体"/>
                <w:szCs w:val="21"/>
              </w:rPr>
            </w:r>
            <w:r/>
          </w:p>
        </w:tc>
      </w:tr>
      <w:tr>
        <w:trPr>
          <w:trHeight w:val="1336"/>
        </w:trPr>
        <w:tc>
          <w:tcPr>
            <w:tcW w:w="988" w:type="dxa"/>
            <w:vAlign w:val="center"/>
            <w:textDirection w:val="lrTb"/>
            <w:noWrap w:val="false"/>
          </w:tcPr>
          <w:p>
            <w:pPr>
              <w:pStyle w:val="1160"/>
              <w:jc w:val="center"/>
              <w:rPr>
                <w:rFonts w:hAnsi="宋体" w:cs="宋体"/>
                <w:szCs w:val="21"/>
              </w:rPr>
            </w:pPr>
            <w:r>
              <w:rPr>
                <w:rFonts w:hAnsi="宋体" w:cs="宋体"/>
                <w:szCs w:val="21"/>
              </w:rPr>
              <w:t xml:space="preserve">4.2.5</w:t>
            </w:r>
            <w:r>
              <w:rPr>
                <w:rFonts w:hAnsi="宋体" w:cs="宋体"/>
                <w:szCs w:val="21"/>
              </w:rPr>
            </w:r>
            <w:r/>
          </w:p>
        </w:tc>
        <w:tc>
          <w:tcPr>
            <w:tcW w:w="1701" w:type="dxa"/>
            <w:vAlign w:val="center"/>
            <w:textDirection w:val="lrTb"/>
            <w:noWrap w:val="false"/>
          </w:tcPr>
          <w:p>
            <w:pPr>
              <w:pStyle w:val="1118"/>
              <w:jc w:val="center"/>
              <w:rPr>
                <w:rFonts w:ascii="宋体" w:hAnsi="宋体" w:cs="宋体"/>
                <w:szCs w:val="21"/>
              </w:rPr>
            </w:pPr>
            <w:r>
              <w:rPr>
                <w:rFonts w:hint="eastAsia" w:ascii="宋体" w:hAnsi="宋体" w:cs="宋体"/>
                <w:szCs w:val="21"/>
              </w:rPr>
              <w:t xml:space="preserve">标的所属行业</w:t>
            </w:r>
            <w:r>
              <w:rPr>
                <w:rFonts w:ascii="宋体" w:hAnsi="宋体" w:cs="宋体"/>
                <w:szCs w:val="21"/>
              </w:rPr>
            </w:r>
            <w:r/>
          </w:p>
        </w:tc>
        <w:tc>
          <w:tcPr>
            <w:tcW w:w="7253" w:type="dxa"/>
            <w:vAlign w:val="center"/>
            <w:textDirection w:val="lrTb"/>
            <w:noWrap w:val="false"/>
          </w:tcPr>
          <w:p>
            <w:pPr>
              <w:pStyle w:val="1118"/>
              <w:jc w:val="left"/>
              <w:rPr>
                <w:rFonts w:hint="eastAsia" w:ascii="宋体" w:hAnsi="宋体" w:cs="宋体"/>
                <w:b/>
                <w:bCs/>
                <w:szCs w:val="21"/>
                <w:u w:val="single"/>
                <w:lang w:val="en-US" w:eastAsia="zh-CN"/>
              </w:rPr>
            </w:pPr>
            <w:r>
              <w:rPr>
                <w:rFonts w:hint="eastAsia" w:ascii="宋体" w:hAnsi="宋体" w:cs="宋体"/>
                <w:szCs w:val="21"/>
              </w:rPr>
              <w:t xml:space="preserve">本项目采购标的对应的中小企业划分标准所属行业：</w:t>
            </w:r>
            <w:r>
              <w:rPr>
                <w:rFonts w:hint="eastAsia" w:ascii="宋体" w:hAnsi="宋体" w:cs="宋体"/>
                <w:b/>
                <w:bCs/>
                <w:szCs w:val="21"/>
                <w:u w:val="single"/>
                <w:lang w:val="en-US" w:eastAsia="zh-CN"/>
              </w:rPr>
              <w:t xml:space="preserve">工业</w:t>
            </w:r>
            <w:r>
              <w:rPr>
                <w:rFonts w:hint="eastAsia" w:ascii="宋体" w:hAnsi="宋体" w:cs="宋体"/>
                <w:b/>
                <w:bCs/>
                <w:szCs w:val="21"/>
                <w:u w:val="single"/>
                <w:lang w:val="en-US" w:eastAsia="zh-CN"/>
              </w:rPr>
            </w:r>
            <w:r/>
          </w:p>
          <w:p>
            <w:pPr>
              <w:pStyle w:val="1199"/>
              <w:rPr>
                <w:rFonts w:hint="eastAsia"/>
                <w:lang w:eastAsia="zh-CN"/>
              </w:rPr>
            </w:pPr>
            <w:r>
              <mc:AlternateContent>
                <mc:Choice Requires="wpg">
                  <w:drawing>
                    <wp:inline xmlns:wp="http://schemas.openxmlformats.org/drawingml/2006/wordprocessingDrawing" distT="0" distB="0" distL="0" distR="0">
                      <wp:extent cx="4841265" cy="580857"/>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4841265" cy="5808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1.2pt;height:45.7pt;mso-wrap-distance-left:0.0pt;mso-wrap-distance-top:0.0pt;mso-wrap-distance-right:0.0pt;mso-wrap-distance-bottom:0.0pt;" stroked="f">
                      <v:path textboxrect="0,0,0,0"/>
                      <v:imagedata r:id="rId23" o:title=""/>
                    </v:shape>
                  </w:pict>
                </mc:Fallback>
              </mc:AlternateContent>
            </w:r>
            <w:r>
              <w:rPr>
                <w:rFonts w:hint="eastAsia"/>
                <w:lang w:eastAsia="zh-CN"/>
              </w:rPr>
            </w:r>
            <w:r/>
          </w:p>
        </w:tc>
      </w:tr>
      <w:tr>
        <w:trPr>
          <w:trHeight w:val="890"/>
        </w:trPr>
        <w:tc>
          <w:tcPr>
            <w:tcW w:w="988" w:type="dxa"/>
            <w:vAlign w:val="center"/>
            <w:textDirection w:val="lrTb"/>
            <w:noWrap w:val="false"/>
          </w:tcPr>
          <w:p>
            <w:pPr>
              <w:pStyle w:val="1160"/>
              <w:jc w:val="center"/>
              <w:rPr>
                <w:rFonts w:hAnsi="宋体" w:cs="宋体"/>
                <w:szCs w:val="21"/>
              </w:rPr>
            </w:pPr>
            <w:r>
              <w:rPr>
                <w:rFonts w:hAnsi="宋体" w:cs="宋体"/>
                <w:szCs w:val="21"/>
              </w:rPr>
              <w:t xml:space="preserve">10.2</w:t>
            </w:r>
            <w:r>
              <w:rPr>
                <w:rFonts w:hAnsi="宋体" w:cs="宋体"/>
                <w:szCs w:val="21"/>
              </w:rPr>
            </w:r>
            <w:r/>
          </w:p>
        </w:tc>
        <w:tc>
          <w:tcPr>
            <w:tcW w:w="1701" w:type="dxa"/>
            <w:vAlign w:val="center"/>
            <w:textDirection w:val="lrTb"/>
            <w:noWrap w:val="false"/>
          </w:tcPr>
          <w:p>
            <w:pPr>
              <w:pStyle w:val="1118"/>
              <w:jc w:val="center"/>
              <w:rPr>
                <w:rFonts w:ascii="宋体" w:hAnsi="宋体" w:cs="宋体"/>
                <w:szCs w:val="21"/>
              </w:rPr>
            </w:pPr>
            <w:r>
              <w:rPr>
                <w:rFonts w:hint="eastAsia" w:ascii="宋体" w:hAnsi="宋体" w:cs="宋体"/>
                <w:szCs w:val="21"/>
              </w:rPr>
              <w:t xml:space="preserve">报价</w:t>
            </w:r>
            <w:r>
              <w:rPr>
                <w:rFonts w:ascii="宋体" w:hAnsi="宋体" w:cs="宋体"/>
                <w:szCs w:val="21"/>
              </w:rPr>
            </w:r>
            <w:r/>
          </w:p>
        </w:tc>
        <w:tc>
          <w:tcPr>
            <w:tcW w:w="7253" w:type="dxa"/>
            <w:vAlign w:val="center"/>
            <w:textDirection w:val="lrTb"/>
            <w:noWrap w:val="false"/>
          </w:tcPr>
          <w:p>
            <w:pPr>
              <w:pStyle w:val="1118"/>
              <w:jc w:val="left"/>
              <w:rPr>
                <w:rFonts w:ascii="宋体" w:hAnsi="宋体" w:cs="宋体"/>
                <w:szCs w:val="21"/>
              </w:rPr>
            </w:pPr>
            <w:r>
              <w:rPr>
                <w:rFonts w:hint="eastAsia" w:ascii="宋体" w:hAnsi="宋体" w:cs="宋体"/>
                <w:szCs w:val="21"/>
              </w:rPr>
              <w:t xml:space="preserve">报价的特殊规定：</w:t>
            </w:r>
            <w:r>
              <w:rPr>
                <w:rFonts w:ascii="宋体" w:hAnsi="宋体" w:cs="宋体"/>
                <w:szCs w:val="21"/>
              </w:rPr>
            </w:r>
            <w:r/>
          </w:p>
          <w:p>
            <w:pPr>
              <w:pStyle w:val="1118"/>
              <w:jc w:val="left"/>
              <w:rPr>
                <w:rFonts w:ascii="宋体" w:hAnsi="宋体" w:cs="宋体"/>
                <w:szCs w:val="21"/>
              </w:rPr>
            </w:pPr>
            <w:r>
              <w:rPr>
                <w:rFonts w:hint="eastAsia" w:ascii="宋体" w:hAnsi="宋体" w:cs="宋体"/>
                <w:szCs w:val="21"/>
              </w:rPr>
              <w:t xml:space="preserve">☑无</w:t>
            </w:r>
            <w:r>
              <w:rPr>
                <w:rFonts w:ascii="宋体" w:hAnsi="宋体" w:cs="宋体"/>
                <w:szCs w:val="21"/>
              </w:rPr>
            </w:r>
            <w:r/>
          </w:p>
          <w:p>
            <w:pPr>
              <w:pStyle w:val="1118"/>
              <w:jc w:val="left"/>
              <w:rPr>
                <w:rFonts w:ascii="宋体" w:hAnsi="宋体" w:cs="宋体"/>
                <w:szCs w:val="21"/>
              </w:rPr>
            </w:pPr>
            <w:r>
              <w:rPr>
                <w:rFonts w:hint="eastAsia" w:ascii="宋体" w:hAnsi="宋体" w:cs="宋体"/>
                <w:szCs w:val="21"/>
              </w:rPr>
              <w:t xml:space="preserve">□有，具体情形：___________。</w:t>
            </w:r>
            <w:r>
              <w:rPr>
                <w:rFonts w:ascii="宋体" w:hAnsi="宋体" w:cs="宋体"/>
                <w:szCs w:val="21"/>
              </w:rPr>
            </w:r>
            <w:r/>
          </w:p>
        </w:tc>
      </w:tr>
      <w:tr>
        <w:trPr>
          <w:trHeight w:val="680"/>
        </w:trPr>
        <w:tc>
          <w:tcPr>
            <w:tcW w:w="988" w:type="dxa"/>
            <w:vAlign w:val="center"/>
            <w:textDirection w:val="lrTb"/>
            <w:noWrap w:val="false"/>
          </w:tcPr>
          <w:p>
            <w:pPr>
              <w:pStyle w:val="1160"/>
              <w:jc w:val="center"/>
              <w:rPr>
                <w:rFonts w:hAnsi="宋体" w:cs="宋体"/>
                <w:szCs w:val="21"/>
              </w:rPr>
            </w:pPr>
            <w:r>
              <w:rPr>
                <w:rFonts w:hAnsi="宋体" w:cs="宋体"/>
                <w:szCs w:val="21"/>
              </w:rPr>
              <w:t xml:space="preserve">11.1</w:t>
            </w:r>
            <w:r>
              <w:rPr>
                <w:rFonts w:hAnsi="宋体" w:cs="宋体"/>
                <w:szCs w:val="21"/>
              </w:rPr>
            </w:r>
            <w:r/>
          </w:p>
        </w:tc>
        <w:tc>
          <w:tcPr>
            <w:tcW w:w="1701" w:type="dxa"/>
            <w:vAlign w:val="center"/>
            <w:textDirection w:val="lrTb"/>
            <w:noWrap w:val="false"/>
          </w:tcPr>
          <w:p>
            <w:pPr>
              <w:pStyle w:val="1118"/>
              <w:jc w:val="center"/>
              <w:rPr>
                <w:rFonts w:ascii="宋体" w:hAnsi="宋体" w:cs="宋体"/>
                <w:szCs w:val="21"/>
              </w:rPr>
            </w:pPr>
            <w:r>
              <w:rPr>
                <w:rFonts w:hint="eastAsia" w:ascii="宋体" w:hAnsi="宋体" w:cs="宋体"/>
                <w:szCs w:val="21"/>
              </w:rPr>
              <w:t xml:space="preserve">磋商保证金</w:t>
            </w:r>
            <w:r>
              <w:rPr>
                <w:rFonts w:ascii="宋体" w:hAnsi="宋体" w:cs="宋体"/>
                <w:szCs w:val="21"/>
              </w:rPr>
            </w:r>
            <w:r/>
          </w:p>
        </w:tc>
        <w:tc>
          <w:tcPr>
            <w:tcW w:w="7253" w:type="dxa"/>
            <w:vAlign w:val="center"/>
            <w:textDirection w:val="lrTb"/>
            <w:noWrap w:val="false"/>
          </w:tcPr>
          <w:p>
            <w:pPr>
              <w:pStyle w:val="1118"/>
              <w:jc w:val="left"/>
              <w:rPr>
                <w:rFonts w:ascii="宋体" w:hAnsi="宋体" w:cs="宋体"/>
                <w:szCs w:val="21"/>
              </w:rPr>
            </w:pPr>
            <w:r>
              <w:rPr>
                <w:rFonts w:hint="eastAsia" w:ascii="宋体" w:hAnsi="宋体" w:cs="宋体"/>
                <w:szCs w:val="21"/>
              </w:rPr>
              <w:t xml:space="preserve">免收</w:t>
            </w:r>
            <w:r>
              <w:rPr>
                <w:rFonts w:ascii="宋体" w:hAnsi="宋体" w:cs="宋体"/>
                <w:szCs w:val="21"/>
              </w:rPr>
            </w:r>
            <w:r/>
          </w:p>
        </w:tc>
      </w:tr>
      <w:tr>
        <w:trPr>
          <w:trHeight w:val="680"/>
        </w:trPr>
        <w:tc>
          <w:tcPr>
            <w:tcW w:w="988" w:type="dxa"/>
            <w:vAlign w:val="center"/>
            <w:textDirection w:val="lrTb"/>
            <w:noWrap w:val="false"/>
          </w:tcPr>
          <w:p>
            <w:pPr>
              <w:pStyle w:val="1160"/>
              <w:jc w:val="center"/>
              <w:rPr>
                <w:rFonts w:hAnsi="宋体" w:cs="宋体"/>
                <w:szCs w:val="21"/>
              </w:rPr>
            </w:pPr>
            <w:r>
              <w:rPr>
                <w:rFonts w:hAnsi="宋体" w:cs="宋体"/>
                <w:szCs w:val="21"/>
              </w:rPr>
              <w:t xml:space="preserve">12.1</w:t>
            </w:r>
            <w:r>
              <w:rPr>
                <w:rFonts w:hAnsi="宋体" w:cs="宋体"/>
                <w:szCs w:val="21"/>
              </w:rPr>
            </w:r>
            <w:r/>
          </w:p>
        </w:tc>
        <w:tc>
          <w:tcPr>
            <w:tcW w:w="1701" w:type="dxa"/>
            <w:vAlign w:val="center"/>
            <w:textDirection w:val="lrTb"/>
            <w:noWrap w:val="false"/>
          </w:tcPr>
          <w:p>
            <w:pPr>
              <w:pStyle w:val="1118"/>
              <w:jc w:val="center"/>
              <w:rPr>
                <w:rFonts w:ascii="宋体" w:hAnsi="宋体" w:cs="宋体"/>
                <w:szCs w:val="21"/>
              </w:rPr>
            </w:pPr>
            <w:r>
              <w:rPr>
                <w:rFonts w:hint="eastAsia" w:ascii="宋体" w:hAnsi="宋体" w:cs="宋体"/>
                <w:szCs w:val="21"/>
              </w:rPr>
              <w:t xml:space="preserve">响应有效期</w:t>
            </w:r>
            <w:r>
              <w:rPr>
                <w:rFonts w:ascii="宋体" w:hAnsi="宋体" w:cs="宋体"/>
                <w:szCs w:val="21"/>
              </w:rPr>
            </w:r>
            <w:r/>
          </w:p>
        </w:tc>
        <w:tc>
          <w:tcPr>
            <w:tcW w:w="7253" w:type="dxa"/>
            <w:vAlign w:val="center"/>
            <w:textDirection w:val="lrTb"/>
            <w:noWrap w:val="false"/>
          </w:tcPr>
          <w:p>
            <w:pPr>
              <w:pStyle w:val="1118"/>
              <w:jc w:val="left"/>
              <w:rPr>
                <w:rFonts w:ascii="宋体" w:hAnsi="宋体" w:cs="宋体"/>
                <w:szCs w:val="21"/>
              </w:rPr>
            </w:pPr>
            <w:r>
              <w:rPr>
                <w:rFonts w:hint="eastAsia" w:ascii="宋体" w:hAnsi="宋体" w:cs="宋体"/>
                <w:szCs w:val="21"/>
              </w:rPr>
              <w:t xml:space="preserve">自提交响应文件的截止之日起算</w:t>
            </w:r>
            <w:r>
              <w:rPr>
                <w:rFonts w:hint="eastAsia" w:ascii="宋体" w:hAnsi="宋体" w:cs="宋体"/>
                <w:szCs w:val="21"/>
                <w:u w:val="single"/>
              </w:rPr>
              <w:t xml:space="preserve">60</w:t>
            </w:r>
            <w:r>
              <w:rPr>
                <w:rFonts w:hint="eastAsia" w:ascii="宋体" w:hAnsi="宋体" w:cs="宋体"/>
                <w:szCs w:val="21"/>
              </w:rPr>
              <w:t xml:space="preserve">日历天。</w:t>
            </w:r>
            <w:r>
              <w:rPr>
                <w:rFonts w:ascii="宋体" w:hAnsi="宋体" w:cs="宋体"/>
                <w:szCs w:val="21"/>
              </w:rPr>
            </w:r>
            <w:r/>
          </w:p>
        </w:tc>
      </w:tr>
      <w:tr>
        <w:trPr>
          <w:trHeight w:val="20"/>
        </w:trPr>
        <w:tc>
          <w:tcPr>
            <w:tcW w:w="988" w:type="dxa"/>
            <w:vAlign w:val="center"/>
            <w:textDirection w:val="lrTb"/>
            <w:noWrap w:val="false"/>
          </w:tcPr>
          <w:p>
            <w:pPr>
              <w:pStyle w:val="1160"/>
              <w:jc w:val="center"/>
              <w:rPr>
                <w:rFonts w:hAnsi="宋体" w:cs="宋体"/>
                <w:szCs w:val="21"/>
              </w:rPr>
            </w:pPr>
            <w:r>
              <w:rPr>
                <w:rFonts w:hAnsi="宋体" w:cs="宋体"/>
                <w:szCs w:val="21"/>
              </w:rPr>
              <w:t xml:space="preserve">23.5</w:t>
            </w:r>
            <w:r>
              <w:rPr>
                <w:rFonts w:hAnsi="宋体" w:cs="宋体"/>
                <w:szCs w:val="21"/>
              </w:rPr>
            </w:r>
            <w:r/>
          </w:p>
        </w:tc>
        <w:tc>
          <w:tcPr>
            <w:tcW w:w="1701" w:type="dxa"/>
            <w:vAlign w:val="center"/>
            <w:textDirection w:val="lrTb"/>
            <w:noWrap w:val="false"/>
          </w:tcPr>
          <w:p>
            <w:pPr>
              <w:pStyle w:val="1118"/>
              <w:jc w:val="center"/>
              <w:rPr>
                <w:rFonts w:ascii="宋体" w:hAnsi="宋体" w:cs="宋体"/>
                <w:szCs w:val="21"/>
              </w:rPr>
            </w:pPr>
            <w:r>
              <w:rPr>
                <w:rFonts w:hint="eastAsia" w:ascii="宋体" w:hAnsi="宋体" w:cs="宋体"/>
                <w:szCs w:val="21"/>
              </w:rPr>
              <w:t xml:space="preserve">分包</w:t>
            </w:r>
            <w:r>
              <w:rPr>
                <w:rFonts w:ascii="宋体" w:hAnsi="宋体" w:cs="宋体"/>
                <w:szCs w:val="21"/>
              </w:rPr>
            </w:r>
            <w:r/>
          </w:p>
        </w:tc>
        <w:tc>
          <w:tcPr>
            <w:tcW w:w="7253" w:type="dxa"/>
            <w:vAlign w:val="center"/>
            <w:textDirection w:val="lrTb"/>
            <w:noWrap w:val="false"/>
          </w:tcPr>
          <w:p>
            <w:pPr>
              <w:pStyle w:val="1118"/>
              <w:jc w:val="left"/>
              <w:rPr>
                <w:rFonts w:ascii="宋体" w:hAnsi="宋体" w:cs="宋体"/>
                <w:szCs w:val="21"/>
              </w:rPr>
            </w:pPr>
            <w:r>
              <w:rPr>
                <w:rFonts w:hint="eastAsia" w:ascii="宋体" w:hAnsi="宋体" w:cs="宋体"/>
                <w:szCs w:val="21"/>
              </w:rPr>
              <w:t xml:space="preserve">本项目是否允许分包： </w:t>
            </w:r>
            <w:r>
              <w:rPr>
                <w:rFonts w:ascii="宋体" w:hAnsi="宋体" w:cs="宋体"/>
                <w:szCs w:val="21"/>
              </w:rPr>
            </w:r>
            <w:r/>
          </w:p>
          <w:p>
            <w:pPr>
              <w:pStyle w:val="1118"/>
              <w:jc w:val="left"/>
              <w:rPr>
                <w:rFonts w:ascii="宋体" w:hAnsi="宋体" w:cs="宋体"/>
                <w:szCs w:val="21"/>
              </w:rPr>
            </w:pPr>
            <w:r>
              <w:rPr>
                <w:rFonts w:hint="eastAsia" w:ascii="宋体" w:hAnsi="宋体" w:cs="宋体"/>
                <w:szCs w:val="21"/>
              </w:rPr>
              <w:t xml:space="preserve">☑不允许</w:t>
            </w:r>
            <w:r>
              <w:rPr>
                <w:rFonts w:ascii="宋体" w:hAnsi="宋体" w:cs="宋体"/>
                <w:szCs w:val="21"/>
              </w:rPr>
            </w:r>
            <w:r/>
          </w:p>
          <w:p>
            <w:pPr>
              <w:pStyle w:val="1118"/>
              <w:jc w:val="left"/>
              <w:rPr>
                <w:rFonts w:ascii="宋体" w:hAnsi="宋体" w:cs="宋体"/>
                <w:szCs w:val="21"/>
                <w:u w:val="single"/>
              </w:rPr>
            </w:pPr>
            <w:r>
              <w:rPr>
                <w:rFonts w:ascii="Wingdings 2" w:hAnsi="Wingdings 2" w:eastAsia="Wingdings 2" w:cs="Wingdings 2"/>
                <w:szCs w:val="21"/>
              </w:rPr>
              <w:t xml:space="preserve">£</w:t>
            </w:r>
            <w:r>
              <w:rPr>
                <w:rFonts w:hint="eastAsia" w:ascii="宋体" w:hAnsi="宋体" w:cs="宋体"/>
                <w:szCs w:val="21"/>
              </w:rPr>
              <w:t xml:space="preserve">允许。</w:t>
            </w:r>
            <w:r>
              <w:rPr>
                <w:rFonts w:ascii="宋体" w:hAnsi="宋体" w:cs="宋体"/>
                <w:szCs w:val="21"/>
                <w:u w:val="single"/>
              </w:rPr>
            </w:r>
            <w:r/>
          </w:p>
        </w:tc>
      </w:tr>
      <w:tr>
        <w:trPr>
          <w:trHeight w:val="680"/>
        </w:trPr>
        <w:tc>
          <w:tcPr>
            <w:tcW w:w="988" w:type="dxa"/>
            <w:vAlign w:val="center"/>
            <w:textDirection w:val="lrTb"/>
            <w:noWrap w:val="false"/>
          </w:tcPr>
          <w:p>
            <w:pPr>
              <w:pStyle w:val="1160"/>
              <w:jc w:val="center"/>
              <w:rPr>
                <w:rFonts w:hAnsi="宋体" w:cs="宋体"/>
                <w:szCs w:val="21"/>
              </w:rPr>
            </w:pPr>
            <w:r>
              <w:rPr>
                <w:rFonts w:hAnsi="宋体" w:cs="宋体"/>
                <w:szCs w:val="21"/>
              </w:rPr>
              <w:t xml:space="preserve">24.1.1</w:t>
            </w:r>
            <w:r>
              <w:rPr>
                <w:rFonts w:hAnsi="宋体" w:cs="宋体"/>
                <w:szCs w:val="21"/>
              </w:rPr>
            </w:r>
            <w:r/>
          </w:p>
        </w:tc>
        <w:tc>
          <w:tcPr>
            <w:tcW w:w="1701" w:type="dxa"/>
            <w:vAlign w:val="center"/>
            <w:textDirection w:val="lrTb"/>
            <w:noWrap w:val="false"/>
          </w:tcPr>
          <w:p>
            <w:pPr>
              <w:pStyle w:val="1118"/>
              <w:jc w:val="center"/>
              <w:rPr>
                <w:rFonts w:ascii="宋体" w:hAnsi="宋体" w:cs="宋体"/>
                <w:szCs w:val="21"/>
              </w:rPr>
            </w:pPr>
            <w:r>
              <w:rPr>
                <w:rFonts w:hint="eastAsia" w:ascii="宋体" w:hAnsi="宋体" w:cs="宋体"/>
                <w:szCs w:val="21"/>
              </w:rPr>
              <w:t xml:space="preserve">询问</w:t>
            </w:r>
            <w:r>
              <w:rPr>
                <w:rFonts w:ascii="宋体" w:hAnsi="宋体" w:cs="宋体"/>
                <w:szCs w:val="21"/>
              </w:rPr>
            </w:r>
            <w:r/>
          </w:p>
        </w:tc>
        <w:tc>
          <w:tcPr>
            <w:tcW w:w="7253" w:type="dxa"/>
            <w:vAlign w:val="center"/>
            <w:textDirection w:val="lrTb"/>
            <w:noWrap w:val="false"/>
          </w:tcPr>
          <w:p>
            <w:pPr>
              <w:pStyle w:val="1118"/>
              <w:jc w:val="left"/>
              <w:rPr>
                <w:rFonts w:ascii="宋体" w:hAnsi="宋体" w:cs="宋体"/>
                <w:szCs w:val="21"/>
              </w:rPr>
            </w:pPr>
            <w:r>
              <w:rPr>
                <w:rFonts w:hint="eastAsia" w:ascii="宋体" w:hAnsi="宋体" w:cs="宋体"/>
                <w:szCs w:val="21"/>
              </w:rPr>
              <w:t xml:space="preserve">询问送达形式：</w:t>
            </w:r>
            <w:r>
              <w:rPr>
                <w:rFonts w:hint="eastAsia" w:ascii="宋体" w:hAnsi="宋体" w:cs="宋体"/>
                <w:szCs w:val="21"/>
                <w:u w:val="single"/>
              </w:rPr>
              <w:t xml:space="preserve">书面</w:t>
            </w:r>
            <w:r>
              <w:rPr>
                <w:rFonts w:ascii="宋体" w:hAnsi="宋体" w:cs="宋体"/>
                <w:szCs w:val="21"/>
              </w:rPr>
            </w:r>
            <w:r/>
          </w:p>
        </w:tc>
      </w:tr>
      <w:tr>
        <w:trPr>
          <w:trHeight w:val="20"/>
        </w:trPr>
        <w:tc>
          <w:tcPr>
            <w:tcW w:w="988" w:type="dxa"/>
            <w:vAlign w:val="center"/>
            <w:textDirection w:val="lrTb"/>
            <w:noWrap w:val="false"/>
          </w:tcPr>
          <w:p>
            <w:pPr>
              <w:pStyle w:val="1160"/>
              <w:jc w:val="center"/>
              <w:rPr>
                <w:rFonts w:hAnsi="宋体" w:cs="宋体"/>
                <w:szCs w:val="21"/>
              </w:rPr>
            </w:pPr>
            <w:r>
              <w:rPr>
                <w:rFonts w:hAnsi="宋体" w:cs="宋体"/>
                <w:szCs w:val="21"/>
              </w:rPr>
              <w:t xml:space="preserve">24.3</w:t>
            </w:r>
            <w:r>
              <w:rPr>
                <w:rFonts w:hAnsi="宋体" w:cs="宋体"/>
                <w:szCs w:val="21"/>
              </w:rPr>
            </w:r>
            <w:r/>
          </w:p>
        </w:tc>
        <w:tc>
          <w:tcPr>
            <w:tcW w:w="1701" w:type="dxa"/>
            <w:vAlign w:val="center"/>
            <w:textDirection w:val="lrTb"/>
            <w:noWrap w:val="false"/>
          </w:tcPr>
          <w:p>
            <w:pPr>
              <w:pStyle w:val="1118"/>
              <w:jc w:val="center"/>
              <w:rPr>
                <w:rFonts w:ascii="宋体" w:hAnsi="宋体" w:cs="宋体"/>
                <w:szCs w:val="21"/>
              </w:rPr>
            </w:pPr>
            <w:r>
              <w:rPr>
                <w:rFonts w:hint="eastAsia" w:ascii="宋体" w:hAnsi="宋体" w:cs="宋体"/>
                <w:szCs w:val="21"/>
              </w:rPr>
              <w:t xml:space="preserve">联系方式</w:t>
            </w:r>
            <w:r>
              <w:rPr>
                <w:rFonts w:ascii="宋体" w:hAnsi="宋体" w:cs="宋体"/>
                <w:szCs w:val="21"/>
              </w:rPr>
            </w:r>
            <w:r/>
          </w:p>
        </w:tc>
        <w:tc>
          <w:tcPr>
            <w:tcW w:w="7253" w:type="dxa"/>
            <w:vAlign w:val="center"/>
            <w:textDirection w:val="lrTb"/>
            <w:noWrap w:val="false"/>
          </w:tcPr>
          <w:p>
            <w:pPr>
              <w:pStyle w:val="1118"/>
              <w:jc w:val="left"/>
              <w:rPr>
                <w:rFonts w:hint="eastAsia" w:ascii="宋体" w:hAnsi="宋体" w:eastAsia="宋体" w:cs="宋体"/>
                <w:szCs w:val="21"/>
              </w:rPr>
            </w:pPr>
            <w:r>
              <w:rPr>
                <w:rFonts w:hint="eastAsia" w:ascii="宋体" w:hAnsi="宋体" w:eastAsia="宋体" w:cs="宋体"/>
                <w:szCs w:val="21"/>
              </w:rPr>
              <w:t xml:space="preserve">接收询问和质疑的联系方式</w:t>
            </w:r>
            <w:r>
              <w:rPr>
                <w:rFonts w:hint="eastAsia" w:ascii="宋体" w:hAnsi="宋体" w:eastAsia="宋体" w:cs="宋体"/>
                <w:szCs w:val="21"/>
              </w:rPr>
            </w:r>
            <w:r/>
          </w:p>
          <w:p>
            <w:pPr>
              <w:pStyle w:val="1118"/>
              <w:jc w:val="left"/>
              <w:rPr>
                <w:rFonts w:hint="eastAsia" w:ascii="宋体" w:hAnsi="宋体" w:eastAsia="宋体" w:cs="宋体"/>
                <w:szCs w:val="21"/>
                <w:lang w:eastAsia="zh-CN"/>
              </w:rPr>
            </w:pPr>
            <w:r>
              <w:rPr>
                <w:rFonts w:hint="eastAsia" w:ascii="宋体" w:hAnsi="宋体" w:eastAsia="宋体" w:cs="宋体"/>
                <w:szCs w:val="21"/>
              </w:rPr>
              <w:t xml:space="preserve">名 称：</w:t>
            </w:r>
            <w:r>
              <w:rPr>
                <w:rFonts w:hint="eastAsia" w:ascii="宋体" w:hAnsi="宋体" w:eastAsia="宋体" w:cs="宋体"/>
                <w:szCs w:val="21"/>
                <w:lang w:eastAsia="zh-CN"/>
              </w:rPr>
              <w:t xml:space="preserve">江苏省常州体育运动学校</w:t>
            </w:r>
            <w:r>
              <w:rPr>
                <w:rFonts w:hint="eastAsia" w:ascii="宋体" w:hAnsi="宋体" w:eastAsia="宋体" w:cs="宋体"/>
                <w:szCs w:val="21"/>
                <w:lang w:eastAsia="zh-CN"/>
              </w:rPr>
            </w:r>
            <w:r/>
          </w:p>
          <w:p>
            <w:pPr>
              <w:pStyle w:val="1118"/>
              <w:jc w:val="left"/>
              <w:rPr>
                <w:rFonts w:hint="eastAsia" w:ascii="宋体" w:hAnsi="宋体" w:eastAsia="宋体" w:cs="宋体"/>
                <w:szCs w:val="21"/>
              </w:rPr>
            </w:pPr>
            <w:r>
              <w:rPr>
                <w:rFonts w:hint="eastAsia" w:ascii="宋体" w:hAnsi="宋体" w:eastAsia="宋体" w:cs="宋体"/>
                <w:szCs w:val="21"/>
              </w:rPr>
              <w:t xml:space="preserve">地 址：</w:t>
            </w:r>
            <w:r>
              <w:rPr>
                <w:rFonts w:hint="eastAsia" w:ascii="宋体" w:hAnsi="宋体" w:eastAsia="宋体" w:cs="宋体"/>
                <w:szCs w:val="21"/>
                <w:lang w:eastAsia="zh-CN"/>
              </w:rPr>
              <w:t xml:space="preserve">江苏省常州市新北区晋陵北路11号</w:t>
            </w:r>
            <w:r>
              <w:rPr>
                <w:rFonts w:hint="eastAsia" w:ascii="宋体" w:hAnsi="宋体" w:eastAsia="宋体" w:cs="宋体"/>
                <w:szCs w:val="21"/>
              </w:rPr>
            </w:r>
            <w:r/>
          </w:p>
          <w:p>
            <w:pPr>
              <w:pStyle w:val="1118"/>
              <w:jc w:val="left"/>
              <w:rPr>
                <w:rFonts w:hint="eastAsia" w:ascii="宋体" w:hAnsi="宋体" w:eastAsia="宋体" w:cs="宋体"/>
                <w:szCs w:val="21"/>
                <w:lang w:val="en-US" w:eastAsia="zh-CN"/>
              </w:rPr>
            </w:pPr>
            <w:r>
              <w:rPr>
                <w:rFonts w:hint="eastAsia" w:ascii="宋体" w:hAnsi="宋体" w:eastAsia="宋体" w:cs="宋体"/>
                <w:szCs w:val="21"/>
              </w:rPr>
              <w:t xml:space="preserve">联系人：</w:t>
            </w:r>
            <w:r>
              <w:rPr>
                <w:rFonts w:hint="eastAsia" w:ascii="宋体" w:hAnsi="宋体" w:eastAsia="宋体" w:cs="宋体"/>
                <w:szCs w:val="21"/>
                <w:lang w:val="en-US" w:eastAsia="zh-CN"/>
              </w:rPr>
              <w:t xml:space="preserve">金老师</w:t>
            </w:r>
            <w:r>
              <w:rPr>
                <w:rFonts w:hint="eastAsia" w:ascii="宋体" w:hAnsi="宋体" w:eastAsia="宋体" w:cs="宋体"/>
                <w:szCs w:val="21"/>
                <w:lang w:val="en-US" w:eastAsia="zh-CN"/>
              </w:rPr>
            </w:r>
            <w:r/>
          </w:p>
          <w:p>
            <w:pPr>
              <w:pStyle w:val="1118"/>
              <w:jc w:val="left"/>
              <w:rPr>
                <w:rFonts w:ascii="宋体" w:hAnsi="宋体" w:eastAsia="宋体" w:cs="宋体"/>
                <w:szCs w:val="21"/>
                <w:lang w:val="en-US" w:eastAsia="zh-CN"/>
              </w:rPr>
            </w:pPr>
            <w:r>
              <w:rPr>
                <w:rFonts w:hint="eastAsia" w:ascii="宋体" w:hAnsi="宋体" w:eastAsia="宋体" w:cs="宋体"/>
                <w:szCs w:val="21"/>
              </w:rPr>
              <w:t xml:space="preserve">电话： </w:t>
            </w:r>
            <w:r>
              <w:rPr>
                <w:rFonts w:hint="eastAsia" w:ascii="宋体" w:hAnsi="宋体" w:eastAsia="宋体" w:cs="宋体"/>
                <w:szCs w:val="21"/>
                <w:lang w:val="en-US" w:eastAsia="zh-CN"/>
              </w:rPr>
              <w:t xml:space="preserve">0519-85120893</w:t>
            </w:r>
            <w:r>
              <w:rPr>
                <w:rFonts w:ascii="宋体" w:hAnsi="宋体" w:eastAsia="宋体" w:cs="宋体"/>
                <w:szCs w:val="21"/>
                <w:lang w:val="en-US" w:eastAsia="zh-CN"/>
              </w:rPr>
            </w:r>
            <w:r/>
          </w:p>
          <w:p>
            <w:pPr>
              <w:pStyle w:val="1118"/>
              <w:jc w:val="left"/>
              <w:rPr>
                <w:rFonts w:hint="eastAsia" w:ascii="宋体" w:hAnsi="宋体" w:cs="宋体"/>
                <w:szCs w:val="21"/>
              </w:rPr>
            </w:pPr>
            <w:r>
              <w:rPr>
                <w:rFonts w:hint="eastAsia" w:ascii="宋体" w:hAnsi="宋体" w:cs="宋体"/>
                <w:szCs w:val="21"/>
              </w:rPr>
              <w:t xml:space="preserve">代理机构：常州正衡招投标有限公司</w:t>
            </w:r>
            <w:r>
              <w:rPr>
                <w:rFonts w:hint="eastAsia" w:ascii="宋体" w:hAnsi="宋体" w:cs="宋体"/>
                <w:szCs w:val="21"/>
              </w:rPr>
            </w:r>
            <w:r/>
          </w:p>
          <w:p>
            <w:pPr>
              <w:pStyle w:val="1118"/>
              <w:jc w:val="left"/>
              <w:rPr>
                <w:rFonts w:ascii="宋体" w:hAnsi="宋体" w:cs="宋体"/>
                <w:szCs w:val="21"/>
              </w:rPr>
            </w:pPr>
            <w:r>
              <w:rPr>
                <w:rFonts w:hint="eastAsia" w:ascii="宋体" w:hAnsi="宋体" w:cs="宋体"/>
                <w:szCs w:val="21"/>
              </w:rPr>
              <w:t xml:space="preserve">地  址：常州市新北区府翰苑6栋9楼</w:t>
            </w:r>
            <w:r>
              <w:rPr>
                <w:rFonts w:ascii="宋体" w:hAnsi="宋体" w:cs="宋体"/>
                <w:szCs w:val="21"/>
              </w:rPr>
            </w:r>
            <w:r/>
          </w:p>
          <w:p>
            <w:pPr>
              <w:pStyle w:val="1118"/>
              <w:jc w:val="left"/>
              <w:rPr>
                <w:rFonts w:ascii="宋体" w:hAnsi="宋体" w:cs="宋体"/>
                <w:szCs w:val="21"/>
              </w:rPr>
            </w:pPr>
            <w:r>
              <w:rPr>
                <w:rFonts w:hint="eastAsia" w:ascii="宋体" w:hAnsi="宋体" w:cs="宋体"/>
                <w:szCs w:val="21"/>
              </w:rPr>
              <w:t xml:space="preserve">电  话：0519-85510566</w:t>
            </w:r>
            <w:r>
              <w:rPr>
                <w:rFonts w:ascii="宋体" w:hAnsi="宋体" w:cs="宋体"/>
                <w:szCs w:val="21"/>
              </w:rPr>
            </w:r>
            <w:r/>
          </w:p>
        </w:tc>
      </w:tr>
      <w:tr>
        <w:trPr>
          <w:trHeight w:val="20"/>
        </w:trPr>
        <w:tc>
          <w:tcPr>
            <w:tcW w:w="988" w:type="dxa"/>
            <w:vAlign w:val="center"/>
            <w:textDirection w:val="lrTb"/>
            <w:noWrap w:val="false"/>
          </w:tcPr>
          <w:p>
            <w:pPr>
              <w:pStyle w:val="1160"/>
              <w:jc w:val="center"/>
              <w:rPr>
                <w:rFonts w:ascii="Times New Roman" w:hAnsi="Times New Roman"/>
                <w:sz w:val="24"/>
                <w:szCs w:val="24"/>
              </w:rPr>
            </w:pPr>
            <w:r>
              <w:rPr>
                <w:rFonts w:ascii="Times New Roman" w:hAnsi="Times New Roman"/>
                <w:sz w:val="24"/>
                <w:szCs w:val="24"/>
              </w:rPr>
              <w:t xml:space="preserve">25</w:t>
            </w:r>
            <w:r>
              <w:rPr>
                <w:rFonts w:ascii="Times New Roman" w:hAnsi="Times New Roman"/>
                <w:sz w:val="24"/>
                <w:szCs w:val="24"/>
              </w:rPr>
            </w:r>
            <w:r/>
          </w:p>
        </w:tc>
        <w:tc>
          <w:tcPr>
            <w:tcW w:w="1701" w:type="dxa"/>
            <w:vAlign w:val="center"/>
            <w:textDirection w:val="lrTb"/>
            <w:noWrap w:val="false"/>
          </w:tcPr>
          <w:p>
            <w:pPr>
              <w:pStyle w:val="1118"/>
              <w:jc w:val="center"/>
              <w:rPr>
                <w:sz w:val="24"/>
              </w:rPr>
            </w:pPr>
            <w:r>
              <w:rPr>
                <w:sz w:val="24"/>
              </w:rPr>
              <w:t xml:space="preserve">代理费</w:t>
            </w:r>
            <w:r>
              <w:rPr>
                <w:sz w:val="24"/>
              </w:rPr>
            </w:r>
            <w:r/>
          </w:p>
        </w:tc>
        <w:tc>
          <w:tcPr>
            <w:tcW w:w="7253" w:type="dxa"/>
            <w:vAlign w:val="center"/>
            <w:textDirection w:val="lrTb"/>
            <w:noWrap w:val="false"/>
          </w:tcPr>
          <w:p>
            <w:pPr>
              <w:pStyle w:val="1118"/>
              <w:spacing w:line="360" w:lineRule="auto"/>
              <w:rPr>
                <w:rFonts w:ascii="宋体" w:hAnsi="宋体" w:cs="宋体"/>
                <w:bCs/>
                <w:spacing w:val="2"/>
              </w:rPr>
            </w:pPr>
            <w:r>
              <w:rPr>
                <w:rFonts w:hint="eastAsia" w:ascii="宋体" w:hAnsi="宋体" w:cs="宋体"/>
                <w:bCs/>
                <w:spacing w:val="2"/>
              </w:rPr>
              <w:t xml:space="preserve">收费对象：成交供应商</w:t>
            </w:r>
            <w:r>
              <w:rPr>
                <w:rFonts w:ascii="宋体" w:hAnsi="宋体" w:cs="宋体"/>
                <w:bCs/>
                <w:spacing w:val="2"/>
              </w:rPr>
            </w:r>
            <w:r/>
          </w:p>
          <w:p>
            <w:pPr>
              <w:pStyle w:val="1118"/>
              <w:spacing w:line="360" w:lineRule="auto"/>
              <w:rPr>
                <w:rFonts w:ascii="宋体" w:hAnsi="宋体" w:cs="宋体"/>
                <w:bCs/>
                <w:spacing w:val="2"/>
              </w:rPr>
            </w:pPr>
            <w:r>
              <w:rPr>
                <w:rFonts w:hint="eastAsia" w:ascii="宋体" w:hAnsi="宋体" w:cs="宋体"/>
                <w:bCs/>
                <w:spacing w:val="2"/>
              </w:rPr>
              <w:t xml:space="preserve">收费标准：</w:t>
            </w:r>
            <w:r>
              <w:rPr>
                <w:rFonts w:ascii="宋体" w:hAnsi="宋体" w:cs="宋体"/>
                <w:bCs/>
                <w:spacing w:val="2"/>
              </w:rPr>
            </w:r>
            <w:r/>
          </w:p>
          <w:tbl>
            <w:tblPr>
              <w:tblW w:w="0" w:type="auto"/>
              <w:tblInd w:w="6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1"/>
              <w:gridCol w:w="1692"/>
            </w:tblGrid>
            <w:tr>
              <w:trPr>
                <w:trHeight w:val="1710"/>
              </w:trPr>
              <w:tc>
                <w:tcPr>
                  <w:tcW w:w="3011" w:type="dxa"/>
                  <w:vAlign w:val="top"/>
                  <w:textDirection w:val="lrTb"/>
                  <w:noWrap w:val="false"/>
                </w:tcPr>
                <w:p>
                  <w:pPr>
                    <w:pStyle w:val="1118"/>
                    <w:jc w:val="left"/>
                    <w:spacing w:line="360" w:lineRule="exact"/>
                    <w:rPr>
                      <w:rFonts w:hint="eastAsia" w:ascii="宋体" w:hAnsi="宋体" w:cs="宋体"/>
                      <w:sz w:val="24"/>
                    </w:rPr>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-20319</wp:posOffset>
                            </wp:positionH>
                            <wp:positionV relativeFrom="paragraph">
                              <wp:posOffset>81280</wp:posOffset>
                            </wp:positionV>
                            <wp:extent cx="1870075" cy="1303020"/>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870074" cy="130302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1;mso-wrap-distance-left:9.0pt;mso-wrap-distance-top:0.0pt;mso-wrap-distance-right:9.0pt;mso-wrap-distance-bottom:0.0pt;flip:xy;visibility:visible;" from="-1.6pt,6.4pt" to="145.7pt,109.0pt" filled="f" strokecolor="#000000"/>
                        </w:pict>
                      </mc:Fallback>
                    </mc:AlternateContent>
                  </w: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-5079</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524288;mso-wrap-distance-left:9.0pt;mso-wrap-distance-top:0.0pt;mso-wrap-distance-right:9.0pt;mso-wrap-distance-bottom:0.0pt;visibility:visible;" from="-8.9pt,-0.4pt" to="-8.8pt,-0.4pt" fillcolor="#FFFFFF" strokecolor="#000000"/>
                        </w:pict>
                      </mc:Fallback>
                    </mc:AlternateContent>
                  </w:r>
                  <w:r>
                    <w:rPr>
                      <w:rFonts w:hint="eastAsia" w:ascii="宋体" w:hAnsi="宋体" w:cs="宋体"/>
                      <w:sz w:val="24"/>
                    </w:rPr>
                    <w:t xml:space="preserve">项目类型</w:t>
                  </w:r>
                  <w:r>
                    <w:rPr>
                      <w:rFonts w:hint="eastAsia" w:ascii="宋体" w:hAnsi="宋体" w:cs="宋体"/>
                      <w:sz w:val="24"/>
                    </w:rPr>
                  </w:r>
                  <w:r/>
                </w:p>
                <w:p>
                  <w:pPr>
                    <w:pStyle w:val="1118"/>
                    <w:jc w:val="left"/>
                    <w:spacing w:line="360" w:lineRule="exact"/>
                    <w:rPr>
                      <w:rFonts w:hint="eastAsia" w:ascii="宋体" w:hAnsi="宋体" w:cs="宋体"/>
                      <w:sz w:val="24"/>
                    </w:rPr>
                  </w:pPr>
                  <w:r>
                    <w:rPr>
                      <w:rFonts w:hint="eastAsia" w:ascii="宋体" w:hAnsi="宋体" w:cs="宋体"/>
                      <w:sz w:val="24"/>
                    </w:rPr>
                  </w:r>
                  <w:r/>
                </w:p>
                <w:p>
                  <w:pPr>
                    <w:pStyle w:val="1118"/>
                    <w:ind w:firstLine="480"/>
                    <w:jc w:val="left"/>
                    <w:spacing w:line="360" w:lineRule="exact"/>
                    <w:rPr>
                      <w:rFonts w:hint="eastAsia" w:ascii="宋体" w:hAnsi="宋体" w:cs="宋体"/>
                      <w:sz w:val="24"/>
                    </w:rPr>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-59054</wp:posOffset>
                            </wp:positionH>
                            <wp:positionV relativeFrom="paragraph">
                              <wp:posOffset>134620</wp:posOffset>
                            </wp:positionV>
                            <wp:extent cx="1840230" cy="758190"/>
                            <wp:effectExtent l="0" t="0" r="0" b="0"/>
                            <wp:wrapNone/>
                            <wp:docPr id="7" name=""/>
                            <wp:cNvGraphicFramePr/>
                            <a:graphic xmlns:a="http://schemas.openxmlformats.org/drawingml/2006/main">
                              <a:graphicData uri="http://schemas.microsoft.com/office/word/2010/wordprocessingShape">
                                <wps:wsp>
                                  <wps:cNvPr id="0" name=""/>
                                  <wps:cNvSpPr/>
                                  <wps:spPr bwMode="auto">
                                    <a:xfrm flipH="1" flipV="1">
                                      <a:off x="0" y="0"/>
                                      <a:ext cx="1840230" cy="75819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8242;mso-wrap-distance-left:9.0pt;mso-wrap-distance-top:0.0pt;mso-wrap-distance-right:9.0pt;mso-wrap-distance-bottom:0.0pt;flip:xy;visibility:visible;" from="-4.6pt,10.6pt" to="140.3pt,70.3pt" filled="f" strokecolor="#000000"/>
                        </w:pict>
                      </mc:Fallback>
                    </mc:AlternateContent>
                  </w:r>
                  <w:r>
                    <w:rPr>
                      <w:rFonts w:hint="eastAsia" w:ascii="宋体" w:hAnsi="宋体" w:cs="宋体"/>
                      <w:sz w:val="24"/>
                    </w:rPr>
                    <w:t xml:space="preserve">费率</w:t>
                  </w:r>
                  <w:r>
                    <w:rPr>
                      <w:rFonts w:hint="eastAsia" w:ascii="宋体" w:hAnsi="宋体" w:cs="宋体"/>
                      <w:sz w:val="24"/>
                    </w:rPr>
                  </w:r>
                  <w:r/>
                </w:p>
                <w:p>
                  <w:pPr>
                    <w:pStyle w:val="1118"/>
                    <w:jc w:val="left"/>
                    <w:spacing w:line="360" w:lineRule="exact"/>
                    <w:rPr>
                      <w:rFonts w:hint="eastAsia" w:ascii="宋体" w:hAnsi="宋体" w:cs="宋体"/>
                      <w:sz w:val="24"/>
                    </w:rPr>
                  </w:pPr>
                  <w:r>
                    <w:rPr>
                      <w:rFonts w:hint="eastAsia" w:ascii="宋体" w:hAnsi="宋体" w:cs="宋体"/>
                      <w:sz w:val="24"/>
                    </w:rPr>
                  </w:r>
                  <w:r/>
                </w:p>
                <w:p>
                  <w:pPr>
                    <w:pStyle w:val="1118"/>
                    <w:jc w:val="left"/>
                    <w:spacing w:line="360" w:lineRule="exact"/>
                    <w:rPr>
                      <w:rFonts w:hint="eastAsia" w:ascii="宋体" w:hAnsi="宋体" w:cs="宋体"/>
                      <w:sz w:val="24"/>
                    </w:rPr>
                  </w:pPr>
                  <w:r>
                    <w:rPr>
                      <w:rFonts w:hint="eastAsia" w:ascii="宋体" w:hAnsi="宋体" w:cs="宋体"/>
                      <w:sz w:val="24"/>
                    </w:rPr>
                  </w:r>
                  <w:r/>
                </w:p>
                <w:p>
                  <w:pPr>
                    <w:pStyle w:val="1118"/>
                    <w:jc w:val="left"/>
                    <w:spacing w:line="360" w:lineRule="exact"/>
                    <w:rPr>
                      <w:rFonts w:hint="eastAsia" w:ascii="宋体" w:hAnsi="宋体" w:cs="宋体"/>
                      <w:sz w:val="24"/>
                    </w:rPr>
                  </w:pPr>
                  <w:r>
                    <w:rPr>
                      <w:rFonts w:hint="eastAsia" w:ascii="宋体" w:hAnsi="宋体" w:cs="宋体"/>
                      <w:sz w:val="24"/>
                    </w:rPr>
                    <w:t xml:space="preserve">预算金额（万元）</w:t>
                  </w:r>
                  <w:r>
                    <w:rPr>
                      <w:rFonts w:hint="eastAsia" w:ascii="宋体" w:hAnsi="宋体" w:cs="宋体"/>
                      <w:sz w:val="24"/>
                    </w:rPr>
                  </w:r>
                  <w:r/>
                </w:p>
              </w:tc>
              <w:tc>
                <w:tcPr>
                  <w:tcW w:w="1692" w:type="dxa"/>
                  <w:vAlign w:val="center"/>
                  <w:textDirection w:val="lrTb"/>
                  <w:noWrap w:val="false"/>
                </w:tcPr>
                <w:p>
                  <w:pPr>
                    <w:pStyle w:val="1118"/>
                    <w:jc w:val="center"/>
                    <w:spacing w:line="360" w:lineRule="exact"/>
                    <w:rPr>
                      <w:rFonts w:hint="eastAsia" w:ascii="宋体" w:hAnsi="宋体" w:cs="宋体"/>
                      <w:sz w:val="24"/>
                    </w:rPr>
                  </w:pPr>
                  <w:r>
                    <w:rPr>
                      <w:rFonts w:hint="eastAsia" w:ascii="宋体" w:hAnsi="宋体" w:cs="宋体"/>
                      <w:sz w:val="24"/>
                    </w:rPr>
                    <w:t xml:space="preserve">货物类</w:t>
                  </w:r>
                  <w:r>
                    <w:rPr>
                      <w:rFonts w:hint="eastAsia" w:ascii="宋体" w:hAnsi="宋体" w:cs="宋体"/>
                      <w:sz w:val="24"/>
                    </w:rPr>
                  </w:r>
                  <w:r/>
                </w:p>
              </w:tc>
            </w:tr>
            <w:tr>
              <w:trPr>
                <w:trHeight w:val="292"/>
              </w:trPr>
              <w:tc>
                <w:tcPr>
                  <w:tcW w:w="3011" w:type="dxa"/>
                  <w:vAlign w:val="top"/>
                  <w:textDirection w:val="lrTb"/>
                  <w:noWrap w:val="false"/>
                </w:tcPr>
                <w:p>
                  <w:pPr>
                    <w:pStyle w:val="1118"/>
                    <w:jc w:val="left"/>
                    <w:spacing w:line="360" w:lineRule="exact"/>
                    <w:rPr>
                      <w:rFonts w:hint="eastAsia" w:ascii="宋体" w:hAnsi="宋体" w:cs="宋体"/>
                      <w:sz w:val="24"/>
                    </w:rPr>
                  </w:pPr>
                  <w:r>
                    <w:rPr>
                      <w:rFonts w:hint="eastAsia" w:ascii="宋体" w:hAnsi="宋体" w:cs="宋体"/>
                      <w:sz w:val="24"/>
                    </w:rPr>
                    <w:t xml:space="preserve">100（含，下同）以下</w:t>
                  </w:r>
                  <w:r>
                    <w:rPr>
                      <w:rFonts w:hint="eastAsia" w:ascii="宋体" w:hAnsi="宋体" w:cs="宋体"/>
                      <w:sz w:val="24"/>
                    </w:rPr>
                  </w:r>
                  <w:r/>
                </w:p>
              </w:tc>
              <w:tc>
                <w:tcPr>
                  <w:tcW w:w="1692" w:type="dxa"/>
                  <w:vAlign w:val="top"/>
                  <w:textDirection w:val="lrTb"/>
                  <w:noWrap w:val="false"/>
                </w:tcPr>
                <w:p>
                  <w:pPr>
                    <w:pStyle w:val="1118"/>
                    <w:jc w:val="left"/>
                    <w:spacing w:line="360" w:lineRule="exact"/>
                    <w:rPr>
                      <w:rFonts w:hint="eastAsia" w:ascii="宋体" w:hAnsi="宋体" w:cs="宋体"/>
                      <w:sz w:val="24"/>
                    </w:rPr>
                  </w:pPr>
                  <w:r>
                    <w:rPr>
                      <w:rFonts w:hint="eastAsia" w:ascii="宋体" w:hAnsi="宋体" w:cs="宋体"/>
                      <w:sz w:val="24"/>
                    </w:rPr>
                    <w:t xml:space="preserve">1.5%</w:t>
                  </w:r>
                  <w:r>
                    <w:rPr>
                      <w:rFonts w:hint="eastAsia" w:ascii="宋体" w:hAnsi="宋体" w:cs="宋体"/>
                      <w:sz w:val="24"/>
                    </w:rPr>
                  </w:r>
                  <w:r/>
                </w:p>
              </w:tc>
            </w:tr>
            <w:tr>
              <w:trPr>
                <w:trHeight w:val="292"/>
              </w:trPr>
              <w:tc>
                <w:tcPr>
                  <w:tcW w:w="3011" w:type="dxa"/>
                  <w:vAlign w:val="top"/>
                  <w:textDirection w:val="lrTb"/>
                  <w:noWrap w:val="false"/>
                </w:tcPr>
                <w:p>
                  <w:pPr>
                    <w:pStyle w:val="1118"/>
                    <w:jc w:val="left"/>
                    <w:spacing w:line="360" w:lineRule="exact"/>
                    <w:rPr>
                      <w:rFonts w:hint="eastAsia" w:ascii="宋体" w:hAnsi="宋体" w:cs="宋体"/>
                      <w:sz w:val="24"/>
                    </w:rPr>
                  </w:pPr>
                  <w:r>
                    <w:rPr>
                      <w:rFonts w:hint="eastAsia" w:ascii="宋体" w:hAnsi="宋体" w:cs="宋体"/>
                      <w:sz w:val="24"/>
                    </w:rPr>
                    <w:t xml:space="preserve">100-500</w:t>
                  </w:r>
                  <w:r>
                    <w:rPr>
                      <w:rFonts w:hint="eastAsia" w:ascii="宋体" w:hAnsi="宋体" w:cs="宋体"/>
                      <w:sz w:val="24"/>
                    </w:rPr>
                  </w:r>
                  <w:r/>
                </w:p>
              </w:tc>
              <w:tc>
                <w:tcPr>
                  <w:tcW w:w="1692" w:type="dxa"/>
                  <w:vAlign w:val="top"/>
                  <w:textDirection w:val="lrTb"/>
                  <w:noWrap w:val="false"/>
                </w:tcPr>
                <w:p>
                  <w:pPr>
                    <w:pStyle w:val="1118"/>
                    <w:jc w:val="left"/>
                    <w:spacing w:line="360" w:lineRule="exact"/>
                    <w:rPr>
                      <w:rFonts w:hint="eastAsia" w:ascii="宋体" w:hAnsi="宋体" w:cs="宋体"/>
                      <w:sz w:val="24"/>
                    </w:rPr>
                  </w:pPr>
                  <w:r>
                    <w:rPr>
                      <w:rFonts w:hint="eastAsia" w:ascii="宋体" w:hAnsi="宋体" w:cs="宋体"/>
                      <w:sz w:val="24"/>
                    </w:rPr>
                    <w:t xml:space="preserve">1.1%</w:t>
                  </w:r>
                  <w:r>
                    <w:rPr>
                      <w:rFonts w:hint="eastAsia" w:ascii="宋体" w:hAnsi="宋体" w:cs="宋体"/>
                      <w:sz w:val="24"/>
                    </w:rPr>
                  </w:r>
                  <w:r/>
                </w:p>
              </w:tc>
            </w:tr>
            <w:tr>
              <w:trPr>
                <w:trHeight w:val="292"/>
              </w:trPr>
              <w:tc>
                <w:tcPr>
                  <w:tcW w:w="3011" w:type="dxa"/>
                  <w:vAlign w:val="center"/>
                  <w:textDirection w:val="lrTb"/>
                  <w:noWrap w:val="false"/>
                </w:tcPr>
                <w:p>
                  <w:pPr>
                    <w:pStyle w:val="1118"/>
                    <w:jc w:val="left"/>
                    <w:spacing w:line="360" w:lineRule="exact"/>
                    <w:rPr>
                      <w:rFonts w:hint="eastAsia" w:ascii="宋体" w:hAnsi="宋体" w:cs="宋体"/>
                      <w:sz w:val="24"/>
                    </w:rPr>
                  </w:pPr>
                  <w:r>
                    <w:rPr>
                      <w:rFonts w:hint="eastAsia" w:ascii="宋体" w:hAnsi="宋体" w:cs="宋体"/>
                      <w:sz w:val="24"/>
                    </w:rPr>
                    <w:t xml:space="preserve">500—1000</w:t>
                  </w:r>
                  <w:r>
                    <w:rPr>
                      <w:rFonts w:hint="eastAsia" w:ascii="宋体" w:hAnsi="宋体" w:cs="宋体"/>
                      <w:sz w:val="24"/>
                    </w:rPr>
                  </w:r>
                  <w:r/>
                </w:p>
              </w:tc>
              <w:tc>
                <w:tcPr>
                  <w:tcW w:w="1692" w:type="dxa"/>
                  <w:vAlign w:val="center"/>
                  <w:textDirection w:val="lrTb"/>
                  <w:noWrap w:val="false"/>
                </w:tcPr>
                <w:p>
                  <w:pPr>
                    <w:pStyle w:val="1118"/>
                    <w:jc w:val="left"/>
                    <w:spacing w:line="360" w:lineRule="exact"/>
                    <w:rPr>
                      <w:rFonts w:hint="eastAsia" w:ascii="宋体" w:hAnsi="宋体" w:cs="宋体"/>
                      <w:sz w:val="24"/>
                    </w:rPr>
                  </w:pPr>
                  <w:r>
                    <w:rPr>
                      <w:rFonts w:hint="eastAsia" w:ascii="宋体" w:hAnsi="宋体" w:cs="宋体"/>
                      <w:sz w:val="24"/>
                    </w:rPr>
                    <w:t xml:space="preserve">0.8%</w:t>
                  </w:r>
                  <w:r>
                    <w:rPr>
                      <w:rFonts w:hint="eastAsia" w:ascii="宋体" w:hAnsi="宋体" w:cs="宋体"/>
                      <w:sz w:val="24"/>
                    </w:rPr>
                  </w:r>
                  <w:r/>
                </w:p>
              </w:tc>
            </w:tr>
            <w:tr>
              <w:trPr>
                <w:trHeight w:val="292"/>
              </w:trPr>
              <w:tc>
                <w:tcPr>
                  <w:tcW w:w="3011" w:type="dxa"/>
                  <w:vAlign w:val="center"/>
                  <w:textDirection w:val="lrTb"/>
                  <w:noWrap w:val="false"/>
                </w:tcPr>
                <w:p>
                  <w:pPr>
                    <w:pStyle w:val="1118"/>
                    <w:jc w:val="left"/>
                    <w:spacing w:line="360" w:lineRule="exact"/>
                    <w:rPr>
                      <w:rFonts w:hint="eastAsia" w:ascii="宋体" w:hAnsi="宋体" w:cs="宋体"/>
                      <w:sz w:val="24"/>
                    </w:rPr>
                  </w:pPr>
                  <w:r>
                    <w:rPr>
                      <w:rFonts w:hint="eastAsia" w:ascii="宋体" w:hAnsi="宋体" w:cs="宋体"/>
                      <w:sz w:val="24"/>
                    </w:rPr>
                    <w:t xml:space="preserve">1000-5000</w:t>
                  </w:r>
                  <w:r>
                    <w:rPr>
                      <w:rFonts w:hint="eastAsia" w:ascii="宋体" w:hAnsi="宋体" w:cs="宋体"/>
                      <w:sz w:val="24"/>
                    </w:rPr>
                  </w:r>
                  <w:r/>
                </w:p>
              </w:tc>
              <w:tc>
                <w:tcPr>
                  <w:tcW w:w="1692" w:type="dxa"/>
                  <w:vAlign w:val="center"/>
                  <w:textDirection w:val="lrTb"/>
                  <w:noWrap w:val="false"/>
                </w:tcPr>
                <w:p>
                  <w:pPr>
                    <w:pStyle w:val="1118"/>
                    <w:jc w:val="left"/>
                    <w:spacing w:line="360" w:lineRule="exact"/>
                    <w:rPr>
                      <w:rFonts w:hint="eastAsia" w:ascii="宋体" w:hAnsi="宋体" w:cs="宋体"/>
                      <w:sz w:val="24"/>
                    </w:rPr>
                  </w:pPr>
                  <w:r>
                    <w:rPr>
                      <w:rFonts w:hint="eastAsia" w:ascii="宋体" w:hAnsi="宋体" w:cs="宋体"/>
                      <w:sz w:val="24"/>
                    </w:rPr>
                    <w:t xml:space="preserve">0.5%</w:t>
                  </w:r>
                  <w:r>
                    <w:rPr>
                      <w:rFonts w:hint="eastAsia" w:ascii="宋体" w:hAnsi="宋体" w:cs="宋体"/>
                      <w:sz w:val="24"/>
                    </w:rPr>
                  </w:r>
                  <w:r/>
                </w:p>
              </w:tc>
            </w:tr>
            <w:tr>
              <w:trPr>
                <w:trHeight w:val="300"/>
              </w:trPr>
              <w:tc>
                <w:tcPr>
                  <w:tcW w:w="3011" w:type="dxa"/>
                  <w:vAlign w:val="top"/>
                  <w:textDirection w:val="lrTb"/>
                  <w:noWrap w:val="false"/>
                </w:tcPr>
                <w:p>
                  <w:pPr>
                    <w:pStyle w:val="1118"/>
                    <w:jc w:val="left"/>
                    <w:spacing w:line="36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c>
                <w:tcPr>
                  <w:tcW w:w="1692" w:type="dxa"/>
                  <w:vAlign w:val="top"/>
                  <w:textDirection w:val="lrTb"/>
                  <w:noWrap w:val="false"/>
                </w:tcPr>
                <w:p>
                  <w:pPr>
                    <w:pStyle w:val="1118"/>
                    <w:jc w:val="left"/>
                    <w:spacing w:line="36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tc>
            </w:tr>
          </w:tbl>
          <w:p>
            <w:pPr>
              <w:pStyle w:val="1118"/>
              <w:spacing w:line="360" w:lineRule="auto"/>
              <w:rPr>
                <w:rFonts w:ascii="宋体" w:hAnsi="宋体" w:cs="宋体"/>
                <w:bCs/>
                <w:spacing w:val="2"/>
              </w:rPr>
            </w:pPr>
            <w:r>
              <w:rPr>
                <w:rFonts w:hint="eastAsia" w:ascii="宋体" w:hAnsi="宋体" w:cs="宋体"/>
                <w:bCs/>
                <w:spacing w:val="2"/>
              </w:rPr>
              <w:t xml:space="preserve">1、代理服务收费按差额定率累进法计算。  </w:t>
            </w:r>
            <w:r>
              <w:rPr>
                <w:rFonts w:ascii="宋体" w:hAnsi="宋体" w:cs="宋体"/>
                <w:bCs/>
                <w:spacing w:val="2"/>
              </w:rPr>
            </w:r>
            <w:r/>
          </w:p>
          <w:p>
            <w:pPr>
              <w:pStyle w:val="1118"/>
              <w:spacing w:line="360" w:lineRule="auto"/>
              <w:rPr>
                <w:rFonts w:ascii="宋体" w:hAnsi="宋体" w:cs="宋体"/>
                <w:bCs/>
                <w:spacing w:val="2"/>
              </w:rPr>
            </w:pPr>
            <w:r>
              <w:rPr>
                <w:rFonts w:hint="eastAsia" w:ascii="宋体" w:hAnsi="宋体" w:cs="宋体"/>
                <w:bCs/>
                <w:spacing w:val="2"/>
              </w:rPr>
              <w:t xml:space="preserve">2、服务收费按上述计算方法不足人民币3000元的，按人民币3000元收取。 </w:t>
            </w:r>
            <w:r>
              <w:rPr>
                <w:rFonts w:ascii="宋体" w:hAnsi="宋体" w:cs="宋体"/>
                <w:bCs/>
                <w:spacing w:val="2"/>
              </w:rPr>
            </w:r>
            <w:r/>
          </w:p>
          <w:p>
            <w:pPr>
              <w:pStyle w:val="1118"/>
              <w:spacing w:line="360" w:lineRule="auto"/>
              <w:rPr>
                <w:rFonts w:ascii="宋体" w:hAnsi="宋体" w:cs="宋体"/>
                <w:bCs/>
                <w:spacing w:val="2"/>
              </w:rPr>
            </w:pPr>
            <w:r>
              <w:rPr>
                <w:rFonts w:hint="eastAsia" w:ascii="宋体" w:hAnsi="宋体" w:cs="宋体"/>
                <w:bCs/>
                <w:spacing w:val="2"/>
              </w:rPr>
              <w:t xml:space="preserve">3、缴纳时间：领取成交通知书时缴纳。</w:t>
            </w:r>
            <w:r>
              <w:rPr>
                <w:rFonts w:ascii="宋体" w:hAnsi="宋体" w:cs="宋体"/>
                <w:bCs/>
                <w:spacing w:val="2"/>
              </w:rPr>
            </w:r>
            <w:r/>
          </w:p>
          <w:p>
            <w:pPr>
              <w:pStyle w:val="1118"/>
              <w:spacing w:line="360" w:lineRule="auto"/>
              <w:rPr>
                <w:rFonts w:ascii="宋体" w:hAnsi="宋体" w:cs="宋体"/>
                <w:bCs/>
                <w:spacing w:val="2"/>
              </w:rPr>
            </w:pPr>
            <w:r>
              <w:rPr>
                <w:rFonts w:hint="eastAsia" w:ascii="宋体" w:hAnsi="宋体" w:cs="宋体"/>
                <w:bCs/>
                <w:spacing w:val="2"/>
              </w:rPr>
              <w:t xml:space="preserve">4、缴纳方式：</w:t>
            </w:r>
            <w:r>
              <w:rPr>
                <w:rFonts w:ascii="宋体" w:hAnsi="宋体" w:cs="宋体"/>
                <w:bCs/>
                <w:spacing w:val="2"/>
              </w:rPr>
            </w:r>
            <w:r/>
          </w:p>
          <w:p>
            <w:pPr>
              <w:pStyle w:val="1118"/>
              <w:spacing w:line="360" w:lineRule="auto"/>
              <w:rPr>
                <w:rFonts w:ascii="宋体" w:hAnsi="宋体" w:cs="宋体"/>
                <w:bCs/>
                <w:spacing w:val="2"/>
              </w:rPr>
            </w:pPr>
            <w:r>
              <w:rPr>
                <w:rFonts w:hint="eastAsia" w:ascii="宋体" w:hAnsi="宋体" w:cs="宋体"/>
                <w:bCs/>
                <w:spacing w:val="2"/>
              </w:rPr>
              <w:t xml:space="preserve">收款人名称：常州正衡招投标有限公司</w:t>
            </w:r>
            <w:r>
              <w:rPr>
                <w:rFonts w:ascii="宋体" w:hAnsi="宋体" w:cs="宋体"/>
                <w:bCs/>
                <w:spacing w:val="2"/>
              </w:rPr>
            </w:r>
            <w:r/>
          </w:p>
          <w:p>
            <w:pPr>
              <w:pStyle w:val="1118"/>
              <w:spacing w:line="360" w:lineRule="auto"/>
              <w:rPr>
                <w:rFonts w:ascii="宋体" w:hAnsi="宋体" w:cs="宋体"/>
                <w:bCs/>
                <w:spacing w:val="2"/>
              </w:rPr>
            </w:pPr>
            <w:r>
              <w:rPr>
                <w:rFonts w:hint="eastAsia" w:ascii="宋体" w:hAnsi="宋体" w:cs="宋体"/>
                <w:bCs/>
                <w:spacing w:val="2"/>
              </w:rPr>
              <w:t xml:space="preserve">开户行名称：招商银行常州北大街支行</w:t>
            </w:r>
            <w:r>
              <w:rPr>
                <w:rFonts w:ascii="宋体" w:hAnsi="宋体" w:cs="宋体"/>
                <w:bCs/>
                <w:spacing w:val="2"/>
              </w:rPr>
            </w:r>
            <w:r/>
          </w:p>
          <w:p>
            <w:pPr>
              <w:pStyle w:val="1118"/>
              <w:spacing w:line="360" w:lineRule="auto"/>
              <w:rPr>
                <w:rFonts w:ascii="宋体" w:hAnsi="宋体" w:cs="宋体"/>
                <w:bCs/>
                <w:spacing w:val="2"/>
              </w:rPr>
            </w:pPr>
            <w:r>
              <w:rPr>
                <w:rFonts w:hint="eastAsia" w:ascii="宋体" w:hAnsi="宋体" w:cs="宋体"/>
                <w:bCs/>
                <w:spacing w:val="2"/>
              </w:rPr>
              <w:t xml:space="preserve">银行账号：519902981310901</w:t>
            </w:r>
            <w:r>
              <w:rPr>
                <w:rFonts w:ascii="宋体" w:hAnsi="宋体" w:cs="宋体"/>
                <w:bCs/>
                <w:spacing w:val="2"/>
              </w:rPr>
            </w:r>
            <w:r/>
          </w:p>
          <w:p>
            <w:pPr>
              <w:pStyle w:val="1118"/>
              <w:jc w:val="left"/>
              <w:rPr>
                <w:rFonts w:ascii="宋体" w:hAnsi="宋体" w:cs="宋体"/>
                <w:bCs/>
                <w:spacing w:val="2"/>
              </w:rPr>
            </w:pPr>
            <w:r>
              <w:rPr>
                <w:rFonts w:hint="eastAsia" w:ascii="宋体" w:hAnsi="宋体" w:cs="宋体"/>
                <w:bCs/>
                <w:spacing w:val="2"/>
              </w:rPr>
              <w:t xml:space="preserve">支付宝账号：3415909493@qq.com（备注单位名称及项目名称）</w:t>
            </w:r>
            <w:r>
              <w:rPr>
                <w:rFonts w:ascii="宋体" w:hAnsi="宋体" w:cs="宋体"/>
                <w:bCs/>
                <w:spacing w:val="2"/>
              </w:rPr>
            </w:r>
            <w:r/>
          </w:p>
        </w:tc>
      </w:tr>
    </w:tbl>
    <w:p>
      <w:pPr>
        <w:pStyle w:val="1118"/>
        <w:jc w:val="center"/>
        <w:spacing w:before="240" w:after="240"/>
        <w:rPr>
          <w:b/>
          <w:sz w:val="28"/>
          <w:szCs w:val="28"/>
        </w:rPr>
      </w:pPr>
      <w:r>
        <w:rPr>
          <w:b/>
          <w:sz w:val="28"/>
          <w:szCs w:val="28"/>
        </w:rPr>
        <w:br w:type="page" w:clear="all"/>
      </w:r>
      <w:r>
        <w:rPr>
          <w:b/>
          <w:sz w:val="28"/>
          <w:szCs w:val="28"/>
        </w:rPr>
        <w:t xml:space="preserve">供应商须知</w:t>
      </w:r>
      <w:r>
        <w:rPr>
          <w:b/>
          <w:sz w:val="28"/>
          <w:szCs w:val="28"/>
        </w:rPr>
      </w:r>
      <w:r/>
    </w:p>
    <w:p>
      <w:pPr>
        <w:pStyle w:val="1120"/>
        <w:jc w:val="left"/>
        <w:spacing w:before="0" w:line="360" w:lineRule="auto"/>
        <w:tabs>
          <w:tab w:val="center" w:pos="4592" w:leader="none"/>
          <w:tab w:val="left" w:pos="7860" w:leader="none"/>
        </w:tabs>
        <w:rPr>
          <w:rFonts w:ascii="Times New Roman" w:hAnsi="Times New Roman" w:eastAsia="宋体"/>
          <w:sz w:val="28"/>
        </w:rPr>
      </w:pPr>
      <w:r/>
      <w:bookmarkStart w:id="65" w:name="_Toc127151518"/>
      <w:r/>
      <w:bookmarkStart w:id="66" w:name="_Toc520356143"/>
      <w:r>
        <w:rPr>
          <w:rFonts w:ascii="Times New Roman" w:hAnsi="Times New Roman" w:eastAsia="宋体"/>
          <w:sz w:val="28"/>
        </w:rPr>
        <w:tab/>
      </w:r>
      <w:bookmarkStart w:id="67" w:name="_Toc226309762"/>
      <w:r/>
      <w:bookmarkStart w:id="68" w:name="_Toc151193906"/>
      <w:r/>
      <w:bookmarkStart w:id="69" w:name="_Toc226965791"/>
      <w:r/>
      <w:bookmarkStart w:id="70" w:name="_Toc142311020"/>
      <w:r/>
      <w:bookmarkStart w:id="71" w:name="_Toc264969208"/>
      <w:r/>
      <w:bookmarkStart w:id="72" w:name="_Toc226965708"/>
      <w:r/>
      <w:bookmarkStart w:id="73" w:name="_Toc150480756"/>
      <w:r/>
      <w:bookmarkStart w:id="74" w:name="_Toc195842883"/>
      <w:r/>
      <w:bookmarkStart w:id="75" w:name="_Toc226337214"/>
      <w:r/>
      <w:bookmarkStart w:id="76" w:name="_Toc150774723"/>
      <w:r/>
      <w:bookmarkStart w:id="77" w:name="_Toc150774618"/>
      <w:r/>
      <w:bookmarkStart w:id="78" w:name="_Toc305158860"/>
      <w:r/>
      <w:bookmarkStart w:id="79" w:name="_Toc151193832"/>
      <w:r/>
      <w:bookmarkStart w:id="80" w:name="_Toc265228356"/>
      <w:r/>
      <w:bookmarkStart w:id="81" w:name="_Toc151193760"/>
      <w:r/>
      <w:bookmarkStart w:id="82" w:name="_Toc151193688"/>
      <w:r/>
      <w:bookmarkStart w:id="83" w:name="_Toc151193616"/>
      <w:r/>
      <w:bookmarkStart w:id="84" w:name="_Toc150509269"/>
      <w:r/>
      <w:bookmarkStart w:id="85" w:name="_Toc305158786"/>
      <w:r/>
      <w:bookmarkStart w:id="86" w:name="_Toc151190145"/>
      <w:r>
        <w:rPr>
          <w:rFonts w:ascii="Times New Roman" w:hAnsi="Times New Roman" w:eastAsia="宋体"/>
          <w:sz w:val="28"/>
        </w:rPr>
        <w:t xml:space="preserve">一   说  明</w:t>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rPr>
          <w:rFonts w:ascii="Times New Roman" w:hAnsi="Times New Roman" w:eastAsia="宋体"/>
          <w:sz w:val="28"/>
        </w:rPr>
        <w:tab/>
      </w:r>
      <w:r>
        <w:rPr>
          <w:rFonts w:ascii="Times New Roman" w:hAnsi="Times New Roman" w:eastAsia="宋体"/>
          <w:sz w:val="28"/>
        </w:rPr>
      </w:r>
      <w:r/>
    </w:p>
    <w:p>
      <w:pPr>
        <w:pStyle w:val="1118"/>
        <w:numPr>
          <w:ilvl w:val="0"/>
          <w:numId w:val="8"/>
        </w:numPr>
        <w:ind w:left="357" w:hanging="357"/>
        <w:spacing w:line="360" w:lineRule="auto"/>
        <w:tabs>
          <w:tab w:val="left" w:pos="360" w:leader="none"/>
        </w:tabs>
        <w:rPr>
          <w:sz w:val="24"/>
        </w:rPr>
        <w:outlineLvl w:val="1"/>
      </w:pPr>
      <w:r/>
      <w:bookmarkStart w:id="87" w:name="_Toc265228357"/>
      <w:r/>
      <w:bookmarkStart w:id="88" w:name="_Toc264969209"/>
      <w:r/>
      <w:bookmarkStart w:id="89" w:name="_Toc305158787"/>
      <w:r/>
      <w:bookmarkStart w:id="90" w:name="_Toc305158861"/>
      <w:r>
        <w:rPr>
          <w:sz w:val="24"/>
        </w:rPr>
        <w:t xml:space="preserve">采购人、采购代理机构、供应商</w:t>
      </w:r>
      <w:bookmarkEnd w:id="87"/>
      <w:r/>
      <w:bookmarkEnd w:id="88"/>
      <w:r/>
      <w:bookmarkEnd w:id="89"/>
      <w:r/>
      <w:bookmarkEnd w:id="90"/>
      <w:r>
        <w:rPr>
          <w:sz w:val="24"/>
        </w:rPr>
        <w:t xml:space="preserve">、联合体</w:t>
      </w:r>
      <w:r>
        <w:rPr>
          <w:sz w:val="24"/>
        </w:rPr>
      </w:r>
      <w:r/>
    </w:p>
    <w:p>
      <w:pPr>
        <w:pStyle w:val="1118"/>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采购人、采购代理机构：指依法进行政府采购的国家机关、事业单位、团体组织，及其委托的采购代理机构。本项目采购人、采购代理机构见第一章《采购邀请》。</w:t>
      </w:r>
      <w:r>
        <w:rPr>
          <w:sz w:val="24"/>
        </w:rPr>
      </w:r>
      <w:r/>
    </w:p>
    <w:p>
      <w:pPr>
        <w:pStyle w:val="1118"/>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供应商（也称“申请人”）：指向采购人提供货物、工程或者服务的法人、其他组织或者自然人。</w:t>
      </w:r>
      <w:r>
        <w:rPr>
          <w:sz w:val="24"/>
        </w:rPr>
      </w:r>
      <w:r/>
    </w:p>
    <w:p>
      <w:pPr>
        <w:pStyle w:val="1118"/>
        <w:numPr>
          <w:ilvl w:val="1"/>
          <w:numId w:val="8"/>
        </w:numPr>
        <w:ind w:left="1080" w:hanging="720"/>
        <w:spacing w:line="360" w:lineRule="auto"/>
        <w:tabs>
          <w:tab w:val="left" w:pos="1080" w:leader="none"/>
          <w:tab w:val="left" w:pos="1589" w:leader="none"/>
          <w:tab w:val="left" w:pos="2014" w:leader="none"/>
          <w:tab w:val="left" w:pos="5521" w:leader="none"/>
        </w:tabs>
        <w:rPr>
          <w:sz w:val="24"/>
        </w:rPr>
      </w:pPr>
      <w:r>
        <w:rPr>
          <w:sz w:val="24"/>
        </w:rPr>
        <w:t xml:space="preserve">联合体：指两个以上的自然人、法人或者其他组织组成一个联合体，以一个供应商的身份共同参加政府采购。</w:t>
      </w:r>
      <w:r>
        <w:rPr>
          <w:sz w:val="24"/>
        </w:rPr>
      </w:r>
      <w:r/>
    </w:p>
    <w:p>
      <w:pPr>
        <w:pStyle w:val="1118"/>
        <w:numPr>
          <w:ilvl w:val="0"/>
          <w:numId w:val="8"/>
        </w:numPr>
        <w:ind w:left="357" w:hanging="357"/>
        <w:spacing w:line="360" w:lineRule="auto"/>
        <w:tabs>
          <w:tab w:val="left" w:pos="360" w:leader="none"/>
        </w:tabs>
        <w:rPr>
          <w:sz w:val="24"/>
        </w:rPr>
        <w:outlineLvl w:val="1"/>
      </w:pPr>
      <w:r/>
      <w:bookmarkStart w:id="91" w:name="_Toc264969210"/>
      <w:r/>
      <w:bookmarkStart w:id="92" w:name="_Toc127151721"/>
      <w:r/>
      <w:bookmarkStart w:id="93" w:name="_Toc127151520"/>
      <w:r/>
      <w:bookmarkStart w:id="94" w:name="_Toc127161434"/>
      <w:r/>
      <w:bookmarkStart w:id="95" w:name="_Toc151193834"/>
      <w:r/>
      <w:bookmarkStart w:id="96" w:name="_Toc151193618"/>
      <w:r/>
      <w:bookmarkStart w:id="97" w:name="_Toc164229361"/>
      <w:r/>
      <w:bookmarkStart w:id="98" w:name="_Toc305158788"/>
      <w:r/>
      <w:bookmarkStart w:id="99" w:name="_Toc150480758"/>
      <w:r/>
      <w:bookmarkStart w:id="100" w:name="_Toc151193908"/>
      <w:r/>
      <w:bookmarkStart w:id="101" w:name="_Toc142311022"/>
      <w:r/>
      <w:bookmarkStart w:id="102" w:name="_Toc150774725"/>
      <w:r/>
      <w:bookmarkStart w:id="103" w:name="_Toc149720813"/>
      <w:r/>
      <w:bookmarkStart w:id="104" w:name="_Toc305158862"/>
      <w:r/>
      <w:bookmarkStart w:id="105" w:name="_Toc226965793"/>
      <w:r/>
      <w:bookmarkStart w:id="106" w:name="_Toc151193690"/>
      <w:r/>
      <w:bookmarkStart w:id="107" w:name="_Toc226337216"/>
      <w:r/>
      <w:bookmarkStart w:id="108" w:name="_Toc164351614"/>
      <w:r/>
      <w:bookmarkStart w:id="109" w:name="_Toc164608789"/>
      <w:r/>
      <w:bookmarkStart w:id="110" w:name="_Toc151193762"/>
      <w:r/>
      <w:bookmarkStart w:id="111" w:name="_Toc150509271"/>
      <w:r/>
      <w:bookmarkStart w:id="112" w:name="_Toc151190147"/>
      <w:r/>
      <w:bookmarkStart w:id="113" w:name="_Toc195842885"/>
      <w:r/>
      <w:bookmarkStart w:id="114" w:name="_Toc226309764"/>
      <w:r/>
      <w:bookmarkStart w:id="115" w:name="_Toc226965710"/>
      <w:r/>
      <w:bookmarkStart w:id="116" w:name="_Toc164229215"/>
      <w:r/>
      <w:bookmarkStart w:id="117" w:name="_Toc265228358"/>
      <w:r/>
      <w:bookmarkStart w:id="118" w:name="_Toc164608634"/>
      <w:r/>
      <w:bookmarkStart w:id="119" w:name="_Toc150774620"/>
      <w:r>
        <w:rPr>
          <w:sz w:val="24"/>
        </w:rPr>
        <w:t xml:space="preserve">资金来源</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rPr>
          <w:sz w:val="24"/>
        </w:rPr>
        <w:t xml:space="preserve">、项目属性、科研仪器设备采购</w:t>
      </w:r>
      <w:r>
        <w:rPr>
          <w:sz w:val="24"/>
        </w:rPr>
      </w:r>
      <w:r/>
    </w:p>
    <w:p>
      <w:pPr>
        <w:pStyle w:val="111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111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项目属性见《供应商须知资料表》。</w:t>
      </w:r>
      <w:r>
        <w:rPr>
          <w:sz w:val="24"/>
        </w:rPr>
      </w:r>
      <w:r/>
    </w:p>
    <w:p>
      <w:pPr>
        <w:pStyle w:val="111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是否属于科研仪器设备采购见《供应商须知资料表》。</w:t>
      </w:r>
      <w:r>
        <w:rPr>
          <w:sz w:val="24"/>
        </w:rPr>
      </w:r>
      <w:r/>
    </w:p>
    <w:p>
      <w:pPr>
        <w:pStyle w:val="1118"/>
        <w:numPr>
          <w:ilvl w:val="0"/>
          <w:numId w:val="8"/>
        </w:numPr>
        <w:ind w:left="357" w:hanging="357"/>
        <w:spacing w:line="360" w:lineRule="auto"/>
        <w:tabs>
          <w:tab w:val="left" w:pos="360" w:leader="none"/>
          <w:tab w:val="left" w:pos="900" w:leader="none"/>
        </w:tabs>
        <w:rPr>
          <w:sz w:val="24"/>
        </w:rPr>
        <w:outlineLvl w:val="1"/>
      </w:pPr>
      <w:r>
        <w:rPr>
          <w:sz w:val="24"/>
        </w:rPr>
        <w:t xml:space="preserve">现场考察、磋商前答疑会</w:t>
      </w:r>
      <w:r>
        <w:rPr>
          <w:sz w:val="24"/>
        </w:rPr>
      </w:r>
      <w:r/>
    </w:p>
    <w:p>
      <w:pPr>
        <w:pStyle w:val="1118"/>
        <w:numPr>
          <w:ilvl w:val="1"/>
          <w:numId w:val="8"/>
        </w:numPr>
        <w:ind w:left="1080" w:hanging="720"/>
        <w:spacing w:line="360" w:lineRule="auto"/>
        <w:tabs>
          <w:tab w:val="left" w:pos="1080" w:leader="none"/>
          <w:tab w:val="left" w:pos="1589" w:leader="none"/>
          <w:tab w:val="left" w:pos="2014" w:leader="none"/>
        </w:tabs>
        <w:rPr>
          <w:sz w:val="28"/>
        </w:rPr>
      </w:pPr>
      <w:r>
        <w:rPr>
          <w:sz w:val="24"/>
        </w:rPr>
        <w:t xml:space="preserve">若《供应商须知资料表》中规定了组织现场考察、召开磋商前答疑会，则供应商应按要求在规定的时间和地点参加。</w:t>
      </w:r>
      <w:bookmarkStart w:id="120" w:name="_Toc226337218"/>
      <w:r/>
      <w:bookmarkStart w:id="121" w:name="_Toc151193836"/>
      <w:r/>
      <w:bookmarkStart w:id="122" w:name="_Toc127151522"/>
      <w:r/>
      <w:bookmarkStart w:id="123" w:name="_Toc150774622"/>
      <w:r/>
      <w:bookmarkStart w:id="124" w:name="_Toc226965795"/>
      <w:r/>
      <w:bookmarkStart w:id="125" w:name="_Toc150509273"/>
      <w:r/>
      <w:bookmarkStart w:id="126" w:name="_Toc265228360"/>
      <w:r/>
      <w:bookmarkStart w:id="127" w:name="_Toc226965712"/>
      <w:r/>
      <w:bookmarkStart w:id="128" w:name="_Toc264969212"/>
      <w:r/>
      <w:bookmarkStart w:id="129" w:name="_Toc305158864"/>
      <w:r/>
      <w:bookmarkStart w:id="130" w:name="_Toc151193620"/>
      <w:r/>
      <w:bookmarkStart w:id="131" w:name="_Toc520356146"/>
      <w:r/>
      <w:bookmarkStart w:id="132" w:name="_Toc150480760"/>
      <w:r/>
      <w:bookmarkStart w:id="133" w:name="_Toc151190149"/>
      <w:r/>
      <w:bookmarkStart w:id="134" w:name="_Toc151193764"/>
      <w:r/>
      <w:bookmarkStart w:id="135" w:name="_Toc226309766"/>
      <w:r/>
      <w:bookmarkStart w:id="136" w:name="_Toc150774727"/>
      <w:r/>
      <w:bookmarkStart w:id="137" w:name="_Toc195842887"/>
      <w:r/>
      <w:bookmarkStart w:id="138" w:name="_Toc151193692"/>
      <w:r/>
      <w:bookmarkStart w:id="139" w:name="_Toc151193910"/>
      <w:r/>
      <w:bookmarkStart w:id="140" w:name="_Toc142311024"/>
      <w:r/>
      <w:bookmarkStart w:id="141" w:name="_Toc305158790"/>
      <w:r>
        <w:rPr>
          <w:sz w:val="28"/>
        </w:rPr>
      </w:r>
      <w:r/>
    </w:p>
    <w:p>
      <w:pPr>
        <w:pStyle w:val="111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由于未参加现场考察或磋商前答疑会而导致对项目实际情况不了解，影响响应文件编制、报价准确性、综合因素响应不全面等问题的，由供应商自行承担不利评审后果。</w:t>
      </w:r>
      <w:r>
        <w:rPr>
          <w:sz w:val="24"/>
        </w:rPr>
      </w:r>
      <w:r/>
    </w:p>
    <w:p>
      <w:pPr>
        <w:pStyle w:val="1118"/>
        <w:numPr>
          <w:ilvl w:val="0"/>
          <w:numId w:val="8"/>
        </w:numPr>
        <w:ind w:left="357" w:hanging="357"/>
        <w:spacing w:line="360" w:lineRule="auto"/>
        <w:tabs>
          <w:tab w:val="left" w:pos="360" w:leader="none"/>
        </w:tabs>
        <w:rPr>
          <w:sz w:val="24"/>
        </w:rPr>
        <w:outlineLvl w:val="1"/>
      </w:pPr>
      <w:r>
        <w:rPr>
          <w:sz w:val="24"/>
        </w:rPr>
        <w:t xml:space="preserve">政府采购政策（包括但不限于下列具体政策要求）</w:t>
      </w:r>
      <w:r>
        <w:rPr>
          <w:sz w:val="24"/>
        </w:rPr>
      </w:r>
      <w:r/>
    </w:p>
    <w:p>
      <w:pPr>
        <w:pStyle w:val="111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进口产品</w:t>
      </w:r>
      <w:r>
        <w:rPr>
          <w:sz w:val="24"/>
        </w:rPr>
      </w:r>
      <w:r/>
    </w:p>
    <w:p>
      <w:pPr>
        <w:pStyle w:val="1118"/>
        <w:numPr>
          <w:ilvl w:val="2"/>
          <w:numId w:val="8"/>
        </w:numPr>
        <w:spacing w:line="360" w:lineRule="auto"/>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111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1118"/>
        <w:numPr>
          <w:ilvl w:val="2"/>
          <w:numId w:val="8"/>
        </w:numPr>
        <w:spacing w:line="360" w:lineRule="auto"/>
        <w:tabs>
          <w:tab w:val="left" w:pos="1980" w:leader="none"/>
        </w:tabs>
        <w:rPr>
          <w:sz w:val="24"/>
        </w:rPr>
      </w:pPr>
      <w:r>
        <w:rPr>
          <w:sz w:val="24"/>
        </w:rPr>
        <w:t xml:space="preserve">中小企业定义：</w:t>
      </w:r>
      <w:r>
        <w:rPr>
          <w:sz w:val="24"/>
        </w:rPr>
      </w:r>
      <w:r/>
    </w:p>
    <w:p>
      <w:pPr>
        <w:pStyle w:val="1218"/>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18"/>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18"/>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18"/>
        <w:numPr>
          <w:ilvl w:val="0"/>
          <w:numId w:val="9"/>
        </w:numPr>
        <w:spacing w:line="360" w:lineRule="auto"/>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18"/>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18"/>
        <w:numPr>
          <w:ilvl w:val="1"/>
          <w:numId w:val="9"/>
        </w:numPr>
        <w:spacing w:line="360" w:lineRule="auto"/>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18"/>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18"/>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中小企业是</w:t>
      </w:r>
      <w:r>
        <w:rPr>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1118"/>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rPr>
          <w:color w:val="000000"/>
          <w:sz w:val="24"/>
        </w:rPr>
      </w:r>
      <w:r/>
    </w:p>
    <w:p>
      <w:pPr>
        <w:pStyle w:val="1118"/>
        <w:ind w:left="2835"/>
        <w:spacing w:line="360" w:lineRule="auto"/>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1118"/>
        <w:ind w:left="2835"/>
        <w:spacing w:line="360" w:lineRule="auto"/>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1118"/>
        <w:ind w:left="2835"/>
        <w:spacing w:line="360" w:lineRule="auto"/>
        <w:tabs>
          <w:tab w:val="left" w:pos="1980" w:leader="none"/>
        </w:tabs>
        <w:rPr>
          <w:color w:val="000000"/>
          <w:sz w:val="24"/>
        </w:rPr>
      </w:pPr>
      <w:r>
        <w:rPr>
          <w:color w:val="000000"/>
          <w:sz w:val="24"/>
        </w:rPr>
        <w:t xml:space="preserve">（3）在服务采购项目中，服务由中小企业承接，即提供服务的人员为中小企业依照《中华人民共和国劳动合同法》订立劳动合同的从业人员。</w:t>
      </w:r>
      <w:r>
        <w:rPr>
          <w:color w:val="000000"/>
          <w:sz w:val="24"/>
        </w:rPr>
      </w:r>
      <w:r/>
    </w:p>
    <w:p>
      <w:pPr>
        <w:pStyle w:val="1118"/>
        <w:numPr>
          <w:ilvl w:val="3"/>
          <w:numId w:val="9"/>
        </w:numPr>
        <w:ind w:left="2885"/>
        <w:spacing w:line="360" w:lineRule="auto"/>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1118"/>
        <w:numPr>
          <w:ilvl w:val="3"/>
          <w:numId w:val="9"/>
        </w:numPr>
        <w:ind w:left="2885"/>
        <w:spacing w:line="360" w:lineRule="auto"/>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1118"/>
        <w:numPr>
          <w:ilvl w:val="2"/>
          <w:numId w:val="8"/>
        </w:numPr>
        <w:spacing w:line="360" w:lineRule="auto"/>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1118"/>
        <w:numPr>
          <w:ilvl w:val="2"/>
          <w:numId w:val="8"/>
        </w:numPr>
        <w:spacing w:line="360" w:lineRule="auto"/>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1218"/>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218"/>
        <w:numPr>
          <w:ilvl w:val="2"/>
          <w:numId w:val="9"/>
        </w:numPr>
        <w:spacing w:line="360" w:lineRule="auto"/>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1118"/>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1118"/>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rPr>
          <w:color w:val="000000"/>
          <w:sz w:val="24"/>
        </w:rPr>
      </w:r>
      <w:r/>
    </w:p>
    <w:p>
      <w:pPr>
        <w:pStyle w:val="1118"/>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rPr>
          <w:color w:val="000000"/>
          <w:sz w:val="24"/>
        </w:rPr>
      </w:r>
      <w:r/>
    </w:p>
    <w:p>
      <w:pPr>
        <w:pStyle w:val="1118"/>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rPr>
          <w:color w:val="000000"/>
          <w:sz w:val="24"/>
        </w:rPr>
      </w:r>
      <w:r/>
    </w:p>
    <w:p>
      <w:pPr>
        <w:pStyle w:val="1118"/>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1118"/>
        <w:numPr>
          <w:ilvl w:val="3"/>
          <w:numId w:val="9"/>
        </w:numPr>
        <w:ind w:left="2885"/>
        <w:spacing w:line="360" w:lineRule="auto"/>
        <w:tabs>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1118"/>
        <w:numPr>
          <w:ilvl w:val="2"/>
          <w:numId w:val="8"/>
        </w:numPr>
        <w:spacing w:line="360" w:lineRule="auto"/>
        <w:tabs>
          <w:tab w:val="left" w:pos="1980" w:leader="none"/>
        </w:tabs>
        <w:rPr>
          <w:sz w:val="24"/>
        </w:rPr>
      </w:pPr>
      <w:r>
        <w:rPr>
          <w:sz w:val="24"/>
        </w:rPr>
        <w:t xml:space="preserve">本项目是否专门面向中小企业预留采购份额见第一章《采购邀请》。</w:t>
      </w:r>
      <w:r>
        <w:rPr>
          <w:sz w:val="24"/>
        </w:rPr>
      </w:r>
      <w:r/>
    </w:p>
    <w:p>
      <w:pPr>
        <w:pStyle w:val="1118"/>
        <w:numPr>
          <w:ilvl w:val="2"/>
          <w:numId w:val="8"/>
        </w:numPr>
        <w:spacing w:line="360" w:lineRule="auto"/>
        <w:tabs>
          <w:tab w:val="left" w:pos="1980" w:leader="none"/>
        </w:tabs>
        <w:rPr>
          <w:sz w:val="24"/>
        </w:rPr>
      </w:pPr>
      <w:r>
        <w:rPr>
          <w:sz w:val="24"/>
        </w:rPr>
        <w:t xml:space="preserve">采购标的对应的中小企业划分标准所属行业见《供应商须知资料表》。</w:t>
      </w:r>
      <w:r>
        <w:rPr>
          <w:sz w:val="24"/>
        </w:rPr>
      </w:r>
      <w:r/>
    </w:p>
    <w:p>
      <w:pPr>
        <w:pStyle w:val="1118"/>
        <w:numPr>
          <w:ilvl w:val="2"/>
          <w:numId w:val="8"/>
        </w:numPr>
        <w:spacing w:line="360" w:lineRule="auto"/>
        <w:tabs>
          <w:tab w:val="left" w:pos="1980" w:leader="none"/>
        </w:tabs>
        <w:rPr>
          <w:sz w:val="24"/>
        </w:rPr>
      </w:pPr>
      <w:r>
        <w:rPr>
          <w:sz w:val="24"/>
        </w:rPr>
        <w:t xml:space="preserve">小微企业价格评审优惠的政策调整：见第三章《评审方法和评审标准》。</w:t>
      </w:r>
      <w:r>
        <w:rPr>
          <w:sz w:val="24"/>
        </w:rPr>
      </w:r>
      <w:r/>
    </w:p>
    <w:p>
      <w:pPr>
        <w:pStyle w:val="111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1118"/>
        <w:numPr>
          <w:ilvl w:val="2"/>
          <w:numId w:val="8"/>
        </w:numPr>
        <w:spacing w:line="360" w:lineRule="auto"/>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1118"/>
        <w:numPr>
          <w:ilvl w:val="2"/>
          <w:numId w:val="8"/>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1118"/>
        <w:numPr>
          <w:ilvl w:val="2"/>
          <w:numId w:val="8"/>
        </w:numPr>
        <w:spacing w:line="360" w:lineRule="auto"/>
        <w:tabs>
          <w:tab w:val="left" w:pos="1980" w:leader="none"/>
        </w:tabs>
        <w:rPr>
          <w:sz w:val="24"/>
        </w:rPr>
      </w:pPr>
      <w:r>
        <w:rPr>
          <w:sz w:val="24"/>
        </w:rPr>
        <w:t xml:space="preserve">如本项目采购产品属于实施政府强制采购品目清单范围的节能产品，则供应商所报产品必须获得国家确定的认证机构出具的、处于有效期之内的节能产品认证证书，</w:t>
      </w:r>
      <w:r>
        <w:rPr>
          <w:sz w:val="24"/>
        </w:rPr>
        <w:t xml:space="preserve">否则</w:t>
      </w:r>
      <w:r>
        <w:rPr>
          <w:b/>
          <w:sz w:val="24"/>
        </w:rPr>
        <w:t xml:space="preserve">响应无效</w:t>
      </w:r>
      <w:r>
        <w:rPr>
          <w:sz w:val="24"/>
        </w:rPr>
        <w:t xml:space="preserve">；</w:t>
      </w:r>
      <w:r>
        <w:rPr>
          <w:sz w:val="24"/>
        </w:rPr>
      </w:r>
      <w:r/>
    </w:p>
    <w:p>
      <w:pPr>
        <w:pStyle w:val="1118"/>
        <w:numPr>
          <w:ilvl w:val="2"/>
          <w:numId w:val="8"/>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非政府强制采购的节能产品或环境标志产品，依据品目清单和认证证书实施政府优先采购。优先采购的具体规定见第三章《评审方法和评审标准》（如涉及）。</w:t>
      </w:r>
      <w:r>
        <w:rPr>
          <w:rFonts w:hint="eastAsia"/>
          <w:sz w:val="24"/>
        </w:rPr>
      </w:r>
      <w:r/>
    </w:p>
    <w:p>
      <w:pPr>
        <w:pStyle w:val="1118"/>
        <w:numPr>
          <w:ilvl w:val="2"/>
          <w:numId w:val="8"/>
        </w:numPr>
        <w:spacing w:line="360" w:lineRule="auto"/>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sz w:val="24"/>
        </w:rPr>
      </w:r>
      <w:r/>
    </w:p>
    <w:p>
      <w:pPr>
        <w:pStyle w:val="111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1118"/>
        <w:numPr>
          <w:ilvl w:val="2"/>
          <w:numId w:val="8"/>
        </w:numPr>
        <w:spacing w:line="360" w:lineRule="auto"/>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sz w:val="24"/>
        </w:rPr>
      </w:r>
      <w:r/>
    </w:p>
    <w:p>
      <w:pPr>
        <w:pStyle w:val="111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1118"/>
        <w:numPr>
          <w:ilvl w:val="2"/>
          <w:numId w:val="8"/>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sz w:val="24"/>
        </w:rPr>
        <w:t xml:space="preserve">否则</w:t>
      </w:r>
      <w:r>
        <w:rPr>
          <w:b/>
          <w:sz w:val="24"/>
        </w:rPr>
        <w:t xml:space="preserve">响应无效</w:t>
      </w:r>
      <w:r>
        <w:rPr>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1118"/>
        <w:numPr>
          <w:ilvl w:val="2"/>
          <w:numId w:val="8"/>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1118"/>
        <w:numPr>
          <w:ilvl w:val="1"/>
          <w:numId w:val="8"/>
        </w:numPr>
        <w:ind w:left="1080" w:hanging="72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政府采购创新产品政策</w:t>
      </w:r>
      <w:r>
        <w:rPr>
          <w:rFonts w:hint="eastAsia" w:ascii="宋体" w:hAnsi="宋体" w:cs="宋体"/>
          <w:sz w:val="24"/>
        </w:rPr>
      </w:r>
      <w:r/>
    </w:p>
    <w:p>
      <w:pPr>
        <w:pStyle w:val="1118"/>
        <w:numPr>
          <w:ilvl w:val="2"/>
          <w:numId w:val="8"/>
        </w:numPr>
        <w:spacing w:line="360" w:lineRule="auto"/>
        <w:tabs>
          <w:tab w:val="left" w:pos="1980" w:leader="none"/>
          <w:tab w:val="left" w:pos="2014"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sz w:val="24"/>
        </w:rPr>
      </w:r>
      <w:r/>
    </w:p>
    <w:p>
      <w:pPr>
        <w:pStyle w:val="1118"/>
        <w:ind w:left="36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4.7   绿色采购政策</w:t>
      </w:r>
      <w:r>
        <w:rPr>
          <w:rFonts w:hint="eastAsia" w:ascii="宋体" w:hAnsi="宋体" w:cs="宋体"/>
          <w:sz w:val="24"/>
        </w:rPr>
      </w:r>
      <w:r/>
    </w:p>
    <w:p>
      <w:pPr>
        <w:pStyle w:val="1118"/>
        <w:ind w:left="1080"/>
        <w:spacing w:line="360" w:lineRule="auto"/>
        <w:tabs>
          <w:tab w:val="left" w:pos="2014" w:leader="none"/>
        </w:tabs>
        <w:rPr>
          <w:rFonts w:hint="eastAsia" w:ascii="宋体" w:hAnsi="宋体" w:cs="宋体"/>
          <w:sz w:val="24"/>
        </w:rPr>
      </w:pPr>
      <w:r>
        <w:rPr>
          <w:rFonts w:hint="eastAsia" w:ascii="宋体" w:hAnsi="宋体" w:cs="宋体"/>
          <w:sz w:val="24"/>
        </w:rPr>
        <w:t xml:space="preserve">4.7.1  绿色数据中心政策 </w:t>
      </w:r>
      <w:r>
        <w:rPr>
          <w:rFonts w:hint="eastAsia" w:ascii="宋体" w:hAnsi="宋体" w:cs="宋体"/>
          <w:sz w:val="24"/>
        </w:rPr>
      </w:r>
      <w:r/>
    </w:p>
    <w:p>
      <w:pPr>
        <w:pStyle w:val="1118"/>
        <w:ind w:left="1080"/>
        <w:spacing w:line="360" w:lineRule="auto"/>
        <w:tabs>
          <w:tab w:val="left" w:pos="2014" w:leader="none"/>
        </w:tabs>
        <w:rPr>
          <w:rFonts w:hint="eastAsia"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cs="宋体"/>
          <w:sz w:val="24"/>
        </w:rPr>
      </w:r>
      <w:r/>
    </w:p>
    <w:p>
      <w:pPr>
        <w:pStyle w:val="1118"/>
        <w:ind w:left="36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4.7.2 推广应用绿色建材</w:t>
      </w:r>
      <w:r>
        <w:rPr>
          <w:rFonts w:hint="eastAsia" w:ascii="宋体" w:hAnsi="宋体" w:cs="宋体"/>
          <w:sz w:val="24"/>
        </w:rPr>
      </w:r>
      <w:r/>
    </w:p>
    <w:p>
      <w:pPr>
        <w:pStyle w:val="1118"/>
        <w:ind w:left="1080"/>
        <w:spacing w:line="360" w:lineRule="auto"/>
        <w:tabs>
          <w:tab w:val="left" w:pos="2014" w:leader="none"/>
        </w:tabs>
        <w:rPr>
          <w:rFonts w:hint="eastAsia" w:ascii="宋体" w:hAnsi="宋体" w:cs="宋体"/>
          <w:sz w:val="24"/>
        </w:rPr>
      </w:pPr>
      <w:r>
        <w:rPr>
          <w:rFonts w:hint="eastAsia" w:ascii="宋体" w:hAnsi="宋体" w:cs="宋体"/>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cs="宋体"/>
          <w:sz w:val="24"/>
        </w:rPr>
      </w:r>
      <w:r/>
    </w:p>
    <w:p>
      <w:pPr>
        <w:pStyle w:val="1118"/>
        <w:ind w:firstLine="120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4.7.3 优先使用低挥发性有机化合物产品</w:t>
      </w:r>
      <w:r>
        <w:rPr>
          <w:rFonts w:hint="eastAsia" w:ascii="宋体" w:hAnsi="宋体" w:cs="宋体"/>
          <w:sz w:val="24"/>
        </w:rPr>
      </w:r>
      <w:r/>
    </w:p>
    <w:p>
      <w:pPr>
        <w:pStyle w:val="1118"/>
        <w:ind w:left="1080"/>
        <w:spacing w:line="360" w:lineRule="auto"/>
        <w:tabs>
          <w:tab w:val="left" w:pos="2014" w:leader="none"/>
        </w:tabs>
        <w:rPr>
          <w:rFonts w:hint="eastAsia" w:ascii="宋体" w:hAnsi="宋体" w:cs="宋体"/>
          <w:sz w:val="24"/>
        </w:rPr>
      </w:pPr>
      <w:r>
        <w:rPr>
          <w:rFonts w:hint="eastAsia" w:ascii="宋体" w:hAnsi="宋体" w:cs="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sz w:val="24"/>
        </w:rPr>
      </w:r>
      <w:r/>
    </w:p>
    <w:p>
      <w:pPr>
        <w:pStyle w:val="1118"/>
        <w:numPr>
          <w:ilvl w:val="0"/>
          <w:numId w:val="8"/>
        </w:numPr>
        <w:ind w:left="357" w:hanging="357"/>
        <w:spacing w:line="360" w:lineRule="auto"/>
        <w:tabs>
          <w:tab w:val="left" w:pos="360" w:leader="none"/>
          <w:tab w:val="left" w:pos="900" w:leader="none"/>
        </w:tabs>
        <w:rPr>
          <w:sz w:val="24"/>
        </w:rPr>
        <w:outlineLvl w:val="1"/>
      </w:pPr>
      <w:r>
        <w:rPr>
          <w:sz w:val="24"/>
        </w:rPr>
        <w:t xml:space="preserve">响应费用</w:t>
      </w:r>
      <w:r>
        <w:rPr>
          <w:sz w:val="24"/>
        </w:rPr>
      </w:r>
      <w:r/>
    </w:p>
    <w:p>
      <w:pPr>
        <w:pStyle w:val="111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供应商应自行承担所有与准备和参加磋商有关的费用，无论磋商的结果如何，采购人或采购代理机构在任何情况下均无承担这些费用的义务和责任。</w:t>
      </w:r>
      <w:r>
        <w:rPr>
          <w:sz w:val="24"/>
        </w:rPr>
      </w:r>
      <w:r/>
    </w:p>
    <w:p>
      <w:pPr>
        <w:pStyle w:val="1118"/>
        <w:ind w:left="1080"/>
        <w:spacing w:line="360" w:lineRule="auto"/>
        <w:tabs>
          <w:tab w:val="left" w:pos="1080" w:leader="none"/>
        </w:tabs>
        <w:rPr>
          <w:sz w:val="28"/>
        </w:rPr>
      </w:pPr>
      <w:r/>
      <w:bookmarkStart w:id="142" w:name="_1.8_计量单位"/>
      <w:r/>
      <w:bookmarkEnd w:id="142"/>
      <w:r>
        <w:rPr>
          <w:sz w:val="28"/>
        </w:rPr>
      </w:r>
      <w:r/>
    </w:p>
    <w:p>
      <w:pPr>
        <w:pStyle w:val="1120"/>
        <w:spacing w:before="0" w:line="360" w:lineRule="auto"/>
        <w:rPr>
          <w:rFonts w:ascii="Times New Roman" w:hAnsi="Times New Roman" w:eastAsia="宋体"/>
          <w:sz w:val="28"/>
        </w:rPr>
      </w:pPr>
      <w:r>
        <w:rPr>
          <w:rFonts w:ascii="Times New Roman" w:hAnsi="Times New Roman" w:eastAsia="宋体"/>
          <w:sz w:val="28"/>
        </w:rPr>
        <w:t xml:space="preserve">二   竞争性磋商文件</w:t>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Pr>
          <w:rFonts w:ascii="Times New Roman" w:hAnsi="Times New Roman" w:eastAsia="宋体"/>
          <w:sz w:val="28"/>
        </w:rPr>
      </w:r>
      <w:r/>
    </w:p>
    <w:p>
      <w:pPr>
        <w:pStyle w:val="1118"/>
        <w:numPr>
          <w:ilvl w:val="0"/>
          <w:numId w:val="8"/>
        </w:numPr>
        <w:ind w:left="357" w:hanging="357"/>
        <w:spacing w:line="360" w:lineRule="auto"/>
        <w:tabs>
          <w:tab w:val="left" w:pos="360" w:leader="none"/>
          <w:tab w:val="left" w:pos="900" w:leader="none"/>
        </w:tabs>
        <w:rPr>
          <w:sz w:val="24"/>
        </w:rPr>
        <w:outlineLvl w:val="1"/>
      </w:pPr>
      <w:r/>
      <w:bookmarkStart w:id="143" w:name="_Toc127161437"/>
      <w:r/>
      <w:bookmarkStart w:id="144" w:name="_Toc150774623"/>
      <w:r/>
      <w:bookmarkStart w:id="145" w:name="_Toc164608637"/>
      <w:r/>
      <w:bookmarkStart w:id="146" w:name="_Toc164229364"/>
      <w:r/>
      <w:bookmarkStart w:id="147" w:name="_Toc195842888"/>
      <w:r/>
      <w:bookmarkStart w:id="148" w:name="_Toc151193911"/>
      <w:r/>
      <w:bookmarkStart w:id="149" w:name="_Toc164351617"/>
      <w:r/>
      <w:bookmarkStart w:id="150" w:name="_Toc142311025"/>
      <w:r/>
      <w:bookmarkStart w:id="151" w:name="_Toc264969213"/>
      <w:r/>
      <w:bookmarkStart w:id="152" w:name="_Toc151190150"/>
      <w:r/>
      <w:bookmarkStart w:id="153" w:name="_Toc164608792"/>
      <w:r/>
      <w:bookmarkStart w:id="154" w:name="_Toc265228361"/>
      <w:r/>
      <w:bookmarkStart w:id="155" w:name="_Toc151193765"/>
      <w:r/>
      <w:bookmarkStart w:id="156" w:name="_Toc151193621"/>
      <w:r/>
      <w:bookmarkStart w:id="157" w:name="_Toc305158791"/>
      <w:r/>
      <w:bookmarkStart w:id="158" w:name="_Toc150509274"/>
      <w:r/>
      <w:bookmarkStart w:id="159" w:name="_Toc151193693"/>
      <w:r/>
      <w:bookmarkStart w:id="160" w:name="_Toc226309767"/>
      <w:r/>
      <w:bookmarkStart w:id="161" w:name="_Toc149720816"/>
      <w:r/>
      <w:bookmarkStart w:id="162" w:name="_Toc226965796"/>
      <w:r/>
      <w:bookmarkStart w:id="163" w:name="_Toc305158865"/>
      <w:r/>
      <w:bookmarkStart w:id="164" w:name="_Toc127151523"/>
      <w:r/>
      <w:bookmarkStart w:id="165" w:name="_Toc226965713"/>
      <w:r/>
      <w:bookmarkStart w:id="166" w:name="_Toc150480761"/>
      <w:r/>
      <w:bookmarkStart w:id="167" w:name="_Toc150774728"/>
      <w:r/>
      <w:bookmarkStart w:id="168" w:name="_Toc520356147"/>
      <w:r/>
      <w:bookmarkStart w:id="169" w:name="_Toc127151724"/>
      <w:r/>
      <w:bookmarkStart w:id="170" w:name="_Toc164229218"/>
      <w:r/>
      <w:bookmarkStart w:id="171" w:name="_Toc226337219"/>
      <w:r/>
      <w:bookmarkStart w:id="172" w:name="_Toc151193837"/>
      <w:r>
        <w:rPr>
          <w:sz w:val="24"/>
        </w:rPr>
        <w:t xml:space="preserve">竞争性磋商文件构</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rPr>
          <w:sz w:val="24"/>
        </w:rPr>
        <w:t xml:space="preserve">成</w:t>
      </w:r>
      <w:r>
        <w:rPr>
          <w:sz w:val="24"/>
        </w:rPr>
      </w:r>
      <w:r/>
    </w:p>
    <w:p>
      <w:pPr>
        <w:pStyle w:val="111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竞争性磋商文件包括以下部分：</w:t>
      </w:r>
      <w:r>
        <w:rPr>
          <w:sz w:val="24"/>
        </w:rPr>
      </w:r>
      <w:r/>
    </w:p>
    <w:p>
      <w:pPr>
        <w:pStyle w:val="1118"/>
        <w:numPr>
          <w:ilvl w:val="0"/>
          <w:numId w:val="10"/>
        </w:numPr>
        <w:ind w:left="1440" w:firstLine="5"/>
        <w:spacing w:line="360" w:lineRule="auto"/>
        <w:tabs>
          <w:tab w:val="left" w:pos="1980" w:leader="none"/>
          <w:tab w:val="left" w:pos="2520" w:leader="none"/>
          <w:tab w:val="left" w:pos="4941" w:leader="none"/>
        </w:tabs>
        <w:rPr>
          <w:sz w:val="24"/>
        </w:rPr>
      </w:pPr>
      <w:r>
        <w:rPr>
          <w:rFonts w:hint="eastAsia"/>
          <w:sz w:val="24"/>
        </w:rPr>
        <w:t xml:space="preserve">竞争性磋商公告</w:t>
      </w:r>
      <w:r>
        <w:rPr>
          <w:sz w:val="24"/>
        </w:rPr>
      </w:r>
      <w:r/>
    </w:p>
    <w:p>
      <w:pPr>
        <w:pStyle w:val="1118"/>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供应商须知</w:t>
      </w:r>
      <w:r>
        <w:rPr>
          <w:sz w:val="24"/>
        </w:rPr>
      </w:r>
      <w:r/>
    </w:p>
    <w:p>
      <w:pPr>
        <w:pStyle w:val="1118"/>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评审</w:t>
      </w:r>
      <w:r>
        <w:rPr>
          <w:rFonts w:hint="eastAsia"/>
          <w:sz w:val="24"/>
        </w:rPr>
        <w:t xml:space="preserve">程序、评审</w:t>
      </w:r>
      <w:r>
        <w:rPr>
          <w:sz w:val="24"/>
        </w:rPr>
        <w:t xml:space="preserve">方法和评审标准</w:t>
      </w:r>
      <w:r>
        <w:rPr>
          <w:sz w:val="24"/>
        </w:rPr>
      </w:r>
      <w:r/>
    </w:p>
    <w:p>
      <w:pPr>
        <w:pStyle w:val="1118"/>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采购需求</w:t>
      </w:r>
      <w:r>
        <w:rPr>
          <w:sz w:val="24"/>
        </w:rPr>
      </w:r>
      <w:r/>
    </w:p>
    <w:p>
      <w:pPr>
        <w:pStyle w:val="1118"/>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合同草案条款</w:t>
      </w:r>
      <w:r>
        <w:rPr>
          <w:sz w:val="24"/>
        </w:rPr>
      </w:r>
      <w:r/>
    </w:p>
    <w:p>
      <w:pPr>
        <w:pStyle w:val="1118"/>
        <w:numPr>
          <w:ilvl w:val="0"/>
          <w:numId w:val="10"/>
        </w:numPr>
        <w:ind w:left="1440" w:firstLine="5"/>
        <w:spacing w:line="360" w:lineRule="auto"/>
        <w:tabs>
          <w:tab w:val="left" w:pos="1980" w:leader="none"/>
          <w:tab w:val="left" w:pos="2520" w:leader="none"/>
          <w:tab w:val="left" w:pos="4941" w:leader="none"/>
        </w:tabs>
        <w:rPr>
          <w:sz w:val="24"/>
        </w:rPr>
      </w:pPr>
      <w:r>
        <w:rPr>
          <w:sz w:val="24"/>
        </w:rPr>
        <w:t xml:space="preserve">响应文件格式</w:t>
      </w:r>
      <w:r>
        <w:rPr>
          <w:sz w:val="24"/>
        </w:rPr>
      </w:r>
      <w:r/>
    </w:p>
    <w:p>
      <w:pPr>
        <w:pStyle w:val="111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供应商应认真阅读竞争性磋商文件的全部内容。供应商应按照竞争性磋商文件要求提交响应文件并保证所提供的全部资料的真实性，并对竞争性磋商文件做出实质性响应，否则</w:t>
      </w:r>
      <w:r>
        <w:rPr>
          <w:b/>
          <w:sz w:val="24"/>
        </w:rPr>
        <w:t xml:space="preserve">响应无效</w:t>
      </w:r>
      <w:r>
        <w:rPr>
          <w:sz w:val="24"/>
        </w:rPr>
        <w:t xml:space="preserve">。</w:t>
      </w:r>
      <w:r>
        <w:rPr>
          <w:sz w:val="24"/>
        </w:rPr>
      </w:r>
      <w:r/>
    </w:p>
    <w:p>
      <w:pPr>
        <w:pStyle w:val="1118"/>
        <w:numPr>
          <w:ilvl w:val="0"/>
          <w:numId w:val="8"/>
        </w:numPr>
        <w:ind w:left="357" w:hanging="357"/>
        <w:spacing w:line="360" w:lineRule="auto"/>
        <w:tabs>
          <w:tab w:val="left" w:pos="900" w:leader="none"/>
          <w:tab w:val="left" w:pos="1080" w:leader="none"/>
          <w:tab w:val="left" w:pos="2014" w:leader="none"/>
        </w:tabs>
        <w:rPr>
          <w:sz w:val="24"/>
        </w:rPr>
        <w:outlineLvl w:val="1"/>
      </w:pPr>
      <w:r>
        <w:rPr>
          <w:sz w:val="24"/>
        </w:rPr>
        <w:t xml:space="preserve">对竞争性磋商文件的澄清或修改</w:t>
      </w:r>
      <w:r>
        <w:rPr>
          <w:sz w:val="24"/>
        </w:rPr>
      </w:r>
      <w:r/>
    </w:p>
    <w:p>
      <w:pPr>
        <w:pStyle w:val="1118"/>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采购人或采购代理机构对已发出的竞争性磋商文件进行必要澄清或者修改的，将在原公告发布媒体上以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w:t>
      </w:r>
      <w:r>
        <w:rPr>
          <w:rFonts w:hint="eastAsia"/>
          <w:sz w:val="24"/>
        </w:rPr>
        <w:t xml:space="preserve">磋商文件</w:t>
      </w:r>
      <w:r>
        <w:rPr>
          <w:sz w:val="24"/>
        </w:rPr>
        <w:t xml:space="preserve">的</w:t>
      </w:r>
      <w:r>
        <w:rPr>
          <w:rFonts w:hint="eastAsia"/>
          <w:sz w:val="24"/>
        </w:rPr>
        <w:t xml:space="preserve">供应商。</w:t>
      </w:r>
      <w:r>
        <w:rPr>
          <w:sz w:val="24"/>
        </w:rPr>
      </w:r>
      <w:r/>
    </w:p>
    <w:p>
      <w:pPr>
        <w:pStyle w:val="1118"/>
        <w:numPr>
          <w:ilvl w:val="1"/>
          <w:numId w:val="8"/>
        </w:numPr>
        <w:ind w:left="1080" w:hanging="720"/>
        <w:spacing w:line="360" w:lineRule="auto"/>
        <w:tabs>
          <w:tab w:val="left" w:pos="1080" w:leader="none"/>
          <w:tab w:val="left" w:pos="1561" w:leader="none"/>
          <w:tab w:val="left" w:pos="1589" w:leader="none"/>
          <w:tab w:val="left" w:pos="2014" w:leader="none"/>
        </w:tabs>
        <w:rPr>
          <w:sz w:val="24"/>
        </w:rPr>
      </w:pPr>
      <w:r>
        <w:rPr>
          <w:sz w:val="24"/>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rPr>
        <w:t xml:space="preserve">5</w:t>
      </w:r>
      <w:r>
        <w:rPr>
          <w:sz w:val="24"/>
        </w:rPr>
        <w:t xml:space="preserve">日前</w:t>
      </w:r>
      <w:r>
        <w:rPr>
          <w:rFonts w:hint="eastAsia"/>
          <w:sz w:val="24"/>
        </w:rPr>
        <w:t xml:space="preserve">，</w:t>
      </w:r>
      <w:r>
        <w:rPr>
          <w:sz w:val="24"/>
        </w:rPr>
        <w:t xml:space="preserve">以更正公告形式通知所有获取</w:t>
      </w:r>
      <w:r>
        <w:rPr>
          <w:rFonts w:hint="eastAsia"/>
          <w:sz w:val="24"/>
        </w:rPr>
        <w:t xml:space="preserve">磋商</w:t>
      </w:r>
      <w:r>
        <w:rPr>
          <w:sz w:val="24"/>
        </w:rPr>
        <w:t xml:space="preserve">文件的潜在供应商；不足上述时间的，将顺延提交响应文件的截止时间。</w:t>
      </w:r>
      <w:r>
        <w:rPr>
          <w:sz w:val="24"/>
        </w:rPr>
      </w:r>
      <w:r/>
    </w:p>
    <w:p>
      <w:pPr>
        <w:pStyle w:val="1118"/>
        <w:ind w:left="1080"/>
        <w:spacing w:line="360" w:lineRule="auto"/>
        <w:tabs>
          <w:tab w:val="left" w:pos="1080" w:leader="none"/>
          <w:tab w:val="left" w:pos="1561" w:leader="none"/>
        </w:tabs>
        <w:rPr>
          <w:sz w:val="28"/>
        </w:rPr>
      </w:pPr>
      <w:r/>
      <w:bookmarkStart w:id="173" w:name="_Toc151193624"/>
      <w:r/>
      <w:bookmarkStart w:id="174" w:name="_Toc151193696"/>
      <w:r/>
      <w:bookmarkStart w:id="175" w:name="_Toc226965716"/>
      <w:r/>
      <w:bookmarkStart w:id="176" w:name="_Toc151190153"/>
      <w:r/>
      <w:bookmarkStart w:id="177" w:name="_Toc142311028"/>
      <w:r/>
      <w:bookmarkStart w:id="178" w:name="_Toc305158868"/>
      <w:r/>
      <w:bookmarkStart w:id="179" w:name="_Toc226309770"/>
      <w:r/>
      <w:bookmarkStart w:id="180" w:name="_Toc520356150"/>
      <w:r/>
      <w:bookmarkStart w:id="181" w:name="_Toc226337222"/>
      <w:r/>
      <w:bookmarkStart w:id="182" w:name="_Toc150774626"/>
      <w:r/>
      <w:bookmarkStart w:id="183" w:name="_Toc151193768"/>
      <w:r/>
      <w:bookmarkStart w:id="184" w:name="_Toc151193840"/>
      <w:r/>
      <w:bookmarkStart w:id="185" w:name="_Toc516367020"/>
      <w:r/>
      <w:bookmarkStart w:id="186" w:name="_Toc265228364"/>
      <w:r/>
      <w:bookmarkStart w:id="187" w:name="_Toc150509277"/>
      <w:r/>
      <w:bookmarkStart w:id="188" w:name="_Toc264969216"/>
      <w:r/>
      <w:bookmarkStart w:id="189" w:name="_Toc127151526"/>
      <w:r/>
      <w:bookmarkStart w:id="190" w:name="_Toc151193914"/>
      <w:r/>
      <w:bookmarkStart w:id="191" w:name="_Toc305158794"/>
      <w:r/>
      <w:bookmarkStart w:id="192" w:name="_Toc150774731"/>
      <w:r/>
      <w:bookmarkStart w:id="193" w:name="_Toc226965799"/>
      <w:r/>
      <w:bookmarkStart w:id="194" w:name="_Toc150480764"/>
      <w:r/>
      <w:bookmarkStart w:id="195" w:name="_Toc195842891"/>
      <w:r>
        <w:rPr>
          <w:sz w:val="28"/>
        </w:rPr>
      </w:r>
      <w:r/>
    </w:p>
    <w:p>
      <w:pPr>
        <w:pStyle w:val="1120"/>
        <w:spacing w:before="0" w:line="360" w:lineRule="auto"/>
        <w:rPr>
          <w:rFonts w:ascii="Times New Roman" w:hAnsi="Times New Roman" w:eastAsia="宋体"/>
          <w:sz w:val="28"/>
        </w:rPr>
      </w:pPr>
      <w:r>
        <w:rPr>
          <w:rFonts w:ascii="Times New Roman" w:hAnsi="Times New Roman" w:eastAsia="宋体"/>
          <w:sz w:val="28"/>
        </w:rPr>
        <w:t xml:space="preserve">三   响应文件</w:t>
      </w:r>
      <w:bookmarkEnd w:id="185"/>
      <w:r>
        <w:rPr>
          <w:rFonts w:ascii="Times New Roman" w:hAnsi="Times New Roman" w:eastAsia="宋体"/>
          <w:sz w:val="28"/>
        </w:rPr>
        <w:t xml:space="preserve">的编制</w:t>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6"/>
      <w:r/>
      <w:bookmarkEnd w:id="187"/>
      <w:r/>
      <w:bookmarkEnd w:id="188"/>
      <w:r/>
      <w:bookmarkEnd w:id="189"/>
      <w:r/>
      <w:bookmarkEnd w:id="190"/>
      <w:r/>
      <w:bookmarkEnd w:id="191"/>
      <w:r/>
      <w:bookmarkEnd w:id="192"/>
      <w:r/>
      <w:bookmarkEnd w:id="193"/>
      <w:r/>
      <w:bookmarkEnd w:id="194"/>
      <w:r/>
      <w:bookmarkEnd w:id="195"/>
      <w:r>
        <w:rPr>
          <w:rFonts w:ascii="Times New Roman" w:hAnsi="Times New Roman" w:eastAsia="宋体"/>
          <w:sz w:val="28"/>
        </w:rPr>
      </w:r>
      <w:r/>
    </w:p>
    <w:p>
      <w:pPr>
        <w:pStyle w:val="1118"/>
        <w:numPr>
          <w:ilvl w:val="0"/>
          <w:numId w:val="8"/>
        </w:numPr>
        <w:ind w:left="357" w:hanging="357"/>
        <w:spacing w:line="360" w:lineRule="auto"/>
        <w:tabs>
          <w:tab w:val="left" w:pos="360" w:leader="none"/>
          <w:tab w:val="left" w:pos="900" w:leader="none"/>
        </w:tabs>
        <w:rPr>
          <w:sz w:val="24"/>
        </w:rPr>
        <w:outlineLvl w:val="1"/>
      </w:pPr>
      <w:r/>
      <w:bookmarkStart w:id="196" w:name="_Toc164608641"/>
      <w:r/>
      <w:bookmarkStart w:id="197" w:name="_Toc516367021"/>
      <w:r/>
      <w:bookmarkStart w:id="198" w:name="_Toc127161441"/>
      <w:r/>
      <w:bookmarkStart w:id="199" w:name="_Toc149720820"/>
      <w:r/>
      <w:bookmarkStart w:id="200" w:name="_Toc151190154"/>
      <w:r/>
      <w:bookmarkStart w:id="201" w:name="_Toc264969217"/>
      <w:r/>
      <w:bookmarkStart w:id="202" w:name="_Toc127151527"/>
      <w:r/>
      <w:bookmarkStart w:id="203" w:name="_Toc226965800"/>
      <w:r/>
      <w:bookmarkStart w:id="204" w:name="_Toc164229368"/>
      <w:r/>
      <w:bookmarkStart w:id="205" w:name="_Toc151193697"/>
      <w:r/>
      <w:bookmarkStart w:id="206" w:name="_Toc150480765"/>
      <w:r/>
      <w:bookmarkStart w:id="207" w:name="_Toc150774732"/>
      <w:r/>
      <w:bookmarkStart w:id="208" w:name="_Toc151193841"/>
      <w:r/>
      <w:bookmarkStart w:id="209" w:name="_Toc305158795"/>
      <w:r/>
      <w:bookmarkStart w:id="210" w:name="_Toc226309771"/>
      <w:r/>
      <w:bookmarkStart w:id="211" w:name="_Toc226337223"/>
      <w:r/>
      <w:bookmarkStart w:id="212" w:name="_Toc151193915"/>
      <w:r/>
      <w:bookmarkStart w:id="213" w:name="_Toc164608796"/>
      <w:r/>
      <w:bookmarkStart w:id="214" w:name="_Toc195842892"/>
      <w:r/>
      <w:bookmarkStart w:id="215" w:name="_Toc150509278"/>
      <w:r/>
      <w:bookmarkStart w:id="216" w:name="_Toc127151728"/>
      <w:r/>
      <w:bookmarkStart w:id="217" w:name="_Toc305158869"/>
      <w:r/>
      <w:bookmarkStart w:id="218" w:name="_Toc164229222"/>
      <w:r/>
      <w:bookmarkStart w:id="219" w:name="_Toc164351621"/>
      <w:r/>
      <w:bookmarkStart w:id="220" w:name="_Toc142311029"/>
      <w:r/>
      <w:bookmarkStart w:id="221" w:name="_Toc265228365"/>
      <w:r/>
      <w:bookmarkStart w:id="222" w:name="_Toc150774627"/>
      <w:r/>
      <w:bookmarkStart w:id="223" w:name="_Toc226965717"/>
      <w:r/>
      <w:bookmarkStart w:id="224" w:name="_Toc151193625"/>
      <w:r/>
      <w:bookmarkStart w:id="225" w:name="_Toc151193769"/>
      <w:r/>
      <w:bookmarkStart w:id="226" w:name="_Toc520356151"/>
      <w:r>
        <w:rPr>
          <w:sz w:val="24"/>
        </w:rPr>
        <w:t xml:space="preserve">响应范围、竞争性磋商文件中计量单位的使用</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rPr>
          <w:sz w:val="24"/>
        </w:rPr>
        <w:t xml:space="preserve">及磋商语言</w:t>
      </w:r>
      <w:r>
        <w:rPr>
          <w:sz w:val="24"/>
        </w:rPr>
      </w:r>
      <w:r/>
    </w:p>
    <w:p>
      <w:pPr>
        <w:pStyle w:val="111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 xml:space="preserve">响应无效</w:t>
      </w:r>
      <w:r>
        <w:rPr>
          <w:sz w:val="24"/>
        </w:rPr>
        <w:t xml:space="preserve">。</w:t>
      </w:r>
      <w:r>
        <w:rPr>
          <w:sz w:val="24"/>
        </w:rPr>
      </w:r>
      <w:r/>
    </w:p>
    <w:p>
      <w:pPr>
        <w:pStyle w:val="111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除竞争性磋商文件有特殊要求外，本项目磋商所使用的计量单位，应采用中华人民共和国法定计量单位。</w:t>
      </w:r>
      <w:r>
        <w:rPr>
          <w:sz w:val="24"/>
        </w:rPr>
      </w:r>
      <w:r/>
    </w:p>
    <w:p>
      <w:pPr>
        <w:pStyle w:val="111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sz w:val="24"/>
        </w:rPr>
      </w:r>
      <w:r/>
    </w:p>
    <w:p>
      <w:pPr>
        <w:pStyle w:val="1118"/>
        <w:numPr>
          <w:ilvl w:val="0"/>
          <w:numId w:val="8"/>
        </w:numPr>
        <w:ind w:left="357" w:hanging="357"/>
        <w:spacing w:line="360" w:lineRule="auto"/>
        <w:tabs>
          <w:tab w:val="left" w:pos="360" w:leader="none"/>
          <w:tab w:val="left" w:pos="900" w:leader="none"/>
        </w:tabs>
        <w:rPr>
          <w:sz w:val="24"/>
        </w:rPr>
        <w:outlineLvl w:val="1"/>
      </w:pPr>
      <w:r/>
      <w:bookmarkStart w:id="227" w:name="_Toc150774733"/>
      <w:r/>
      <w:bookmarkStart w:id="228" w:name="_Toc226337224"/>
      <w:r/>
      <w:bookmarkStart w:id="229" w:name="_Toc164229223"/>
      <w:r/>
      <w:bookmarkStart w:id="230" w:name="_Toc164229369"/>
      <w:r/>
      <w:bookmarkStart w:id="231" w:name="_Toc226965801"/>
      <w:r/>
      <w:bookmarkStart w:id="232" w:name="_Toc151193842"/>
      <w:r/>
      <w:bookmarkStart w:id="233" w:name="_Toc264969218"/>
      <w:r/>
      <w:bookmarkStart w:id="234" w:name="_Ref467306676"/>
      <w:r/>
      <w:bookmarkStart w:id="235" w:name="_Toc516367022"/>
      <w:r/>
      <w:bookmarkStart w:id="236" w:name="_Ref467306195"/>
      <w:r/>
      <w:bookmarkStart w:id="237" w:name="_Toc150509279"/>
      <w:r/>
      <w:bookmarkStart w:id="238" w:name="_Toc164351622"/>
      <w:r/>
      <w:bookmarkStart w:id="239" w:name="_Toc164608797"/>
      <w:r/>
      <w:bookmarkStart w:id="240" w:name="_Toc150774628"/>
      <w:r/>
      <w:bookmarkStart w:id="241" w:name="_Toc127151729"/>
      <w:r/>
      <w:bookmarkStart w:id="242" w:name="_Toc151193698"/>
      <w:r/>
      <w:bookmarkStart w:id="243" w:name="_Toc150480766"/>
      <w:r/>
      <w:bookmarkStart w:id="244" w:name="_Toc305158870"/>
      <w:r/>
      <w:bookmarkStart w:id="245" w:name="_Toc265228366"/>
      <w:r/>
      <w:bookmarkStart w:id="246" w:name="_Toc226965718"/>
      <w:r/>
      <w:bookmarkStart w:id="247" w:name="_Toc127161442"/>
      <w:r/>
      <w:bookmarkStart w:id="248" w:name="_Toc164608642"/>
      <w:r/>
      <w:bookmarkStart w:id="249" w:name="_Toc149720821"/>
      <w:r/>
      <w:bookmarkStart w:id="250" w:name="_Toc127151528"/>
      <w:r/>
      <w:bookmarkStart w:id="251" w:name="_Toc520356152"/>
      <w:r/>
      <w:bookmarkStart w:id="252" w:name="_Toc151193916"/>
      <w:r/>
      <w:bookmarkStart w:id="253" w:name="_Toc151190155"/>
      <w:r/>
      <w:bookmarkStart w:id="254" w:name="_Toc195842893"/>
      <w:r/>
      <w:bookmarkStart w:id="255" w:name="_Toc151193770"/>
      <w:r/>
      <w:bookmarkStart w:id="256" w:name="_Toc151193626"/>
      <w:r/>
      <w:bookmarkStart w:id="257" w:name="_Toc226309772"/>
      <w:r/>
      <w:bookmarkStart w:id="258" w:name="_Toc142311030"/>
      <w:r/>
      <w:bookmarkStart w:id="259" w:name="_Toc305158796"/>
      <w:r>
        <w:rPr>
          <w:sz w:val="24"/>
        </w:rPr>
        <w:t xml:space="preserve">响应文件</w:t>
      </w:r>
      <w:bookmarkEnd w:id="234"/>
      <w:r/>
      <w:bookmarkEnd w:id="235"/>
      <w:r/>
      <w:bookmarkEnd w:id="236"/>
      <w:r>
        <w:rPr>
          <w:sz w:val="24"/>
        </w:rPr>
        <w:t xml:space="preserve">构成</w:t>
      </w:r>
      <w:bookmarkEnd w:id="227"/>
      <w:r/>
      <w:bookmarkEnd w:id="228"/>
      <w:r/>
      <w:bookmarkEnd w:id="229"/>
      <w:r/>
      <w:bookmarkEnd w:id="230"/>
      <w:r/>
      <w:bookmarkEnd w:id="231"/>
      <w:r/>
      <w:bookmarkEnd w:id="232"/>
      <w:r/>
      <w:bookmarkEnd w:id="233"/>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rPr>
          <w:sz w:val="24"/>
        </w:rPr>
      </w:r>
      <w:r/>
    </w:p>
    <w:p>
      <w:pPr>
        <w:pStyle w:val="1118"/>
        <w:numPr>
          <w:ilvl w:val="1"/>
          <w:numId w:val="8"/>
        </w:numPr>
        <w:ind w:left="1077" w:hanging="720"/>
        <w:spacing w:line="360" w:lineRule="auto"/>
        <w:tabs>
          <w:tab w:val="left" w:pos="1080" w:leader="none"/>
          <w:tab w:val="left" w:pos="1589" w:leader="none"/>
          <w:tab w:val="left" w:pos="2014" w:leader="none"/>
        </w:tabs>
        <w:rPr>
          <w:sz w:val="24"/>
        </w:rPr>
      </w:pPr>
      <w:r/>
      <w:bookmarkStart w:id="260" w:name="_Ref467052588"/>
      <w:r>
        <w:rPr>
          <w:sz w:val="24"/>
        </w:rPr>
        <w:t xml:space="preserve">供应商应当按照竞争性磋商文件的要求编制响应文件，</w:t>
      </w:r>
      <w:r>
        <w:rPr>
          <w:sz w:val="24"/>
        </w:rPr>
        <w:t xml:space="preserve">并对其提交的响应文件的真实性、合法性承担法律责任</w:t>
      </w:r>
      <w:r>
        <w:rPr>
          <w:sz w:val="24"/>
        </w:rPr>
        <w:t xml:space="preserve">。响应文件的部分格式要求，见第六章《响应文件格式》。</w:t>
      </w:r>
      <w:r>
        <w:rPr>
          <w:sz w:val="24"/>
        </w:rPr>
      </w:r>
      <w:r/>
    </w:p>
    <w:p>
      <w:pPr>
        <w:pStyle w:val="111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对于竞争性磋商文件中标记了“实质性格式”文件的，</w:t>
      </w:r>
      <w:r>
        <w:rPr>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111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第三章《评审方法和评审标准》中涉及的证明文件。</w:t>
      </w:r>
      <w:r>
        <w:rPr>
          <w:sz w:val="24"/>
        </w:rPr>
      </w:r>
      <w:r/>
    </w:p>
    <w:p>
      <w:pPr>
        <w:pStyle w:val="111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sz w:val="24"/>
        </w:rPr>
      </w:r>
      <w:r/>
    </w:p>
    <w:p>
      <w:pPr>
        <w:pStyle w:val="111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供应商认为应附的其他材料。</w:t>
      </w:r>
      <w:bookmarkEnd w:id="260"/>
      <w:r>
        <w:rPr>
          <w:sz w:val="24"/>
        </w:rPr>
      </w:r>
      <w:r/>
    </w:p>
    <w:p>
      <w:pPr>
        <w:pStyle w:val="1118"/>
        <w:numPr>
          <w:ilvl w:val="0"/>
          <w:numId w:val="8"/>
        </w:numPr>
        <w:ind w:left="357" w:hanging="357"/>
        <w:spacing w:line="360" w:lineRule="auto"/>
        <w:tabs>
          <w:tab w:val="left" w:pos="360" w:leader="none"/>
          <w:tab w:val="left" w:pos="900" w:leader="none"/>
        </w:tabs>
        <w:rPr>
          <w:sz w:val="24"/>
        </w:rPr>
        <w:outlineLvl w:val="1"/>
      </w:pPr>
      <w:r/>
      <w:bookmarkStart w:id="261" w:name="_Toc150509281"/>
      <w:r/>
      <w:bookmarkStart w:id="262" w:name="_Toc164229371"/>
      <w:r/>
      <w:bookmarkStart w:id="263" w:name="_Toc151193918"/>
      <w:r/>
      <w:bookmarkStart w:id="264" w:name="_Toc150774735"/>
      <w:r/>
      <w:bookmarkStart w:id="265" w:name="_Toc150774630"/>
      <w:r/>
      <w:bookmarkStart w:id="266" w:name="_Toc164608799"/>
      <w:r/>
      <w:bookmarkStart w:id="267" w:name="_Toc151193844"/>
      <w:r/>
      <w:bookmarkStart w:id="268" w:name="_Toc164608644"/>
      <w:r/>
      <w:bookmarkStart w:id="269" w:name="_Toc127161444"/>
      <w:r/>
      <w:bookmarkStart w:id="270" w:name="_Toc150480768"/>
      <w:r/>
      <w:bookmarkStart w:id="271" w:name="_Toc149720823"/>
      <w:r/>
      <w:bookmarkStart w:id="272" w:name="_Toc151193628"/>
      <w:r/>
      <w:bookmarkStart w:id="273" w:name="_Toc142311032"/>
      <w:r/>
      <w:bookmarkStart w:id="274" w:name="_Toc151193772"/>
      <w:r/>
      <w:bookmarkStart w:id="275" w:name="_Toc151193700"/>
      <w:r/>
      <w:bookmarkStart w:id="276" w:name="_Toc195842895"/>
      <w:r/>
      <w:bookmarkStart w:id="277" w:name="_Toc127151731"/>
      <w:r/>
      <w:bookmarkStart w:id="278" w:name="_Toc520356155"/>
      <w:r/>
      <w:bookmarkStart w:id="279" w:name="_Toc151190157"/>
      <w:r/>
      <w:bookmarkStart w:id="280" w:name="_Toc164351624"/>
      <w:r/>
      <w:bookmarkStart w:id="281" w:name="_Toc164229225"/>
      <w:r/>
      <w:bookmarkStart w:id="282" w:name="_Toc127151530"/>
      <w:r>
        <w:rPr>
          <w:sz w:val="24"/>
        </w:rPr>
        <w:t xml:space="preserve">报价</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Pr>
          <w:sz w:val="24"/>
        </w:rPr>
      </w:r>
      <w:r/>
    </w:p>
    <w:p>
      <w:pPr>
        <w:pStyle w:val="111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所有响应均以人民币报价。</w:t>
      </w:r>
      <w:r>
        <w:rPr>
          <w:sz w:val="24"/>
        </w:rPr>
      </w:r>
      <w:r/>
    </w:p>
    <w:p>
      <w:pPr>
        <w:pStyle w:val="1118"/>
        <w:numPr>
          <w:ilvl w:val="1"/>
          <w:numId w:val="8"/>
        </w:numPr>
        <w:spacing w:line="360" w:lineRule="auto"/>
        <w:tabs>
          <w:tab w:val="left" w:pos="1080" w:leader="none"/>
          <w:tab w:val="left" w:pos="1589" w:leader="none"/>
        </w:tabs>
        <w:rPr>
          <w:sz w:val="24"/>
        </w:rPr>
      </w:pPr>
      <w:r>
        <w:rPr>
          <w:sz w:val="24"/>
        </w:rPr>
        <w:t xml:space="preserve">供应商的报价应包括为完成本项目所发生的一切费用和税费，采购人将不再支付报价以外的任何费用。</w:t>
      </w:r>
      <w:r>
        <w:rPr>
          <w:rFonts w:hint="eastAsia"/>
          <w:sz w:val="24"/>
        </w:rPr>
        <w:t xml:space="preserve">供应商的报价应包括但不限于下列内容，《供应商须知资料表》中有特殊规定的，从其规定。</w:t>
      </w:r>
      <w:r>
        <w:rPr>
          <w:sz w:val="24"/>
        </w:rPr>
      </w:r>
      <w:r/>
    </w:p>
    <w:p>
      <w:pPr>
        <w:pStyle w:val="1118"/>
        <w:numPr>
          <w:ilvl w:val="2"/>
          <w:numId w:val="8"/>
        </w:numPr>
        <w:spacing w:line="360" w:lineRule="auto"/>
        <w:tabs>
          <w:tab w:val="left" w:pos="1980" w:leader="none"/>
        </w:tabs>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sz w:val="24"/>
        </w:rPr>
      </w:r>
      <w:r/>
    </w:p>
    <w:p>
      <w:pPr>
        <w:pStyle w:val="1118"/>
        <w:numPr>
          <w:ilvl w:val="2"/>
          <w:numId w:val="8"/>
        </w:numPr>
        <w:spacing w:line="360" w:lineRule="auto"/>
        <w:tabs>
          <w:tab w:val="left" w:pos="1980" w:leader="none"/>
        </w:tabs>
        <w:rPr>
          <w:sz w:val="24"/>
        </w:rPr>
      </w:pPr>
      <w:r>
        <w:rPr>
          <w:sz w:val="24"/>
        </w:rPr>
        <w:t xml:space="preserve">按照竞争性磋商文件要求完成本项</w:t>
      </w:r>
      <w:r>
        <w:rPr>
          <w:rFonts w:hint="eastAsia"/>
          <w:sz w:val="24"/>
        </w:rPr>
        <w:t xml:space="preserve">目的全部相关工程或服务费用。</w:t>
      </w:r>
      <w:r>
        <w:rPr>
          <w:sz w:val="24"/>
        </w:rPr>
      </w:r>
      <w:r/>
    </w:p>
    <w:p>
      <w:pPr>
        <w:pStyle w:val="111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111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供应商不能提供任何有选择性或可调整的最终报价（</w:t>
      </w:r>
      <w:r>
        <w:rPr>
          <w:color w:val="000000"/>
          <w:sz w:val="24"/>
        </w:rPr>
        <w:t xml:space="preserve">竞争性磋商文件</w:t>
      </w:r>
      <w:r>
        <w:rPr>
          <w:sz w:val="24"/>
        </w:rPr>
        <w:t xml:space="preserve">另有规定的除外），否则其</w:t>
      </w:r>
      <w:r>
        <w:rPr>
          <w:b/>
          <w:sz w:val="24"/>
        </w:rPr>
        <w:t xml:space="preserve">响应无效</w:t>
      </w:r>
      <w:r>
        <w:rPr>
          <w:sz w:val="24"/>
        </w:rPr>
        <w:t xml:space="preserve">。</w:t>
      </w:r>
      <w:r>
        <w:rPr>
          <w:sz w:val="24"/>
        </w:rPr>
      </w:r>
      <w:r/>
    </w:p>
    <w:p>
      <w:pPr>
        <w:pStyle w:val="1118"/>
        <w:ind w:firstLine="241"/>
        <w:spacing w:line="360" w:lineRule="auto"/>
        <w:tabs>
          <w:tab w:val="left" w:pos="1080" w:leader="none"/>
          <w:tab w:val="left" w:pos="2014" w:leader="none"/>
        </w:tabs>
        <w:rPr>
          <w:rFonts w:ascii="宋体" w:hAnsi="宋体" w:cs="宋体"/>
          <w:b/>
          <w:bCs/>
          <w:sz w:val="24"/>
          <w:highlight w:val="none"/>
        </w:rPr>
      </w:pPr>
      <w:r>
        <w:rPr>
          <w:rFonts w:hint="eastAsia" w:ascii="宋体" w:hAnsi="宋体" w:cs="宋体"/>
          <w:b/>
          <w:bCs/>
          <w:sz w:val="24"/>
          <w:highlight w:val="none"/>
          <w:lang w:val="en-US" w:eastAsia="zh-CN"/>
        </w:rPr>
        <w:t xml:space="preserve">10.5   </w:t>
      </w:r>
      <w:r>
        <w:rPr>
          <w:rFonts w:ascii="宋体" w:hAnsi="宋体" w:cs="宋体"/>
          <w:b/>
          <w:bCs/>
          <w:sz w:val="24"/>
          <w:highlight w:val="none"/>
        </w:rPr>
        <w:t xml:space="preserve">评审过程中出现下列情形之一的，</w:t>
      </w:r>
      <w:r>
        <w:rPr>
          <w:rFonts w:hint="eastAsia" w:ascii="宋体" w:hAnsi="宋体" w:eastAsia="宋体" w:cs="宋体"/>
          <w:b/>
          <w:bCs/>
          <w:sz w:val="24"/>
          <w:highlight w:val="none"/>
          <w:lang w:val="en-US" w:eastAsia="zh-CN"/>
        </w:rPr>
        <w:t xml:space="preserve">磋商小组会</w:t>
      </w:r>
      <w:r>
        <w:rPr>
          <w:rFonts w:ascii="宋体" w:hAnsi="宋体" w:cs="宋体"/>
          <w:b/>
          <w:bCs/>
          <w:sz w:val="24"/>
          <w:highlight w:val="none"/>
        </w:rPr>
        <w:t xml:space="preserve">应当动异常低价响应审查程序： </w:t>
      </w:r>
      <w:r>
        <w:rPr>
          <w:rFonts w:ascii="宋体" w:hAnsi="宋体" w:cs="宋体"/>
          <w:b/>
          <w:bCs/>
          <w:sz w:val="24"/>
          <w:highlight w:val="none"/>
        </w:rPr>
      </w:r>
      <w:r/>
    </w:p>
    <w:p>
      <w:pPr>
        <w:pStyle w:val="1118"/>
        <w:ind w:firstLine="241"/>
        <w:spacing w:line="360" w:lineRule="auto"/>
        <w:tabs>
          <w:tab w:val="left" w:pos="1080" w:leader="none"/>
          <w:tab w:val="left" w:pos="2014" w:leader="none"/>
        </w:tabs>
        <w:rPr>
          <w:rFonts w:ascii="宋体" w:hAnsi="宋体" w:eastAsia="宋体" w:cs="宋体"/>
          <w:b/>
          <w:bCs/>
          <w:sz w:val="24"/>
          <w:highlight w:val="none"/>
        </w:rPr>
      </w:pPr>
      <w:r>
        <w:rPr>
          <w:rFonts w:hint="eastAsia" w:ascii="宋体" w:hAnsi="宋体" w:eastAsia="宋体" w:cs="宋体"/>
          <w:b/>
          <w:bCs/>
          <w:sz w:val="24"/>
          <w:highlight w:val="none"/>
          <w:lang w:val="en-US" w:eastAsia="zh-CN"/>
        </w:rPr>
        <w:t xml:space="preserve">10.5.1投标报价低于全部通过符合性审查供应商投标报价平均值50%的，即投标报价&lt;全部通过符合性审查供应商投标报价平均值×50%；</w:t>
      </w:r>
      <w:r>
        <w:rPr>
          <w:rFonts w:ascii="宋体" w:hAnsi="宋体" w:eastAsia="宋体" w:cs="宋体"/>
          <w:b/>
          <w:bCs/>
          <w:sz w:val="24"/>
          <w:highlight w:val="none"/>
        </w:rPr>
      </w:r>
      <w:r/>
    </w:p>
    <w:p>
      <w:pPr>
        <w:pStyle w:val="1118"/>
        <w:ind w:firstLine="241"/>
        <w:spacing w:line="360" w:lineRule="auto"/>
        <w:tabs>
          <w:tab w:val="left" w:pos="1080" w:leader="none"/>
          <w:tab w:val="left" w:pos="2014" w:leader="none"/>
        </w:tabs>
        <w:rPr>
          <w:rFonts w:ascii="宋体" w:hAnsi="宋体" w:eastAsia="宋体" w:cs="宋体"/>
          <w:b/>
          <w:bCs/>
          <w:sz w:val="24"/>
          <w:highlight w:val="none"/>
        </w:rPr>
      </w:pPr>
      <w:r>
        <w:rPr>
          <w:rFonts w:hint="eastAsia" w:ascii="宋体" w:hAnsi="宋体" w:eastAsia="宋体" w:cs="宋体"/>
          <w:b/>
          <w:bCs/>
          <w:sz w:val="24"/>
          <w:highlight w:val="none"/>
          <w:lang w:val="en-US" w:eastAsia="zh-CN"/>
        </w:rPr>
        <w:t xml:space="preserve">10.5.2投标报价低于通过符合性审查的次低报价供应商投标报价50%的，即投标报价&lt;通过符合性审查的次低报价供应商投标报价×50%；</w:t>
      </w:r>
      <w:r>
        <w:rPr>
          <w:rFonts w:ascii="宋体" w:hAnsi="宋体" w:eastAsia="宋体" w:cs="宋体"/>
          <w:b/>
          <w:bCs/>
          <w:sz w:val="24"/>
          <w:highlight w:val="none"/>
        </w:rPr>
      </w:r>
      <w:r/>
    </w:p>
    <w:p>
      <w:pPr>
        <w:pStyle w:val="1118"/>
        <w:ind w:firstLine="241"/>
        <w:spacing w:line="360" w:lineRule="auto"/>
        <w:tabs>
          <w:tab w:val="left" w:pos="1080" w:leader="none"/>
          <w:tab w:val="left" w:pos="2014" w:leader="none"/>
        </w:tabs>
        <w:rPr>
          <w:rFonts w:ascii="宋体" w:hAnsi="宋体" w:eastAsia="宋体" w:cs="宋体"/>
          <w:b/>
          <w:bCs/>
          <w:sz w:val="24"/>
          <w:highlight w:val="none"/>
        </w:rPr>
      </w:pPr>
      <w:r>
        <w:rPr>
          <w:rFonts w:hint="eastAsia" w:ascii="宋体" w:hAnsi="宋体" w:eastAsia="宋体" w:cs="宋体"/>
          <w:b/>
          <w:bCs/>
          <w:sz w:val="24"/>
          <w:highlight w:val="none"/>
          <w:lang w:val="en-US" w:eastAsia="zh-CN"/>
        </w:rPr>
        <w:t xml:space="preserve">10.5.3投标报价低于采购项目最高限价45%的，即投标报价&lt;采购项目最高限价×45%；</w:t>
      </w:r>
      <w:r>
        <w:rPr>
          <w:rFonts w:ascii="宋体" w:hAnsi="宋体" w:eastAsia="宋体" w:cs="宋体"/>
          <w:b/>
          <w:bCs/>
          <w:sz w:val="24"/>
          <w:highlight w:val="none"/>
        </w:rPr>
      </w:r>
      <w:r/>
    </w:p>
    <w:p>
      <w:pPr>
        <w:pStyle w:val="1118"/>
        <w:ind w:firstLine="241"/>
        <w:spacing w:line="360" w:lineRule="auto"/>
        <w:tabs>
          <w:tab w:val="left" w:pos="1080" w:leader="none"/>
          <w:tab w:val="left" w:pos="2014" w:leader="none"/>
        </w:tabs>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10.5.4磋商小组基于专业判断，认为供应商报价过低，有可能影响产品质量或者不能诚信履约的其他情形。</w:t>
      </w:r>
      <w:r>
        <w:rPr>
          <w:rFonts w:hint="eastAsia" w:ascii="宋体" w:hAnsi="宋体" w:eastAsia="宋体" w:cs="宋体"/>
          <w:b/>
          <w:bCs/>
          <w:sz w:val="24"/>
          <w:highlight w:val="none"/>
          <w:lang w:val="en-US" w:eastAsia="zh-CN"/>
        </w:rPr>
      </w:r>
      <w:r/>
    </w:p>
    <w:p>
      <w:pPr>
        <w:pStyle w:val="1118"/>
        <w:ind w:firstLine="482"/>
        <w:spacing w:line="360" w:lineRule="auto"/>
        <w:tabs>
          <w:tab w:val="left" w:pos="1080" w:leader="none"/>
          <w:tab w:val="left" w:pos="2014" w:leader="none"/>
        </w:tabs>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磋商小组启动异常低价投标审查后，属于前述10.5.1至10.5.4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10.5.3项情形，供应商已随响应文件一并提交相关书面说明及必要的证明材料的，在评审现场可不再重复提交。</w:t>
      </w:r>
      <w:r>
        <w:rPr>
          <w:rFonts w:hint="eastAsia" w:ascii="宋体" w:hAnsi="宋体" w:eastAsia="宋体" w:cs="宋体"/>
          <w:b/>
          <w:bCs/>
          <w:sz w:val="24"/>
          <w:highlight w:val="none"/>
          <w:lang w:val="en-US" w:eastAsia="zh-CN"/>
        </w:rPr>
      </w:r>
      <w:r/>
    </w:p>
    <w:p>
      <w:pPr>
        <w:pStyle w:val="1118"/>
        <w:ind w:firstLine="482"/>
        <w:spacing w:line="360" w:lineRule="auto"/>
        <w:tabs>
          <w:tab w:val="left" w:pos="1080" w:leader="none"/>
          <w:tab w:val="left" w:pos="2014" w:leader="none"/>
        </w:tabs>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磋商小组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无效投标处理。</w:t>
      </w:r>
      <w:r>
        <w:rPr>
          <w:rFonts w:hint="eastAsia" w:ascii="宋体" w:hAnsi="宋体" w:eastAsia="宋体" w:cs="宋体"/>
          <w:b/>
          <w:bCs/>
          <w:sz w:val="24"/>
          <w:highlight w:val="none"/>
          <w:lang w:val="en-US" w:eastAsia="zh-CN"/>
        </w:rPr>
      </w:r>
      <w:r/>
    </w:p>
    <w:p>
      <w:pPr>
        <w:pStyle w:val="1302"/>
      </w:pPr>
      <w:r>
        <w:rPr>
          <w:rFonts w:hint="eastAsia" w:ascii="宋体" w:hAnsi="宋体" w:eastAsia="宋体" w:cs="宋体"/>
          <w:b/>
          <w:bCs/>
          <w:sz w:val="24"/>
          <w:highlight w:val="none"/>
          <w:lang w:val="en-US" w:eastAsia="zh-CN"/>
        </w:rPr>
        <w:t xml:space="preserve">具体详见《关于推动解决政府采购异常低价问题的通知》财库〔2026〕2号</w:t>
      </w:r>
      <w:r/>
    </w:p>
    <w:p>
      <w:pPr>
        <w:pStyle w:val="1118"/>
        <w:numPr>
          <w:ilvl w:val="0"/>
          <w:numId w:val="8"/>
        </w:numPr>
        <w:ind w:left="357" w:hanging="357"/>
        <w:spacing w:line="360" w:lineRule="auto"/>
        <w:tabs>
          <w:tab w:val="left" w:pos="360" w:leader="none"/>
          <w:tab w:val="left" w:pos="900" w:leader="none"/>
        </w:tabs>
        <w:rPr>
          <w:sz w:val="24"/>
        </w:rPr>
        <w:outlineLvl w:val="1"/>
      </w:pPr>
      <w:r>
        <w:rPr>
          <w:sz w:val="24"/>
        </w:rPr>
        <w:t xml:space="preserve">磋商保证金</w:t>
      </w:r>
      <w:r>
        <w:rPr>
          <w:sz w:val="24"/>
        </w:rPr>
      </w:r>
      <w:r/>
    </w:p>
    <w:p>
      <w:pPr>
        <w:pStyle w:val="1118"/>
        <w:ind w:firstLine="360"/>
        <w:spacing w:line="360" w:lineRule="auto"/>
        <w:tabs>
          <w:tab w:val="left" w:pos="360" w:leader="none"/>
        </w:tabs>
        <w:rPr>
          <w:sz w:val="24"/>
        </w:rPr>
        <w:outlineLvl w:val="1"/>
      </w:pPr>
      <w:r>
        <w:rPr>
          <w:rFonts w:hint="eastAsia"/>
          <w:sz w:val="24"/>
        </w:rPr>
        <w:t xml:space="preserve">根据江苏省和常州市的相关文件规定，免收保证金。</w:t>
      </w:r>
      <w:r>
        <w:rPr>
          <w:sz w:val="24"/>
        </w:rPr>
      </w:r>
      <w:r/>
    </w:p>
    <w:p>
      <w:pPr>
        <w:pStyle w:val="1118"/>
        <w:numPr>
          <w:ilvl w:val="0"/>
          <w:numId w:val="8"/>
        </w:numPr>
        <w:ind w:left="357" w:hanging="357"/>
        <w:spacing w:line="360" w:lineRule="auto"/>
        <w:tabs>
          <w:tab w:val="left" w:pos="360" w:leader="none"/>
          <w:tab w:val="left" w:pos="900" w:leader="none"/>
        </w:tabs>
        <w:rPr>
          <w:sz w:val="24"/>
        </w:rPr>
        <w:outlineLvl w:val="1"/>
      </w:pPr>
      <w:r>
        <w:rPr>
          <w:sz w:val="24"/>
        </w:rPr>
        <w:t xml:space="preserve">响应有效期</w:t>
      </w:r>
      <w:r>
        <w:rPr>
          <w:sz w:val="24"/>
        </w:rPr>
      </w:r>
      <w:r/>
    </w:p>
    <w:p>
      <w:pPr>
        <w:pStyle w:val="111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响应文件应在本竞争性磋商文件《供应商须知资料表》中规定的响应有效期内保持有效，响应有效期少于竞争性磋商文件规定期限的，其</w:t>
      </w:r>
      <w:r>
        <w:rPr>
          <w:b/>
          <w:sz w:val="24"/>
        </w:rPr>
        <w:t xml:space="preserve">响应无效</w:t>
      </w:r>
      <w:r>
        <w:rPr>
          <w:sz w:val="24"/>
        </w:rPr>
        <w:t xml:space="preserve">。</w:t>
      </w:r>
      <w:r>
        <w:rPr>
          <w:sz w:val="24"/>
        </w:rPr>
      </w:r>
      <w:r/>
    </w:p>
    <w:p>
      <w:pPr>
        <w:pStyle w:val="1118"/>
        <w:numPr>
          <w:ilvl w:val="0"/>
          <w:numId w:val="8"/>
        </w:numPr>
        <w:ind w:left="357" w:hanging="357"/>
        <w:spacing w:line="360" w:lineRule="auto"/>
        <w:tabs>
          <w:tab w:val="left" w:pos="360" w:leader="none"/>
          <w:tab w:val="left" w:pos="900" w:leader="none"/>
        </w:tabs>
        <w:rPr>
          <w:sz w:val="24"/>
        </w:rPr>
        <w:outlineLvl w:val="1"/>
      </w:pPr>
      <w:r/>
      <w:bookmarkStart w:id="283" w:name="_Toc226337229"/>
      <w:r/>
      <w:bookmarkStart w:id="284" w:name="_Toc305158875"/>
      <w:r/>
      <w:bookmarkStart w:id="285" w:name="_Toc305158801"/>
      <w:r/>
      <w:bookmarkStart w:id="286" w:name="_Toc164229374"/>
      <w:r/>
      <w:bookmarkStart w:id="287" w:name="_Toc127151734"/>
      <w:r/>
      <w:bookmarkStart w:id="288" w:name="_Toc150509284"/>
      <w:r/>
      <w:bookmarkStart w:id="289" w:name="_Toc164229228"/>
      <w:r/>
      <w:bookmarkStart w:id="290" w:name="_Toc151193847"/>
      <w:r/>
      <w:bookmarkStart w:id="291" w:name="_Toc164351627"/>
      <w:r/>
      <w:bookmarkStart w:id="292" w:name="_Toc151190160"/>
      <w:r/>
      <w:bookmarkStart w:id="293" w:name="_Toc151193703"/>
      <w:r/>
      <w:bookmarkStart w:id="294" w:name="_Toc265228371"/>
      <w:r/>
      <w:bookmarkStart w:id="295" w:name="_Toc195842898"/>
      <w:r/>
      <w:bookmarkStart w:id="296" w:name="_Toc150774738"/>
      <w:r/>
      <w:bookmarkStart w:id="297" w:name="_Toc150774633"/>
      <w:r/>
      <w:bookmarkStart w:id="298" w:name="_Toc149720826"/>
      <w:r/>
      <w:bookmarkStart w:id="299" w:name="_Toc226309777"/>
      <w:r/>
      <w:bookmarkStart w:id="300" w:name="_Toc520356158"/>
      <w:r/>
      <w:bookmarkStart w:id="301" w:name="_Toc127151533"/>
      <w:r/>
      <w:bookmarkStart w:id="302" w:name="_Toc264969223"/>
      <w:r/>
      <w:bookmarkStart w:id="303" w:name="_Toc226965806"/>
      <w:r/>
      <w:bookmarkStart w:id="304" w:name="_Toc151193775"/>
      <w:r/>
      <w:bookmarkStart w:id="305" w:name="_Toc151193631"/>
      <w:r/>
      <w:bookmarkStart w:id="306" w:name="_Toc226965723"/>
      <w:r/>
      <w:bookmarkStart w:id="307" w:name="_Toc164608802"/>
      <w:r/>
      <w:bookmarkStart w:id="308" w:name="_Toc151193921"/>
      <w:r/>
      <w:bookmarkStart w:id="309" w:name="_Toc150480771"/>
      <w:r/>
      <w:bookmarkStart w:id="310" w:name="_Toc164608647"/>
      <w:r/>
      <w:bookmarkStart w:id="311" w:name="_Toc127161447"/>
      <w:r/>
      <w:bookmarkStart w:id="312" w:name="_Toc142311035"/>
      <w:r>
        <w:rPr>
          <w:sz w:val="24"/>
        </w:rPr>
        <w:t xml:space="preserve">响应文件的签署</w:t>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rPr>
          <w:sz w:val="24"/>
        </w:rPr>
        <w:t xml:space="preserve">、盖章</w:t>
      </w:r>
      <w:r>
        <w:rPr>
          <w:sz w:val="24"/>
        </w:rPr>
      </w:r>
      <w:r/>
    </w:p>
    <w:p>
      <w:pPr>
        <w:pStyle w:val="1118"/>
        <w:numPr>
          <w:ilvl w:val="1"/>
          <w:numId w:val="8"/>
        </w:numPr>
        <w:spacing w:line="360" w:lineRule="auto"/>
        <w:tabs>
          <w:tab w:val="left" w:pos="1080" w:leader="none"/>
          <w:tab w:val="left" w:pos="1589" w:leader="none"/>
        </w:tabs>
        <w:rPr>
          <w:sz w:val="24"/>
        </w:rPr>
      </w:pPr>
      <w:r/>
      <w:bookmarkStart w:id="313" w:name="_Toc150774739"/>
      <w:r/>
      <w:bookmarkStart w:id="314" w:name="_Toc226965724"/>
      <w:r/>
      <w:bookmarkStart w:id="315" w:name="_Toc142311036"/>
      <w:r/>
      <w:bookmarkStart w:id="316" w:name="_Toc150774634"/>
      <w:r/>
      <w:bookmarkStart w:id="317" w:name="_Toc127151534"/>
      <w:r/>
      <w:bookmarkStart w:id="318" w:name="_Toc151193704"/>
      <w:r/>
      <w:bookmarkStart w:id="319" w:name="_Toc150480772"/>
      <w:r/>
      <w:bookmarkStart w:id="320" w:name="_Toc226965807"/>
      <w:r/>
      <w:bookmarkStart w:id="321" w:name="_Toc226337230"/>
      <w:r/>
      <w:bookmarkStart w:id="322" w:name="_Toc520356159"/>
      <w:r/>
      <w:bookmarkStart w:id="323" w:name="_Toc226309778"/>
      <w:r/>
      <w:bookmarkStart w:id="324" w:name="_Toc151193848"/>
      <w:r/>
      <w:bookmarkStart w:id="325" w:name="_Toc305158802"/>
      <w:r/>
      <w:bookmarkStart w:id="326" w:name="_Toc305158876"/>
      <w:r/>
      <w:bookmarkStart w:id="327" w:name="_Toc265228372"/>
      <w:r/>
      <w:bookmarkStart w:id="328" w:name="_Toc151190161"/>
      <w:r/>
      <w:bookmarkStart w:id="329" w:name="_Toc150509285"/>
      <w:r/>
      <w:bookmarkStart w:id="330" w:name="_Toc151193632"/>
      <w:r/>
      <w:bookmarkStart w:id="331" w:name="_Toc151193776"/>
      <w:r/>
      <w:bookmarkStart w:id="332" w:name="_Toc195842899"/>
      <w:r/>
      <w:bookmarkStart w:id="333" w:name="_Toc264969224"/>
      <w:r/>
      <w:bookmarkStart w:id="334" w:name="_Toc151193922"/>
      <w:r>
        <w:rPr>
          <w:sz w:val="24"/>
        </w:rPr>
        <w:t xml:space="preserve">竞争性磋商文件要求签字的内容（如授权委托书等），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第三方出具的盖章件原件（如联合协议、分包意向协议、制造商授权书原件等），响应文件中应使用原件的电子件。</w:t>
      </w:r>
      <w:r>
        <w:rPr>
          <w:sz w:val="24"/>
        </w:rPr>
      </w:r>
      <w:r/>
    </w:p>
    <w:p>
      <w:pPr>
        <w:pStyle w:val="111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竞争性磋商文件要求盖章的内容，</w:t>
      </w:r>
      <w:r>
        <w:rPr>
          <w:rFonts w:hint="eastAsia"/>
          <w:sz w:val="24"/>
        </w:rPr>
        <w:t xml:space="preserve">一般</w:t>
      </w:r>
      <w:r>
        <w:rPr>
          <w:sz w:val="24"/>
        </w:rPr>
        <w:t xml:space="preserve">通过投标文件编制工具加盖电子签章。</w:t>
      </w:r>
      <w:r>
        <w:rPr>
          <w:sz w:val="24"/>
        </w:rPr>
      </w:r>
      <w:r/>
    </w:p>
    <w:p>
      <w:pPr>
        <w:pStyle w:val="1118"/>
        <w:ind w:left="357"/>
        <w:spacing w:line="360" w:lineRule="auto"/>
        <w:tabs>
          <w:tab w:val="left" w:pos="900" w:leader="none"/>
          <w:tab w:val="left" w:pos="1080" w:leader="none"/>
        </w:tabs>
      </w:pPr>
      <w:r/>
      <w:r/>
    </w:p>
    <w:p>
      <w:pPr>
        <w:pStyle w:val="1120"/>
        <w:spacing w:before="0" w:line="360" w:lineRule="auto"/>
        <w:rPr>
          <w:rFonts w:ascii="Times New Roman" w:hAnsi="Times New Roman" w:eastAsia="宋体"/>
          <w:sz w:val="28"/>
        </w:rPr>
      </w:pPr>
      <w:r>
        <w:rPr>
          <w:rFonts w:ascii="Times New Roman" w:hAnsi="Times New Roman" w:eastAsia="宋体"/>
          <w:sz w:val="28"/>
        </w:rPr>
        <w:t xml:space="preserve">四   响应文件的提交</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Pr>
          <w:rFonts w:ascii="Times New Roman" w:hAnsi="Times New Roman" w:eastAsia="宋体"/>
          <w:sz w:val="28"/>
        </w:rPr>
      </w:r>
      <w:r/>
    </w:p>
    <w:p>
      <w:pPr>
        <w:pStyle w:val="1118"/>
        <w:numPr>
          <w:ilvl w:val="0"/>
          <w:numId w:val="8"/>
        </w:numPr>
        <w:ind w:left="357" w:hanging="357"/>
        <w:spacing w:line="360" w:lineRule="auto"/>
        <w:tabs>
          <w:tab w:val="left" w:pos="360" w:leader="none"/>
          <w:tab w:val="left" w:pos="900" w:leader="none"/>
        </w:tabs>
        <w:rPr>
          <w:sz w:val="24"/>
        </w:rPr>
        <w:outlineLvl w:val="1"/>
      </w:pPr>
      <w:r/>
      <w:bookmarkStart w:id="335" w:name="_Toc520356160"/>
      <w:r/>
      <w:bookmarkStart w:id="336" w:name="_Toc226965808"/>
      <w:r/>
      <w:bookmarkStart w:id="337" w:name="_Toc127161449"/>
      <w:r/>
      <w:bookmarkStart w:id="338" w:name="_Toc264969225"/>
      <w:r/>
      <w:bookmarkStart w:id="339" w:name="_Toc151193777"/>
      <w:r/>
      <w:bookmarkStart w:id="340" w:name="_Toc164608649"/>
      <w:r/>
      <w:bookmarkStart w:id="341" w:name="_Toc151193923"/>
      <w:r/>
      <w:bookmarkStart w:id="342" w:name="_Toc265228373"/>
      <w:r/>
      <w:bookmarkStart w:id="343" w:name="_Toc164229376"/>
      <w:r/>
      <w:bookmarkStart w:id="344" w:name="_Toc226337231"/>
      <w:r/>
      <w:bookmarkStart w:id="345" w:name="_Toc164608804"/>
      <w:r/>
      <w:bookmarkStart w:id="346" w:name="_Toc149720828"/>
      <w:r/>
      <w:bookmarkStart w:id="347" w:name="_Toc150509286"/>
      <w:r/>
      <w:bookmarkStart w:id="348" w:name="_Toc305158803"/>
      <w:r/>
      <w:bookmarkStart w:id="349" w:name="_Toc305158877"/>
      <w:r/>
      <w:bookmarkStart w:id="350" w:name="_Toc151193705"/>
      <w:r/>
      <w:bookmarkStart w:id="351" w:name="_Toc151193849"/>
      <w:r/>
      <w:bookmarkStart w:id="352" w:name="_Toc127151535"/>
      <w:r/>
      <w:bookmarkStart w:id="353" w:name="_Toc142311037"/>
      <w:r/>
      <w:bookmarkStart w:id="354" w:name="_Toc151193633"/>
      <w:r/>
      <w:bookmarkStart w:id="355" w:name="_Toc164229230"/>
      <w:r/>
      <w:bookmarkStart w:id="356" w:name="_Toc150774635"/>
      <w:r/>
      <w:bookmarkStart w:id="357" w:name="_Toc226309779"/>
      <w:r/>
      <w:bookmarkStart w:id="358" w:name="_Toc226965725"/>
      <w:r/>
      <w:bookmarkStart w:id="359" w:name="_Toc151190162"/>
      <w:r/>
      <w:bookmarkStart w:id="360" w:name="_Toc195842900"/>
      <w:r/>
      <w:bookmarkStart w:id="361" w:name="_Toc127151736"/>
      <w:r/>
      <w:bookmarkStart w:id="362" w:name="_Toc150774740"/>
      <w:r/>
      <w:bookmarkStart w:id="363" w:name="_Toc150480773"/>
      <w:r/>
      <w:bookmarkStart w:id="364" w:name="_Toc164351629"/>
      <w:r>
        <w:rPr>
          <w:sz w:val="24"/>
        </w:rPr>
        <w:t xml:space="preserve">响应文件的</w:t>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rPr>
          <w:sz w:val="24"/>
        </w:rPr>
        <w:t xml:space="preserve">提交</w:t>
      </w:r>
      <w:r>
        <w:rPr>
          <w:sz w:val="24"/>
        </w:rPr>
      </w:r>
      <w:r/>
    </w:p>
    <w:p>
      <w:pPr>
        <w:pStyle w:val="111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本项目使用</w:t>
      </w:r>
      <w:r>
        <w:rPr>
          <w:rFonts w:hint="eastAsia"/>
          <w:sz w:val="24"/>
        </w:rPr>
        <w:t xml:space="preserve">“苏采云”政府采购一体化平台</w:t>
      </w:r>
      <w:r>
        <w:rPr>
          <w:sz w:val="24"/>
        </w:rPr>
        <w:t xml:space="preserve">。供应商根据竞争性磋商文件及</w:t>
      </w:r>
      <w:r>
        <w:rPr>
          <w:rFonts w:hint="eastAsia"/>
          <w:sz w:val="24"/>
        </w:rPr>
        <w:t xml:space="preserve">“苏采云”政府采购一体化平台</w:t>
      </w:r>
      <w:r>
        <w:rPr>
          <w:sz w:val="24"/>
        </w:rPr>
        <w:t xml:space="preserve">供应商操作手册要求编制、生成并提交电子响应文件。</w:t>
      </w:r>
      <w:r>
        <w:rPr>
          <w:sz w:val="24"/>
        </w:rPr>
      </w:r>
      <w:r/>
    </w:p>
    <w:p>
      <w:pPr>
        <w:pStyle w:val="111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采购人及采购代理机构拒绝接受通过电子交易平台以外任何形式提交的响应文件，磋商保证金除外。</w:t>
      </w:r>
      <w:r>
        <w:rPr>
          <w:sz w:val="24"/>
        </w:rPr>
      </w:r>
      <w:r/>
    </w:p>
    <w:p>
      <w:pPr>
        <w:pStyle w:val="1118"/>
        <w:numPr>
          <w:ilvl w:val="0"/>
          <w:numId w:val="8"/>
        </w:numPr>
        <w:ind w:left="357" w:hanging="357"/>
        <w:spacing w:line="360" w:lineRule="auto"/>
        <w:tabs>
          <w:tab w:val="left" w:pos="360" w:leader="none"/>
          <w:tab w:val="left" w:pos="900" w:leader="none"/>
        </w:tabs>
        <w:rPr>
          <w:sz w:val="24"/>
        </w:rPr>
        <w:outlineLvl w:val="1"/>
      </w:pPr>
      <w:r/>
      <w:bookmarkStart w:id="365" w:name="_Toc151193924"/>
      <w:r/>
      <w:bookmarkStart w:id="366" w:name="_Toc265228374"/>
      <w:r/>
      <w:bookmarkStart w:id="367" w:name="_Toc264969226"/>
      <w:r/>
      <w:bookmarkStart w:id="368" w:name="_Toc164229377"/>
      <w:r/>
      <w:bookmarkStart w:id="369" w:name="_Toc520356161"/>
      <w:r/>
      <w:bookmarkStart w:id="370" w:name="_Toc127161450"/>
      <w:r/>
      <w:bookmarkStart w:id="371" w:name="_Toc150509287"/>
      <w:r/>
      <w:bookmarkStart w:id="372" w:name="_Toc127151536"/>
      <w:r/>
      <w:bookmarkStart w:id="373" w:name="_Toc226965809"/>
      <w:r/>
      <w:bookmarkStart w:id="374" w:name="_Toc149720829"/>
      <w:r/>
      <w:bookmarkStart w:id="375" w:name="_Toc150480774"/>
      <w:r/>
      <w:bookmarkStart w:id="376" w:name="_Toc127151737"/>
      <w:r/>
      <w:bookmarkStart w:id="377" w:name="_Toc151193706"/>
      <w:r/>
      <w:bookmarkStart w:id="378" w:name="_Toc226337232"/>
      <w:r/>
      <w:bookmarkStart w:id="379" w:name="_Toc151193778"/>
      <w:r/>
      <w:bookmarkStart w:id="380" w:name="_Toc164351630"/>
      <w:r/>
      <w:bookmarkStart w:id="381" w:name="_Toc150774741"/>
      <w:r/>
      <w:bookmarkStart w:id="382" w:name="_Toc151190163"/>
      <w:r/>
      <w:bookmarkStart w:id="383" w:name="_Toc142311038"/>
      <w:r/>
      <w:bookmarkStart w:id="384" w:name="_Toc151193850"/>
      <w:r/>
      <w:bookmarkStart w:id="385" w:name="_Toc164608650"/>
      <w:r/>
      <w:bookmarkStart w:id="386" w:name="_Toc151193634"/>
      <w:r/>
      <w:bookmarkStart w:id="387" w:name="_Toc226965726"/>
      <w:r/>
      <w:bookmarkStart w:id="388" w:name="_Toc195842901"/>
      <w:r/>
      <w:bookmarkStart w:id="389" w:name="_Toc305158804"/>
      <w:r/>
      <w:bookmarkStart w:id="390" w:name="_Toc226309780"/>
      <w:r/>
      <w:bookmarkStart w:id="391" w:name="_Toc305158878"/>
      <w:r/>
      <w:bookmarkStart w:id="392" w:name="_Toc150774636"/>
      <w:r/>
      <w:bookmarkStart w:id="393" w:name="_Toc164608805"/>
      <w:r/>
      <w:bookmarkStart w:id="394" w:name="_Toc164229231"/>
      <w:r>
        <w:rPr>
          <w:sz w:val="24"/>
        </w:rPr>
        <w:t xml:space="preserve">响应文件截止</w:t>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Pr>
          <w:sz w:val="24"/>
        </w:rPr>
        <w:t xml:space="preserve">时间</w:t>
      </w:r>
      <w:r>
        <w:rPr>
          <w:sz w:val="24"/>
        </w:rPr>
      </w:r>
      <w:r/>
    </w:p>
    <w:p>
      <w:pPr>
        <w:pStyle w:val="111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供应商应在竞争性磋商文件要求提交响应文件截止时间前，将电子响应文件提交至</w:t>
      </w:r>
      <w:r>
        <w:rPr>
          <w:rFonts w:hint="eastAsia"/>
          <w:sz w:val="24"/>
        </w:rPr>
        <w:t xml:space="preserve">“苏采云”政府采购一体化平台</w:t>
      </w:r>
      <w:r>
        <w:rPr>
          <w:sz w:val="24"/>
        </w:rPr>
        <w:t xml:space="preserve">。</w:t>
      </w:r>
      <w:r>
        <w:rPr>
          <w:sz w:val="24"/>
        </w:rPr>
      </w:r>
      <w:r/>
    </w:p>
    <w:p>
      <w:pPr>
        <w:pStyle w:val="1118"/>
        <w:numPr>
          <w:ilvl w:val="0"/>
          <w:numId w:val="8"/>
        </w:numPr>
        <w:ind w:left="357" w:hanging="357"/>
        <w:spacing w:line="360" w:lineRule="auto"/>
        <w:tabs>
          <w:tab w:val="left" w:pos="360" w:leader="none"/>
          <w:tab w:val="left" w:pos="900" w:leader="none"/>
        </w:tabs>
        <w:rPr>
          <w:sz w:val="24"/>
        </w:rPr>
        <w:outlineLvl w:val="1"/>
      </w:pPr>
      <w:r/>
      <w:bookmarkStart w:id="395" w:name="_Toc151193779"/>
      <w:r/>
      <w:bookmarkStart w:id="396" w:name="_Toc520356162"/>
      <w:r/>
      <w:bookmarkStart w:id="397" w:name="_Toc226309781"/>
      <w:r/>
      <w:bookmarkStart w:id="398" w:name="_Toc142311039"/>
      <w:r/>
      <w:bookmarkStart w:id="399" w:name="_Toc265228375"/>
      <w:r/>
      <w:bookmarkStart w:id="400" w:name="_Toc127161451"/>
      <w:r/>
      <w:bookmarkStart w:id="401" w:name="_Toc264969227"/>
      <w:r/>
      <w:bookmarkStart w:id="402" w:name="_Toc226965810"/>
      <w:r/>
      <w:bookmarkStart w:id="403" w:name="_Toc150480775"/>
      <w:r/>
      <w:bookmarkStart w:id="404" w:name="_Toc164608651"/>
      <w:r/>
      <w:bookmarkStart w:id="405" w:name="_Toc127151537"/>
      <w:r/>
      <w:bookmarkStart w:id="406" w:name="_Toc151193707"/>
      <w:r/>
      <w:bookmarkStart w:id="407" w:name="_Toc127151738"/>
      <w:r/>
      <w:bookmarkStart w:id="408" w:name="_Toc305158879"/>
      <w:r/>
      <w:bookmarkStart w:id="409" w:name="_Toc151193925"/>
      <w:r/>
      <w:bookmarkStart w:id="410" w:name="_Toc164608806"/>
      <w:r/>
      <w:bookmarkStart w:id="411" w:name="_Toc195842902"/>
      <w:r/>
      <w:bookmarkStart w:id="412" w:name="_Toc226965727"/>
      <w:r/>
      <w:bookmarkStart w:id="413" w:name="_Toc226337233"/>
      <w:r/>
      <w:bookmarkStart w:id="414" w:name="_Toc151193851"/>
      <w:r/>
      <w:bookmarkStart w:id="415" w:name="_Toc150509288"/>
      <w:r/>
      <w:bookmarkStart w:id="416" w:name="_Toc151193635"/>
      <w:r/>
      <w:bookmarkStart w:id="417" w:name="_Toc164229232"/>
      <w:r/>
      <w:bookmarkStart w:id="418" w:name="_Toc150774742"/>
      <w:r/>
      <w:bookmarkStart w:id="419" w:name="_Toc164351631"/>
      <w:r/>
      <w:bookmarkStart w:id="420" w:name="_Toc305158805"/>
      <w:r/>
      <w:bookmarkStart w:id="421" w:name="_Toc150774637"/>
      <w:r/>
      <w:bookmarkStart w:id="422" w:name="_Toc151190164"/>
      <w:r/>
      <w:bookmarkStart w:id="423" w:name="_Toc164229378"/>
      <w:r/>
      <w:bookmarkStart w:id="424" w:name="_Toc149720830"/>
      <w:r>
        <w:rPr>
          <w:sz w:val="24"/>
        </w:rPr>
        <w:t xml:space="preserve">响应文件的修改与撤回</w:t>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rPr>
          <w:sz w:val="24"/>
        </w:rPr>
      </w:r>
      <w:r/>
    </w:p>
    <w:p>
      <w:pPr>
        <w:pStyle w:val="111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提交响应文件截止时间前，供应商可以通过电子交易平台对所提交的响应文件进行补充、修改或者撤回。</w:t>
      </w:r>
      <w:r>
        <w:rPr>
          <w:color w:val="000000"/>
          <w:sz w:val="24"/>
        </w:rPr>
        <w:t xml:space="preserve">磋商保证金</w:t>
      </w:r>
      <w:r>
        <w:rPr>
          <w:rFonts w:hint="eastAsia"/>
          <w:color w:val="000000"/>
          <w:sz w:val="24"/>
        </w:rPr>
        <w:t xml:space="preserve">的</w:t>
      </w:r>
      <w:r>
        <w:rPr>
          <w:color w:val="000000"/>
          <w:sz w:val="24"/>
        </w:rPr>
        <w:t xml:space="preserve">补充、修改或者撤回</w:t>
      </w:r>
      <w:r>
        <w:rPr>
          <w:rFonts w:hint="eastAsia"/>
          <w:sz w:val="24"/>
        </w:rPr>
        <w:t xml:space="preserve">无需</w:t>
      </w:r>
      <w:r>
        <w:rPr>
          <w:sz w:val="24"/>
        </w:rPr>
        <w:t xml:space="preserve">通过电子交易平台</w:t>
      </w:r>
      <w:r>
        <w:rPr>
          <w:rFonts w:hint="eastAsia"/>
          <w:sz w:val="24"/>
        </w:rPr>
        <w:t xml:space="preserve">，</w:t>
      </w:r>
      <w:r>
        <w:rPr>
          <w:sz w:val="24"/>
        </w:rPr>
        <w:t xml:space="preserve">但应</w:t>
      </w:r>
      <w:r>
        <w:rPr>
          <w:rFonts w:hint="eastAsia"/>
          <w:sz w:val="24"/>
        </w:rPr>
        <w:t xml:space="preserve">就其</w:t>
      </w:r>
      <w:r>
        <w:rPr>
          <w:sz w:val="24"/>
        </w:rPr>
        <w:t xml:space="preserve">补充、修改或者撤回</w:t>
      </w:r>
      <w:r>
        <w:rPr>
          <w:rFonts w:hint="eastAsia"/>
          <w:sz w:val="24"/>
        </w:rPr>
        <w:t xml:space="preserve">通知</w:t>
      </w:r>
      <w:r>
        <w:rPr>
          <w:sz w:val="24"/>
        </w:rPr>
        <w:t xml:space="preserve">采购人或采购代理机构</w:t>
      </w:r>
      <w:r>
        <w:rPr>
          <w:color w:val="000000"/>
          <w:sz w:val="24"/>
        </w:rPr>
        <w:t xml:space="preserve">。</w:t>
      </w:r>
      <w:r>
        <w:rPr>
          <w:sz w:val="24"/>
        </w:rPr>
      </w:r>
      <w:r/>
    </w:p>
    <w:p>
      <w:pPr>
        <w:pStyle w:val="111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供应商对响应文件的补充、修改的内容应当按照竞争性磋商文件要求签署、盖章，作为响应文件的组成部分。</w:t>
      </w:r>
      <w:r>
        <w:rPr>
          <w:sz w:val="24"/>
        </w:rPr>
        <w:t xml:space="preserve">补充、修改的内容与响应文件不一致的，以补充、修改的内容为准。</w:t>
      </w:r>
      <w:r>
        <w:rPr>
          <w:sz w:val="24"/>
        </w:rPr>
      </w:r>
      <w:r/>
    </w:p>
    <w:p>
      <w:pPr>
        <w:pStyle w:val="1118"/>
        <w:ind w:left="357"/>
        <w:spacing w:line="360" w:lineRule="auto"/>
        <w:tabs>
          <w:tab w:val="left" w:pos="900" w:leader="none"/>
          <w:tab w:val="left" w:pos="1080" w:leader="none"/>
          <w:tab w:val="left" w:pos="1589" w:leader="none"/>
        </w:tabs>
        <w:rPr>
          <w:sz w:val="24"/>
        </w:rPr>
      </w:pPr>
      <w:r>
        <w:rPr>
          <w:sz w:val="24"/>
        </w:rPr>
      </w:r>
      <w:r/>
    </w:p>
    <w:p>
      <w:pPr>
        <w:pStyle w:val="1120"/>
        <w:spacing w:before="0" w:line="360" w:lineRule="auto"/>
        <w:rPr>
          <w:rFonts w:ascii="Times New Roman" w:hAnsi="Times New Roman" w:eastAsia="宋体"/>
          <w:sz w:val="28"/>
        </w:rPr>
      </w:pPr>
      <w:r/>
      <w:bookmarkStart w:id="425" w:name="_Toc151193708"/>
      <w:r/>
      <w:bookmarkStart w:id="426" w:name="_Toc150509289"/>
      <w:r/>
      <w:bookmarkStart w:id="427" w:name="_Toc226309782"/>
      <w:r/>
      <w:bookmarkStart w:id="428" w:name="_Toc150480776"/>
      <w:r/>
      <w:bookmarkStart w:id="429" w:name="_Toc151193780"/>
      <w:r/>
      <w:bookmarkStart w:id="430" w:name="_Toc265228376"/>
      <w:r/>
      <w:bookmarkStart w:id="431" w:name="_Toc305158880"/>
      <w:r/>
      <w:bookmarkStart w:id="432" w:name="_Toc151190165"/>
      <w:r/>
      <w:bookmarkStart w:id="433" w:name="_Toc195842903"/>
      <w:r/>
      <w:bookmarkStart w:id="434" w:name="_Toc151193852"/>
      <w:r/>
      <w:bookmarkStart w:id="435" w:name="_Toc127151538"/>
      <w:r/>
      <w:bookmarkStart w:id="436" w:name="_Toc142311040"/>
      <w:r/>
      <w:bookmarkStart w:id="437" w:name="_Toc305158806"/>
      <w:r/>
      <w:bookmarkStart w:id="438" w:name="_Toc151193636"/>
      <w:r/>
      <w:bookmarkStart w:id="439" w:name="_Toc264969228"/>
      <w:r/>
      <w:bookmarkStart w:id="440" w:name="_Toc150774743"/>
      <w:r/>
      <w:bookmarkStart w:id="441" w:name="_Toc226965811"/>
      <w:r/>
      <w:bookmarkStart w:id="442" w:name="_Toc151193926"/>
      <w:r/>
      <w:bookmarkStart w:id="443" w:name="_Toc226965728"/>
      <w:r/>
      <w:bookmarkStart w:id="444" w:name="_Toc520356163"/>
      <w:r/>
      <w:bookmarkStart w:id="445" w:name="_Toc226337234"/>
      <w:r/>
      <w:bookmarkStart w:id="446" w:name="_Toc150774638"/>
      <w:r>
        <w:rPr>
          <w:rFonts w:ascii="Times New Roman" w:hAnsi="Times New Roman" w:eastAsia="宋体"/>
          <w:sz w:val="28"/>
        </w:rPr>
        <w:t xml:space="preserve">五   </w:t>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rPr>
          <w:rFonts w:ascii="Times New Roman" w:hAnsi="Times New Roman" w:eastAsia="宋体"/>
          <w:sz w:val="28"/>
        </w:rPr>
        <w:t xml:space="preserve">评审</w:t>
      </w:r>
      <w:r>
        <w:rPr>
          <w:rFonts w:ascii="Times New Roman" w:hAnsi="Times New Roman" w:eastAsia="宋体"/>
          <w:sz w:val="28"/>
        </w:rPr>
      </w:r>
      <w:r/>
    </w:p>
    <w:p>
      <w:pPr>
        <w:pStyle w:val="1118"/>
        <w:numPr>
          <w:ilvl w:val="0"/>
          <w:numId w:val="8"/>
        </w:numPr>
        <w:ind w:left="357" w:hanging="357"/>
        <w:spacing w:line="360" w:lineRule="auto"/>
        <w:tabs>
          <w:tab w:val="left" w:pos="360" w:leader="none"/>
          <w:tab w:val="left" w:pos="900" w:leader="none"/>
        </w:tabs>
        <w:rPr>
          <w:sz w:val="24"/>
        </w:rPr>
        <w:outlineLvl w:val="1"/>
      </w:pPr>
      <w:r>
        <w:rPr>
          <w:sz w:val="24"/>
        </w:rPr>
        <w:t xml:space="preserve">响应文件的</w:t>
      </w:r>
      <w:r>
        <w:rPr>
          <w:rFonts w:hint="eastAsia"/>
          <w:sz w:val="24"/>
        </w:rPr>
        <w:t xml:space="preserve">解密与</w:t>
      </w:r>
      <w:r>
        <w:rPr>
          <w:sz w:val="24"/>
        </w:rPr>
        <w:t xml:space="preserve">开启</w:t>
      </w:r>
      <w:r>
        <w:rPr>
          <w:sz w:val="24"/>
        </w:rPr>
      </w:r>
      <w:r/>
    </w:p>
    <w:p>
      <w:pPr>
        <w:pStyle w:val="111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采购人或采购代理机构将按竞争性磋商文件的规定，在响应文件提交截止时间的同一时间和竞争性磋商文件预先确定的地点开启响应文件。</w:t>
      </w:r>
      <w:r>
        <w:rPr>
          <w:sz w:val="24"/>
        </w:rPr>
      </w:r>
      <w:r/>
    </w:p>
    <w:p>
      <w:pPr>
        <w:pStyle w:val="111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本项目</w:t>
      </w:r>
      <w:r>
        <w:rPr>
          <w:rFonts w:ascii="宋体" w:hAnsi="宋体"/>
          <w:sz w:val="24"/>
        </w:rPr>
        <w:t xml:space="preserve">采用不见面招</w:t>
      </w:r>
      <w:r>
        <w:rPr>
          <w:rFonts w:hint="eastAsia" w:ascii="宋体" w:hAnsi="宋体"/>
          <w:sz w:val="24"/>
        </w:rPr>
        <w:t xml:space="preserve">交易</w:t>
      </w:r>
      <w:r>
        <w:rPr>
          <w:rFonts w:ascii="宋体" w:hAnsi="宋体"/>
          <w:sz w:val="24"/>
        </w:rPr>
        <w:t xml:space="preserve">模式</w:t>
      </w:r>
      <w:r>
        <w:rPr>
          <w:rFonts w:hint="eastAsia" w:ascii="宋体" w:hAnsi="宋体"/>
          <w:sz w:val="24"/>
        </w:rPr>
        <w:t xml:space="preserve">，</w:t>
      </w:r>
      <w:r>
        <w:rPr>
          <w:sz w:val="24"/>
        </w:rPr>
        <w:t xml:space="preserve">使用</w:t>
      </w:r>
      <w:r>
        <w:rPr>
          <w:rFonts w:hint="eastAsia"/>
          <w:sz w:val="24"/>
        </w:rPr>
        <w:t xml:space="preserve">“苏采云”政府采购一体化平台在线进行</w:t>
      </w:r>
      <w:r>
        <w:rPr>
          <w:sz w:val="24"/>
        </w:rPr>
        <w:t xml:space="preserve">解密。供应商应在规定的时间内对</w:t>
      </w:r>
      <w:r>
        <w:rPr>
          <w:rFonts w:hint="eastAsia"/>
          <w:sz w:val="24"/>
        </w:rPr>
        <w:t xml:space="preserve">响应</w:t>
      </w:r>
      <w:r>
        <w:rPr>
          <w:sz w:val="24"/>
        </w:rPr>
        <w:t xml:space="preserve">文件进行解密，因非系统原因导致的解密失败，视为</w:t>
      </w:r>
      <w:r>
        <w:rPr>
          <w:b/>
          <w:sz w:val="24"/>
        </w:rPr>
        <w:t xml:space="preserve">响应无效</w:t>
      </w:r>
      <w:r>
        <w:rPr>
          <w:sz w:val="24"/>
        </w:rPr>
        <w:t xml:space="preserve">。</w:t>
      </w:r>
      <w:r>
        <w:rPr>
          <w:sz w:val="24"/>
        </w:rPr>
      </w:r>
      <w:r/>
    </w:p>
    <w:p>
      <w:pPr>
        <w:pStyle w:val="111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供应商不足3家的，不予解密。</w:t>
      </w:r>
      <w:r>
        <w:rPr>
          <w:sz w:val="24"/>
        </w:rPr>
      </w:r>
      <w:r/>
    </w:p>
    <w:p>
      <w:pPr>
        <w:pStyle w:val="1118"/>
        <w:numPr>
          <w:ilvl w:val="1"/>
          <w:numId w:val="8"/>
        </w:numPr>
        <w:ind w:left="1077" w:hanging="720"/>
        <w:spacing w:line="360" w:lineRule="auto"/>
        <w:tabs>
          <w:tab w:val="left" w:pos="1080" w:leader="none"/>
          <w:tab w:val="left" w:pos="1589" w:leader="none"/>
          <w:tab w:val="left" w:pos="2014" w:leader="none"/>
        </w:tabs>
        <w:rPr>
          <w:rFonts w:hint="eastAsia"/>
          <w:sz w:val="24"/>
        </w:rPr>
      </w:pPr>
      <w:r/>
      <w:bookmarkStart w:id="447" w:name="_Toc520356165"/>
      <w:r>
        <w:rPr>
          <w:sz w:val="24"/>
        </w:rPr>
        <w:t xml:space="preserve">本项目不公开报价。</w:t>
      </w:r>
      <w:r>
        <w:rPr>
          <w:rFonts w:hint="eastAsia"/>
          <w:sz w:val="24"/>
        </w:rPr>
      </w:r>
      <w:r/>
    </w:p>
    <w:p>
      <w:pPr>
        <w:pStyle w:val="111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供应商须在开标前使用“验证CA”功能验证本地计算机的控件环境是否正常，并且在</w:t>
      </w:r>
      <w:r>
        <w:rPr>
          <w:rFonts w:hint="eastAsia"/>
          <w:sz w:val="24"/>
        </w:rPr>
        <w:t xml:space="preserve">解密、评审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，必须使用验证成功的计算机进行操作，否则造成相应后果由供应商自行承担。本地计算机</w:t>
      </w:r>
      <w:r>
        <w:rPr>
          <w:rFonts w:hint="eastAsia"/>
          <w:sz w:val="24"/>
        </w:rPr>
        <w:t xml:space="preserve">要求安装摄像头、麦克风和音箱，保持网络通畅。</w:t>
      </w:r>
      <w:r>
        <w:rPr>
          <w:sz w:val="24"/>
        </w:rPr>
      </w:r>
      <w:r/>
    </w:p>
    <w:p>
      <w:pPr>
        <w:pStyle w:val="1118"/>
        <w:numPr>
          <w:ilvl w:val="1"/>
          <w:numId w:val="8"/>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解密、评审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值守，及时对于系统或者磋商小组发出的指令和要求进行响应操作。如果因为无人值守造成不能及时回应系统或者磋商小组指令和要求从而导致影响开标、评审结果的，责任由供应商承担</w:t>
      </w:r>
      <w:r>
        <w:rPr>
          <w:sz w:val="24"/>
        </w:rPr>
        <w:t xml:space="preserve">。</w:t>
      </w:r>
      <w:r>
        <w:rPr>
          <w:rFonts w:hint="eastAsia"/>
          <w:sz w:val="24"/>
        </w:rPr>
      </w:r>
      <w:r/>
    </w:p>
    <w:p>
      <w:pPr>
        <w:pStyle w:val="1118"/>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“苏采云”政府采购一体化平台系统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r>
      <w:r/>
    </w:p>
    <w:p>
      <w:pPr>
        <w:pStyle w:val="1118"/>
        <w:numPr>
          <w:ilvl w:val="1"/>
          <w:numId w:val="8"/>
        </w:numPr>
        <w:ind w:left="1077" w:hanging="720"/>
        <w:spacing w:line="360" w:lineRule="auto"/>
        <w:tabs>
          <w:tab w:val="left" w:pos="1080" w:leader="none"/>
          <w:tab w:val="left" w:pos="1589" w:leader="none"/>
          <w:tab w:val="left" w:pos="2014" w:leader="none"/>
        </w:tabs>
        <w:rPr>
          <w:sz w:val="24"/>
        </w:rPr>
      </w:pP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1118"/>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1118"/>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1118"/>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1118"/>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1118"/>
        <w:ind w:firstLine="480"/>
        <w:spacing w:line="360" w:lineRule="auto"/>
        <w:tabs>
          <w:tab w:val="left" w:pos="993"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1118"/>
        <w:numPr>
          <w:ilvl w:val="0"/>
          <w:numId w:val="8"/>
        </w:numPr>
        <w:ind w:left="357" w:hanging="357"/>
        <w:spacing w:line="360" w:lineRule="auto"/>
        <w:tabs>
          <w:tab w:val="left" w:pos="360" w:leader="none"/>
          <w:tab w:val="left" w:pos="900" w:leader="none"/>
        </w:tabs>
        <w:rPr>
          <w:sz w:val="24"/>
        </w:rPr>
        <w:outlineLvl w:val="1"/>
      </w:pPr>
      <w:r/>
      <w:bookmarkEnd w:id="447"/>
      <w:r>
        <w:rPr>
          <w:sz w:val="24"/>
        </w:rPr>
        <w:t xml:space="preserve">磋商小组</w:t>
      </w:r>
      <w:r>
        <w:rPr>
          <w:sz w:val="24"/>
        </w:rPr>
      </w:r>
      <w:r/>
    </w:p>
    <w:p>
      <w:pPr>
        <w:pStyle w:val="111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磋商小组根据政府采购有关规定和本次采购项目的特点进行组建，并负责具体评审事务，独立履行职责。</w:t>
      </w:r>
      <w:bookmarkStart w:id="448" w:name="_Toc520356166"/>
      <w:r>
        <w:rPr>
          <w:sz w:val="24"/>
        </w:rPr>
      </w:r>
      <w:r/>
    </w:p>
    <w:p>
      <w:pPr>
        <w:pStyle w:val="111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448"/>
      <w:r/>
      <w:bookmarkStart w:id="449" w:name="_Toc520356169"/>
      <w:r>
        <w:rPr>
          <w:sz w:val="24"/>
        </w:rPr>
      </w:r>
      <w:r/>
    </w:p>
    <w:p>
      <w:pPr>
        <w:pStyle w:val="1118"/>
        <w:numPr>
          <w:ilvl w:val="0"/>
          <w:numId w:val="8"/>
        </w:numPr>
        <w:spacing w:line="360" w:lineRule="auto"/>
        <w:tabs>
          <w:tab w:val="left" w:pos="360" w:leader="none"/>
          <w:tab w:val="left" w:pos="900" w:leader="none"/>
        </w:tabs>
        <w:rPr>
          <w:sz w:val="24"/>
        </w:rPr>
        <w:outlineLvl w:val="1"/>
      </w:pPr>
      <w:r>
        <w:rPr>
          <w:sz w:val="24"/>
        </w:rPr>
        <w:t xml:space="preserve">评审方法和评审标准</w:t>
      </w:r>
      <w:r>
        <w:rPr>
          <w:sz w:val="24"/>
        </w:rPr>
      </w:r>
      <w:r/>
    </w:p>
    <w:p>
      <w:pPr>
        <w:pStyle w:val="111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见第三章《评审方法和评审标准》。</w:t>
      </w:r>
      <w:r>
        <w:rPr>
          <w:sz w:val="24"/>
        </w:rPr>
      </w:r>
      <w:r/>
    </w:p>
    <w:p>
      <w:pPr>
        <w:pStyle w:val="1118"/>
        <w:ind w:left="1080"/>
        <w:spacing w:line="360" w:lineRule="auto"/>
        <w:tabs>
          <w:tab w:val="left" w:pos="360" w:leader="none"/>
          <w:tab w:val="left" w:pos="1080" w:leader="none"/>
        </w:tabs>
        <w:rPr>
          <w:sz w:val="24"/>
        </w:rPr>
      </w:pPr>
      <w:r>
        <w:rPr>
          <w:sz w:val="24"/>
        </w:rPr>
      </w:r>
      <w:r/>
    </w:p>
    <w:p>
      <w:pPr>
        <w:pStyle w:val="1120"/>
        <w:spacing w:before="0" w:line="360" w:lineRule="auto"/>
        <w:rPr>
          <w:rFonts w:ascii="Times New Roman" w:hAnsi="Times New Roman" w:eastAsia="宋体"/>
          <w:sz w:val="28"/>
        </w:rPr>
      </w:pPr>
      <w:r/>
      <w:bookmarkStart w:id="450" w:name="_Toc127151545"/>
      <w:r/>
      <w:bookmarkStart w:id="451" w:name="_Toc264969235"/>
      <w:r/>
      <w:bookmarkStart w:id="452" w:name="_Toc142311047"/>
      <w:r/>
      <w:bookmarkStart w:id="453" w:name="_Toc151193933"/>
      <w:r/>
      <w:bookmarkStart w:id="454" w:name="_Toc151193715"/>
      <w:r/>
      <w:bookmarkStart w:id="455" w:name="_Toc151193643"/>
      <w:r/>
      <w:bookmarkStart w:id="456" w:name="_Toc226337241"/>
      <w:r/>
      <w:bookmarkStart w:id="457" w:name="_Toc226965818"/>
      <w:r/>
      <w:bookmarkStart w:id="458" w:name="_Toc150509296"/>
      <w:r/>
      <w:bookmarkStart w:id="459" w:name="_Toc195842910"/>
      <w:r/>
      <w:bookmarkStart w:id="460" w:name="_Toc226965735"/>
      <w:r/>
      <w:bookmarkStart w:id="461" w:name="_Toc265228383"/>
      <w:r/>
      <w:bookmarkStart w:id="462" w:name="_Toc305158887"/>
      <w:r/>
      <w:bookmarkStart w:id="463" w:name="_Toc226309789"/>
      <w:r/>
      <w:bookmarkStart w:id="464" w:name="_Toc150774750"/>
      <w:r/>
      <w:bookmarkStart w:id="465" w:name="_Toc151193787"/>
      <w:r/>
      <w:bookmarkStart w:id="466" w:name="_Toc150774645"/>
      <w:r/>
      <w:bookmarkStart w:id="467" w:name="_Toc150480783"/>
      <w:r/>
      <w:bookmarkStart w:id="468" w:name="_Toc151193859"/>
      <w:r/>
      <w:bookmarkStart w:id="469" w:name="_Toc151190172"/>
      <w:r/>
      <w:bookmarkStart w:id="470" w:name="_Toc305158813"/>
      <w:r>
        <w:rPr>
          <w:rFonts w:ascii="Times New Roman" w:hAnsi="Times New Roman" w:eastAsia="宋体"/>
          <w:sz w:val="28"/>
        </w:rPr>
        <w:t xml:space="preserve">六   </w:t>
      </w:r>
      <w:bookmarkEnd w:id="449"/>
      <w:r>
        <w:rPr>
          <w:rFonts w:ascii="Times New Roman" w:hAnsi="Times New Roman" w:eastAsia="宋体"/>
          <w:sz w:val="28"/>
        </w:rPr>
        <w:t xml:space="preserve">确定</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rPr>
          <w:rFonts w:ascii="Times New Roman" w:hAnsi="Times New Roman" w:eastAsia="宋体"/>
          <w:sz w:val="28"/>
        </w:rPr>
        <w:t xml:space="preserve">成交</w:t>
      </w:r>
      <w:r>
        <w:rPr>
          <w:rFonts w:ascii="Times New Roman" w:hAnsi="Times New Roman" w:eastAsia="宋体"/>
          <w:sz w:val="28"/>
        </w:rPr>
      </w:r>
      <w:r/>
    </w:p>
    <w:p>
      <w:pPr>
        <w:pStyle w:val="1118"/>
        <w:numPr>
          <w:ilvl w:val="0"/>
          <w:numId w:val="8"/>
        </w:numPr>
        <w:ind w:left="357" w:hanging="357"/>
        <w:spacing w:line="360" w:lineRule="auto"/>
        <w:tabs>
          <w:tab w:val="left" w:pos="360" w:leader="none"/>
          <w:tab w:val="left" w:pos="900" w:leader="none"/>
        </w:tabs>
        <w:rPr>
          <w:sz w:val="24"/>
        </w:rPr>
        <w:outlineLvl w:val="1"/>
      </w:pPr>
      <w:r/>
      <w:bookmarkStart w:id="471" w:name="_Toc164229242"/>
      <w:r/>
      <w:bookmarkStart w:id="472" w:name="_Toc305158815"/>
      <w:r/>
      <w:bookmarkStart w:id="473" w:name="_Toc127151547"/>
      <w:r/>
      <w:bookmarkStart w:id="474" w:name="_Toc195842912"/>
      <w:r/>
      <w:bookmarkStart w:id="475" w:name="_Toc150480785"/>
      <w:r/>
      <w:bookmarkStart w:id="476" w:name="_Toc127151748"/>
      <w:r/>
      <w:bookmarkStart w:id="477" w:name="_Toc164351641"/>
      <w:r/>
      <w:bookmarkStart w:id="478" w:name="_Toc265228385"/>
      <w:r/>
      <w:bookmarkStart w:id="479" w:name="_Toc151193935"/>
      <w:r/>
      <w:bookmarkStart w:id="480" w:name="_Toc226965737"/>
      <w:r/>
      <w:bookmarkStart w:id="481" w:name="_Toc226965820"/>
      <w:r/>
      <w:bookmarkStart w:id="482" w:name="_Toc164608661"/>
      <w:r/>
      <w:bookmarkStart w:id="483" w:name="_Toc305158889"/>
      <w:r/>
      <w:bookmarkStart w:id="484" w:name="_Toc150509298"/>
      <w:r/>
      <w:bookmarkStart w:id="485" w:name="_Toc150774752"/>
      <w:r/>
      <w:bookmarkStart w:id="486" w:name="_Toc149720840"/>
      <w:r/>
      <w:bookmarkStart w:id="487" w:name="_Toc264969237"/>
      <w:r/>
      <w:bookmarkStart w:id="488" w:name="_Toc151193717"/>
      <w:r/>
      <w:bookmarkStart w:id="489" w:name="_Toc151193861"/>
      <w:r/>
      <w:bookmarkStart w:id="490" w:name="_Toc226337243"/>
      <w:r/>
      <w:bookmarkStart w:id="491" w:name="_Toc226309791"/>
      <w:r/>
      <w:bookmarkStart w:id="492" w:name="_Toc164608816"/>
      <w:r/>
      <w:bookmarkStart w:id="493" w:name="_Toc151193645"/>
      <w:r/>
      <w:bookmarkStart w:id="494" w:name="_Toc127161461"/>
      <w:r/>
      <w:bookmarkStart w:id="495" w:name="_Toc150774647"/>
      <w:r/>
      <w:bookmarkStart w:id="496" w:name="_Toc142311049"/>
      <w:r/>
      <w:bookmarkStart w:id="497" w:name="_Toc151190174"/>
      <w:r/>
      <w:bookmarkStart w:id="498" w:name="_Toc164229388"/>
      <w:r/>
      <w:bookmarkStart w:id="499" w:name="_Toc151193789"/>
      <w:r>
        <w:rPr>
          <w:sz w:val="24"/>
        </w:rPr>
        <w:t xml:space="preserve">确定成交供应商</w:t>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rPr>
          <w:sz w:val="24"/>
        </w:rPr>
      </w:r>
      <w:r/>
    </w:p>
    <w:p>
      <w:pPr>
        <w:pStyle w:val="111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采购人将在收到评审报告后，从评审报告提出的成交候选供应商中，按照排序由高到低的原则确定成交供应商</w:t>
      </w:r>
      <w:r>
        <w:rPr>
          <w:rFonts w:hint="eastAsia"/>
          <w:sz w:val="24"/>
        </w:rPr>
        <w:t xml:space="preserve">。</w:t>
      </w:r>
      <w:r>
        <w:rPr>
          <w:sz w:val="24"/>
        </w:rPr>
        <w:t xml:space="preserve">成交候选人并列的，由采购人</w:t>
      </w:r>
      <w:r>
        <w:rPr>
          <w:rFonts w:hint="eastAsia"/>
          <w:sz w:val="24"/>
        </w:rPr>
        <w:t xml:space="preserve">依法</w:t>
      </w:r>
      <w:r>
        <w:rPr>
          <w:sz w:val="24"/>
        </w:rPr>
        <w:t xml:space="preserve">确定。</w:t>
      </w:r>
      <w:r>
        <w:rPr>
          <w:sz w:val="24"/>
        </w:rPr>
      </w:r>
      <w:r/>
    </w:p>
    <w:p>
      <w:pPr>
        <w:pStyle w:val="1118"/>
        <w:numPr>
          <w:ilvl w:val="0"/>
          <w:numId w:val="8"/>
        </w:numPr>
        <w:ind w:left="357" w:hanging="357"/>
        <w:spacing w:line="360" w:lineRule="auto"/>
        <w:tabs>
          <w:tab w:val="left" w:pos="360" w:leader="none"/>
          <w:tab w:val="left" w:pos="900" w:leader="none"/>
        </w:tabs>
        <w:rPr>
          <w:sz w:val="24"/>
        </w:rPr>
        <w:outlineLvl w:val="1"/>
      </w:pPr>
      <w:r/>
      <w:bookmarkStart w:id="500" w:name="_Toc150509300"/>
      <w:r/>
      <w:bookmarkStart w:id="501" w:name="_Toc127151750"/>
      <w:r/>
      <w:bookmarkStart w:id="502" w:name="_Toc265228387"/>
      <w:r/>
      <w:bookmarkStart w:id="503" w:name="_Toc151193647"/>
      <w:r/>
      <w:bookmarkStart w:id="504" w:name="_Toc226337245"/>
      <w:r/>
      <w:bookmarkStart w:id="505" w:name="_Toc164608818"/>
      <w:r/>
      <w:bookmarkStart w:id="506" w:name="_Toc142311051"/>
      <w:r/>
      <w:bookmarkStart w:id="507" w:name="_Toc151193719"/>
      <w:r/>
      <w:bookmarkStart w:id="508" w:name="_Toc226309793"/>
      <w:r/>
      <w:bookmarkStart w:id="509" w:name="_Toc226965739"/>
      <w:r/>
      <w:bookmarkStart w:id="510" w:name="_Toc151190176"/>
      <w:r/>
      <w:bookmarkStart w:id="511" w:name="_Toc151193863"/>
      <w:r/>
      <w:bookmarkStart w:id="512" w:name="_Toc151193937"/>
      <w:r/>
      <w:bookmarkStart w:id="513" w:name="_Toc164229390"/>
      <w:r/>
      <w:bookmarkStart w:id="514" w:name="_Toc149720842"/>
      <w:r/>
      <w:bookmarkStart w:id="515" w:name="_Toc226965822"/>
      <w:r/>
      <w:bookmarkStart w:id="516" w:name="_Toc164229244"/>
      <w:r/>
      <w:bookmarkStart w:id="517" w:name="_Toc150480787"/>
      <w:r/>
      <w:bookmarkStart w:id="518" w:name="_Toc127151549"/>
      <w:r/>
      <w:bookmarkStart w:id="519" w:name="_Toc150774649"/>
      <w:r/>
      <w:bookmarkStart w:id="520" w:name="_Toc151193791"/>
      <w:r/>
      <w:bookmarkStart w:id="521" w:name="_Toc520356176"/>
      <w:r/>
      <w:bookmarkStart w:id="522" w:name="_Ref467307090"/>
      <w:r/>
      <w:bookmarkStart w:id="523" w:name="_Ref467306425"/>
      <w:r/>
      <w:bookmarkStart w:id="524" w:name="_Toc305158817"/>
      <w:r/>
      <w:bookmarkStart w:id="525" w:name="_Toc305158891"/>
      <w:r/>
      <w:bookmarkStart w:id="526" w:name="_Toc264969239"/>
      <w:r/>
      <w:bookmarkStart w:id="527" w:name="_Toc127161463"/>
      <w:r/>
      <w:bookmarkStart w:id="528" w:name="_Toc195842914"/>
      <w:r/>
      <w:bookmarkStart w:id="529" w:name="_Toc164351643"/>
      <w:r/>
      <w:bookmarkStart w:id="530" w:name="_Toc150774754"/>
      <w:r/>
      <w:bookmarkStart w:id="531" w:name="_Toc164608663"/>
      <w:r>
        <w:rPr>
          <w:sz w:val="24"/>
        </w:rPr>
        <w:t xml:space="preserve">成交公告与成交通知书</w:t>
      </w:r>
      <w:bookmarkEnd w:id="524"/>
      <w:r/>
      <w:bookmarkEnd w:id="525"/>
      <w:r>
        <w:rPr>
          <w:sz w:val="24"/>
        </w:rPr>
      </w:r>
      <w:r/>
    </w:p>
    <w:p>
      <w:pPr>
        <w:pStyle w:val="111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采购人或采购代理机构将</w:t>
      </w:r>
      <w:r>
        <w:rPr>
          <w:sz w:val="24"/>
        </w:rPr>
        <w:t xml:space="preserve">在成交供应商确定后2个工作日内，在</w:t>
      </w:r>
      <w:r>
        <w:rPr>
          <w:rFonts w:hint="eastAsia"/>
          <w:sz w:val="24"/>
        </w:rPr>
        <w:t xml:space="preserve">常州市政府采购网</w:t>
      </w:r>
      <w:r>
        <w:rPr>
          <w:sz w:val="24"/>
        </w:rPr>
        <w:t xml:space="preserve">公告成交结果，同时向成交供应商发出成交通知书，</w:t>
      </w:r>
      <w:r>
        <w:rPr>
          <w:sz w:val="24"/>
        </w:rPr>
        <w:t xml:space="preserve">成交公告期限为1个工作日。</w:t>
      </w:r>
      <w:r>
        <w:rPr>
          <w:sz w:val="24"/>
        </w:rPr>
      </w:r>
      <w:r/>
    </w:p>
    <w:p>
      <w:pPr>
        <w:pStyle w:val="1118"/>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成交通知书是合同的组成部分，对采购人和成交供应商具有同等法律效力。成交通知书发出后，采购人改变成交结果的，或者成交供应商放弃成交项目的，将依法承担法律责任</w:t>
      </w:r>
      <w:r>
        <w:rPr>
          <w:rFonts w:hint="eastAsia"/>
          <w:sz w:val="24"/>
        </w:rPr>
        <w:t xml:space="preserve">。</w:t>
      </w:r>
      <w:r>
        <w:rPr>
          <w:sz w:val="24"/>
        </w:rPr>
      </w:r>
      <w:r/>
    </w:p>
    <w:p>
      <w:pPr>
        <w:pStyle w:val="1118"/>
        <w:numPr>
          <w:ilvl w:val="0"/>
          <w:numId w:val="8"/>
        </w:numPr>
        <w:ind w:left="357" w:hanging="357"/>
        <w:spacing w:line="360" w:lineRule="auto"/>
        <w:tabs>
          <w:tab w:val="left" w:pos="360" w:leader="none"/>
          <w:tab w:val="left" w:pos="900" w:leader="none"/>
        </w:tabs>
        <w:rPr>
          <w:sz w:val="24"/>
        </w:rPr>
        <w:outlineLvl w:val="1"/>
      </w:pPr>
      <w:r>
        <w:rPr>
          <w:sz w:val="24"/>
        </w:rPr>
        <w:t xml:space="preserve">终止</w:t>
      </w:r>
      <w:r>
        <w:rPr>
          <w:sz w:val="24"/>
        </w:rPr>
      </w:r>
      <w:r/>
    </w:p>
    <w:p>
      <w:pPr>
        <w:pStyle w:val="111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在采购中，出现下列情形之一的，采购人或采购代理机构将终止竞争性磋商采购活动，发布项目终止公告并说明原因，重新开展采购活动：</w:t>
      </w:r>
      <w:r>
        <w:rPr>
          <w:sz w:val="24"/>
        </w:rPr>
      </w:r>
      <w:r/>
    </w:p>
    <w:p>
      <w:pPr>
        <w:pStyle w:val="1118"/>
        <w:numPr>
          <w:ilvl w:val="2"/>
          <w:numId w:val="8"/>
        </w:numPr>
        <w:spacing w:line="360" w:lineRule="auto"/>
        <w:tabs>
          <w:tab w:val="left" w:pos="1980" w:leader="none"/>
        </w:tabs>
        <w:rPr>
          <w:sz w:val="24"/>
        </w:rPr>
      </w:pPr>
      <w:r>
        <w:rPr>
          <w:sz w:val="24"/>
        </w:rPr>
        <w:t xml:space="preserve">因情况变化，不再符合规定的竞争性磋商采购方式适用情形的；</w:t>
      </w:r>
      <w:r>
        <w:rPr>
          <w:sz w:val="24"/>
        </w:rPr>
      </w:r>
      <w:r/>
    </w:p>
    <w:p>
      <w:pPr>
        <w:pStyle w:val="1118"/>
        <w:numPr>
          <w:ilvl w:val="2"/>
          <w:numId w:val="8"/>
        </w:numPr>
        <w:spacing w:line="360" w:lineRule="auto"/>
        <w:tabs>
          <w:tab w:val="left" w:pos="1980" w:leader="none"/>
        </w:tabs>
        <w:rPr>
          <w:sz w:val="24"/>
        </w:rPr>
      </w:pPr>
      <w:r>
        <w:rPr>
          <w:sz w:val="24"/>
        </w:rPr>
        <w:t xml:space="preserve">出现影响采购公正的违法、违规行为的；</w:t>
      </w:r>
      <w:r>
        <w:rPr>
          <w:sz w:val="24"/>
        </w:rPr>
      </w:r>
      <w:r/>
    </w:p>
    <w:p>
      <w:pPr>
        <w:pStyle w:val="1118"/>
        <w:numPr>
          <w:ilvl w:val="2"/>
          <w:numId w:val="8"/>
        </w:numPr>
        <w:spacing w:line="360" w:lineRule="auto"/>
        <w:tabs>
          <w:tab w:val="left" w:pos="1980" w:leader="none"/>
        </w:tabs>
        <w:rPr>
          <w:rFonts w:hint="eastAsia"/>
          <w:sz w:val="24"/>
        </w:rPr>
      </w:pPr>
      <w:r>
        <w:rPr>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sz w:val="24"/>
        </w:rPr>
      </w:r>
      <w:r/>
    </w:p>
    <w:p>
      <w:pPr>
        <w:pStyle w:val="1118"/>
        <w:numPr>
          <w:ilvl w:val="2"/>
          <w:numId w:val="8"/>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序号17.7的所述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1118"/>
        <w:numPr>
          <w:ilvl w:val="0"/>
          <w:numId w:val="8"/>
        </w:numPr>
        <w:ind w:left="357" w:hanging="357"/>
        <w:spacing w:line="360" w:lineRule="auto"/>
        <w:tabs>
          <w:tab w:val="left" w:pos="360" w:leader="none"/>
          <w:tab w:val="left" w:pos="900" w:leader="none"/>
        </w:tabs>
        <w:rPr>
          <w:sz w:val="24"/>
        </w:rPr>
        <w:outlineLvl w:val="1"/>
      </w:pPr>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6"/>
      <w:r/>
      <w:bookmarkEnd w:id="527"/>
      <w:r/>
      <w:bookmarkEnd w:id="528"/>
      <w:r/>
      <w:bookmarkEnd w:id="529"/>
      <w:r/>
      <w:bookmarkEnd w:id="530"/>
      <w:r/>
      <w:bookmarkEnd w:id="531"/>
      <w:r/>
      <w:bookmarkStart w:id="532" w:name="_Toc151193864"/>
      <w:r/>
      <w:bookmarkStart w:id="533" w:name="_Toc226309794"/>
      <w:r/>
      <w:bookmarkStart w:id="534" w:name="_Toc195842915"/>
      <w:r/>
      <w:bookmarkStart w:id="535" w:name="_Toc127161464"/>
      <w:r/>
      <w:bookmarkStart w:id="536" w:name="_Toc150509301"/>
      <w:r/>
      <w:bookmarkStart w:id="537" w:name="_Toc151193938"/>
      <w:r/>
      <w:bookmarkStart w:id="538" w:name="_Toc226965740"/>
      <w:r/>
      <w:bookmarkStart w:id="539" w:name="_Toc127151550"/>
      <w:r/>
      <w:bookmarkStart w:id="540" w:name="_Toc164608664"/>
      <w:r/>
      <w:bookmarkStart w:id="541" w:name="_Ref467306978"/>
      <w:r/>
      <w:bookmarkStart w:id="542" w:name="_Ref467307204"/>
      <w:r/>
      <w:bookmarkStart w:id="543" w:name="_Toc150774650"/>
      <w:r/>
      <w:bookmarkStart w:id="544" w:name="_Toc150774755"/>
      <w:r/>
      <w:bookmarkStart w:id="545" w:name="_Toc142311052"/>
      <w:r/>
      <w:bookmarkStart w:id="546" w:name="_Toc164608819"/>
      <w:r/>
      <w:bookmarkStart w:id="547" w:name="_Toc264969240"/>
      <w:r/>
      <w:bookmarkStart w:id="548" w:name="_Toc305158892"/>
      <w:r/>
      <w:bookmarkStart w:id="549" w:name="_Toc164351644"/>
      <w:r/>
      <w:bookmarkStart w:id="550" w:name="_Toc226337246"/>
      <w:r/>
      <w:bookmarkStart w:id="551" w:name="_Toc151190177"/>
      <w:r/>
      <w:bookmarkStart w:id="552" w:name="_Toc226965823"/>
      <w:r/>
      <w:bookmarkStart w:id="553" w:name="_Toc520356175"/>
      <w:r/>
      <w:bookmarkStart w:id="554" w:name="_Toc149720843"/>
      <w:r/>
      <w:bookmarkStart w:id="555" w:name="_Toc164229391"/>
      <w:r/>
      <w:bookmarkStart w:id="556" w:name="_Toc305158818"/>
      <w:r/>
      <w:bookmarkStart w:id="557" w:name="_Toc151193720"/>
      <w:r/>
      <w:bookmarkStart w:id="558" w:name="_Toc127151751"/>
      <w:r/>
      <w:bookmarkStart w:id="559" w:name="_Toc150480788"/>
      <w:r/>
      <w:bookmarkStart w:id="560" w:name="_Ref467307062"/>
      <w:r/>
      <w:bookmarkStart w:id="561" w:name="_Toc151193792"/>
      <w:r/>
      <w:bookmarkStart w:id="562" w:name="_Toc265228388"/>
      <w:r/>
      <w:bookmarkStart w:id="563" w:name="_Ref467306377"/>
      <w:r/>
      <w:bookmarkStart w:id="564" w:name="_Toc164229245"/>
      <w:r/>
      <w:bookmarkStart w:id="565" w:name="_Toc151193648"/>
      <w:r>
        <w:rPr>
          <w:sz w:val="24"/>
        </w:rPr>
        <w:t xml:space="preserve">签订合同</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Pr>
          <w:sz w:val="24"/>
        </w:rPr>
      </w:r>
      <w:r/>
    </w:p>
    <w:p>
      <w:pPr>
        <w:pStyle w:val="111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采购人与成交供应商将在成交通知书发出之日起30日内，按照磋商文件确定的合同文本以及采购标的、规格型号、采购金额、采购数量、技术和服务要求等事项签订政府采购合同。</w:t>
      </w:r>
      <w:r>
        <w:rPr>
          <w:sz w:val="24"/>
        </w:rPr>
      </w:r>
      <w:r/>
    </w:p>
    <w:p>
      <w:pPr>
        <w:pStyle w:val="111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sz w:val="24"/>
        </w:rPr>
      </w:r>
      <w:r/>
    </w:p>
    <w:p>
      <w:pPr>
        <w:pStyle w:val="111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联合体获得成交资格的，联合体各方应当共同与采购人签订合同，就成交项目向采购人承担连带责任。</w:t>
      </w:r>
      <w:r>
        <w:rPr>
          <w:sz w:val="24"/>
        </w:rPr>
      </w:r>
      <w:r/>
    </w:p>
    <w:p>
      <w:pPr>
        <w:pStyle w:val="111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政府采购合同不能转包。</w:t>
      </w:r>
      <w:r>
        <w:rPr>
          <w:sz w:val="24"/>
        </w:rPr>
      </w:r>
      <w:r/>
    </w:p>
    <w:p>
      <w:pPr>
        <w:pStyle w:val="111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采购人允许采用分包方式履行合同的，成交供应商可以依法采取分包方式履行合同。本项目</w:t>
      </w:r>
      <w:r>
        <w:rPr>
          <w:rFonts w:hint="eastAsia"/>
          <w:sz w:val="24"/>
        </w:rPr>
        <w:t xml:space="preserve">是</w:t>
      </w:r>
      <w:r>
        <w:rPr>
          <w:sz w:val="24"/>
        </w:rPr>
        <w:t xml:space="preserve">否允许分包，见《供应商须知资料表》。政府采购合同分包履行的，应当在响应文件中载明分包承担主体，分包承担主体应当具备相应资质条件且不得再次分包，</w:t>
      </w:r>
      <w:r>
        <w:rPr>
          <w:b/>
          <w:sz w:val="24"/>
        </w:rPr>
        <w:t xml:space="preserve">否则响应无效</w:t>
      </w:r>
      <w:r>
        <w:rPr>
          <w:sz w:val="24"/>
        </w:rPr>
        <w:t xml:space="preserve">。成交供应商就采购项目和分包项目向采购人负责，分包供应商就分包项目承担责任。</w:t>
      </w:r>
      <w:r>
        <w:rPr>
          <w:sz w:val="24"/>
        </w:rPr>
      </w:r>
      <w:r/>
    </w:p>
    <w:p>
      <w:pPr>
        <w:pStyle w:val="1118"/>
        <w:numPr>
          <w:ilvl w:val="0"/>
          <w:numId w:val="8"/>
        </w:numPr>
        <w:ind w:left="357" w:hanging="357"/>
        <w:spacing w:line="360" w:lineRule="auto"/>
        <w:tabs>
          <w:tab w:val="left" w:pos="360" w:leader="none"/>
          <w:tab w:val="left" w:pos="900" w:leader="none"/>
        </w:tabs>
        <w:rPr>
          <w:sz w:val="24"/>
        </w:rPr>
        <w:outlineLvl w:val="1"/>
      </w:pPr>
      <w:r/>
      <w:bookmarkEnd w:id="521"/>
      <w:r/>
      <w:bookmarkEnd w:id="522"/>
      <w:r/>
      <w:bookmarkEnd w:id="523"/>
      <w:r>
        <w:rPr>
          <w:sz w:val="24"/>
        </w:rPr>
        <w:t xml:space="preserve">询问与质疑</w:t>
      </w:r>
      <w:r>
        <w:rPr>
          <w:sz w:val="24"/>
        </w:rPr>
      </w:r>
      <w:r/>
    </w:p>
    <w:p>
      <w:pPr>
        <w:pStyle w:val="111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询问</w:t>
      </w:r>
      <w:r>
        <w:rPr>
          <w:sz w:val="24"/>
        </w:rPr>
      </w:r>
      <w:r/>
    </w:p>
    <w:p>
      <w:pPr>
        <w:pStyle w:val="1118"/>
        <w:numPr>
          <w:ilvl w:val="2"/>
          <w:numId w:val="8"/>
        </w:numPr>
        <w:spacing w:line="360" w:lineRule="auto"/>
        <w:tabs>
          <w:tab w:val="left" w:pos="1980" w:leader="none"/>
        </w:tabs>
        <w:rPr>
          <w:sz w:val="24"/>
        </w:rPr>
      </w:pPr>
      <w:r>
        <w:rPr>
          <w:sz w:val="24"/>
        </w:rPr>
        <w:t xml:space="preserve">供应商对政府采购活动事项有疑问的，可依法提出询问，并按《供应商须知资料表》载明的形式送达采购人或采购代理机构。</w:t>
      </w:r>
      <w:r>
        <w:rPr>
          <w:sz w:val="24"/>
        </w:rPr>
      </w:r>
      <w:r/>
    </w:p>
    <w:p>
      <w:pPr>
        <w:pStyle w:val="1118"/>
        <w:numPr>
          <w:ilvl w:val="2"/>
          <w:numId w:val="8"/>
        </w:numPr>
        <w:spacing w:line="360" w:lineRule="auto"/>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111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质疑</w:t>
      </w:r>
      <w:r>
        <w:rPr>
          <w:sz w:val="24"/>
        </w:rPr>
      </w:r>
      <w:r/>
    </w:p>
    <w:p>
      <w:pPr>
        <w:pStyle w:val="1118"/>
        <w:numPr>
          <w:ilvl w:val="2"/>
          <w:numId w:val="8"/>
        </w:numPr>
        <w:spacing w:line="360" w:lineRule="auto"/>
        <w:tabs>
          <w:tab w:val="left" w:pos="1980" w:leader="none"/>
        </w:tabs>
        <w:rPr>
          <w:sz w:val="24"/>
        </w:rPr>
      </w:pPr>
      <w:r>
        <w:rPr>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sz w:val="24"/>
        </w:rPr>
      </w:r>
      <w:r/>
    </w:p>
    <w:p>
      <w:pPr>
        <w:pStyle w:val="1118"/>
        <w:numPr>
          <w:ilvl w:val="2"/>
          <w:numId w:val="8"/>
        </w:numPr>
        <w:spacing w:line="360" w:lineRule="auto"/>
        <w:tabs>
          <w:tab w:val="left" w:pos="1980" w:leader="none"/>
        </w:tabs>
        <w:rPr>
          <w:sz w:val="24"/>
        </w:rPr>
      </w:pPr>
      <w:r>
        <w:rPr>
          <w:rFonts w:hint="eastAsia"/>
          <w:b/>
          <w:sz w:val="24"/>
        </w:rPr>
        <w:t xml:space="preserve">磋商文件</w:t>
      </w:r>
      <w:r>
        <w:rPr>
          <w:rFonts w:hint="eastAsia" w:ascii="宋体" w:hAnsi="宋体"/>
          <w:b/>
          <w:sz w:val="24"/>
        </w:rPr>
        <w:t xml:space="preserve">中采购需求以及相关部分（第四章、第五章以及供应商资格要求）由采购人负责制定和管理，对该部分内容有询问或者质疑的，供应商应当向采购人书面一次性提出，由采购人负责接收和回复。</w:t>
      </w:r>
      <w:r>
        <w:rPr>
          <w:sz w:val="24"/>
        </w:rPr>
      </w:r>
      <w:r/>
    </w:p>
    <w:p>
      <w:pPr>
        <w:pStyle w:val="1118"/>
        <w:numPr>
          <w:ilvl w:val="2"/>
          <w:numId w:val="8"/>
        </w:numPr>
        <w:spacing w:line="360" w:lineRule="auto"/>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1196"/>
        </w:rPr>
        <w:t xml:space="preserve">http://gk</w:t>
      </w:r>
      <w:bookmarkStart w:id="566" w:name="_Hlt100654014"/>
      <w:r>
        <w:rPr>
          <w:rStyle w:val="1196"/>
        </w:rPr>
        <w:t xml:space="preserve">s</w:t>
      </w:r>
      <w:bookmarkEnd w:id="566"/>
      <w:r>
        <w:rPr>
          <w:rStyle w:val="1196"/>
        </w:rPr>
        <w:t xml:space="preserve">.m</w:t>
      </w:r>
      <w:bookmarkStart w:id="567" w:name="_Hlt100653994"/>
      <w:r/>
      <w:bookmarkStart w:id="568" w:name="_Hlt100653993"/>
      <w:r>
        <w:rPr>
          <w:rStyle w:val="1196"/>
        </w:rPr>
        <w:t xml:space="preserve">o</w:t>
      </w:r>
      <w:bookmarkEnd w:id="567"/>
      <w:r/>
      <w:bookmarkEnd w:id="568"/>
      <w:r/>
      <w:bookmarkStart w:id="569" w:name="_Hlt101169156"/>
      <w:r>
        <w:rPr>
          <w:rStyle w:val="1196"/>
        </w:rPr>
        <w:t xml:space="preserve">f</w:t>
      </w:r>
      <w:bookmarkEnd w:id="569"/>
      <w:r>
        <w:rPr>
          <w:rStyle w:val="1196"/>
        </w:rPr>
        <w:t xml:space="preserve">.gov.cn/ztztz/zhengfucaigouguanli/201802/t20180201_2804589.htm</w:t>
      </w:r>
      <w:r>
        <w:fldChar w:fldCharType="end"/>
      </w:r>
      <w:r>
        <w:rPr>
          <w:rFonts w:hint="eastAsia"/>
        </w:rPr>
        <w:t xml:space="preserve">）</w:t>
      </w:r>
      <w:r>
        <w:rPr>
          <w:sz w:val="24"/>
        </w:rPr>
      </w:r>
      <w:r/>
    </w:p>
    <w:p>
      <w:pPr>
        <w:pStyle w:val="1118"/>
        <w:numPr>
          <w:ilvl w:val="2"/>
          <w:numId w:val="8"/>
        </w:numPr>
        <w:spacing w:line="360" w:lineRule="auto"/>
        <w:tabs>
          <w:tab w:val="left" w:pos="1980" w:leader="none"/>
        </w:tabs>
        <w:rPr>
          <w:sz w:val="24"/>
        </w:rPr>
      </w:pPr>
      <w:r>
        <w:rPr>
          <w:sz w:val="24"/>
        </w:rPr>
        <w:t xml:space="preserve">供应商为自然人的，应当由本人签字；供应商为法人或者其他组织的，应当由法定代表人、主要负责人，或者其授权代表签字或者盖章，并加盖公章。</w:t>
      </w:r>
      <w:r>
        <w:rPr>
          <w:sz w:val="24"/>
        </w:rPr>
      </w:r>
      <w:r/>
    </w:p>
    <w:p>
      <w:pPr>
        <w:pStyle w:val="1118"/>
        <w:numPr>
          <w:ilvl w:val="2"/>
          <w:numId w:val="8"/>
        </w:numPr>
        <w:spacing w:line="360" w:lineRule="auto"/>
        <w:tabs>
          <w:tab w:val="left" w:pos="1980" w:leader="none"/>
        </w:tabs>
        <w:rPr>
          <w:sz w:val="24"/>
        </w:rPr>
      </w:pPr>
      <w:r>
        <w:rPr>
          <w:sz w:val="24"/>
        </w:rPr>
        <w:t xml:space="preserve">供应商应在法定质疑期内一次性提出针对同一采购程序环节的质疑，法定质疑期内针对同一采购程序环节再次提出的质疑，采购人、采购代理机构有权不予答复。</w:t>
      </w:r>
      <w:r>
        <w:rPr>
          <w:sz w:val="24"/>
        </w:rPr>
      </w:r>
      <w:r/>
    </w:p>
    <w:p>
      <w:pPr>
        <w:pStyle w:val="1118"/>
        <w:numPr>
          <w:ilvl w:val="1"/>
          <w:numId w:val="8"/>
        </w:numPr>
        <w:ind w:left="1077" w:hanging="720"/>
        <w:spacing w:line="360" w:lineRule="auto"/>
        <w:tabs>
          <w:tab w:val="left" w:pos="1080" w:leader="none"/>
          <w:tab w:val="left" w:pos="1589" w:leader="none"/>
          <w:tab w:val="left" w:pos="2014" w:leader="none"/>
        </w:tabs>
        <w:rPr>
          <w:sz w:val="24"/>
        </w:rPr>
      </w:pPr>
      <w:r>
        <w:rPr>
          <w:sz w:val="24"/>
        </w:rPr>
        <w:t xml:space="preserve">接收询问和质疑的联系部门、联系电话和通讯地址见《供应商须知资料表》</w:t>
      </w:r>
      <w:r>
        <w:rPr>
          <w:rFonts w:hint="eastAsia"/>
          <w:sz w:val="24"/>
        </w:rPr>
        <w:t xml:space="preserve">。</w:t>
      </w:r>
      <w:r>
        <w:rPr>
          <w:sz w:val="24"/>
        </w:rPr>
      </w:r>
      <w:r/>
    </w:p>
    <w:p>
      <w:pPr>
        <w:pStyle w:val="1118"/>
        <w:numPr>
          <w:ilvl w:val="0"/>
          <w:numId w:val="8"/>
        </w:numPr>
        <w:ind w:left="357" w:hanging="357"/>
        <w:spacing w:line="360" w:lineRule="auto"/>
        <w:tabs>
          <w:tab w:val="left" w:pos="360" w:leader="none"/>
          <w:tab w:val="left" w:pos="900" w:leader="none"/>
        </w:tabs>
        <w:rPr>
          <w:sz w:val="24"/>
        </w:rPr>
        <w:outlineLvl w:val="1"/>
      </w:pPr>
      <w:r>
        <w:rPr>
          <w:sz w:val="24"/>
        </w:rPr>
        <w:t xml:space="preserve">代理费</w:t>
      </w:r>
      <w:r>
        <w:rPr>
          <w:sz w:val="24"/>
        </w:rPr>
      </w:r>
      <w:r/>
    </w:p>
    <w:p>
      <w:pPr>
        <w:pStyle w:val="1118"/>
        <w:numPr>
          <w:ilvl w:val="1"/>
          <w:numId w:val="8"/>
        </w:numPr>
        <w:ind w:left="1077" w:hanging="720"/>
        <w:spacing w:line="360" w:lineRule="auto"/>
        <w:tabs>
          <w:tab w:val="left" w:pos="1080" w:leader="none"/>
          <w:tab w:val="left" w:pos="1589" w:leader="none"/>
          <w:tab w:val="left" w:pos="2014" w:leader="none"/>
        </w:tabs>
        <w:rPr>
          <w:rFonts w:ascii="Times New Roman" w:hAnsi="Times New Roman" w:eastAsia="宋体" w:cs="Times New Roman"/>
          <w:sz w:val="24"/>
        </w:rPr>
      </w:pPr>
      <w:r>
        <w:rPr>
          <w:sz w:val="24"/>
        </w:rPr>
        <w:t xml:space="preserve">收费对象、收费标准及缴纳时间见《供应商须知资料表》。由成交供应商支付</w:t>
      </w:r>
      <w:r>
        <w:rPr>
          <w:rFonts w:ascii="Times New Roman" w:hAnsi="Times New Roman" w:eastAsia="宋体" w:cs="Times New Roman"/>
          <w:sz w:val="24"/>
        </w:rPr>
        <w:t xml:space="preserve">的，成交供应商须一次性向采购代理机构缴纳代理费，报价应包含代理费用。</w:t>
      </w:r>
      <w:r>
        <w:rPr>
          <w:rFonts w:ascii="Times New Roman" w:hAnsi="Times New Roman" w:eastAsia="宋体" w:cs="Times New Roman"/>
          <w:sz w:val="24"/>
        </w:rPr>
      </w:r>
      <w:r/>
    </w:p>
    <w:p>
      <w:pPr>
        <w:pStyle w:val="1118"/>
        <w:numPr>
          <w:ilvl w:val="0"/>
          <w:numId w:val="0"/>
        </w:numPr>
        <w:ind w:left="357"/>
        <w:spacing w:line="360" w:lineRule="auto"/>
        <w:tabs>
          <w:tab w:val="left" w:pos="1080" w:leader="none"/>
          <w:tab w:val="left" w:pos="2014" w:leader="none"/>
        </w:tabs>
        <w:rPr>
          <w:rFonts w:ascii="Times New Roman" w:hAnsi="Times New Roman" w:eastAsia="宋体" w:cs="Times New Roman"/>
          <w:sz w:val="24"/>
        </w:rPr>
      </w:pPr>
      <w:r/>
      <w:bookmarkStart w:id="570" w:name="_Toc264969244"/>
      <w:r/>
      <w:bookmarkStart w:id="571" w:name="_Toc305158896"/>
      <w:r/>
      <w:bookmarkStart w:id="572" w:name="_Toc150774759"/>
      <w:r/>
      <w:bookmarkStart w:id="573" w:name="_Toc226337250"/>
      <w:r/>
      <w:bookmarkStart w:id="574" w:name="_Toc142311056"/>
      <w:r/>
      <w:bookmarkStart w:id="575" w:name="_Toc353873664"/>
      <w:r/>
      <w:bookmarkStart w:id="576" w:name="_Toc150480792"/>
      <w:r/>
      <w:bookmarkStart w:id="577" w:name="_Toc127151554"/>
      <w:r/>
      <w:bookmarkStart w:id="578" w:name="_Toc226965827"/>
      <w:r/>
      <w:bookmarkStart w:id="579" w:name="_Toc305158822"/>
      <w:r/>
      <w:bookmarkStart w:id="580" w:name="_Toc353825544"/>
      <w:r/>
      <w:bookmarkStart w:id="581" w:name="_Toc265228392"/>
      <w:r/>
      <w:bookmarkStart w:id="582" w:name="_Toc353873934"/>
      <w:r>
        <w:rPr>
          <w:rFonts w:ascii="Times New Roman" w:hAnsi="Times New Roman" w:eastAsia="宋体" w:cs="Times New Roman"/>
          <w:sz w:val="24"/>
        </w:rPr>
      </w:r>
      <w:r/>
    </w:p>
    <w:p>
      <w:pPr>
        <w:pStyle w:val="1118"/>
        <w:numPr>
          <w:ilvl w:val="0"/>
          <w:numId w:val="0"/>
        </w:numPr>
        <w:ind w:left="357"/>
        <w:spacing w:line="360" w:lineRule="auto"/>
        <w:tabs>
          <w:tab w:val="left" w:pos="1080"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lang w:val="en-US" w:eastAsia="zh-CN"/>
        </w:rPr>
        <w:t xml:space="preserve">26  </w:t>
      </w:r>
      <w:r>
        <w:rPr>
          <w:rFonts w:hint="eastAsia" w:ascii="Times New Roman" w:hAnsi="Times New Roman" w:eastAsia="宋体" w:cs="Times New Roman"/>
          <w:sz w:val="24"/>
        </w:rPr>
        <w:t xml:space="preserve">电子履约保函</w:t>
      </w:r>
      <w:r>
        <w:rPr>
          <w:rFonts w:hint="eastAsia" w:ascii="Times New Roman" w:hAnsi="Times New Roman" w:eastAsia="宋体" w:cs="Times New Roman"/>
          <w:sz w:val="24"/>
        </w:rPr>
      </w:r>
      <w:r/>
    </w:p>
    <w:p>
      <w:pPr>
        <w:pStyle w:val="1118"/>
        <w:numPr>
          <w:ilvl w:val="0"/>
          <w:numId w:val="0"/>
        </w:numPr>
        <w:ind w:firstLine="720"/>
        <w:spacing w:line="360" w:lineRule="auto"/>
        <w:tabs>
          <w:tab w:val="left" w:pos="1080"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2023年12月起，省财政厅上线政府采购电子履约保函（保险）平台，实现中标、成交供应商线上申请履约保函（保险）、第三方机构线上审核开函（出具保单）等，做到全流程线上办理和留痕。打开此链接查看详情：https://zfcg.changzhou.gov.cn/html/ns/tzgg/653859231062288.html 关于在全省政府采购领域推行电子履约保函（保险）的通知（苏财购〔2023〕150号）</w:t>
      </w:r>
      <w:r>
        <w:rPr>
          <w:rFonts w:hint="eastAsia" w:ascii="Times New Roman" w:hAnsi="Times New Roman" w:eastAsia="宋体" w:cs="Times New Roman"/>
          <w:sz w:val="24"/>
        </w:rPr>
      </w:r>
      <w:r/>
    </w:p>
    <w:p>
      <w:pPr>
        <w:pStyle w:val="1199"/>
        <w:rPr>
          <w:rFonts w:eastAsia="宋体"/>
          <w:lang w:val="en-US" w:eastAsia="zh-CN"/>
        </w:rPr>
        <w:sectPr>
          <w:footerReference w:type="default" r:id="rId19"/>
          <w:footerReference w:type="even" r:id="rId20"/>
          <w:footnotePr/>
          <w:endnotePr/>
          <w:type w:val="nextPage"/>
          <w:pgSz w:w="11907" w:h="16840" w:orient="portrait"/>
          <w:pgMar w:top="1440" w:right="1304" w:bottom="1440" w:left="1304" w:header="851" w:footer="851" w:gutter="0"/>
          <w:cols w:num="1" w:sep="0" w:space="1701" w:equalWidth="1"/>
          <w:docGrid w:linePitch="360"/>
        </w:sectPr>
      </w:pPr>
      <w:r>
        <w:rPr>
          <w:rFonts w:eastAsia="宋体"/>
          <w:lang w:val="en-US" w:eastAsia="zh-CN"/>
        </w:rPr>
      </w:r>
      <w:r/>
    </w:p>
    <w:p>
      <w:pPr>
        <w:pStyle w:val="1118"/>
        <w:jc w:val="center"/>
        <w:spacing w:line="360" w:lineRule="auto"/>
        <w:rPr>
          <w:b/>
          <w:sz w:val="36"/>
          <w:szCs w:val="36"/>
        </w:rPr>
        <w:outlineLvl w:val="0"/>
      </w:pPr>
      <w:r/>
      <w:bookmarkStart w:id="583" w:name="_Toc20589"/>
      <w:r>
        <w:rPr>
          <w:b/>
          <w:sz w:val="36"/>
          <w:szCs w:val="36"/>
        </w:rPr>
        <w:t xml:space="preserve">第三章   </w:t>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rPr>
          <w:b/>
          <w:sz w:val="36"/>
          <w:szCs w:val="36"/>
        </w:rPr>
        <w:t xml:space="preserve">评审</w:t>
      </w:r>
      <w:r>
        <w:rPr>
          <w:rFonts w:hint="eastAsia"/>
          <w:b/>
          <w:sz w:val="36"/>
          <w:szCs w:val="36"/>
        </w:rPr>
        <w:t xml:space="preserve">程序、评审</w:t>
      </w:r>
      <w:r>
        <w:rPr>
          <w:b/>
          <w:sz w:val="36"/>
          <w:szCs w:val="36"/>
        </w:rPr>
        <w:t xml:space="preserve">方法和评审标准</w:t>
      </w:r>
      <w:bookmarkEnd w:id="583"/>
      <w:r/>
      <w:bookmarkStart w:id="584" w:name="_Toc487900382"/>
      <w:r>
        <w:rPr>
          <w:b/>
          <w:sz w:val="36"/>
          <w:szCs w:val="36"/>
        </w:rPr>
      </w:r>
      <w:r/>
    </w:p>
    <w:p>
      <w:pPr>
        <w:pStyle w:val="1120"/>
        <w:spacing w:before="0" w:line="360" w:lineRule="auto"/>
        <w:rPr>
          <w:rFonts w:ascii="Times New Roman" w:hAnsi="Times New Roman" w:eastAsia="宋体"/>
          <w:sz w:val="24"/>
          <w:szCs w:val="24"/>
        </w:rPr>
      </w:pPr>
      <w:r>
        <w:rPr>
          <w:rFonts w:ascii="Times New Roman" w:hAnsi="Times New Roman" w:eastAsia="宋体"/>
          <w:sz w:val="24"/>
          <w:szCs w:val="24"/>
        </w:rPr>
        <w:t xml:space="preserve">一、</w:t>
      </w:r>
      <w:r>
        <w:rPr>
          <w:rFonts w:hint="eastAsia" w:ascii="Times New Roman" w:hAnsi="Times New Roman" w:eastAsia="宋体"/>
          <w:sz w:val="24"/>
          <w:szCs w:val="24"/>
        </w:rPr>
        <w:t xml:space="preserve">评审</w:t>
      </w:r>
      <w:r>
        <w:rPr>
          <w:rFonts w:ascii="Times New Roman" w:hAnsi="Times New Roman" w:eastAsia="宋体"/>
          <w:sz w:val="24"/>
          <w:szCs w:val="24"/>
        </w:rPr>
        <w:t xml:space="preserve">程序</w:t>
      </w:r>
      <w:r>
        <w:rPr>
          <w:rFonts w:ascii="Times New Roman" w:hAnsi="Times New Roman" w:eastAsia="宋体"/>
          <w:sz w:val="24"/>
          <w:szCs w:val="24"/>
        </w:rPr>
      </w:r>
      <w:r/>
    </w:p>
    <w:p>
      <w:pPr>
        <w:pStyle w:val="1118"/>
        <w:jc w:val="left"/>
        <w:tabs>
          <w:tab w:val="left" w:pos="1080" w:leader="none"/>
        </w:tabs>
        <w:rPr>
          <w:b/>
          <w:sz w:val="24"/>
        </w:rPr>
      </w:pPr>
      <w:r>
        <w:rPr>
          <w:b/>
          <w:sz w:val="24"/>
        </w:rPr>
        <w:tab/>
      </w:r>
      <w:r>
        <w:rPr>
          <w:b/>
          <w:sz w:val="24"/>
        </w:rPr>
      </w:r>
      <w:r/>
    </w:p>
    <w:p>
      <w:pPr>
        <w:pStyle w:val="1118"/>
        <w:numPr>
          <w:ilvl w:val="0"/>
          <w:numId w:val="11"/>
        </w:numPr>
        <w:spacing w:line="360" w:lineRule="auto"/>
        <w:tabs>
          <w:tab w:val="left" w:pos="360" w:leader="none"/>
          <w:tab w:val="left" w:pos="900" w:leader="none"/>
        </w:tabs>
        <w:rPr>
          <w:sz w:val="24"/>
        </w:rPr>
        <w:outlineLvl w:val="1"/>
      </w:pPr>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584"/>
      <w:r/>
      <w:bookmarkStart w:id="585" w:name="_Toc127151541"/>
      <w:r/>
      <w:bookmarkStart w:id="586" w:name="_Toc149720834"/>
      <w:r/>
      <w:bookmarkStart w:id="587" w:name="_Toc150509292"/>
      <w:r/>
      <w:bookmarkStart w:id="588" w:name="_Toc151193711"/>
      <w:r/>
      <w:bookmarkStart w:id="589" w:name="_Toc265228379"/>
      <w:r/>
      <w:bookmarkStart w:id="590" w:name="_Toc150480779"/>
      <w:r/>
      <w:bookmarkStart w:id="591" w:name="_Toc164608655"/>
      <w:r/>
      <w:bookmarkStart w:id="592" w:name="_Toc305158883"/>
      <w:r/>
      <w:bookmarkStart w:id="593" w:name="_Toc195842906"/>
      <w:r/>
      <w:bookmarkStart w:id="594" w:name="_Toc226309785"/>
      <w:r/>
      <w:bookmarkStart w:id="595" w:name="_Toc164229382"/>
      <w:r/>
      <w:bookmarkStart w:id="596" w:name="_Toc150774641"/>
      <w:r/>
      <w:bookmarkStart w:id="597" w:name="_Toc264969231"/>
      <w:r/>
      <w:bookmarkStart w:id="598" w:name="_Toc226965814"/>
      <w:r/>
      <w:bookmarkStart w:id="599" w:name="_Toc164229236"/>
      <w:r/>
      <w:bookmarkStart w:id="600" w:name="_Toc151193929"/>
      <w:r/>
      <w:bookmarkStart w:id="601" w:name="_Toc226965731"/>
      <w:r/>
      <w:bookmarkStart w:id="602" w:name="_Toc151190168"/>
      <w:r/>
      <w:bookmarkStart w:id="603" w:name="_Toc151193639"/>
      <w:r/>
      <w:bookmarkStart w:id="604" w:name="_Toc142311043"/>
      <w:r/>
      <w:bookmarkStart w:id="605" w:name="_Toc164351635"/>
      <w:r/>
      <w:bookmarkStart w:id="606" w:name="_Toc226337237"/>
      <w:r/>
      <w:bookmarkStart w:id="607" w:name="_Toc127151742"/>
      <w:r/>
      <w:bookmarkStart w:id="608" w:name="_Toc151193783"/>
      <w:r/>
      <w:bookmarkStart w:id="609" w:name="_Toc151193855"/>
      <w:r/>
      <w:bookmarkStart w:id="610" w:name="_Toc150774746"/>
      <w:r/>
      <w:bookmarkStart w:id="611" w:name="_Toc164608810"/>
      <w:r/>
      <w:bookmarkStart w:id="612" w:name="_Toc305158809"/>
      <w:r/>
      <w:bookmarkStart w:id="613" w:name="_Toc127161455"/>
      <w:r/>
      <w:bookmarkStart w:id="614" w:name="_Toc226337251"/>
      <w:r/>
      <w:bookmarkStart w:id="615" w:name="_Toc353873941"/>
      <w:r/>
      <w:bookmarkStart w:id="616" w:name="_Toc353825551"/>
      <w:r/>
      <w:bookmarkStart w:id="617" w:name="_Toc195842920"/>
      <w:r/>
      <w:bookmarkStart w:id="618" w:name="_Toc265228393"/>
      <w:r/>
      <w:bookmarkStart w:id="619" w:name="_Toc353873935"/>
      <w:r/>
      <w:bookmarkStart w:id="620" w:name="_Toc150480793"/>
      <w:r/>
      <w:bookmarkStart w:id="621" w:name="_Toc264969245"/>
      <w:r/>
      <w:bookmarkStart w:id="622" w:name="_Toc142311057"/>
      <w:r/>
      <w:bookmarkStart w:id="623" w:name="_Toc353825545"/>
      <w:r/>
      <w:bookmarkStart w:id="624" w:name="_Toc353873665"/>
      <w:r/>
      <w:bookmarkStart w:id="625" w:name="_Toc150774760"/>
      <w:r/>
      <w:bookmarkStart w:id="626" w:name="_Toc305158823"/>
      <w:r/>
      <w:bookmarkStart w:id="627" w:name="_Toc226965828"/>
      <w:r/>
      <w:bookmarkStart w:id="628" w:name="_Toc127151555"/>
      <w:r/>
      <w:bookmarkStart w:id="629" w:name="_Toc305158897"/>
      <w:r>
        <w:rPr>
          <w:sz w:val="24"/>
        </w:rPr>
        <w:t xml:space="preserve">响应文件的</w:t>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rPr>
          <w:sz w:val="24"/>
        </w:rPr>
        <w:t xml:space="preserve">资格性检查和符合性审查</w:t>
      </w:r>
      <w:r>
        <w:rPr>
          <w:sz w:val="24"/>
        </w:rPr>
      </w:r>
      <w:r/>
    </w:p>
    <w:p>
      <w:pPr>
        <w:pStyle w:val="1118"/>
        <w:numPr>
          <w:ilvl w:val="1"/>
          <w:numId w:val="11"/>
        </w:numPr>
        <w:ind w:left="1350" w:hanging="720"/>
        <w:spacing w:line="360" w:lineRule="auto"/>
        <w:tabs>
          <w:tab w:val="left" w:pos="1080" w:leader="none"/>
          <w:tab w:val="left" w:pos="1589" w:leader="none"/>
        </w:tabs>
        <w:rPr>
          <w:sz w:val="24"/>
        </w:rPr>
      </w:pPr>
      <w:r>
        <w:rPr>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 xml:space="preserve">无效响应</w:t>
      </w:r>
      <w:r>
        <w:rPr>
          <w:sz w:val="24"/>
        </w:rPr>
        <w:t xml:space="preserve">处理，磋商小组应当告知提交响应文件的供应商。</w:t>
      </w:r>
      <w:r>
        <w:rPr>
          <w:sz w:val="24"/>
        </w:rPr>
      </w:r>
      <w:r/>
    </w:p>
    <w:p>
      <w:pPr>
        <w:pStyle w:val="1118"/>
        <w:numPr>
          <w:ilvl w:val="1"/>
          <w:numId w:val="11"/>
        </w:numPr>
        <w:ind w:left="1350" w:hanging="720"/>
        <w:spacing w:line="360" w:lineRule="auto"/>
        <w:tabs>
          <w:tab w:val="left" w:pos="1080" w:leader="none"/>
          <w:tab w:val="left" w:pos="1589" w:leader="none"/>
        </w:tabs>
        <w:rPr>
          <w:sz w:val="24"/>
        </w:rPr>
      </w:pPr>
      <w:r>
        <w:rPr>
          <w:sz w:val="24"/>
        </w:rPr>
        <w:t xml:space="preserve">《资格性检查要求》中对格式有要求的，除竞争性磋商文件另有规定外，均为“实质性格式”文件。</w:t>
      </w:r>
      <w:r>
        <w:rPr>
          <w:sz w:val="24"/>
        </w:rPr>
      </w:r>
      <w:r/>
    </w:p>
    <w:p>
      <w:pPr>
        <w:pStyle w:val="1118"/>
        <w:numPr>
          <w:ilvl w:val="1"/>
          <w:numId w:val="11"/>
        </w:numPr>
        <w:ind w:left="1350" w:hanging="720"/>
        <w:spacing w:line="360" w:lineRule="auto"/>
        <w:tabs>
          <w:tab w:val="left" w:pos="1080" w:leader="none"/>
          <w:tab w:val="left" w:pos="1589" w:leader="none"/>
        </w:tabs>
        <w:rPr>
          <w:sz w:val="24"/>
        </w:rPr>
      </w:pPr>
      <w:r>
        <w:rPr>
          <w:sz w:val="24"/>
        </w:rPr>
        <w:t xml:space="preserve">《资格性检查要求》见下表：</w:t>
      </w:r>
      <w:r>
        <w:rPr>
          <w:sz w:val="24"/>
        </w:rPr>
      </w:r>
      <w:r/>
    </w:p>
    <w:p>
      <w:pPr>
        <w:pStyle w:val="1118"/>
        <w:ind w:left="1077" w:firstLine="2650"/>
        <w:spacing w:line="360" w:lineRule="auto"/>
        <w:tabs>
          <w:tab w:val="left" w:pos="900" w:leader="none"/>
          <w:tab w:val="left" w:pos="1080" w:leader="none"/>
        </w:tabs>
        <w:rPr>
          <w:b/>
          <w:sz w:val="24"/>
        </w:rPr>
      </w:pPr>
      <w:r/>
      <w:bookmarkStart w:id="630" w:name="_Hlt487972895"/>
      <w:r/>
      <w:bookmarkEnd w:id="630"/>
      <w:r>
        <w:rPr>
          <w:b/>
          <w:sz w:val="24"/>
        </w:rPr>
        <w:t xml:space="preserve">资格性检查要求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5"/>
        <w:gridCol w:w="4899"/>
        <w:gridCol w:w="1807"/>
      </w:tblGrid>
      <w:tr>
        <w:trPr>
          <w:cantSplit/>
          <w:trHeight w:val="1514"/>
        </w:trPr>
        <w:tc>
          <w:tcPr>
            <w:tcW w:w="696" w:type="dxa"/>
            <w:vAlign w:val="center"/>
            <w:textDirection w:val="lrTb"/>
            <w:noWrap w:val="false"/>
          </w:tcPr>
          <w:p>
            <w:pPr>
              <w:pStyle w:val="1118"/>
              <w:jc w:val="center"/>
              <w:tabs>
                <w:tab w:val="left" w:pos="1080" w:leader="none"/>
              </w:tabs>
              <w:rPr>
                <w:szCs w:val="21"/>
              </w:rPr>
            </w:pPr>
            <w:r>
              <w:rPr>
                <w:szCs w:val="21"/>
              </w:rPr>
              <w:t xml:space="preserve">1</w:t>
            </w:r>
            <w:r>
              <w:rPr>
                <w:szCs w:val="21"/>
              </w:rPr>
            </w:r>
            <w:r/>
          </w:p>
        </w:tc>
        <w:tc>
          <w:tcPr>
            <w:tcW w:w="1885" w:type="dxa"/>
            <w:vAlign w:val="center"/>
            <w:textDirection w:val="lrTb"/>
            <w:noWrap w:val="false"/>
          </w:tcPr>
          <w:p>
            <w:pPr>
              <w:pStyle w:val="1118"/>
              <w:jc w:val="left"/>
              <w:tabs>
                <w:tab w:val="left" w:pos="1080" w:leader="none"/>
              </w:tabs>
              <w:rPr>
                <w:szCs w:val="21"/>
              </w:rPr>
            </w:pPr>
            <w:r>
              <w:rPr>
                <w:szCs w:val="21"/>
              </w:rPr>
              <w:t xml:space="preserve">满足《中华人民共和国政府采购法》第二十二条规定</w:t>
            </w:r>
            <w:r>
              <w:rPr>
                <w:szCs w:val="21"/>
              </w:rPr>
            </w:r>
            <w:r/>
          </w:p>
        </w:tc>
        <w:tc>
          <w:tcPr>
            <w:tcW w:w="4900" w:type="dxa"/>
            <w:vAlign w:val="center"/>
            <w:textDirection w:val="lrTb"/>
            <w:noWrap w:val="false"/>
          </w:tcPr>
          <w:p>
            <w:pPr>
              <w:pStyle w:val="1118"/>
              <w:tabs>
                <w:tab w:val="left" w:pos="1080" w:leader="none"/>
              </w:tabs>
              <w:rPr>
                <w:szCs w:val="21"/>
              </w:rPr>
            </w:pPr>
            <w:r>
              <w:rPr>
                <w:rFonts w:hint="eastAsia"/>
                <w:szCs w:val="21"/>
              </w:rPr>
              <w:t xml:space="preserve">具体规定见第一章《竞争性磋商公告》</w:t>
            </w:r>
            <w:r>
              <w:rPr>
                <w:szCs w:val="21"/>
              </w:rPr>
            </w:r>
            <w:r/>
          </w:p>
        </w:tc>
        <w:tc>
          <w:tcPr>
            <w:tcW w:w="1807" w:type="dxa"/>
            <w:vAlign w:val="center"/>
            <w:textDirection w:val="lrTb"/>
            <w:noWrap w:val="false"/>
          </w:tcPr>
          <w:p>
            <w:pPr>
              <w:pStyle w:val="1118"/>
              <w:tabs>
                <w:tab w:val="left" w:pos="1080" w:leader="none"/>
              </w:tabs>
              <w:rPr>
                <w:szCs w:val="21"/>
              </w:rPr>
            </w:pPr>
            <w:r>
              <w:rPr>
                <w:szCs w:val="21"/>
              </w:rPr>
            </w:r>
            <w:r/>
          </w:p>
        </w:tc>
      </w:tr>
      <w:tr>
        <w:trPr>
          <w:cantSplit/>
          <w:trHeight w:val="924"/>
        </w:trPr>
        <w:tc>
          <w:tcPr>
            <w:tcW w:w="696" w:type="dxa"/>
            <w:vAlign w:val="center"/>
            <w:textDirection w:val="lrTb"/>
            <w:noWrap w:val="false"/>
          </w:tcPr>
          <w:p>
            <w:pPr>
              <w:pStyle w:val="1118"/>
              <w:jc w:val="center"/>
              <w:tabs>
                <w:tab w:val="left" w:pos="1080" w:leader="none"/>
              </w:tabs>
              <w:rPr>
                <w:szCs w:val="21"/>
              </w:rPr>
            </w:pPr>
            <w:r>
              <w:rPr>
                <w:rFonts w:hint="eastAsia"/>
                <w:szCs w:val="21"/>
              </w:rPr>
              <w:t xml:space="preserve">1-1</w:t>
            </w:r>
            <w:r>
              <w:rPr>
                <w:szCs w:val="21"/>
              </w:rPr>
            </w:r>
            <w:r/>
          </w:p>
        </w:tc>
        <w:tc>
          <w:tcPr>
            <w:tcW w:w="1885" w:type="dxa"/>
            <w:vAlign w:val="center"/>
            <w:textDirection w:val="lrTb"/>
            <w:noWrap w:val="false"/>
          </w:tcPr>
          <w:p>
            <w:pPr>
              <w:pStyle w:val="1118"/>
              <w:jc w:val="left"/>
              <w:tabs>
                <w:tab w:val="left" w:pos="1080" w:leader="none"/>
              </w:tabs>
              <w:rPr>
                <w:szCs w:val="21"/>
              </w:rPr>
            </w:pPr>
            <w:r>
              <w:rPr>
                <w:rFonts w:hint="eastAsia"/>
                <w:szCs w:val="21"/>
              </w:rPr>
              <w:t xml:space="preserve">供应商资格声明函</w:t>
            </w:r>
            <w:r>
              <w:rPr>
                <w:szCs w:val="21"/>
              </w:rPr>
            </w:r>
            <w:r/>
          </w:p>
        </w:tc>
        <w:tc>
          <w:tcPr>
            <w:tcW w:w="4900" w:type="dxa"/>
            <w:vAlign w:val="center"/>
            <w:textDirection w:val="lrTb"/>
            <w:noWrap w:val="false"/>
          </w:tcPr>
          <w:p>
            <w:pPr>
              <w:pStyle w:val="1118"/>
              <w:tabs>
                <w:tab w:val="left" w:pos="1080" w:leader="none"/>
              </w:tabs>
              <w:rPr>
                <w:szCs w:val="21"/>
              </w:rPr>
            </w:pPr>
            <w:r>
              <w:rPr>
                <w:szCs w:val="21"/>
              </w:rPr>
              <w:t xml:space="preserve">提供了符合</w:t>
            </w:r>
            <w:r>
              <w:rPr>
                <w:rFonts w:hint="eastAsia"/>
                <w:szCs w:val="21"/>
              </w:rPr>
              <w:t xml:space="preserve">采购</w:t>
            </w:r>
            <w:r>
              <w:rPr>
                <w:szCs w:val="21"/>
              </w:rPr>
              <w:t xml:space="preserve">文件要求的《</w:t>
            </w:r>
            <w:r>
              <w:rPr>
                <w:rFonts w:hint="eastAsia"/>
                <w:szCs w:val="21"/>
              </w:rPr>
              <w:t xml:space="preserve">供应商资格声明函</w:t>
            </w:r>
            <w:r>
              <w:rPr>
                <w:szCs w:val="21"/>
              </w:rPr>
              <w:t xml:space="preserve">》。</w:t>
            </w:r>
            <w:r>
              <w:rPr>
                <w:szCs w:val="21"/>
              </w:rPr>
            </w:r>
            <w:r/>
          </w:p>
        </w:tc>
        <w:tc>
          <w:tcPr>
            <w:tcW w:w="1807" w:type="dxa"/>
            <w:vAlign w:val="center"/>
            <w:textDirection w:val="lrTb"/>
            <w:noWrap w:val="false"/>
          </w:tcPr>
          <w:p>
            <w:pPr>
              <w:pStyle w:val="1118"/>
              <w:tabs>
                <w:tab w:val="left" w:pos="1080" w:leader="none"/>
              </w:tabs>
              <w:rPr>
                <w:szCs w:val="21"/>
              </w:rPr>
            </w:pPr>
            <w:r>
              <w:rPr>
                <w:szCs w:val="21"/>
              </w:rPr>
              <w:t xml:space="preserve">格式见《</w:t>
            </w:r>
            <w:r>
              <w:rPr>
                <w:rFonts w:hint="eastAsia"/>
                <w:szCs w:val="21"/>
              </w:rPr>
              <w:t xml:space="preserve">响应</w:t>
            </w:r>
            <w:r>
              <w:rPr>
                <w:szCs w:val="21"/>
              </w:rPr>
              <w:t xml:space="preserve">文件格式》</w:t>
            </w:r>
            <w:r>
              <w:rPr>
                <w:szCs w:val="21"/>
              </w:rPr>
            </w:r>
            <w:r/>
          </w:p>
        </w:tc>
      </w:tr>
      <w:tr>
        <w:trPr>
          <w:cantSplit/>
          <w:trHeight w:val="1666"/>
        </w:trPr>
        <w:tc>
          <w:tcPr>
            <w:tcW w:w="696" w:type="dxa"/>
            <w:vAlign w:val="center"/>
            <w:textDirection w:val="lrTb"/>
            <w:noWrap w:val="false"/>
          </w:tcPr>
          <w:p>
            <w:pPr>
              <w:pStyle w:val="1118"/>
              <w:jc w:val="center"/>
              <w:tabs>
                <w:tab w:val="left" w:pos="1080" w:leader="none"/>
              </w:tabs>
              <w:rPr>
                <w:szCs w:val="21"/>
              </w:rPr>
            </w:pPr>
            <w:r>
              <w:rPr>
                <w:rFonts w:hint="eastAsia"/>
                <w:szCs w:val="21"/>
              </w:rPr>
              <w:t xml:space="preserve">1-2</w:t>
            </w:r>
            <w:r>
              <w:rPr>
                <w:szCs w:val="21"/>
              </w:rPr>
            </w:r>
            <w:r/>
          </w:p>
        </w:tc>
        <w:tc>
          <w:tcPr>
            <w:tcW w:w="1885" w:type="dxa"/>
            <w:vAlign w:val="center"/>
            <w:textDirection w:val="lrTb"/>
            <w:noWrap w:val="false"/>
          </w:tcPr>
          <w:p>
            <w:pPr>
              <w:pStyle w:val="1118"/>
              <w:tabs>
                <w:tab w:val="left" w:pos="1080" w:leader="none"/>
              </w:tabs>
              <w:rPr>
                <w:szCs w:val="21"/>
              </w:rPr>
            </w:pPr>
            <w:r>
              <w:rPr>
                <w:rFonts w:hint="eastAsia"/>
                <w:szCs w:val="21"/>
              </w:rPr>
              <w:t xml:space="preserve">供应商信用记录</w:t>
            </w:r>
            <w:r>
              <w:rPr>
                <w:szCs w:val="21"/>
              </w:rPr>
            </w:r>
            <w:r/>
          </w:p>
        </w:tc>
        <w:tc>
          <w:tcPr>
            <w:tcW w:w="4900" w:type="dxa"/>
            <w:vAlign w:val="center"/>
            <w:textDirection w:val="lrTb"/>
            <w:noWrap w:val="false"/>
          </w:tcPr>
          <w:p>
            <w:pPr>
              <w:pStyle w:val="1118"/>
              <w:tabs>
                <w:tab w:val="left" w:pos="1080" w:leader="none"/>
              </w:tabs>
              <w:rPr>
                <w:szCs w:val="21"/>
              </w:rPr>
            </w:pPr>
            <w:r>
              <w:rPr>
                <w:rFonts w:hint="eastAsia"/>
                <w:szCs w:val="21"/>
              </w:rPr>
              <w:t xml:space="preserve">查询渠道：信用中国网站或中国政府采购网（www.creditchina.gov.cn、www.ccgp.gov.cn）；</w:t>
            </w:r>
            <w:r>
              <w:rPr>
                <w:szCs w:val="21"/>
              </w:rPr>
            </w:r>
            <w:r/>
          </w:p>
          <w:p>
            <w:pPr>
              <w:pStyle w:val="1118"/>
              <w:tabs>
                <w:tab w:val="left" w:pos="1080" w:leader="none"/>
              </w:tabs>
              <w:rPr>
                <w:szCs w:val="21"/>
              </w:rPr>
            </w:pPr>
            <w:r>
              <w:rPr>
                <w:rFonts w:hint="eastAsia"/>
                <w:szCs w:val="21"/>
              </w:rPr>
              <w:t xml:space="preserve">截止时点：提交响应文件截止时间以后、资格审查阶段采购人或采购代理机构的实际查询时间；</w:t>
            </w:r>
            <w:r>
              <w:rPr>
                <w:szCs w:val="21"/>
              </w:rPr>
            </w:r>
            <w:r/>
          </w:p>
          <w:p>
            <w:pPr>
              <w:pStyle w:val="1118"/>
              <w:tabs>
                <w:tab w:val="left" w:pos="1080" w:leader="none"/>
              </w:tabs>
              <w:rPr>
                <w:szCs w:val="21"/>
              </w:rPr>
            </w:pPr>
            <w:r>
              <w:rPr>
                <w:rFonts w:hint="eastAsia"/>
                <w:szCs w:val="21"/>
              </w:rPr>
              <w:t xml:space="preserve">信用信息查询记录和证据留存具体方式：查询结果网页打印页作为查询记录和证据，与其他采购文件一并保存；</w:t>
            </w:r>
            <w:r>
              <w:rPr>
                <w:szCs w:val="21"/>
              </w:rPr>
            </w:r>
            <w:r/>
          </w:p>
          <w:p>
            <w:pPr>
              <w:pStyle w:val="1118"/>
              <w:tabs>
                <w:tab w:val="left" w:pos="1080" w:leader="none"/>
              </w:tabs>
              <w:rPr>
                <w:szCs w:val="21"/>
              </w:rPr>
            </w:pPr>
            <w:r>
              <w:rPr>
                <w:rFonts w:hint="eastAsia"/>
                <w:szCs w:val="21"/>
              </w:rPr>
              <w:t xml:space="preserve">信用信息的使用原则：经认定的被列入失信被执行人、重大税收违法失信主体、政府采购严重违法失信行为记录名单的供应商，其响应无效。联合体形式响应的，联合体成员存在不良信用记录，视同联合体存在不良信用记录。</w:t>
            </w:r>
            <w:r>
              <w:rPr>
                <w:szCs w:val="21"/>
              </w:rPr>
            </w:r>
            <w:r/>
          </w:p>
        </w:tc>
        <w:tc>
          <w:tcPr>
            <w:tcW w:w="1807" w:type="dxa"/>
            <w:vAlign w:val="center"/>
            <w:textDirection w:val="lrTb"/>
            <w:noWrap w:val="false"/>
          </w:tcPr>
          <w:p>
            <w:pPr>
              <w:pStyle w:val="1118"/>
              <w:tabs>
                <w:tab w:val="left" w:pos="1080" w:leader="none"/>
              </w:tabs>
              <w:rPr>
                <w:szCs w:val="21"/>
              </w:rPr>
            </w:pPr>
            <w:r>
              <w:rPr>
                <w:rFonts w:hint="eastAsia"/>
                <w:szCs w:val="21"/>
              </w:rPr>
              <w:t xml:space="preserve">无须供应商提供，由采购人或采购代理机构查询。</w:t>
            </w:r>
            <w:r>
              <w:rPr>
                <w:szCs w:val="21"/>
              </w:rPr>
            </w:r>
            <w:r/>
          </w:p>
        </w:tc>
      </w:tr>
      <w:tr>
        <w:trPr>
          <w:cantSplit/>
          <w:trHeight w:val="1666"/>
        </w:trPr>
        <w:tc>
          <w:tcPr>
            <w:tcW w:w="696" w:type="dxa"/>
            <w:vAlign w:val="center"/>
            <w:textDirection w:val="lrTb"/>
            <w:noWrap w:val="false"/>
          </w:tcPr>
          <w:p>
            <w:pPr>
              <w:pStyle w:val="1118"/>
              <w:jc w:val="center"/>
              <w:tabs>
                <w:tab w:val="left" w:pos="1080" w:leader="none"/>
              </w:tabs>
              <w:rPr>
                <w:rFonts w:ascii="宋体" w:hAnsi="宋体" w:cs="宋体"/>
                <w:sz w:val="24"/>
              </w:rPr>
            </w:pPr>
            <w:r>
              <w:rPr>
                <w:rFonts w:hint="eastAsia" w:ascii="宋体" w:hAnsi="宋体" w:cs="宋体"/>
                <w:sz w:val="24"/>
              </w:rPr>
              <w:t xml:space="preserve">2</w:t>
            </w:r>
            <w:r>
              <w:rPr>
                <w:rFonts w:ascii="宋体" w:hAnsi="宋体" w:cs="宋体"/>
                <w:sz w:val="24"/>
              </w:rPr>
            </w:r>
            <w:r/>
          </w:p>
        </w:tc>
        <w:tc>
          <w:tcPr>
            <w:tcW w:w="1885" w:type="dxa"/>
            <w:vAlign w:val="center"/>
            <w:textDirection w:val="lrTb"/>
            <w:noWrap w:val="false"/>
          </w:tcPr>
          <w:p>
            <w:pPr>
              <w:pStyle w:val="1118"/>
              <w:tabs>
                <w:tab w:val="left" w:pos="1080" w:leader="none"/>
              </w:tabs>
              <w:rPr>
                <w:szCs w:val="21"/>
              </w:rPr>
            </w:pPr>
            <w:r>
              <w:rPr>
                <w:rFonts w:hint="eastAsia"/>
                <w:szCs w:val="21"/>
              </w:rPr>
              <w:t xml:space="preserve">落实政府采购政策需满足的资格要求</w:t>
            </w:r>
            <w:r>
              <w:rPr>
                <w:szCs w:val="21"/>
              </w:rPr>
            </w:r>
            <w:r/>
          </w:p>
        </w:tc>
        <w:tc>
          <w:tcPr>
            <w:tcW w:w="4900" w:type="dxa"/>
            <w:vAlign w:val="center"/>
            <w:textDirection w:val="lrTb"/>
            <w:noWrap w:val="false"/>
          </w:tcPr>
          <w:p>
            <w:pPr>
              <w:pStyle w:val="1118"/>
              <w:tabs>
                <w:tab w:val="left" w:pos="1080" w:leader="none"/>
              </w:tabs>
              <w:rPr>
                <w:szCs w:val="21"/>
              </w:rPr>
            </w:pPr>
            <w:r>
              <w:rPr>
                <w:rFonts w:hint="eastAsia"/>
                <w:szCs w:val="21"/>
              </w:rPr>
              <w:t xml:space="preserve">具体要求见第一章《竞争性磋商公告》</w:t>
            </w:r>
            <w:r>
              <w:rPr>
                <w:szCs w:val="21"/>
              </w:rPr>
            </w:r>
            <w:r/>
          </w:p>
        </w:tc>
        <w:tc>
          <w:tcPr>
            <w:tcW w:w="1807" w:type="dxa"/>
            <w:vAlign w:val="center"/>
            <w:textDirection w:val="lrTb"/>
            <w:noWrap w:val="false"/>
          </w:tcPr>
          <w:p>
            <w:pPr>
              <w:pStyle w:val="1118"/>
              <w:tabs>
                <w:tab w:val="left" w:pos="1080" w:leader="none"/>
              </w:tabs>
              <w:rPr>
                <w:szCs w:val="21"/>
              </w:rPr>
            </w:pPr>
            <w:r>
              <w:rPr>
                <w:szCs w:val="21"/>
              </w:rPr>
            </w:r>
            <w:r/>
          </w:p>
        </w:tc>
      </w:tr>
      <w:tr>
        <w:trPr>
          <w:cantSplit/>
          <w:trHeight w:val="632"/>
        </w:trPr>
        <w:tc>
          <w:tcPr>
            <w:tcW w:w="696" w:type="dxa"/>
            <w:vAlign w:val="center"/>
            <w:textDirection w:val="lrTb"/>
            <w:noWrap w:val="false"/>
          </w:tcPr>
          <w:p>
            <w:pPr>
              <w:pStyle w:val="1118"/>
              <w:jc w:val="center"/>
              <w:tabs>
                <w:tab w:val="left" w:pos="1080" w:leader="none"/>
              </w:tabs>
              <w:rPr>
                <w:szCs w:val="21"/>
              </w:rPr>
            </w:pPr>
            <w:r>
              <w:rPr>
                <w:rFonts w:hint="eastAsia"/>
                <w:szCs w:val="21"/>
              </w:rPr>
              <w:t xml:space="preserve">2-1</w:t>
            </w:r>
            <w:r>
              <w:rPr>
                <w:szCs w:val="21"/>
              </w:rPr>
            </w:r>
            <w:r/>
          </w:p>
        </w:tc>
        <w:tc>
          <w:tcPr>
            <w:tcW w:w="1885" w:type="dxa"/>
            <w:vAlign w:val="center"/>
            <w:textDirection w:val="lrTb"/>
            <w:noWrap w:val="false"/>
          </w:tcPr>
          <w:p>
            <w:pPr>
              <w:pStyle w:val="1118"/>
              <w:tabs>
                <w:tab w:val="left" w:pos="1080" w:leader="none"/>
              </w:tabs>
              <w:rPr>
                <w:szCs w:val="21"/>
              </w:rPr>
            </w:pPr>
            <w:r>
              <w:rPr>
                <w:szCs w:val="21"/>
              </w:rPr>
              <w:t xml:space="preserve">中小企业声明函</w:t>
            </w:r>
            <w:r>
              <w:rPr>
                <w:szCs w:val="21"/>
              </w:rPr>
            </w:r>
            <w:r/>
          </w:p>
        </w:tc>
        <w:tc>
          <w:tcPr>
            <w:tcW w:w="4900" w:type="dxa"/>
            <w:vAlign w:val="center"/>
            <w:textDirection w:val="lrTb"/>
            <w:noWrap w:val="false"/>
          </w:tcPr>
          <w:p>
            <w:pPr>
              <w:pStyle w:val="1118"/>
              <w:jc w:val="center"/>
              <w:tabs>
                <w:tab w:val="left" w:pos="1080" w:leader="none"/>
              </w:tabs>
              <w:rPr>
                <w:rFonts w:hint="eastAsia" w:eastAsia="宋体"/>
                <w:szCs w:val="32"/>
                <w:lang w:val="en-US" w:eastAsia="zh-CN"/>
              </w:rPr>
            </w:pPr>
            <w:r>
              <w:rPr>
                <w:rFonts w:hint="eastAsia"/>
                <w:szCs w:val="21"/>
              </w:rPr>
              <w:t xml:space="preserve">具体要求见第一章《竞争性磋商公告》</w:t>
            </w:r>
            <w:r>
              <w:rPr>
                <w:rFonts w:hint="eastAsia" w:eastAsia="宋体"/>
                <w:szCs w:val="32"/>
                <w:lang w:val="en-US" w:eastAsia="zh-CN"/>
              </w:rPr>
            </w:r>
            <w:r/>
          </w:p>
        </w:tc>
        <w:tc>
          <w:tcPr>
            <w:tcW w:w="1807" w:type="dxa"/>
            <w:vAlign w:val="center"/>
            <w:textDirection w:val="lrTb"/>
            <w:noWrap w:val="false"/>
          </w:tcPr>
          <w:p>
            <w:pPr>
              <w:pStyle w:val="1118"/>
              <w:spacing w:line="360" w:lineRule="auto"/>
              <w:rPr>
                <w:szCs w:val="32"/>
              </w:rPr>
            </w:pPr>
            <w:r>
              <w:rPr>
                <w:szCs w:val="32"/>
              </w:rPr>
            </w:r>
            <w:r/>
          </w:p>
        </w:tc>
      </w:tr>
      <w:tr>
        <w:trPr>
          <w:cantSplit/>
          <w:trHeight w:val="632"/>
        </w:trPr>
        <w:tc>
          <w:tcPr>
            <w:tcW w:w="696" w:type="dxa"/>
            <w:vAlign w:val="center"/>
            <w:textDirection w:val="lrTb"/>
            <w:noWrap w:val="false"/>
          </w:tcPr>
          <w:p>
            <w:pPr>
              <w:pStyle w:val="1118"/>
              <w:tabs>
                <w:tab w:val="left" w:pos="1080" w:leader="none"/>
              </w:tabs>
              <w:rPr>
                <w:szCs w:val="21"/>
              </w:rPr>
            </w:pPr>
            <w:r>
              <w:rPr>
                <w:szCs w:val="21"/>
              </w:rPr>
              <w:t xml:space="preserve">2-2</w:t>
            </w:r>
            <w:r>
              <w:rPr>
                <w:szCs w:val="21"/>
              </w:rPr>
            </w:r>
            <w:r/>
          </w:p>
        </w:tc>
        <w:tc>
          <w:tcPr>
            <w:tcW w:w="1885" w:type="dxa"/>
            <w:vAlign w:val="center"/>
            <w:textDirection w:val="lrTb"/>
            <w:noWrap w:val="false"/>
          </w:tcPr>
          <w:p>
            <w:pPr>
              <w:pStyle w:val="1118"/>
              <w:tabs>
                <w:tab w:val="left" w:pos="1080" w:leader="none"/>
              </w:tabs>
              <w:rPr>
                <w:szCs w:val="21"/>
              </w:rPr>
            </w:pPr>
            <w:r>
              <w:rPr>
                <w:szCs w:val="21"/>
              </w:rPr>
              <w:t xml:space="preserve">拟分包情况说明及分包意向协议（类型一）</w:t>
            </w:r>
            <w:r>
              <w:rPr>
                <w:szCs w:val="21"/>
              </w:rPr>
            </w:r>
            <w:r/>
          </w:p>
        </w:tc>
        <w:tc>
          <w:tcPr>
            <w:tcW w:w="4900" w:type="dxa"/>
            <w:vAlign w:val="center"/>
            <w:textDirection w:val="lrTb"/>
            <w:noWrap w:val="false"/>
          </w:tcPr>
          <w:p>
            <w:pPr>
              <w:pStyle w:val="1118"/>
              <w:jc w:val="center"/>
              <w:tabs>
                <w:tab w:val="left" w:pos="1080" w:leader="none"/>
              </w:tabs>
              <w:rPr>
                <w:b/>
                <w:sz w:val="24"/>
              </w:rPr>
            </w:pPr>
            <w:r>
              <w:rPr>
                <w:rFonts w:hint="eastAsia"/>
                <w:szCs w:val="21"/>
              </w:rPr>
              <w:t xml:space="preserve">具体要求见第一章《竞争性磋商公告》</w:t>
            </w:r>
            <w:r>
              <w:rPr>
                <w:b/>
                <w:sz w:val="24"/>
              </w:rPr>
            </w:r>
            <w:r/>
          </w:p>
        </w:tc>
        <w:tc>
          <w:tcPr>
            <w:tcW w:w="1807" w:type="dxa"/>
            <w:vAlign w:val="center"/>
            <w:textDirection w:val="lrTb"/>
            <w:noWrap w:val="false"/>
          </w:tcPr>
          <w:p>
            <w:pPr>
              <w:pStyle w:val="1118"/>
              <w:tabs>
                <w:tab w:val="left" w:pos="1080" w:leader="none"/>
              </w:tabs>
              <w:rPr>
                <w:sz w:val="24"/>
              </w:rPr>
            </w:pPr>
            <w:r>
              <w:rPr>
                <w:sz w:val="24"/>
              </w:rPr>
            </w:r>
            <w:r/>
          </w:p>
        </w:tc>
      </w:tr>
      <w:tr>
        <w:trPr>
          <w:cantSplit/>
          <w:trHeight w:val="632"/>
        </w:trPr>
        <w:tc>
          <w:tcPr>
            <w:tcW w:w="698" w:type="dxa"/>
            <w:vAlign w:val="center"/>
            <w:textDirection w:val="lrTb"/>
            <w:noWrap w:val="false"/>
          </w:tcPr>
          <w:p>
            <w:pPr>
              <w:pStyle w:val="1118"/>
              <w:tabs>
                <w:tab w:val="left" w:pos="1080" w:leader="none"/>
              </w:tabs>
              <w:rPr>
                <w:szCs w:val="21"/>
              </w:rPr>
            </w:pPr>
            <w:r>
              <w:rPr>
                <w:szCs w:val="21"/>
              </w:rPr>
              <w:t xml:space="preserve">2-3</w:t>
            </w:r>
            <w:r>
              <w:rPr>
                <w:szCs w:val="21"/>
              </w:rPr>
            </w:r>
            <w:r/>
          </w:p>
        </w:tc>
        <w:tc>
          <w:tcPr>
            <w:tcW w:w="1885" w:type="dxa"/>
            <w:vAlign w:val="center"/>
            <w:textDirection w:val="lrTb"/>
            <w:noWrap w:val="false"/>
          </w:tcPr>
          <w:p>
            <w:pPr>
              <w:pStyle w:val="1118"/>
              <w:tabs>
                <w:tab w:val="left" w:pos="1080" w:leader="none"/>
              </w:tabs>
              <w:rPr>
                <w:szCs w:val="21"/>
              </w:rPr>
            </w:pPr>
            <w:r>
              <w:rPr>
                <w:szCs w:val="21"/>
              </w:rPr>
              <w:t xml:space="preserve">其它落实政府采购政策的资格要求</w:t>
            </w:r>
            <w:r>
              <w:rPr>
                <w:szCs w:val="21"/>
              </w:rPr>
            </w:r>
            <w:r/>
          </w:p>
        </w:tc>
        <w:tc>
          <w:tcPr>
            <w:tcW w:w="4898" w:type="dxa"/>
            <w:vAlign w:val="center"/>
            <w:textDirection w:val="lrTb"/>
            <w:noWrap w:val="false"/>
          </w:tcPr>
          <w:p>
            <w:pPr>
              <w:pStyle w:val="1118"/>
              <w:jc w:val="center"/>
              <w:tabs>
                <w:tab w:val="left" w:pos="1080" w:leader="none"/>
              </w:tabs>
              <w:rPr>
                <w:sz w:val="24"/>
              </w:rPr>
            </w:pPr>
            <w:r>
              <w:rPr>
                <w:rFonts w:hint="eastAsia"/>
                <w:szCs w:val="21"/>
              </w:rPr>
              <w:t xml:space="preserve">具体要求见第一章《竞争性磋商公告》</w:t>
            </w:r>
            <w:r>
              <w:rPr>
                <w:sz w:val="24"/>
              </w:rPr>
            </w:r>
            <w:r/>
          </w:p>
        </w:tc>
        <w:tc>
          <w:tcPr>
            <w:tcW w:w="1807" w:type="dxa"/>
            <w:vAlign w:val="center"/>
            <w:textDirection w:val="lrTb"/>
            <w:noWrap w:val="false"/>
          </w:tcPr>
          <w:p>
            <w:pPr>
              <w:pStyle w:val="1118"/>
              <w:tabs>
                <w:tab w:val="left" w:pos="1080" w:leader="none"/>
              </w:tabs>
              <w:rPr>
                <w:sz w:val="24"/>
              </w:rPr>
            </w:pPr>
            <w:r>
              <w:rPr>
                <w:sz w:val="24"/>
              </w:rPr>
            </w:r>
            <w:r/>
          </w:p>
        </w:tc>
      </w:tr>
      <w:tr>
        <w:trPr>
          <w:cantSplit/>
          <w:trHeight w:val="632"/>
        </w:trPr>
        <w:tc>
          <w:tcPr>
            <w:tcW w:w="698" w:type="dxa"/>
            <w:vAlign w:val="center"/>
            <w:textDirection w:val="lrTb"/>
            <w:noWrap w:val="false"/>
          </w:tcPr>
          <w:p>
            <w:pPr>
              <w:pStyle w:val="1118"/>
              <w:tabs>
                <w:tab w:val="left" w:pos="1080" w:leader="none"/>
              </w:tabs>
              <w:rPr>
                <w:szCs w:val="21"/>
              </w:rPr>
            </w:pPr>
            <w:r>
              <w:rPr>
                <w:szCs w:val="21"/>
              </w:rPr>
              <w:t xml:space="preserve">3</w:t>
            </w:r>
            <w:r>
              <w:rPr>
                <w:szCs w:val="21"/>
              </w:rPr>
            </w:r>
            <w:r/>
          </w:p>
        </w:tc>
        <w:tc>
          <w:tcPr>
            <w:tcW w:w="1885" w:type="dxa"/>
            <w:vAlign w:val="center"/>
            <w:textDirection w:val="lrTb"/>
            <w:noWrap w:val="false"/>
          </w:tcPr>
          <w:p>
            <w:pPr>
              <w:pStyle w:val="1118"/>
              <w:tabs>
                <w:tab w:val="left" w:pos="1080" w:leader="none"/>
              </w:tabs>
              <w:rPr>
                <w:szCs w:val="21"/>
              </w:rPr>
            </w:pPr>
            <w:r>
              <w:rPr>
                <w:szCs w:val="21"/>
              </w:rPr>
              <w:t xml:space="preserve">本项目的特定资格要求</w:t>
            </w:r>
            <w:r>
              <w:rPr>
                <w:szCs w:val="21"/>
              </w:rPr>
            </w:r>
            <w:r/>
          </w:p>
        </w:tc>
        <w:tc>
          <w:tcPr>
            <w:tcW w:w="4898" w:type="dxa"/>
            <w:vAlign w:val="center"/>
            <w:textDirection w:val="lrTb"/>
            <w:noWrap w:val="false"/>
          </w:tcPr>
          <w:p>
            <w:pPr>
              <w:pStyle w:val="1118"/>
              <w:jc w:val="center"/>
              <w:tabs>
                <w:tab w:val="left" w:pos="1080" w:leader="none"/>
              </w:tabs>
              <w:rPr>
                <w:sz w:val="24"/>
              </w:rPr>
            </w:pPr>
            <w:r>
              <w:rPr>
                <w:rFonts w:hint="eastAsia"/>
                <w:szCs w:val="21"/>
              </w:rPr>
              <w:t xml:space="preserve">具体要求见第一章《竞争性磋商公告》</w:t>
            </w:r>
            <w:r>
              <w:rPr>
                <w:sz w:val="24"/>
              </w:rPr>
            </w:r>
            <w:r/>
          </w:p>
        </w:tc>
        <w:tc>
          <w:tcPr>
            <w:tcW w:w="1807" w:type="dxa"/>
            <w:vAlign w:val="center"/>
            <w:textDirection w:val="lrTb"/>
            <w:noWrap w:val="false"/>
          </w:tcPr>
          <w:p>
            <w:pPr>
              <w:pStyle w:val="1118"/>
              <w:tabs>
                <w:tab w:val="left" w:pos="1080" w:leader="none"/>
              </w:tabs>
              <w:rPr>
                <w:sz w:val="24"/>
              </w:rPr>
            </w:pPr>
            <w:r>
              <w:rPr>
                <w:sz w:val="24"/>
              </w:rPr>
            </w:r>
            <w:r/>
          </w:p>
        </w:tc>
      </w:tr>
      <w:tr>
        <w:trPr>
          <w:cantSplit/>
          <w:trHeight w:val="632"/>
        </w:trPr>
        <w:tc>
          <w:tcPr>
            <w:tcW w:w="698" w:type="dxa"/>
            <w:vAlign w:val="center"/>
            <w:textDirection w:val="lrTb"/>
            <w:noWrap w:val="false"/>
          </w:tcPr>
          <w:p>
            <w:pPr>
              <w:pStyle w:val="1118"/>
              <w:tabs>
                <w:tab w:val="left" w:pos="1080" w:leader="none"/>
              </w:tabs>
              <w:rPr>
                <w:szCs w:val="21"/>
              </w:rPr>
            </w:pPr>
            <w:r>
              <w:rPr>
                <w:szCs w:val="21"/>
              </w:rPr>
              <w:t xml:space="preserve">3-1</w:t>
            </w:r>
            <w:r>
              <w:rPr>
                <w:szCs w:val="21"/>
              </w:rPr>
            </w:r>
            <w:r/>
          </w:p>
        </w:tc>
        <w:tc>
          <w:tcPr>
            <w:tcW w:w="1885" w:type="dxa"/>
            <w:vAlign w:val="center"/>
            <w:textDirection w:val="lrTb"/>
            <w:noWrap w:val="false"/>
          </w:tcPr>
          <w:p>
            <w:pPr>
              <w:pStyle w:val="1118"/>
              <w:tabs>
                <w:tab w:val="left" w:pos="1080" w:leader="none"/>
              </w:tabs>
              <w:rPr>
                <w:szCs w:val="21"/>
              </w:rPr>
            </w:pPr>
            <w:r>
              <w:rPr>
                <w:szCs w:val="21"/>
              </w:rPr>
              <w:t xml:space="preserve">是否接受联合体响应</w:t>
            </w:r>
            <w:r>
              <w:rPr>
                <w:szCs w:val="21"/>
              </w:rPr>
            </w:r>
            <w:r/>
          </w:p>
        </w:tc>
        <w:tc>
          <w:tcPr>
            <w:tcW w:w="4898" w:type="dxa"/>
            <w:vAlign w:val="center"/>
            <w:textDirection w:val="lrTb"/>
            <w:noWrap w:val="false"/>
          </w:tcPr>
          <w:p>
            <w:pPr>
              <w:pStyle w:val="1118"/>
              <w:jc w:val="center"/>
              <w:tabs>
                <w:tab w:val="left" w:pos="1080" w:leader="none"/>
              </w:tabs>
              <w:rPr>
                <w:sz w:val="24"/>
              </w:rPr>
            </w:pPr>
            <w:r>
              <w:rPr>
                <w:rFonts w:hint="eastAsia"/>
                <w:szCs w:val="21"/>
              </w:rPr>
              <w:t xml:space="preserve">具体要求见第一章《竞争性磋商公告》</w:t>
            </w:r>
            <w:r>
              <w:rPr>
                <w:sz w:val="24"/>
              </w:rPr>
            </w:r>
            <w:r/>
          </w:p>
        </w:tc>
        <w:tc>
          <w:tcPr>
            <w:tcW w:w="1807" w:type="dxa"/>
            <w:vAlign w:val="center"/>
            <w:textDirection w:val="lrTb"/>
            <w:noWrap w:val="false"/>
          </w:tcPr>
          <w:p>
            <w:pPr>
              <w:pStyle w:val="1118"/>
              <w:tabs>
                <w:tab w:val="left" w:pos="1080" w:leader="none"/>
              </w:tabs>
              <w:rPr>
                <w:sz w:val="24"/>
              </w:rPr>
            </w:pPr>
            <w:r>
              <w:rPr>
                <w:sz w:val="24"/>
              </w:rPr>
            </w:r>
            <w:r/>
          </w:p>
        </w:tc>
      </w:tr>
      <w:tr>
        <w:trPr>
          <w:cantSplit/>
          <w:trHeight w:val="632"/>
        </w:trPr>
        <w:tc>
          <w:tcPr>
            <w:tcW w:w="698" w:type="dxa"/>
            <w:vAlign w:val="center"/>
            <w:textDirection w:val="lrTb"/>
            <w:noWrap w:val="false"/>
          </w:tcPr>
          <w:p>
            <w:pPr>
              <w:pStyle w:val="1118"/>
              <w:tabs>
                <w:tab w:val="left" w:pos="1080" w:leader="none"/>
              </w:tabs>
              <w:rPr>
                <w:szCs w:val="21"/>
              </w:rPr>
            </w:pPr>
            <w:r>
              <w:rPr>
                <w:szCs w:val="21"/>
              </w:rPr>
              <w:t xml:space="preserve">3-2</w:t>
            </w:r>
            <w:r>
              <w:rPr>
                <w:szCs w:val="21"/>
              </w:rPr>
            </w:r>
            <w:r/>
          </w:p>
        </w:tc>
        <w:tc>
          <w:tcPr>
            <w:tcW w:w="1885" w:type="dxa"/>
            <w:vAlign w:val="center"/>
            <w:textDirection w:val="lrTb"/>
            <w:noWrap w:val="false"/>
          </w:tcPr>
          <w:p>
            <w:pPr>
              <w:pStyle w:val="1118"/>
              <w:tabs>
                <w:tab w:val="left" w:pos="1080" w:leader="none"/>
              </w:tabs>
              <w:rPr>
                <w:szCs w:val="21"/>
              </w:rPr>
            </w:pPr>
            <w:r>
              <w:rPr>
                <w:szCs w:val="21"/>
              </w:rPr>
              <w:t xml:space="preserve">其他特定资格要求</w:t>
            </w:r>
            <w:r>
              <w:rPr>
                <w:szCs w:val="21"/>
              </w:rPr>
            </w:r>
            <w:r/>
          </w:p>
        </w:tc>
        <w:tc>
          <w:tcPr>
            <w:tcW w:w="4898" w:type="dxa"/>
            <w:vAlign w:val="center"/>
            <w:textDirection w:val="lrTb"/>
            <w:noWrap w:val="false"/>
          </w:tcPr>
          <w:p>
            <w:pPr>
              <w:pStyle w:val="1118"/>
              <w:ind w:firstLine="630"/>
              <w:spacing w:line="360" w:lineRule="auto"/>
              <w:rPr>
                <w:rFonts w:hint="eastAsia"/>
                <w:sz w:val="24"/>
              </w:rPr>
            </w:pPr>
            <w:r>
              <w:rPr>
                <w:rFonts w:hint="eastAsia"/>
                <w:szCs w:val="21"/>
              </w:rPr>
              <w:t xml:space="preserve">具体要求见第一章《竞争性磋商公告》</w:t>
            </w:r>
            <w:r>
              <w:rPr>
                <w:rFonts w:hint="eastAsia"/>
                <w:sz w:val="24"/>
              </w:rPr>
            </w:r>
            <w:r/>
          </w:p>
        </w:tc>
        <w:tc>
          <w:tcPr>
            <w:tcW w:w="1807" w:type="dxa"/>
            <w:vAlign w:val="center"/>
            <w:textDirection w:val="lrTb"/>
            <w:noWrap w:val="false"/>
          </w:tcPr>
          <w:p>
            <w:pPr>
              <w:pStyle w:val="1118"/>
              <w:tabs>
                <w:tab w:val="left" w:pos="1080" w:leader="none"/>
              </w:tabs>
              <w:rPr>
                <w:sz w:val="24"/>
              </w:rPr>
            </w:pPr>
            <w:r>
              <w:rPr>
                <w:sz w:val="24"/>
              </w:rPr>
            </w:r>
            <w:r/>
          </w:p>
        </w:tc>
      </w:tr>
    </w:tbl>
    <w:p>
      <w:pPr>
        <w:pStyle w:val="1118"/>
        <w:jc w:val="left"/>
        <w:widowControl/>
        <w:rPr>
          <w:sz w:val="24"/>
        </w:rPr>
      </w:pPr>
      <w:r>
        <w:rPr>
          <w:sz w:val="24"/>
        </w:rPr>
      </w:r>
      <w:r/>
    </w:p>
    <w:p>
      <w:pPr>
        <w:pStyle w:val="1118"/>
        <w:jc w:val="left"/>
        <w:widowControl/>
        <w:rPr>
          <w:sz w:val="24"/>
        </w:rPr>
      </w:pPr>
      <w:r>
        <w:rPr>
          <w:sz w:val="24"/>
        </w:rPr>
        <w:br w:type="page" w:clear="all"/>
      </w:r>
      <w:r>
        <w:rPr>
          <w:sz w:val="24"/>
        </w:rPr>
      </w:r>
      <w:r/>
    </w:p>
    <w:p>
      <w:pPr>
        <w:pStyle w:val="1118"/>
        <w:numPr>
          <w:ilvl w:val="1"/>
          <w:numId w:val="11"/>
        </w:numPr>
        <w:ind w:left="1350" w:hanging="720"/>
        <w:spacing w:line="360" w:lineRule="auto"/>
        <w:tabs>
          <w:tab w:val="left" w:pos="1080" w:leader="none"/>
          <w:tab w:val="left" w:pos="1589" w:leader="none"/>
        </w:tabs>
        <w:rPr>
          <w:sz w:val="24"/>
        </w:rPr>
      </w:pPr>
      <w:r>
        <w:rPr>
          <w:sz w:val="24"/>
        </w:rPr>
        <w:t xml:space="preserve">《符合性审查要求》见下表：</w:t>
      </w:r>
      <w:r>
        <w:rPr>
          <w:sz w:val="24"/>
        </w:rPr>
      </w:r>
      <w:r/>
    </w:p>
    <w:p>
      <w:pPr>
        <w:pStyle w:val="1118"/>
        <w:jc w:val="center"/>
        <w:spacing w:line="360" w:lineRule="auto"/>
        <w:widowControl/>
        <w:rPr>
          <w:b/>
          <w:color w:val="000000"/>
          <w:sz w:val="24"/>
        </w:rPr>
      </w:pPr>
      <w:r>
        <w:rPr>
          <w:b/>
          <w:color w:val="000000"/>
          <w:sz w:val="24"/>
        </w:rPr>
        <w:t xml:space="preserve">符合性审查要求</w:t>
      </w:r>
      <w:r>
        <w:rPr>
          <w:b/>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750" w:type="dxa"/>
            <w:vAlign w:val="center"/>
            <w:textDirection w:val="lrTb"/>
            <w:noWrap w:val="false"/>
          </w:tcPr>
          <w:p>
            <w:pPr>
              <w:pStyle w:val="1118"/>
              <w:jc w:val="center"/>
              <w:widowControl/>
              <w:rPr>
                <w:rFonts w:hint="eastAsia" w:ascii="宋体" w:hAnsi="宋体" w:cs="宋体"/>
                <w:b/>
                <w:color w:val="000000"/>
                <w:sz w:val="24"/>
              </w:rPr>
            </w:pPr>
            <w:r>
              <w:rPr>
                <w:rFonts w:hint="eastAsia" w:ascii="宋体" w:hAnsi="宋体" w:cs="宋体"/>
                <w:b/>
                <w:color w:val="000000"/>
                <w:sz w:val="24"/>
              </w:rPr>
              <w:t xml:space="preserve">序号</w:t>
            </w:r>
            <w:r>
              <w:rPr>
                <w:rFonts w:hint="eastAsia" w:ascii="宋体" w:hAnsi="宋体" w:cs="宋体"/>
                <w:b/>
                <w:color w:val="000000"/>
                <w:sz w:val="24"/>
              </w:rPr>
            </w:r>
            <w:r/>
          </w:p>
        </w:tc>
        <w:tc>
          <w:tcPr>
            <w:tcW w:w="1813" w:type="dxa"/>
            <w:vAlign w:val="center"/>
            <w:textDirection w:val="lrTb"/>
            <w:noWrap w:val="false"/>
          </w:tcPr>
          <w:p>
            <w:pPr>
              <w:pStyle w:val="1118"/>
              <w:jc w:val="center"/>
              <w:widowControl/>
              <w:rPr>
                <w:rFonts w:hint="eastAsia" w:ascii="宋体" w:hAnsi="宋体" w:cs="宋体"/>
                <w:b/>
                <w:color w:val="000000"/>
                <w:sz w:val="24"/>
              </w:rPr>
            </w:pPr>
            <w:r>
              <w:rPr>
                <w:rFonts w:hint="eastAsia" w:ascii="宋体" w:hAnsi="宋体" w:cs="宋体"/>
                <w:b/>
                <w:color w:val="000000"/>
                <w:sz w:val="24"/>
              </w:rPr>
              <w:t xml:space="preserve">审查因素</w:t>
            </w:r>
            <w:r>
              <w:rPr>
                <w:rFonts w:hint="eastAsia" w:ascii="宋体" w:hAnsi="宋体" w:cs="宋体"/>
                <w:b/>
                <w:color w:val="000000"/>
                <w:sz w:val="24"/>
              </w:rPr>
            </w:r>
            <w:r/>
          </w:p>
        </w:tc>
        <w:tc>
          <w:tcPr>
            <w:tcW w:w="6725" w:type="dxa"/>
            <w:vAlign w:val="center"/>
            <w:textDirection w:val="lrTb"/>
            <w:noWrap w:val="false"/>
          </w:tcPr>
          <w:p>
            <w:pPr>
              <w:pStyle w:val="1118"/>
              <w:jc w:val="center"/>
              <w:widowControl/>
              <w:rPr>
                <w:rFonts w:hint="eastAsia" w:ascii="宋体" w:hAnsi="宋体" w:cs="宋体"/>
                <w:b/>
                <w:color w:val="000000"/>
                <w:sz w:val="24"/>
              </w:rPr>
            </w:pPr>
            <w:r>
              <w:rPr>
                <w:rFonts w:hint="eastAsia" w:ascii="宋体" w:hAnsi="宋体" w:cs="宋体"/>
                <w:b/>
                <w:color w:val="000000"/>
                <w:sz w:val="24"/>
              </w:rPr>
              <w:t xml:space="preserve">审查内容</w:t>
            </w:r>
            <w:r>
              <w:rPr>
                <w:rFonts w:hint="eastAsia" w:ascii="宋体" w:hAnsi="宋体" w:cs="宋体"/>
                <w:b/>
                <w:color w:val="000000"/>
                <w:sz w:val="24"/>
              </w:rPr>
            </w:r>
            <w:r/>
          </w:p>
        </w:tc>
      </w:tr>
      <w:tr>
        <w:trPr>
          <w:trHeight w:val="685"/>
        </w:trPr>
        <w:tc>
          <w:tcPr>
            <w:tcW w:w="750" w:type="dxa"/>
            <w:vAlign w:val="center"/>
            <w:textDirection w:val="lrTb"/>
            <w:noWrap w:val="false"/>
          </w:tcPr>
          <w:p>
            <w:pPr>
              <w:pStyle w:val="1118"/>
              <w:jc w:val="center"/>
              <w:widowControl/>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1813" w:type="dxa"/>
            <w:vAlign w:val="center"/>
            <w:textDirection w:val="lrTb"/>
            <w:noWrap w:val="false"/>
          </w:tcPr>
          <w:p>
            <w:pPr>
              <w:pStyle w:val="1118"/>
              <w:jc w:val="left"/>
              <w:widowControl/>
              <w:rPr>
                <w:rFonts w:hint="eastAsia" w:ascii="宋体" w:hAnsi="宋体" w:cs="宋体"/>
                <w:color w:val="000000"/>
                <w:sz w:val="24"/>
              </w:rPr>
            </w:pPr>
            <w:r>
              <w:rPr>
                <w:rFonts w:hint="eastAsia" w:ascii="宋体" w:hAnsi="宋体" w:cs="宋体"/>
                <w:color w:val="000000"/>
                <w:sz w:val="24"/>
              </w:rPr>
              <w:t xml:space="preserve">响应函、</w:t>
            </w:r>
            <w:r>
              <w:rPr>
                <w:rFonts w:hint="eastAsia" w:ascii="宋体" w:hAnsi="宋体" w:cs="宋体"/>
                <w:color w:val="000000"/>
                <w:sz w:val="24"/>
              </w:rPr>
              <w:t xml:space="preserve">法定代表人资格证明书和政府采购供应商信用承诺书</w:t>
            </w:r>
            <w:r>
              <w:rPr>
                <w:rFonts w:hint="eastAsia" w:ascii="宋体" w:hAnsi="宋体" w:cs="宋体"/>
                <w:color w:val="000000"/>
                <w:sz w:val="24"/>
              </w:rPr>
            </w:r>
            <w:r/>
          </w:p>
        </w:tc>
        <w:tc>
          <w:tcPr>
            <w:tcW w:w="6725" w:type="dxa"/>
            <w:vAlign w:val="center"/>
            <w:textDirection w:val="lrTb"/>
            <w:noWrap w:val="false"/>
          </w:tcPr>
          <w:p>
            <w:pPr>
              <w:pStyle w:val="1118"/>
              <w:jc w:val="left"/>
              <w:widowControl/>
              <w:rPr>
                <w:rFonts w:hint="eastAsia" w:ascii="宋体" w:hAnsi="宋体" w:cs="宋体"/>
                <w:color w:val="000000"/>
                <w:sz w:val="24"/>
              </w:rPr>
            </w:pPr>
            <w:r>
              <w:rPr>
                <w:rFonts w:hint="eastAsia" w:ascii="宋体" w:hAnsi="宋体" w:cs="宋体"/>
                <w:color w:val="000000"/>
                <w:sz w:val="24"/>
              </w:rPr>
              <w:t xml:space="preserve">按磋商文件要求提供响应函、</w:t>
            </w:r>
            <w:r>
              <w:rPr>
                <w:rFonts w:hint="eastAsia" w:ascii="宋体" w:hAnsi="宋体" w:cs="宋体"/>
                <w:color w:val="000000"/>
                <w:sz w:val="24"/>
              </w:rPr>
              <w:t xml:space="preserve">法定代表人资格证明书和政府采购供应商信用承诺书</w:t>
            </w:r>
            <w:r>
              <w:rPr>
                <w:rFonts w:hint="eastAsia" w:ascii="宋体" w:hAnsi="宋体" w:cs="宋体"/>
                <w:color w:val="000000"/>
                <w:sz w:val="24"/>
              </w:rPr>
              <w:t xml:space="preserve">；</w:t>
            </w:r>
            <w:r>
              <w:rPr>
                <w:rFonts w:hint="eastAsia" w:ascii="宋体" w:hAnsi="宋体" w:cs="宋体"/>
                <w:b/>
                <w:bCs/>
                <w:color w:val="000000"/>
              </w:rPr>
              <w:t xml:space="preserve">(格式见《投标（响应）文件格式》)</w:t>
            </w:r>
            <w:r>
              <w:rPr>
                <w:rFonts w:hint="eastAsia" w:ascii="宋体" w:hAnsi="宋体" w:cs="宋体"/>
                <w:color w:val="000000"/>
                <w:sz w:val="24"/>
              </w:rPr>
            </w:r>
            <w:r/>
          </w:p>
        </w:tc>
      </w:tr>
      <w:tr>
        <w:trPr>
          <w:trHeight w:val="685"/>
        </w:trPr>
        <w:tc>
          <w:tcPr>
            <w:tcW w:w="750" w:type="dxa"/>
            <w:vAlign w:val="center"/>
            <w:textDirection w:val="lrTb"/>
            <w:noWrap w:val="false"/>
          </w:tcPr>
          <w:p>
            <w:pPr>
              <w:pStyle w:val="1118"/>
              <w:jc w:val="center"/>
              <w:widowControl/>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rPr>
            </w:r>
            <w:r/>
          </w:p>
        </w:tc>
        <w:tc>
          <w:tcPr>
            <w:tcW w:w="1813" w:type="dxa"/>
            <w:vAlign w:val="center"/>
            <w:textDirection w:val="lrTb"/>
            <w:noWrap w:val="false"/>
          </w:tcPr>
          <w:p>
            <w:pPr>
              <w:pStyle w:val="1118"/>
              <w:jc w:val="left"/>
              <w:widowControl/>
              <w:rPr>
                <w:rFonts w:hint="eastAsia" w:ascii="宋体" w:hAnsi="宋体" w:cs="宋体"/>
                <w:color w:val="000000"/>
                <w:sz w:val="24"/>
              </w:rPr>
            </w:pPr>
            <w:r>
              <w:rPr>
                <w:rFonts w:hint="eastAsia" w:ascii="宋体" w:hAnsi="宋体" w:cs="宋体"/>
                <w:color w:val="000000"/>
                <w:sz w:val="24"/>
              </w:rPr>
              <w:t xml:space="preserve">响应完整性</w:t>
            </w:r>
            <w:r>
              <w:rPr>
                <w:rFonts w:hint="eastAsia" w:ascii="宋体" w:hAnsi="宋体" w:cs="宋体"/>
                <w:color w:val="000000"/>
                <w:sz w:val="24"/>
              </w:rPr>
            </w:r>
            <w:r/>
          </w:p>
        </w:tc>
        <w:tc>
          <w:tcPr>
            <w:tcW w:w="6725" w:type="dxa"/>
            <w:vAlign w:val="center"/>
            <w:textDirection w:val="lrTb"/>
            <w:noWrap w:val="false"/>
          </w:tcPr>
          <w:p>
            <w:pPr>
              <w:pStyle w:val="1118"/>
              <w:jc w:val="left"/>
              <w:widowControl/>
              <w:rPr>
                <w:rFonts w:hint="eastAsia" w:ascii="宋体" w:hAnsi="宋体" w:cs="宋体"/>
                <w:color w:val="000000"/>
                <w:sz w:val="24"/>
              </w:rPr>
            </w:pPr>
            <w:r>
              <w:rPr>
                <w:rFonts w:hint="eastAsia" w:ascii="宋体" w:hAnsi="宋体" w:cs="宋体"/>
                <w:sz w:val="24"/>
              </w:rPr>
              <w:t xml:space="preserve">未将一个采购包中的内容拆开响应；</w:t>
            </w:r>
            <w:r>
              <w:rPr>
                <w:rFonts w:hint="eastAsia" w:ascii="宋体" w:hAnsi="宋体" w:cs="宋体"/>
                <w:b/>
                <w:bCs/>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18"/>
              <w:jc w:val="center"/>
              <w:widowControl/>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rPr>
            </w:r>
            <w:r/>
          </w:p>
        </w:tc>
        <w:tc>
          <w:tcPr>
            <w:tcW w:w="1813" w:type="dxa"/>
            <w:vAlign w:val="center"/>
            <w:textDirection w:val="lrTb"/>
            <w:noWrap w:val="false"/>
          </w:tcPr>
          <w:p>
            <w:pPr>
              <w:pStyle w:val="1118"/>
              <w:jc w:val="left"/>
              <w:widowControl/>
              <w:rPr>
                <w:rFonts w:hint="eastAsia" w:ascii="宋体" w:hAnsi="宋体" w:cs="宋体"/>
                <w:color w:val="000000"/>
                <w:sz w:val="24"/>
              </w:rPr>
            </w:pPr>
            <w:r>
              <w:rPr>
                <w:rFonts w:hint="eastAsia" w:ascii="宋体" w:hAnsi="宋体" w:cs="宋体"/>
                <w:color w:val="000000"/>
                <w:sz w:val="24"/>
              </w:rPr>
              <w:t xml:space="preserve">响应报价</w:t>
            </w:r>
            <w:r>
              <w:rPr>
                <w:rFonts w:hint="eastAsia" w:ascii="宋体" w:hAnsi="宋体" w:cs="宋体"/>
                <w:color w:val="000000"/>
                <w:sz w:val="24"/>
              </w:rPr>
            </w:r>
            <w:r/>
          </w:p>
        </w:tc>
        <w:tc>
          <w:tcPr>
            <w:tcW w:w="6725" w:type="dxa"/>
            <w:vAlign w:val="center"/>
            <w:textDirection w:val="lrTb"/>
            <w:noWrap w:val="false"/>
          </w:tcPr>
          <w:p>
            <w:pPr>
              <w:pStyle w:val="1118"/>
              <w:jc w:val="left"/>
              <w:widowControl/>
              <w:rPr>
                <w:rFonts w:hint="eastAsia" w:ascii="宋体" w:hAnsi="宋体" w:cs="宋体"/>
                <w:color w:val="000000"/>
                <w:sz w:val="24"/>
              </w:rPr>
            </w:pPr>
            <w:r>
              <w:rPr>
                <w:rFonts w:hint="eastAsia" w:ascii="宋体" w:hAnsi="宋体" w:cs="宋体"/>
                <w:color w:val="000000"/>
                <w:sz w:val="24"/>
              </w:rPr>
              <w:t xml:space="preserve">响应报价未</w:t>
            </w:r>
            <w:r>
              <w:rPr>
                <w:rFonts w:hint="eastAsia" w:ascii="宋体" w:hAnsi="宋体" w:cs="宋体"/>
                <w:color w:val="000000"/>
                <w:sz w:val="24"/>
              </w:rPr>
              <w:t xml:space="preserve">超过磋商文件中规定的项目/采购包预算金额或者项目/采购包最高限价</w:t>
            </w:r>
            <w:r>
              <w:rPr>
                <w:rFonts w:hint="eastAsia" w:ascii="宋体" w:hAnsi="宋体" w:cs="宋体"/>
                <w:color w:val="000000"/>
                <w:sz w:val="24"/>
              </w:rPr>
              <w:t xml:space="preserve">；</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18"/>
              <w:jc w:val="center"/>
              <w:widowControl/>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rPr>
            </w:r>
            <w:r/>
          </w:p>
        </w:tc>
        <w:tc>
          <w:tcPr>
            <w:tcW w:w="1813" w:type="dxa"/>
            <w:vAlign w:val="center"/>
            <w:textDirection w:val="lrTb"/>
            <w:noWrap w:val="false"/>
          </w:tcPr>
          <w:p>
            <w:pPr>
              <w:pStyle w:val="1118"/>
              <w:jc w:val="left"/>
              <w:widowControl/>
              <w:rPr>
                <w:rFonts w:hint="eastAsia" w:ascii="宋体" w:hAnsi="宋体" w:cs="宋体"/>
                <w:color w:val="000000"/>
                <w:sz w:val="24"/>
              </w:rPr>
            </w:pPr>
            <w:r>
              <w:rPr>
                <w:rFonts w:hint="eastAsia" w:ascii="宋体" w:hAnsi="宋体" w:cs="宋体"/>
                <w:color w:val="000000"/>
                <w:sz w:val="24"/>
              </w:rPr>
              <w:t xml:space="preserve">报价唯一性</w:t>
            </w:r>
            <w:r>
              <w:rPr>
                <w:rFonts w:hint="eastAsia" w:ascii="宋体" w:hAnsi="宋体" w:cs="宋体"/>
                <w:color w:val="000000"/>
                <w:sz w:val="24"/>
              </w:rPr>
            </w:r>
            <w:r/>
          </w:p>
        </w:tc>
        <w:tc>
          <w:tcPr>
            <w:tcW w:w="6725" w:type="dxa"/>
            <w:vAlign w:val="center"/>
            <w:textDirection w:val="lrTb"/>
            <w:noWrap w:val="false"/>
          </w:tcPr>
          <w:p>
            <w:pPr>
              <w:pStyle w:val="1118"/>
              <w:jc w:val="left"/>
              <w:widowControl/>
              <w:rPr>
                <w:rFonts w:hint="eastAsia" w:ascii="宋体" w:hAnsi="宋体" w:cs="宋体"/>
                <w:color w:val="000000"/>
                <w:sz w:val="24"/>
              </w:rPr>
            </w:pPr>
            <w:r>
              <w:rPr>
                <w:rFonts w:hint="eastAsia" w:ascii="宋体" w:hAnsi="宋体" w:cs="宋体"/>
                <w:color w:val="000000"/>
                <w:sz w:val="24"/>
              </w:rPr>
              <w:t xml:space="preserve">响应文件未</w:t>
            </w:r>
            <w:r>
              <w:rPr>
                <w:rFonts w:hint="eastAsia" w:ascii="宋体" w:hAnsi="宋体" w:cs="宋体"/>
                <w:sz w:val="24"/>
              </w:rPr>
              <w:t xml:space="preserve">出现可选择性或可调整的报价（磋商文件另有规定的除外）</w:t>
            </w:r>
            <w:r>
              <w:rPr>
                <w:rFonts w:hint="eastAsia" w:ascii="宋体" w:hAnsi="宋体" w:cs="宋体"/>
                <w:color w:val="000000"/>
                <w:sz w:val="24"/>
              </w:rPr>
              <w:t xml:space="preserve">；</w:t>
            </w:r>
            <w:r>
              <w:rPr>
                <w:rFonts w:hint="eastAsia" w:ascii="宋体" w:hAnsi="宋体" w:cs="宋体"/>
                <w:b/>
                <w:bCs/>
                <w:sz w:val="24"/>
              </w:rPr>
              <w:t xml:space="preserve">提供《分项报价表》。(格式见《投标（响应）文件格式》)</w:t>
            </w:r>
            <w:r>
              <w:rPr>
                <w:rFonts w:hint="eastAsia" w:ascii="宋体" w:hAnsi="宋体" w:cs="宋体"/>
                <w:color w:val="000000"/>
                <w:sz w:val="24"/>
              </w:rPr>
            </w:r>
            <w:r/>
          </w:p>
        </w:tc>
      </w:tr>
      <w:tr>
        <w:trPr>
          <w:trHeight w:val="657"/>
        </w:trPr>
        <w:tc>
          <w:tcPr>
            <w:tcW w:w="750" w:type="dxa"/>
            <w:vAlign w:val="center"/>
            <w:textDirection w:val="lrTb"/>
            <w:noWrap w:val="false"/>
          </w:tcPr>
          <w:p>
            <w:pPr>
              <w:pStyle w:val="1118"/>
              <w:jc w:val="center"/>
              <w:widowControl/>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rPr>
            </w:r>
            <w:r/>
          </w:p>
        </w:tc>
        <w:tc>
          <w:tcPr>
            <w:tcW w:w="1813" w:type="dxa"/>
            <w:vAlign w:val="center"/>
            <w:textDirection w:val="lrTb"/>
            <w:noWrap w:val="false"/>
          </w:tcPr>
          <w:p>
            <w:pPr>
              <w:pStyle w:val="1118"/>
              <w:jc w:val="left"/>
              <w:widowControl/>
              <w:rPr>
                <w:rFonts w:hint="eastAsia" w:ascii="宋体" w:hAnsi="宋体" w:cs="宋体"/>
                <w:color w:val="000000"/>
                <w:sz w:val="24"/>
              </w:rPr>
            </w:pPr>
            <w:r>
              <w:rPr>
                <w:rFonts w:hint="eastAsia" w:ascii="宋体" w:hAnsi="宋体" w:cs="宋体"/>
                <w:color w:val="000000"/>
                <w:sz w:val="24"/>
              </w:rPr>
              <w:t xml:space="preserve">响应有效期</w:t>
            </w:r>
            <w:r>
              <w:rPr>
                <w:rFonts w:hint="eastAsia" w:ascii="宋体" w:hAnsi="宋体" w:cs="宋体"/>
                <w:color w:val="000000"/>
                <w:sz w:val="24"/>
              </w:rPr>
            </w:r>
            <w:r/>
          </w:p>
        </w:tc>
        <w:tc>
          <w:tcPr>
            <w:tcW w:w="6725" w:type="dxa"/>
            <w:vAlign w:val="center"/>
            <w:textDirection w:val="lrTb"/>
            <w:noWrap w:val="false"/>
          </w:tcPr>
          <w:p>
            <w:pPr>
              <w:pStyle w:val="1120"/>
              <w:jc w:val="left"/>
              <w:spacing w:before="0" w:line="360" w:lineRule="auto"/>
              <w:tabs>
                <w:tab w:val="center" w:pos="4592" w:leader="none"/>
                <w:tab w:val="left" w:pos="7860" w:leader="none"/>
              </w:tabs>
              <w:rPr>
                <w:rFonts w:hint="eastAsia" w:ascii="宋体" w:hAnsi="宋体" w:eastAsia="宋体" w:cs="宋体"/>
                <w:color w:val="000000"/>
                <w:sz w:val="24"/>
                <w:szCs w:val="24"/>
              </w:rPr>
            </w:pPr>
            <w:r>
              <w:rPr>
                <w:rFonts w:hint="eastAsia" w:ascii="宋体" w:hAnsi="宋体" w:eastAsia="宋体" w:cs="宋体"/>
                <w:b w:val="0"/>
                <w:sz w:val="24"/>
                <w:szCs w:val="24"/>
              </w:rPr>
              <w:t xml:space="preserve">响应文件中承诺的响应有效期满足磋商文件中载明的响应有效期的；</w:t>
            </w:r>
            <w:r>
              <w:rPr>
                <w:rFonts w:hint="eastAsia" w:ascii="宋体" w:hAnsi="宋体" w:eastAsia="宋体" w:cs="宋体"/>
                <w:bCs/>
                <w:sz w:val="24"/>
                <w:szCs w:val="24"/>
              </w:rPr>
              <w:t xml:space="preserve">按照《供应商须知资料表》中响应有效期要求提供承诺</w:t>
            </w:r>
            <w:r>
              <w:rPr>
                <w:rFonts w:hint="eastAsia" w:ascii="宋体" w:hAnsi="宋体" w:eastAsia="宋体" w:cs="宋体"/>
                <w:color w:val="000000"/>
                <w:sz w:val="24"/>
                <w:szCs w:val="24"/>
              </w:rPr>
            </w:r>
            <w:r/>
          </w:p>
        </w:tc>
      </w:tr>
      <w:tr>
        <w:trPr>
          <w:trHeight w:val="685"/>
        </w:trPr>
        <w:tc>
          <w:tcPr>
            <w:tcW w:w="750" w:type="dxa"/>
            <w:vAlign w:val="center"/>
            <w:textDirection w:val="lrTb"/>
            <w:noWrap w:val="false"/>
          </w:tcPr>
          <w:p>
            <w:pPr>
              <w:pStyle w:val="1118"/>
              <w:jc w:val="center"/>
              <w:widowControl/>
              <w:rPr>
                <w:rFonts w:hint="eastAsia" w:ascii="宋体" w:hAnsi="宋体" w:cs="宋体"/>
                <w:color w:val="000000"/>
                <w:sz w:val="24"/>
              </w:rPr>
            </w:pPr>
            <w:r>
              <w:rPr>
                <w:rFonts w:hint="eastAsia" w:ascii="宋体" w:hAnsi="宋体" w:cs="宋体"/>
                <w:color w:val="000000"/>
                <w:sz w:val="24"/>
              </w:rPr>
              <w:t xml:space="preserve">6</w:t>
            </w:r>
            <w:r>
              <w:rPr>
                <w:rFonts w:hint="eastAsia" w:ascii="宋体" w:hAnsi="宋体" w:cs="宋体"/>
                <w:color w:val="000000"/>
                <w:sz w:val="24"/>
              </w:rPr>
            </w:r>
            <w:r/>
          </w:p>
        </w:tc>
        <w:tc>
          <w:tcPr>
            <w:tcW w:w="1813" w:type="dxa"/>
            <w:vAlign w:val="center"/>
            <w:textDirection w:val="lrTb"/>
            <w:noWrap w:val="false"/>
          </w:tcPr>
          <w:p>
            <w:pPr>
              <w:pStyle w:val="1118"/>
              <w:jc w:val="left"/>
              <w:widowControl/>
              <w:rPr>
                <w:rFonts w:hint="eastAsia" w:ascii="宋体" w:hAnsi="宋体" w:cs="宋体"/>
                <w:color w:val="000000"/>
                <w:sz w:val="24"/>
              </w:rPr>
            </w:pPr>
            <w:r>
              <w:rPr>
                <w:rFonts w:hint="eastAsia" w:ascii="宋体" w:hAnsi="宋体" w:cs="宋体"/>
                <w:color w:val="000000"/>
                <w:sz w:val="24"/>
              </w:rPr>
              <w:t xml:space="preserve">签署、加盖公章</w:t>
            </w:r>
            <w:r>
              <w:rPr>
                <w:rFonts w:hint="eastAsia" w:ascii="宋体" w:hAnsi="宋体" w:cs="宋体"/>
                <w:color w:val="000000"/>
                <w:sz w:val="24"/>
              </w:rPr>
            </w:r>
            <w:r/>
          </w:p>
        </w:tc>
        <w:tc>
          <w:tcPr>
            <w:tcW w:w="6725" w:type="dxa"/>
            <w:vAlign w:val="center"/>
            <w:textDirection w:val="lrTb"/>
            <w:noWrap w:val="false"/>
          </w:tcPr>
          <w:p>
            <w:pPr>
              <w:pStyle w:val="1118"/>
              <w:jc w:val="left"/>
              <w:widowControl/>
              <w:rPr>
                <w:rFonts w:hint="eastAsia" w:ascii="宋体" w:hAnsi="宋体" w:cs="宋体"/>
                <w:color w:val="000000"/>
                <w:sz w:val="24"/>
              </w:rPr>
            </w:pPr>
            <w:r>
              <w:rPr>
                <w:rFonts w:hint="eastAsia" w:ascii="宋体" w:hAnsi="宋体" w:cs="宋体"/>
                <w:color w:val="000000"/>
                <w:sz w:val="24"/>
              </w:rPr>
              <w:t xml:space="preserve">按照磋商文件要求签署、加盖公章的；</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18"/>
              <w:jc w:val="center"/>
              <w:widowControl/>
              <w:rPr>
                <w:rFonts w:hint="eastAsia" w:ascii="宋体" w:hAnsi="宋体" w:cs="宋体"/>
                <w:color w:val="000000"/>
                <w:sz w:val="24"/>
              </w:rPr>
            </w:pPr>
            <w:r>
              <w:rPr>
                <w:rFonts w:hint="eastAsia" w:ascii="宋体" w:hAnsi="宋体" w:cs="宋体"/>
                <w:color w:val="000000"/>
                <w:sz w:val="24"/>
              </w:rPr>
              <w:t xml:space="preserve">7</w:t>
            </w:r>
            <w:r>
              <w:rPr>
                <w:rFonts w:hint="eastAsia" w:ascii="宋体" w:hAnsi="宋体" w:cs="宋体"/>
                <w:color w:val="000000"/>
                <w:sz w:val="24"/>
              </w:rPr>
            </w:r>
            <w:r/>
          </w:p>
        </w:tc>
        <w:tc>
          <w:tcPr>
            <w:tcW w:w="1813" w:type="dxa"/>
            <w:vAlign w:val="center"/>
            <w:textDirection w:val="lrTb"/>
            <w:noWrap w:val="false"/>
          </w:tcPr>
          <w:p>
            <w:pPr>
              <w:pStyle w:val="1118"/>
              <w:jc w:val="left"/>
              <w:widowControl/>
              <w:rPr>
                <w:rFonts w:hint="eastAsia" w:ascii="宋体" w:hAnsi="宋体" w:cs="宋体"/>
                <w:color w:val="000000"/>
                <w:sz w:val="24"/>
              </w:rPr>
            </w:pPr>
            <w:r>
              <w:rPr>
                <w:rFonts w:hint="eastAsia" w:ascii="宋体" w:hAnsi="宋体" w:cs="宋体"/>
                <w:color w:val="000000"/>
                <w:sz w:val="24"/>
              </w:rPr>
              <w:t xml:space="preserve">实质性格式</w:t>
            </w:r>
            <w:r>
              <w:rPr>
                <w:rFonts w:hint="eastAsia" w:ascii="宋体" w:hAnsi="宋体" w:cs="宋体"/>
                <w:color w:val="000000"/>
                <w:sz w:val="24"/>
              </w:rPr>
            </w:r>
            <w:r/>
          </w:p>
        </w:tc>
        <w:tc>
          <w:tcPr>
            <w:tcW w:w="6725" w:type="dxa"/>
            <w:vAlign w:val="center"/>
            <w:textDirection w:val="lrTb"/>
            <w:noWrap w:val="false"/>
          </w:tcPr>
          <w:p>
            <w:pPr>
              <w:pStyle w:val="1118"/>
              <w:jc w:val="left"/>
              <w:widowControl/>
              <w:rPr>
                <w:rFonts w:hint="eastAsia" w:ascii="宋体" w:hAnsi="宋体" w:cs="宋体"/>
                <w:color w:val="000000"/>
                <w:sz w:val="24"/>
              </w:rPr>
            </w:pPr>
            <w:r>
              <w:rPr>
                <w:rFonts w:hint="eastAsia" w:ascii="宋体" w:hAnsi="宋体" w:cs="宋体"/>
                <w:sz w:val="24"/>
              </w:rPr>
              <w:t xml:space="preserve">标记为“实质性格式”的文件均按磋商文件要求提供；</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18"/>
              <w:jc w:val="center"/>
              <w:widowControl/>
              <w:rPr>
                <w:rFonts w:hint="eastAsia" w:ascii="宋体" w:hAnsi="宋体" w:cs="宋体"/>
                <w:color w:val="000000"/>
                <w:sz w:val="24"/>
              </w:rPr>
            </w:pPr>
            <w:r>
              <w:rPr>
                <w:rFonts w:hint="eastAsia" w:ascii="宋体" w:hAnsi="宋体" w:cs="宋体"/>
                <w:color w:val="000000"/>
                <w:sz w:val="24"/>
              </w:rPr>
              <w:t xml:space="preserve">8</w:t>
            </w:r>
            <w:r>
              <w:rPr>
                <w:rFonts w:hint="eastAsia" w:ascii="宋体" w:hAnsi="宋体" w:cs="宋体"/>
                <w:color w:val="000000"/>
                <w:sz w:val="24"/>
              </w:rPr>
            </w:r>
            <w:r/>
          </w:p>
        </w:tc>
        <w:tc>
          <w:tcPr>
            <w:tcW w:w="1813" w:type="dxa"/>
            <w:vAlign w:val="center"/>
            <w:textDirection w:val="lrTb"/>
            <w:noWrap w:val="false"/>
          </w:tcPr>
          <w:p>
            <w:pPr>
              <w:pStyle w:val="1118"/>
              <w:jc w:val="left"/>
              <w:widowControl/>
              <w:rPr>
                <w:rFonts w:hint="eastAsia" w:ascii="宋体" w:hAnsi="宋体" w:cs="宋体"/>
                <w:color w:val="000000"/>
                <w:sz w:val="24"/>
              </w:rPr>
            </w:pPr>
            <w:r>
              <w:rPr>
                <w:rFonts w:hint="eastAsia" w:ascii="宋体" w:hAnsi="宋体" w:cs="宋体"/>
                <w:color w:val="000000"/>
                <w:sz w:val="24"/>
              </w:rPr>
              <w:t xml:space="preserve">★号条款响应（如有）</w:t>
            </w:r>
            <w:r>
              <w:rPr>
                <w:rFonts w:hint="eastAsia" w:ascii="宋体" w:hAnsi="宋体" w:cs="宋体"/>
                <w:color w:val="000000"/>
                <w:sz w:val="24"/>
              </w:rPr>
            </w:r>
            <w:r/>
          </w:p>
        </w:tc>
        <w:tc>
          <w:tcPr>
            <w:tcW w:w="6725" w:type="dxa"/>
            <w:vAlign w:val="center"/>
            <w:textDirection w:val="lrTb"/>
            <w:noWrap w:val="false"/>
          </w:tcPr>
          <w:p>
            <w:pPr>
              <w:pStyle w:val="1118"/>
              <w:jc w:val="left"/>
              <w:widowControl/>
              <w:rPr>
                <w:rFonts w:hint="eastAsia" w:ascii="宋体" w:hAnsi="宋体" w:cs="宋体"/>
                <w:color w:val="000000"/>
                <w:sz w:val="24"/>
              </w:rPr>
            </w:pPr>
            <w:r>
              <w:rPr>
                <w:rFonts w:hint="eastAsia" w:ascii="宋体" w:hAnsi="宋体" w:cs="宋体"/>
                <w:color w:val="000000"/>
                <w:sz w:val="24"/>
              </w:rPr>
              <w:t xml:space="preserve">响应文件满足磋商文件</w:t>
            </w:r>
            <w:r>
              <w:rPr>
                <w:rFonts w:hint="eastAsia" w:ascii="宋体" w:hAnsi="宋体" w:cs="宋体"/>
                <w:sz w:val="24"/>
              </w:rPr>
              <w:t xml:space="preserve">《采购需求》</w:t>
            </w:r>
            <w:r>
              <w:rPr>
                <w:rFonts w:hint="eastAsia" w:ascii="宋体" w:hAnsi="宋体" w:cs="宋体"/>
                <w:color w:val="000000"/>
                <w:sz w:val="24"/>
              </w:rPr>
              <w:t xml:space="preserve">中★号条款要求的；</w:t>
            </w:r>
            <w:r>
              <w:rPr>
                <w:rFonts w:hint="eastAsia" w:ascii="宋体" w:hAnsi="宋体" w:cs="宋体"/>
                <w:b/>
                <w:bCs/>
                <w:color w:val="000000"/>
                <w:sz w:val="24"/>
              </w:rPr>
              <w:t xml:space="preserve">逐项提供相关证明材料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18"/>
              <w:jc w:val="center"/>
              <w:widowControl/>
              <w:rPr>
                <w:rFonts w:hint="eastAsia" w:ascii="宋体" w:hAnsi="宋体" w:cs="宋体"/>
                <w:color w:val="000000"/>
                <w:sz w:val="24"/>
              </w:rPr>
            </w:pPr>
            <w:r>
              <w:rPr>
                <w:rFonts w:hint="eastAsia" w:ascii="宋体" w:hAnsi="宋体" w:cs="宋体"/>
                <w:color w:val="000000"/>
                <w:sz w:val="24"/>
              </w:rPr>
              <w:t xml:space="preserve">9</w:t>
            </w:r>
            <w:r>
              <w:rPr>
                <w:rFonts w:hint="eastAsia" w:ascii="宋体" w:hAnsi="宋体" w:cs="宋体"/>
                <w:color w:val="000000"/>
                <w:sz w:val="24"/>
              </w:rPr>
            </w:r>
            <w:r/>
          </w:p>
        </w:tc>
        <w:tc>
          <w:tcPr>
            <w:tcW w:w="1813" w:type="dxa"/>
            <w:vAlign w:val="center"/>
            <w:textDirection w:val="lrTb"/>
            <w:noWrap w:val="false"/>
          </w:tcPr>
          <w:p>
            <w:pPr>
              <w:pStyle w:val="1118"/>
              <w:jc w:val="left"/>
              <w:widowControl/>
              <w:rPr>
                <w:rFonts w:hint="eastAsia" w:ascii="宋体" w:hAnsi="宋体" w:cs="宋体"/>
                <w:color w:val="000000"/>
                <w:sz w:val="24"/>
              </w:rPr>
            </w:pPr>
            <w:r>
              <w:rPr>
                <w:rFonts w:hint="eastAsia" w:ascii="宋体" w:hAnsi="宋体" w:cs="宋体"/>
                <w:color w:val="000000"/>
                <w:sz w:val="24"/>
              </w:rPr>
              <w:t xml:space="preserve">分包承担主体资质（如有）</w:t>
            </w:r>
            <w:r>
              <w:rPr>
                <w:rFonts w:hint="eastAsia" w:ascii="宋体" w:hAnsi="宋体" w:cs="宋体"/>
                <w:color w:val="000000"/>
                <w:sz w:val="24"/>
              </w:rPr>
            </w:r>
            <w:r/>
          </w:p>
        </w:tc>
        <w:tc>
          <w:tcPr>
            <w:tcW w:w="6725" w:type="dxa"/>
            <w:vAlign w:val="center"/>
            <w:textDirection w:val="lrTb"/>
            <w:noWrap w:val="false"/>
          </w:tcPr>
          <w:p>
            <w:pPr>
              <w:pStyle w:val="1118"/>
              <w:jc w:val="left"/>
              <w:widowControl/>
              <w:rPr>
                <w:rFonts w:hint="eastAsia" w:ascii="宋体" w:hAnsi="宋体" w:cs="宋体"/>
                <w:color w:val="000000"/>
                <w:sz w:val="24"/>
              </w:rPr>
            </w:pPr>
            <w:r>
              <w:rPr>
                <w:rFonts w:hint="eastAsia" w:ascii="宋体" w:hAnsi="宋体" w:cs="宋体"/>
                <w:sz w:val="24"/>
              </w:rPr>
              <w:t xml:space="preserve">分包承担主体具备《供应商须知资料表》载明的资质条件且提供了资质证书电子件（如有）；</w:t>
            </w:r>
            <w:r>
              <w:rPr>
                <w:rFonts w:hint="eastAsia" w:ascii="宋体" w:hAnsi="宋体" w:cs="宋体"/>
                <w:color w:val="000000"/>
                <w:sz w:val="24"/>
              </w:rPr>
            </w:r>
            <w:r/>
          </w:p>
        </w:tc>
      </w:tr>
      <w:tr>
        <w:trPr>
          <w:trHeight w:val="685"/>
        </w:trPr>
        <w:tc>
          <w:tcPr>
            <w:tcW w:w="750" w:type="dxa"/>
            <w:vAlign w:val="center"/>
            <w:textDirection w:val="lrTb"/>
            <w:noWrap w:val="false"/>
          </w:tcPr>
          <w:p>
            <w:pPr>
              <w:pStyle w:val="1118"/>
              <w:jc w:val="center"/>
              <w:widowControl/>
              <w:rPr>
                <w:rFonts w:hint="eastAsia" w:ascii="宋体" w:hAnsi="宋体" w:cs="宋体"/>
                <w:color w:val="000000"/>
                <w:sz w:val="24"/>
              </w:rPr>
            </w:pPr>
            <w:r>
              <w:rPr>
                <w:rFonts w:hint="eastAsia" w:ascii="宋体" w:hAnsi="宋体" w:cs="宋体"/>
                <w:color w:val="000000"/>
                <w:sz w:val="24"/>
              </w:rPr>
              <w:t xml:space="preserve">10</w:t>
            </w:r>
            <w:r>
              <w:rPr>
                <w:rFonts w:hint="eastAsia" w:ascii="宋体" w:hAnsi="宋体" w:cs="宋体"/>
                <w:color w:val="000000"/>
                <w:sz w:val="24"/>
              </w:rPr>
            </w:r>
            <w:r/>
          </w:p>
        </w:tc>
        <w:tc>
          <w:tcPr>
            <w:tcW w:w="1813" w:type="dxa"/>
            <w:vAlign w:val="center"/>
            <w:textDirection w:val="lrTb"/>
            <w:noWrap w:val="false"/>
          </w:tcPr>
          <w:p>
            <w:pPr>
              <w:pStyle w:val="1118"/>
              <w:jc w:val="left"/>
              <w:widowControl/>
              <w:rPr>
                <w:rFonts w:hint="eastAsia" w:ascii="宋体" w:hAnsi="宋体" w:cs="宋体"/>
                <w:color w:val="000000"/>
                <w:sz w:val="24"/>
              </w:rPr>
            </w:pPr>
            <w:r>
              <w:rPr>
                <w:rFonts w:hint="eastAsia" w:ascii="宋体" w:hAnsi="宋体" w:cs="宋体"/>
                <w:color w:val="000000"/>
                <w:sz w:val="24"/>
              </w:rPr>
              <w:t xml:space="preserve">分包意向协议</w:t>
            </w:r>
            <w:r>
              <w:rPr>
                <w:rFonts w:hint="eastAsia" w:ascii="宋体" w:hAnsi="宋体" w:cs="宋体"/>
                <w:color w:val="000000"/>
                <w:sz w:val="24"/>
              </w:rPr>
            </w:r>
            <w:r/>
          </w:p>
          <w:p>
            <w:pPr>
              <w:pStyle w:val="1118"/>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6725" w:type="dxa"/>
            <w:vAlign w:val="center"/>
            <w:textDirection w:val="lrTb"/>
            <w:noWrap w:val="false"/>
          </w:tcPr>
          <w:p>
            <w:pPr>
              <w:pStyle w:val="1118"/>
              <w:jc w:val="left"/>
              <w:widowControl/>
              <w:rPr>
                <w:rFonts w:hint="eastAsia" w:ascii="宋体" w:hAnsi="宋体" w:cs="宋体"/>
                <w:color w:val="000000"/>
                <w:sz w:val="24"/>
              </w:rPr>
            </w:pPr>
            <w:r>
              <w:rPr>
                <w:rFonts w:hint="eastAsia" w:ascii="宋体" w:hAnsi="宋体" w:cs="宋体"/>
                <w:color w:val="000000"/>
                <w:sz w:val="24"/>
              </w:rPr>
              <w:t xml:space="preserve">按磋商文件规定签订并提供分包意向协议原件的电子件的；</w:t>
            </w:r>
            <w:r>
              <w:rPr>
                <w:rFonts w:hint="eastAsia" w:ascii="宋体" w:hAnsi="宋体" w:cs="宋体"/>
                <w:sz w:val="24"/>
              </w:rPr>
              <w:t xml:space="preserve">（如有）</w:t>
            </w:r>
            <w:r>
              <w:rPr>
                <w:rFonts w:hint="eastAsia" w:ascii="宋体" w:hAnsi="宋体" w:cs="宋体"/>
                <w:color w:val="000000"/>
                <w:sz w:val="24"/>
              </w:rPr>
            </w:r>
            <w:r/>
          </w:p>
        </w:tc>
      </w:tr>
      <w:tr>
        <w:trPr>
          <w:trHeight w:val="685"/>
        </w:trPr>
        <w:tc>
          <w:tcPr>
            <w:tcW w:w="750" w:type="dxa"/>
            <w:vAlign w:val="center"/>
            <w:textDirection w:val="lrTb"/>
            <w:noWrap w:val="false"/>
          </w:tcPr>
          <w:p>
            <w:pPr>
              <w:pStyle w:val="1118"/>
              <w:jc w:val="center"/>
              <w:widowControl/>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c>
          <w:tcPr>
            <w:tcW w:w="1813" w:type="dxa"/>
            <w:vAlign w:val="center"/>
            <w:textDirection w:val="lrTb"/>
            <w:noWrap w:val="false"/>
          </w:tcPr>
          <w:p>
            <w:pPr>
              <w:pStyle w:val="1118"/>
              <w:jc w:val="left"/>
              <w:widowControl/>
              <w:rPr>
                <w:rFonts w:hint="eastAsia" w:ascii="宋体" w:hAnsi="宋体" w:cs="宋体"/>
                <w:color w:val="000000"/>
                <w:sz w:val="24"/>
              </w:rPr>
            </w:pPr>
            <w:r>
              <w:rPr>
                <w:rFonts w:hint="eastAsia" w:ascii="宋体" w:hAnsi="宋体" w:cs="宋体"/>
                <w:color w:val="000000"/>
                <w:sz w:val="24"/>
              </w:rPr>
              <w:t xml:space="preserve">报价的修正（如有）</w:t>
            </w:r>
            <w:r>
              <w:rPr>
                <w:rFonts w:hint="eastAsia" w:ascii="宋体" w:hAnsi="宋体" w:cs="宋体"/>
                <w:color w:val="000000"/>
                <w:sz w:val="24"/>
              </w:rPr>
            </w:r>
            <w:r/>
          </w:p>
        </w:tc>
        <w:tc>
          <w:tcPr>
            <w:tcW w:w="6725" w:type="dxa"/>
            <w:vAlign w:val="center"/>
            <w:textDirection w:val="lrTb"/>
            <w:noWrap w:val="false"/>
          </w:tcPr>
          <w:p>
            <w:pPr>
              <w:pStyle w:val="1118"/>
              <w:jc w:val="left"/>
              <w:widowControl/>
              <w:rPr>
                <w:rFonts w:hint="eastAsia" w:ascii="宋体" w:hAnsi="宋体" w:cs="宋体"/>
                <w:color w:val="000000"/>
                <w:sz w:val="24"/>
              </w:rPr>
            </w:pPr>
            <w:r>
              <w:rPr>
                <w:rFonts w:hint="eastAsia" w:ascii="宋体" w:hAnsi="宋体" w:cs="宋体"/>
                <w:color w:val="000000"/>
                <w:sz w:val="24"/>
              </w:rPr>
              <w:t xml:space="preserve">不涉及报价修正，或响应文件报价出现前后不一致时，供应商对修正后的报价予以确认；（如有）</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18"/>
              <w:jc w:val="center"/>
              <w:widowControl/>
              <w:rPr>
                <w:rFonts w:hint="eastAsia" w:ascii="宋体" w:hAnsi="宋体" w:cs="宋体"/>
                <w:color w:val="000000"/>
                <w:sz w:val="24"/>
              </w:rPr>
            </w:pPr>
            <w:r>
              <w:rPr>
                <w:rFonts w:hint="eastAsia" w:ascii="宋体" w:hAnsi="宋体" w:cs="宋体"/>
                <w:color w:val="000000"/>
                <w:sz w:val="24"/>
              </w:rPr>
              <w:t xml:space="preserve">12</w:t>
            </w:r>
            <w:r>
              <w:rPr>
                <w:rFonts w:hint="eastAsia" w:ascii="宋体" w:hAnsi="宋体" w:cs="宋体"/>
                <w:color w:val="000000"/>
                <w:sz w:val="24"/>
              </w:rPr>
            </w:r>
            <w:r/>
          </w:p>
        </w:tc>
        <w:tc>
          <w:tcPr>
            <w:tcW w:w="1813" w:type="dxa"/>
            <w:vAlign w:val="center"/>
            <w:textDirection w:val="lrTb"/>
            <w:noWrap w:val="false"/>
          </w:tcPr>
          <w:p>
            <w:pPr>
              <w:pStyle w:val="1118"/>
              <w:jc w:val="left"/>
              <w:widowControl/>
              <w:rPr>
                <w:rFonts w:hint="eastAsia" w:ascii="宋体" w:hAnsi="宋体" w:cs="宋体"/>
                <w:color w:val="000000"/>
                <w:sz w:val="24"/>
              </w:rPr>
            </w:pPr>
            <w:r>
              <w:rPr>
                <w:rFonts w:hint="eastAsia" w:ascii="宋体" w:hAnsi="宋体" w:cs="宋体"/>
                <w:color w:val="000000"/>
                <w:sz w:val="24"/>
              </w:rPr>
              <w:t xml:space="preserve">进口产品</w:t>
            </w:r>
            <w:r>
              <w:rPr>
                <w:rFonts w:hint="eastAsia" w:ascii="宋体" w:hAnsi="宋体" w:cs="宋体"/>
                <w:color w:val="000000"/>
                <w:sz w:val="24"/>
              </w:rPr>
            </w:r>
            <w:r/>
          </w:p>
          <w:p>
            <w:pPr>
              <w:pStyle w:val="1118"/>
              <w:jc w:val="left"/>
              <w:widowControl/>
              <w:rPr>
                <w:rFonts w:hint="eastAsia" w:ascii="宋体" w:hAnsi="宋体" w:cs="宋体"/>
                <w:color w:val="000000"/>
                <w:sz w:val="24"/>
              </w:rPr>
            </w:pPr>
            <w:r>
              <w:rPr>
                <w:rFonts w:hint="eastAsia" w:ascii="宋体" w:hAnsi="宋体" w:cs="宋体"/>
                <w:color w:val="000000"/>
                <w:sz w:val="24"/>
              </w:rPr>
              <w:t xml:space="preserve">（如有）</w:t>
            </w:r>
            <w:r>
              <w:rPr>
                <w:rFonts w:hint="eastAsia" w:ascii="宋体" w:hAnsi="宋体" w:cs="宋体"/>
                <w:color w:val="000000"/>
                <w:sz w:val="24"/>
              </w:rPr>
            </w:r>
            <w:r/>
          </w:p>
        </w:tc>
        <w:tc>
          <w:tcPr>
            <w:tcW w:w="6725" w:type="dxa"/>
            <w:vAlign w:val="center"/>
            <w:textDirection w:val="lrTb"/>
            <w:noWrap w:val="false"/>
          </w:tcPr>
          <w:p>
            <w:pPr>
              <w:pStyle w:val="1118"/>
              <w:jc w:val="left"/>
              <w:widowControl/>
              <w:rPr>
                <w:rFonts w:hint="eastAsia" w:ascii="宋体" w:hAnsi="宋体" w:cs="宋体"/>
                <w:color w:val="000000"/>
                <w:sz w:val="24"/>
              </w:rPr>
            </w:pPr>
            <w:r>
              <w:rPr>
                <w:rFonts w:hint="eastAsia" w:ascii="宋体" w:hAnsi="宋体" w:cs="宋体"/>
                <w:sz w:val="24"/>
              </w:rPr>
              <w:t xml:space="preserve">磋商文件不接受进口产品响应的内容时，供应商所投产品</w:t>
            </w:r>
            <w:r>
              <w:rPr>
                <w:rFonts w:hint="eastAsia" w:ascii="宋体" w:hAnsi="宋体" w:cs="宋体"/>
                <w:sz w:val="24"/>
                <w:lang w:val="en-US" w:eastAsia="zh-CN"/>
              </w:rPr>
              <w:t xml:space="preserve">应为</w:t>
            </w:r>
            <w:r>
              <w:rPr>
                <w:rFonts w:hint="eastAsia" w:ascii="宋体" w:hAnsi="宋体" w:cs="宋体"/>
                <w:sz w:val="24"/>
              </w:rPr>
              <w:t xml:space="preserve">非进口产品的；</w:t>
            </w:r>
            <w:r>
              <w:rPr>
                <w:rFonts w:hint="eastAsia" w:ascii="宋体" w:hAnsi="宋体" w:cs="宋体"/>
                <w:color w:val="000000"/>
                <w:sz w:val="24"/>
              </w:rPr>
            </w:r>
            <w:r/>
          </w:p>
        </w:tc>
      </w:tr>
      <w:tr>
        <w:trPr>
          <w:trHeight w:val="685"/>
        </w:trPr>
        <w:tc>
          <w:tcPr>
            <w:tcW w:w="750" w:type="dxa"/>
            <w:vAlign w:val="center"/>
            <w:textDirection w:val="lrTb"/>
            <w:noWrap w:val="false"/>
          </w:tcPr>
          <w:p>
            <w:pPr>
              <w:pStyle w:val="1118"/>
              <w:jc w:val="center"/>
              <w:widowControl/>
              <w:rPr>
                <w:rFonts w:hint="eastAsia" w:ascii="宋体" w:hAnsi="宋体" w:cs="宋体"/>
                <w:color w:val="000000"/>
                <w:sz w:val="24"/>
              </w:rPr>
            </w:pPr>
            <w:r>
              <w:rPr>
                <w:rFonts w:hint="eastAsia" w:ascii="宋体" w:hAnsi="宋体" w:cs="宋体"/>
                <w:color w:val="000000"/>
                <w:sz w:val="24"/>
              </w:rPr>
              <w:t xml:space="preserve">13</w:t>
            </w:r>
            <w:r>
              <w:rPr>
                <w:rFonts w:hint="eastAsia" w:ascii="宋体" w:hAnsi="宋体" w:cs="宋体"/>
                <w:color w:val="000000"/>
                <w:sz w:val="24"/>
              </w:rPr>
            </w:r>
            <w:r/>
          </w:p>
        </w:tc>
        <w:tc>
          <w:tcPr>
            <w:tcW w:w="1813" w:type="dxa"/>
            <w:vAlign w:val="center"/>
            <w:textDirection w:val="lrTb"/>
            <w:noWrap w:val="false"/>
          </w:tcPr>
          <w:p>
            <w:pPr>
              <w:pStyle w:val="1118"/>
              <w:jc w:val="left"/>
              <w:widowControl/>
              <w:rPr>
                <w:rFonts w:hint="eastAsia" w:ascii="宋体" w:hAnsi="宋体" w:cs="宋体"/>
                <w:color w:val="000000"/>
                <w:sz w:val="24"/>
              </w:rPr>
            </w:pPr>
            <w:r>
              <w:rPr>
                <w:rFonts w:hint="eastAsia" w:ascii="宋体" w:hAnsi="宋体" w:cs="宋体"/>
                <w:color w:val="000000"/>
                <w:sz w:val="24"/>
              </w:rPr>
              <w:t xml:space="preserve">国家有关部门对供应商的响应产品有强制性规定或要求的</w:t>
            </w:r>
            <w:r>
              <w:rPr>
                <w:rFonts w:hint="eastAsia" w:ascii="宋体" w:hAnsi="宋体" w:cs="宋体"/>
                <w:color w:val="000000"/>
                <w:sz w:val="24"/>
              </w:rPr>
            </w:r>
            <w:r/>
          </w:p>
        </w:tc>
        <w:tc>
          <w:tcPr>
            <w:tcW w:w="6725" w:type="dxa"/>
            <w:vAlign w:val="center"/>
            <w:textDirection w:val="lrTb"/>
            <w:noWrap w:val="false"/>
          </w:tcPr>
          <w:p>
            <w:pPr>
              <w:pStyle w:val="1118"/>
              <w:jc w:val="left"/>
              <w:widowControl/>
              <w:rPr>
                <w:color w:val="000000"/>
                <w:sz w:val="24"/>
              </w:rPr>
            </w:pPr>
            <w:r>
              <w:rPr>
                <w:color w:val="000000"/>
                <w:sz w:val="24"/>
              </w:rPr>
              <w:t xml:space="preserve">国家有关部门对投标人的投标产品有强制性规定或要求的（如相应技术、安全、节能和环保等），投标人的投标产品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1118"/>
              <w:jc w:val="left"/>
              <w:widowControl/>
              <w:rPr>
                <w:color w:val="000000"/>
                <w:sz w:val="24"/>
              </w:rPr>
            </w:pPr>
            <w:r>
              <w:rPr>
                <w:rFonts w:hint="eastAsia"/>
                <w:color w:val="000000"/>
                <w:sz w:val="24"/>
              </w:rPr>
              <w:t xml:space="preserve">1）</w:t>
            </w:r>
            <w:r>
              <w:rPr>
                <w:color w:val="000000"/>
                <w:sz w:val="24"/>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rPr>
            </w:r>
            <w:r/>
          </w:p>
          <w:p>
            <w:pPr>
              <w:pStyle w:val="1118"/>
              <w:jc w:val="left"/>
              <w:widowControl/>
              <w:rPr>
                <w:rFonts w:hint="eastAsia" w:ascii="宋体" w:hAnsi="宋体" w:cs="宋体"/>
                <w:color w:val="000000"/>
                <w:sz w:val="24"/>
              </w:rPr>
            </w:pPr>
            <w:r>
              <w:rPr>
                <w:rFonts w:hint="eastAsia"/>
                <w:sz w:val="24"/>
              </w:rPr>
              <w:t xml:space="preserve">2）</w:t>
            </w:r>
            <w:r>
              <w:rPr>
                <w:sz w:val="24"/>
              </w:rPr>
              <w:t xml:space="preserve">国家</w:t>
            </w:r>
            <w:r>
              <w:rPr>
                <w:rFonts w:hint="eastAsia"/>
                <w:sz w:val="24"/>
              </w:rPr>
              <w:t xml:space="preserve">如</w:t>
            </w:r>
            <w:r>
              <w:rPr>
                <w:sz w:val="24"/>
              </w:rPr>
              <w:t xml:space="preserve">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sz w:val="24"/>
              </w:rPr>
              <w:t xml:space="preserve">。</w:t>
            </w:r>
            <w:r>
              <w:rPr>
                <w:rFonts w:hint="eastAsia" w:ascii="宋体" w:hAnsi="宋体" w:cs="宋体"/>
                <w:color w:val="000000"/>
                <w:sz w:val="24"/>
              </w:rPr>
            </w:r>
            <w:r/>
          </w:p>
        </w:tc>
      </w:tr>
      <w:tr>
        <w:trPr>
          <w:trHeight w:val="685"/>
        </w:trPr>
        <w:tc>
          <w:tcPr>
            <w:tcW w:w="750" w:type="dxa"/>
            <w:vAlign w:val="center"/>
            <w:textDirection w:val="lrTb"/>
            <w:noWrap w:val="false"/>
          </w:tcPr>
          <w:p>
            <w:pPr>
              <w:pStyle w:val="1118"/>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4</w:t>
            </w:r>
            <w:r>
              <w:rPr>
                <w:rFonts w:hint="eastAsia" w:ascii="宋体" w:hAnsi="宋体" w:eastAsia="宋体" w:cs="宋体"/>
                <w:color w:val="000000"/>
                <w:sz w:val="24"/>
                <w:lang w:eastAsia="zh-CN"/>
              </w:rPr>
            </w:r>
            <w:r/>
          </w:p>
        </w:tc>
        <w:tc>
          <w:tcPr>
            <w:tcW w:w="1813" w:type="dxa"/>
            <w:vAlign w:val="center"/>
            <w:textDirection w:val="lrTb"/>
            <w:noWrap w:val="false"/>
          </w:tcPr>
          <w:p>
            <w:pPr>
              <w:pStyle w:val="1118"/>
              <w:jc w:val="left"/>
              <w:widowControl/>
              <w:rPr>
                <w:rFonts w:hint="eastAsia" w:ascii="宋体" w:hAnsi="宋体" w:cs="宋体"/>
                <w:color w:val="000000"/>
                <w:sz w:val="24"/>
              </w:rPr>
            </w:pPr>
            <w:r>
              <w:rPr>
                <w:rFonts w:hint="eastAsia" w:ascii="宋体" w:hAnsi="宋体" w:cs="宋体"/>
                <w:color w:val="000000"/>
                <w:sz w:val="24"/>
              </w:rPr>
              <w:t xml:space="preserve">公平竞争</w:t>
            </w:r>
            <w:r>
              <w:rPr>
                <w:rFonts w:hint="eastAsia" w:ascii="宋体" w:hAnsi="宋体" w:cs="宋体"/>
                <w:color w:val="000000"/>
                <w:sz w:val="24"/>
              </w:rPr>
            </w:r>
            <w:r/>
          </w:p>
        </w:tc>
        <w:tc>
          <w:tcPr>
            <w:tcW w:w="6725" w:type="dxa"/>
            <w:vAlign w:val="center"/>
            <w:textDirection w:val="lrTb"/>
            <w:noWrap w:val="false"/>
          </w:tcPr>
          <w:p>
            <w:pPr>
              <w:pStyle w:val="1118"/>
              <w:jc w:val="left"/>
              <w:widowControl/>
              <w:rPr>
                <w:rFonts w:hint="eastAsia" w:ascii="宋体" w:hAnsi="宋体" w:cs="宋体"/>
                <w:color w:val="000000"/>
                <w:sz w:val="24"/>
              </w:rPr>
            </w:pPr>
            <w:r>
              <w:rPr>
                <w:rFonts w:hint="eastAsia" w:ascii="宋体" w:hAnsi="宋体" w:cs="宋体"/>
                <w:color w:val="000000"/>
                <w:sz w:val="24"/>
              </w:rPr>
              <w:t xml:space="preserve">供应商遵循公平竞争的原则，不存在恶意串通，妨碍其他供应商的竞争行为，不存在损害采购人或者其他供应商的合法权益情形的；</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18"/>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5</w:t>
            </w:r>
            <w:r>
              <w:rPr>
                <w:rFonts w:hint="eastAsia" w:ascii="宋体" w:hAnsi="宋体" w:eastAsia="宋体" w:cs="宋体"/>
                <w:color w:val="000000"/>
                <w:sz w:val="24"/>
                <w:lang w:eastAsia="zh-CN"/>
              </w:rPr>
            </w:r>
            <w:r/>
          </w:p>
        </w:tc>
        <w:tc>
          <w:tcPr>
            <w:tcW w:w="1813" w:type="dxa"/>
            <w:vAlign w:val="center"/>
            <w:textDirection w:val="lrTb"/>
            <w:noWrap w:val="false"/>
          </w:tcPr>
          <w:p>
            <w:pPr>
              <w:pStyle w:val="1118"/>
              <w:jc w:val="left"/>
              <w:widowControl/>
              <w:rPr>
                <w:rFonts w:hint="eastAsia" w:ascii="宋体" w:hAnsi="宋体" w:cs="宋体"/>
                <w:color w:val="000000"/>
                <w:sz w:val="24"/>
              </w:rPr>
            </w:pPr>
            <w:r>
              <w:rPr>
                <w:rFonts w:hint="eastAsia" w:ascii="宋体" w:hAnsi="宋体" w:cs="宋体"/>
                <w:color w:val="000000"/>
                <w:sz w:val="24"/>
              </w:rPr>
              <w:t xml:space="preserve">串通响应</w:t>
            </w:r>
            <w:r>
              <w:rPr>
                <w:rFonts w:hint="eastAsia" w:ascii="宋体" w:hAnsi="宋体" w:cs="宋体"/>
                <w:color w:val="000000"/>
                <w:sz w:val="24"/>
              </w:rPr>
            </w:r>
            <w:r/>
          </w:p>
        </w:tc>
        <w:tc>
          <w:tcPr>
            <w:tcW w:w="6725" w:type="dxa"/>
            <w:vAlign w:val="center"/>
            <w:textDirection w:val="lrTb"/>
            <w:noWrap w:val="false"/>
          </w:tcPr>
          <w:p>
            <w:pPr>
              <w:pStyle w:val="1118"/>
              <w:jc w:val="left"/>
              <w:widowControl/>
              <w:rPr>
                <w:rFonts w:hint="eastAsia" w:ascii="宋体" w:hAnsi="宋体" w:cs="宋体"/>
                <w:color w:val="000000"/>
                <w:sz w:val="24"/>
              </w:rPr>
            </w:pPr>
            <w:r>
              <w:rPr>
                <w:rFonts w:hint="eastAsia" w:ascii="宋体" w:hAnsi="宋体" w:cs="宋体"/>
                <w:color w:val="000000"/>
                <w:sz w:val="24"/>
              </w:rPr>
              <w:t xml:space="preserve">不存在《政府采购货物和服务招标响应管理办法》视为供应商串通响应的情形：（一）不同供应商的响应文件由同一单位或者个人编制</w:t>
            </w:r>
            <w:r>
              <w:rPr>
                <w:rFonts w:hint="eastAsia" w:ascii="宋体" w:hAnsi="宋体" w:cs="宋体"/>
                <w:sz w:val="24"/>
              </w:rPr>
              <w:t xml:space="preserve">（包含使用同一MAC地址的计算机制作电子响应文件的情形）</w:t>
            </w:r>
            <w:r>
              <w:rPr>
                <w:rFonts w:hint="eastAsia" w:ascii="宋体" w:hAnsi="宋体" w:cs="宋体"/>
                <w:color w:val="000000"/>
                <w:sz w:val="24"/>
              </w:rPr>
              <w:t xml:space="preserve">；（二）不同供应商委托同一单位或者个人办理响应事宜</w:t>
            </w:r>
            <w:r>
              <w:rPr>
                <w:rFonts w:hint="eastAsia" w:ascii="宋体" w:hAnsi="宋体" w:cs="宋体"/>
                <w:sz w:val="24"/>
              </w:rPr>
              <w:t xml:space="preserve">（包含使用同一MAC地址的计算机提交或者解密电子响应文件的情形）</w:t>
            </w:r>
            <w:r>
              <w:rPr>
                <w:rFonts w:hint="eastAsia" w:ascii="宋体" w:hAnsi="宋体" w:cs="宋体"/>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18"/>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6</w:t>
            </w:r>
            <w:r>
              <w:rPr>
                <w:rFonts w:hint="eastAsia" w:ascii="宋体" w:hAnsi="宋体" w:eastAsia="宋体" w:cs="宋体"/>
                <w:color w:val="000000"/>
                <w:sz w:val="24"/>
                <w:lang w:eastAsia="zh-CN"/>
              </w:rPr>
            </w:r>
            <w:r/>
          </w:p>
        </w:tc>
        <w:tc>
          <w:tcPr>
            <w:tcW w:w="1813" w:type="dxa"/>
            <w:vAlign w:val="center"/>
            <w:textDirection w:val="lrTb"/>
            <w:noWrap w:val="false"/>
          </w:tcPr>
          <w:p>
            <w:pPr>
              <w:pStyle w:val="1118"/>
              <w:jc w:val="left"/>
              <w:widowControl/>
              <w:rPr>
                <w:rFonts w:hint="eastAsia" w:ascii="宋体" w:hAnsi="宋体" w:cs="宋体"/>
                <w:color w:val="000000"/>
                <w:sz w:val="24"/>
              </w:rPr>
            </w:pPr>
            <w:r>
              <w:rPr>
                <w:rFonts w:hint="eastAsia" w:ascii="宋体" w:hAnsi="宋体" w:cs="宋体"/>
                <w:color w:val="000000"/>
                <w:sz w:val="24"/>
              </w:rPr>
              <w:t xml:space="preserve">附加条件</w:t>
            </w:r>
            <w:r>
              <w:rPr>
                <w:rFonts w:hint="eastAsia" w:ascii="宋体" w:hAnsi="宋体" w:cs="宋体"/>
                <w:color w:val="000000"/>
                <w:sz w:val="24"/>
              </w:rPr>
            </w:r>
            <w:r/>
          </w:p>
        </w:tc>
        <w:tc>
          <w:tcPr>
            <w:tcW w:w="6725" w:type="dxa"/>
            <w:vAlign w:val="center"/>
            <w:textDirection w:val="lrTb"/>
            <w:noWrap w:val="false"/>
          </w:tcPr>
          <w:p>
            <w:pPr>
              <w:pStyle w:val="1118"/>
              <w:jc w:val="left"/>
              <w:widowControl/>
              <w:rPr>
                <w:rFonts w:hint="eastAsia" w:ascii="宋体" w:hAnsi="宋体" w:cs="宋体"/>
                <w:color w:val="000000"/>
                <w:sz w:val="24"/>
              </w:rPr>
            </w:pPr>
            <w:r>
              <w:rPr>
                <w:rFonts w:hint="eastAsia" w:ascii="宋体" w:hAnsi="宋体" w:cs="宋体"/>
                <w:color w:val="000000"/>
                <w:sz w:val="24"/>
              </w:rPr>
              <w:t xml:space="preserve">响应文件未含有采购人不能接受的附加条件的；</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18"/>
              <w:jc w:val="center"/>
              <w:widowControl/>
              <w:rPr>
                <w:rFonts w:hint="eastAsia" w:ascii="宋体" w:hAnsi="宋体" w:eastAsia="宋体" w:cs="宋体"/>
                <w:color w:val="000000"/>
                <w:sz w:val="24"/>
                <w:lang w:eastAsia="zh-CN"/>
              </w:rPr>
            </w:pPr>
            <w:r>
              <w:rPr>
                <w:rFonts w:hint="eastAsia" w:ascii="宋体" w:hAnsi="宋体" w:cs="宋体"/>
                <w:color w:val="000000"/>
                <w:sz w:val="24"/>
              </w:rPr>
              <w:t xml:space="preserve">1</w:t>
            </w:r>
            <w:r>
              <w:rPr>
                <w:rFonts w:hint="eastAsia" w:ascii="宋体" w:hAnsi="宋体" w:cs="宋体"/>
                <w:color w:val="000000"/>
                <w:sz w:val="24"/>
                <w:lang w:val="en-US" w:eastAsia="zh-CN"/>
              </w:rPr>
              <w:t xml:space="preserve">7</w:t>
            </w:r>
            <w:r>
              <w:rPr>
                <w:rFonts w:hint="eastAsia" w:ascii="宋体" w:hAnsi="宋体" w:eastAsia="宋体" w:cs="宋体"/>
                <w:color w:val="000000"/>
                <w:sz w:val="24"/>
                <w:lang w:eastAsia="zh-CN"/>
              </w:rPr>
            </w:r>
            <w:r/>
          </w:p>
        </w:tc>
        <w:tc>
          <w:tcPr>
            <w:tcW w:w="1813" w:type="dxa"/>
            <w:vAlign w:val="center"/>
            <w:textDirection w:val="lrTb"/>
            <w:noWrap w:val="false"/>
          </w:tcPr>
          <w:p>
            <w:pPr>
              <w:pStyle w:val="1118"/>
              <w:jc w:val="left"/>
              <w:widowControl/>
              <w:rPr>
                <w:rFonts w:hint="eastAsia" w:ascii="宋体" w:hAnsi="宋体" w:cs="宋体"/>
                <w:color w:val="000000"/>
                <w:sz w:val="24"/>
              </w:rPr>
            </w:pPr>
            <w:r>
              <w:rPr>
                <w:rFonts w:hint="eastAsia" w:ascii="宋体" w:hAnsi="宋体" w:cs="宋体"/>
                <w:color w:val="000000"/>
                <w:sz w:val="24"/>
              </w:rPr>
              <w:t xml:space="preserve">其他无效情形</w:t>
            </w:r>
            <w:r>
              <w:rPr>
                <w:rFonts w:hint="eastAsia" w:ascii="宋体" w:hAnsi="宋体" w:cs="宋体"/>
                <w:color w:val="000000"/>
                <w:sz w:val="24"/>
              </w:rPr>
            </w:r>
            <w:r/>
          </w:p>
        </w:tc>
        <w:tc>
          <w:tcPr>
            <w:tcW w:w="6725" w:type="dxa"/>
            <w:vAlign w:val="center"/>
            <w:textDirection w:val="lrTb"/>
            <w:noWrap w:val="false"/>
          </w:tcPr>
          <w:p>
            <w:pPr>
              <w:pStyle w:val="1118"/>
              <w:jc w:val="left"/>
              <w:widowControl/>
              <w:rPr>
                <w:rFonts w:hint="eastAsia" w:ascii="宋体" w:hAnsi="宋体" w:cs="宋体"/>
                <w:color w:val="000000"/>
                <w:sz w:val="24"/>
              </w:rPr>
            </w:pPr>
            <w:r>
              <w:rPr>
                <w:rFonts w:hint="eastAsia" w:ascii="宋体" w:hAnsi="宋体" w:cs="宋体"/>
                <w:color w:val="000000"/>
                <w:sz w:val="24"/>
              </w:rPr>
              <w:t xml:space="preserve">供应商、响应文件不存在不符合法律、法规和磋商文件规定的其他无效情形。</w:t>
            </w:r>
            <w:r>
              <w:rPr>
                <w:rFonts w:hint="eastAsia" w:ascii="宋体" w:hAnsi="宋体" w:cs="宋体"/>
                <w:b/>
                <w:bCs/>
                <w:color w:val="000000"/>
                <w:sz w:val="24"/>
              </w:rPr>
              <w:t xml:space="preserve">由评委审查，无需供应商提供材料。</w:t>
            </w:r>
            <w:r>
              <w:rPr>
                <w:rFonts w:hint="eastAsia" w:ascii="宋体" w:hAnsi="宋体" w:cs="宋体"/>
                <w:color w:val="000000"/>
                <w:sz w:val="24"/>
              </w:rPr>
            </w:r>
            <w:r/>
          </w:p>
        </w:tc>
      </w:tr>
      <w:tr>
        <w:trPr>
          <w:trHeight w:val="685"/>
        </w:trPr>
        <w:tc>
          <w:tcPr>
            <w:tcW w:w="750" w:type="dxa"/>
            <w:vAlign w:val="center"/>
            <w:textDirection w:val="lrTb"/>
            <w:noWrap w:val="false"/>
          </w:tcPr>
          <w:p>
            <w:pPr>
              <w:pStyle w:val="1118"/>
              <w:jc w:val="center"/>
              <w:widowControl/>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18</w:t>
            </w:r>
            <w:r>
              <w:rPr>
                <w:rFonts w:ascii="宋体" w:hAnsi="宋体" w:eastAsia="宋体" w:cs="宋体"/>
                <w:color w:val="000000"/>
                <w:sz w:val="24"/>
                <w:lang w:val="en-US" w:eastAsia="zh-CN"/>
              </w:rPr>
            </w:r>
            <w:r/>
          </w:p>
        </w:tc>
        <w:tc>
          <w:tcPr>
            <w:tcW w:w="1813" w:type="dxa"/>
            <w:vAlign w:val="center"/>
            <w:textDirection w:val="lrTb"/>
            <w:noWrap w:val="false"/>
          </w:tcPr>
          <w:p>
            <w:pPr>
              <w:pStyle w:val="1118"/>
              <w:jc w:val="left"/>
              <w:widowControl/>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报价合理性</w:t>
            </w:r>
            <w:r>
              <w:rPr>
                <w:rFonts w:ascii="宋体" w:hAnsi="宋体" w:eastAsia="宋体" w:cs="宋体"/>
                <w:color w:val="000000"/>
                <w:sz w:val="24"/>
                <w:lang w:val="en-US" w:eastAsia="zh-CN"/>
              </w:rPr>
            </w:r>
            <w:r/>
          </w:p>
        </w:tc>
        <w:tc>
          <w:tcPr>
            <w:tcW w:w="6725" w:type="dxa"/>
            <w:vAlign w:val="center"/>
            <w:textDirection w:val="lrTb"/>
            <w:noWrap w:val="false"/>
          </w:tcPr>
          <w:p>
            <w:pPr>
              <w:pStyle w:val="1118"/>
              <w:jc w:val="left"/>
              <w:widowControl/>
              <w:rPr>
                <w:rFonts w:hint="eastAsia" w:ascii="宋体" w:hAnsi="宋体" w:cs="宋体"/>
                <w:color w:val="000000"/>
                <w:sz w:val="24"/>
              </w:rPr>
            </w:pPr>
            <w:r>
              <w:rPr>
                <w:rFonts w:hint="eastAsia" w:ascii="Times New Roman" w:hAnsi="Times New Roman" w:eastAsia="宋体" w:cs="Times New Roman"/>
                <w:b/>
                <w:bCs/>
                <w:sz w:val="24"/>
                <w:szCs w:val="24"/>
                <w:lang w:val="en-US" w:eastAsia="zh-CN" w:bidi="ar-SA"/>
              </w:rPr>
              <w:t xml:space="preserve">本项目执行财库〔2026〕2号《关于推动解决政府采购异常低价问题的通知，</w:t>
            </w:r>
            <w:r>
              <w:rPr>
                <w:rFonts w:hint="eastAsia" w:ascii="宋体" w:hAnsi="宋体"/>
                <w:b/>
                <w:bCs/>
                <w:sz w:val="24"/>
              </w:rPr>
              <w:t xml:space="preserve">实施政府采购异常低价审查。</w:t>
            </w:r>
            <w:r>
              <w:rPr>
                <w:rFonts w:hint="eastAsia" w:ascii="宋体" w:hAnsi="宋体" w:cs="宋体"/>
                <w:color w:val="000000"/>
                <w:sz w:val="24"/>
              </w:rPr>
            </w:r>
            <w:r/>
          </w:p>
        </w:tc>
      </w:tr>
    </w:tbl>
    <w:p>
      <w:pPr>
        <w:pStyle w:val="1118"/>
        <w:numPr>
          <w:ilvl w:val="0"/>
          <w:numId w:val="11"/>
        </w:numPr>
        <w:spacing w:line="360" w:lineRule="auto"/>
        <w:tabs>
          <w:tab w:val="left" w:pos="360" w:leader="none"/>
          <w:tab w:val="left" w:pos="900" w:leader="none"/>
        </w:tabs>
        <w:rPr>
          <w:sz w:val="24"/>
        </w:rPr>
        <w:outlineLvl w:val="1"/>
      </w:pPr>
      <w:r>
        <w:rPr>
          <w:sz w:val="24"/>
        </w:rPr>
        <w:t xml:space="preserve">磋商、响应文件有关事项的澄清、说明或者更正和最终报价</w:t>
      </w:r>
      <w:r>
        <w:rPr>
          <w:sz w:val="24"/>
        </w:rPr>
      </w:r>
      <w:r/>
    </w:p>
    <w:p>
      <w:pPr>
        <w:pStyle w:val="1118"/>
        <w:numPr>
          <w:ilvl w:val="1"/>
          <w:numId w:val="11"/>
        </w:numPr>
        <w:ind w:left="1350" w:hanging="720"/>
        <w:spacing w:line="360" w:lineRule="auto"/>
        <w:tabs>
          <w:tab w:val="left" w:pos="1080" w:leader="none"/>
          <w:tab w:val="left" w:pos="1589" w:leader="none"/>
        </w:tabs>
        <w:rPr>
          <w:sz w:val="24"/>
        </w:rPr>
      </w:pPr>
      <w:r>
        <w:rPr>
          <w:sz w:val="24"/>
        </w:rPr>
        <w:t xml:space="preserve">磋商小组所有成员应当集中与单一供应商分别进行磋商，并给予所有参加磋商的供应商平等的磋商机会。</w:t>
      </w:r>
      <w:r>
        <w:rPr>
          <w:sz w:val="24"/>
        </w:rPr>
      </w:r>
      <w:r/>
    </w:p>
    <w:p>
      <w:pPr>
        <w:pStyle w:val="1118"/>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sz w:val="24"/>
        </w:rPr>
      </w:r>
      <w:r/>
    </w:p>
    <w:p>
      <w:pPr>
        <w:pStyle w:val="1118"/>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对磋商文件作出的实质性变动是磋商文件的有效组成部分，磋商小组应当及时</w:t>
      </w:r>
      <w:r>
        <w:rPr>
          <w:rFonts w:hint="eastAsia"/>
          <w:sz w:val="24"/>
        </w:rPr>
        <w:t xml:space="preserve">通过“苏采云”政府采购一体化平台系统</w:t>
      </w:r>
      <w:r>
        <w:rPr>
          <w:sz w:val="24"/>
        </w:rPr>
        <w:t xml:space="preserve">以书面形式同时通知所有参加磋商的供应商。</w:t>
      </w:r>
      <w:r>
        <w:rPr>
          <w:sz w:val="24"/>
        </w:rPr>
      </w:r>
      <w:r/>
    </w:p>
    <w:p>
      <w:pPr>
        <w:pStyle w:val="1118"/>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sz w:val="24"/>
        </w:rPr>
      </w:r>
      <w:r/>
    </w:p>
    <w:p>
      <w:pPr>
        <w:pStyle w:val="1118"/>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响应文件的澄清、说明或者更正</w:t>
      </w:r>
      <w:r>
        <w:rPr>
          <w:rFonts w:hint="eastAsia"/>
          <w:sz w:val="24"/>
        </w:rPr>
        <w:t xml:space="preserve">：</w:t>
      </w:r>
      <w:r>
        <w:rPr>
          <w:sz w:val="24"/>
        </w:rPr>
      </w:r>
      <w:r/>
    </w:p>
    <w:p>
      <w:pPr>
        <w:pStyle w:val="1118"/>
        <w:ind w:left="1080"/>
        <w:spacing w:line="360" w:lineRule="auto"/>
        <w:tabs>
          <w:tab w:val="left" w:pos="1980" w:leader="none"/>
        </w:tabs>
        <w:rPr>
          <w:sz w:val="24"/>
        </w:rPr>
      </w:pPr>
      <w:r>
        <w:rPr>
          <w:rFonts w:hint="eastAsia"/>
          <w:sz w:val="24"/>
        </w:rPr>
        <w:t xml:space="preserve">评审</w:t>
      </w:r>
      <w:r>
        <w:rPr>
          <w:sz w:val="24"/>
        </w:rPr>
        <w:t xml:space="preserve">过程中，</w:t>
      </w:r>
      <w:r>
        <w:rPr>
          <w:rFonts w:hint="eastAsia"/>
          <w:sz w:val="24"/>
        </w:rPr>
        <w:t xml:space="preserve">磋商小组</w:t>
      </w:r>
      <w:r>
        <w:rPr>
          <w:sz w:val="24"/>
        </w:rPr>
        <w:t xml:space="preserve">会将</w:t>
      </w:r>
      <w:r>
        <w:rPr>
          <w:rFonts w:hint="eastAsia"/>
          <w:sz w:val="24"/>
        </w:rPr>
        <w:t xml:space="preserve">通过“苏采云”政府采购一体化平台系统</w:t>
      </w:r>
      <w:r>
        <w:rPr>
          <w:sz w:val="24"/>
        </w:rPr>
        <w:t xml:space="preserve">以书面形式要求</w:t>
      </w:r>
      <w:r>
        <w:rPr>
          <w:rFonts w:hint="eastAsia"/>
          <w:sz w:val="24"/>
        </w:rPr>
        <w:t xml:space="preserve">供应商</w:t>
      </w:r>
      <w:r>
        <w:rPr>
          <w:sz w:val="24"/>
        </w:rPr>
        <w:t xml:space="preserve">对其</w:t>
      </w:r>
      <w:r>
        <w:rPr>
          <w:rFonts w:hint="eastAsia"/>
          <w:sz w:val="24"/>
        </w:rPr>
        <w:t xml:space="preserve">响应</w:t>
      </w:r>
      <w:r>
        <w:rPr>
          <w:sz w:val="24"/>
        </w:rPr>
        <w:t xml:space="preserve">文件中含义不明确、同类问题表述不一致或者有明显文字和计算错误的内容，作出必要的澄清、说明或者补正。</w:t>
      </w:r>
      <w:r>
        <w:rPr>
          <w:rFonts w:hint="eastAsia"/>
          <w:sz w:val="24"/>
        </w:rPr>
        <w:t xml:space="preserve">供应商</w:t>
      </w:r>
      <w:r>
        <w:rPr>
          <w:sz w:val="24"/>
        </w:rPr>
        <w:t xml:space="preserve">的澄清、说明或者补正应当采用书面形式，并加盖</w:t>
      </w:r>
      <w:r>
        <w:rPr>
          <w:rFonts w:hint="eastAsia"/>
          <w:sz w:val="24"/>
        </w:rPr>
        <w:t xml:space="preserve">电子</w:t>
      </w:r>
      <w:r>
        <w:rPr>
          <w:sz w:val="24"/>
        </w:rPr>
        <w:t xml:space="preserve">公章。</w:t>
      </w:r>
      <w:r>
        <w:rPr>
          <w:rFonts w:hint="eastAsia"/>
          <w:sz w:val="24"/>
        </w:rPr>
        <w:t xml:space="preserve">供应商</w:t>
      </w:r>
      <w:r>
        <w:rPr>
          <w:sz w:val="24"/>
        </w:rPr>
        <w:t xml:space="preserve">的澄清、说明或者补正不得超出</w:t>
      </w:r>
      <w:r>
        <w:rPr>
          <w:rFonts w:hint="eastAsia"/>
          <w:sz w:val="24"/>
        </w:rPr>
        <w:t xml:space="preserve">响应</w:t>
      </w:r>
      <w:r>
        <w:rPr>
          <w:sz w:val="24"/>
        </w:rPr>
        <w:t xml:space="preserve">文件的范围或者改变</w:t>
      </w:r>
      <w:r>
        <w:rPr>
          <w:rFonts w:hint="eastAsia"/>
          <w:sz w:val="24"/>
        </w:rPr>
        <w:t xml:space="preserve">响应</w:t>
      </w:r>
      <w:r>
        <w:rPr>
          <w:sz w:val="24"/>
        </w:rPr>
        <w:t xml:space="preserve">文件的实质性内容。澄清文件将作为</w:t>
      </w:r>
      <w:r>
        <w:rPr>
          <w:rFonts w:hint="eastAsia"/>
          <w:sz w:val="24"/>
        </w:rPr>
        <w:t xml:space="preserve">响应</w:t>
      </w:r>
      <w:r>
        <w:rPr>
          <w:sz w:val="24"/>
        </w:rPr>
        <w:t xml:space="preserve">文件内容的一部分。</w:t>
      </w:r>
      <w:r>
        <w:rPr>
          <w:sz w:val="24"/>
        </w:rPr>
      </w:r>
      <w:r/>
    </w:p>
    <w:p>
      <w:pPr>
        <w:pStyle w:val="1118"/>
        <w:numPr>
          <w:ilvl w:val="1"/>
          <w:numId w:val="11"/>
        </w:numPr>
        <w:ind w:left="1350" w:hanging="720"/>
        <w:spacing w:line="360" w:lineRule="auto"/>
        <w:tabs>
          <w:tab w:val="left" w:pos="1080" w:leader="none"/>
          <w:tab w:val="left" w:pos="1589" w:leader="none"/>
          <w:tab w:val="left" w:pos="1872" w:leader="none"/>
        </w:tabs>
        <w:rPr>
          <w:rFonts w:hint="eastAsia" w:ascii="宋体" w:hAnsi="宋体" w:cs="宋体"/>
          <w:b/>
          <w:sz w:val="24"/>
        </w:rPr>
      </w:pPr>
      <w:r>
        <w:rPr>
          <w:rFonts w:hint="eastAsia" w:ascii="宋体" w:hAnsi="宋体" w:cs="宋体"/>
          <w:b/>
          <w:sz w:val="24"/>
        </w:rPr>
        <w:t xml:space="preserve">磋商结束后，磋商小组将要求所有实质性响应的供应商在规定时间内通过“苏采云”政府采购一体化平台系统提交最终报价，未按照磋商小组规定的时间、逾期提交报价的，其响应无效</w:t>
      </w:r>
      <w:r>
        <w:rPr>
          <w:rFonts w:hint="eastAsia" w:ascii="宋体" w:hAnsi="宋体" w:cs="宋体"/>
          <w:sz w:val="24"/>
        </w:rPr>
        <w:t xml:space="preserve">。</w:t>
      </w:r>
      <w:r>
        <w:rPr>
          <w:rFonts w:hint="eastAsia" w:ascii="宋体" w:hAnsi="宋体" w:cs="宋体"/>
          <w:b/>
          <w:sz w:val="24"/>
        </w:rPr>
      </w:r>
      <w:r/>
    </w:p>
    <w:p>
      <w:pPr>
        <w:pStyle w:val="1118"/>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sz w:val="24"/>
        </w:rPr>
      </w:r>
      <w:r/>
    </w:p>
    <w:p>
      <w:pPr>
        <w:pStyle w:val="1118"/>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最终报价是供应商响应文件的有效组成部分。</w:t>
      </w:r>
      <w:r>
        <w:rPr>
          <w:sz w:val="24"/>
        </w:rPr>
      </w:r>
      <w:r/>
    </w:p>
    <w:p>
      <w:pPr>
        <w:pStyle w:val="1118"/>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已提交响应文件的供应商，在提交最终报价之前，可以根据磋商情况退出磋商。</w:t>
      </w:r>
      <w:r>
        <w:rPr>
          <w:sz w:val="24"/>
        </w:rPr>
      </w:r>
      <w:r/>
    </w:p>
    <w:p>
      <w:pPr>
        <w:pStyle w:val="1118"/>
        <w:numPr>
          <w:ilvl w:val="0"/>
          <w:numId w:val="11"/>
        </w:numPr>
        <w:spacing w:line="360" w:lineRule="auto"/>
        <w:tabs>
          <w:tab w:val="left" w:pos="360" w:leader="none"/>
          <w:tab w:val="left" w:pos="900" w:leader="none"/>
        </w:tabs>
        <w:rPr>
          <w:sz w:val="24"/>
        </w:rPr>
        <w:outlineLvl w:val="1"/>
      </w:pPr>
      <w:r>
        <w:rPr>
          <w:sz w:val="24"/>
        </w:rPr>
        <w:t xml:space="preserve">最终报价的算术修正及政策调整</w:t>
      </w:r>
      <w:r>
        <w:rPr>
          <w:sz w:val="24"/>
        </w:rPr>
      </w:r>
      <w:r/>
    </w:p>
    <w:p>
      <w:pPr>
        <w:pStyle w:val="1118"/>
        <w:numPr>
          <w:ilvl w:val="1"/>
          <w:numId w:val="11"/>
        </w:numPr>
        <w:ind w:left="1350" w:hanging="720"/>
        <w:spacing w:line="360" w:lineRule="auto"/>
        <w:tabs>
          <w:tab w:val="left" w:pos="1080" w:leader="none"/>
          <w:tab w:val="left" w:pos="1589" w:leader="none"/>
        </w:tabs>
        <w:rPr>
          <w:sz w:val="24"/>
        </w:rPr>
      </w:pPr>
      <w:r>
        <w:rPr>
          <w:sz w:val="24"/>
        </w:rPr>
        <w:t xml:space="preserve">最终报价须包含竞争性磋商文件全部内容，如</w:t>
      </w:r>
      <w:r>
        <w:rPr>
          <w:rFonts w:hint="eastAsia"/>
          <w:sz w:val="24"/>
        </w:rPr>
        <w:t xml:space="preserve">最后</w:t>
      </w:r>
      <w:r>
        <w:rPr>
          <w:sz w:val="24"/>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sz w:val="24"/>
        </w:rPr>
        <w:t xml:space="preserve">响应无效</w:t>
      </w:r>
      <w:r>
        <w:rPr>
          <w:sz w:val="24"/>
        </w:rPr>
        <w:t xml:space="preserve">。</w:t>
      </w:r>
      <w:r>
        <w:rPr>
          <w:sz w:val="24"/>
        </w:rPr>
      </w:r>
      <w:r/>
    </w:p>
    <w:p>
      <w:pPr>
        <w:pStyle w:val="1118"/>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最终报价出现前后不一致的，按照下列规定修正：</w:t>
      </w:r>
      <w:r>
        <w:rPr>
          <w:sz w:val="24"/>
        </w:rPr>
      </w:r>
      <w:r/>
    </w:p>
    <w:p>
      <w:pPr>
        <w:pStyle w:val="1118"/>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竞争性磋商文件对于报价修正是否另有规定：</w:t>
      </w:r>
      <w:r>
        <w:rPr>
          <w:sz w:val="24"/>
        </w:rPr>
      </w:r>
      <w:r/>
    </w:p>
    <w:p>
      <w:pPr>
        <w:pStyle w:val="1118"/>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w:t>
      </w:r>
      <w:r>
        <w:rPr>
          <w:sz w:val="24"/>
          <w:u w:val="single"/>
        </w:rPr>
      </w:r>
      <w:r/>
    </w:p>
    <w:p>
      <w:pPr>
        <w:pStyle w:val="1118"/>
        <w:ind w:left="2035"/>
        <w:spacing w:line="360" w:lineRule="auto"/>
        <w:tabs>
          <w:tab w:val="left" w:pos="1080" w:leader="none"/>
          <w:tab w:val="left" w:pos="1589" w:leader="none"/>
          <w:tab w:val="left" w:pos="2035" w:leader="none"/>
          <w:tab w:val="left" w:pos="2114" w:leader="none"/>
        </w:tabs>
        <w:rPr>
          <w:sz w:val="24"/>
        </w:rPr>
      </w:pPr>
      <w:r>
        <w:rPr>
          <w:rFonts w:ascii="Wingdings 2" w:hAnsi="Wingdings 2" w:eastAsia="Wingdings 2" w:cs="Wingdings 2"/>
          <w:sz w:val="24"/>
        </w:rPr>
        <w:t xml:space="preserve">R</w:t>
      </w:r>
      <w:r>
        <w:rPr>
          <w:sz w:val="24"/>
        </w:rPr>
        <w:t xml:space="preserve">无，按下述3.2.2-3.2.5项规定修正。</w:t>
      </w:r>
      <w:r>
        <w:rPr>
          <w:sz w:val="24"/>
        </w:rPr>
      </w:r>
      <w:r/>
    </w:p>
    <w:p>
      <w:pPr>
        <w:pStyle w:val="1118"/>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1118"/>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单价金额小数点或者百分比有明显错位的，以最终报价一览表的总价为准，并修改单价；</w:t>
      </w:r>
      <w:r>
        <w:rPr>
          <w:color w:val="000000"/>
          <w:sz w:val="24"/>
        </w:rPr>
      </w:r>
      <w:r/>
    </w:p>
    <w:p>
      <w:pPr>
        <w:pStyle w:val="1118"/>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1118"/>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同时出现两种以上不一致的，按照前款规定的顺序修正。修正后的报价经供应商书面确认后产生约束力，供应商不确认的，</w:t>
      </w:r>
      <w:r>
        <w:rPr>
          <w:b/>
          <w:sz w:val="24"/>
        </w:rPr>
        <w:t xml:space="preserve">其响应无效</w:t>
      </w:r>
      <w:r>
        <w:rPr>
          <w:sz w:val="24"/>
        </w:rPr>
        <w:t xml:space="preserve">。</w:t>
      </w:r>
      <w:r>
        <w:rPr>
          <w:sz w:val="24"/>
        </w:rPr>
      </w:r>
      <w:r/>
    </w:p>
    <w:p>
      <w:pPr>
        <w:pStyle w:val="1118"/>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落实政府采购政策的价格调整：只有符合第二章《供应商须知》4.2条规定情形的，可以享受中小企业扶持政策，用扣除后的价格参加评审；否则，评审时价格不予扣除。</w:t>
      </w:r>
      <w:r>
        <w:rPr>
          <w:sz w:val="24"/>
        </w:rPr>
      </w:r>
      <w:r/>
    </w:p>
    <w:p>
      <w:pPr>
        <w:pStyle w:val="1118"/>
        <w:numPr>
          <w:ilvl w:val="2"/>
          <w:numId w:val="11"/>
        </w:numPr>
        <w:spacing w:line="360" w:lineRule="auto"/>
        <w:tabs>
          <w:tab w:val="left" w:pos="1980"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rPr>
        <w:t xml:space="preserve">20</w:t>
      </w:r>
      <w:r>
        <w:rPr>
          <w:sz w:val="24"/>
        </w:rPr>
        <w:t xml:space="preserve">%的扣除，用扣除后的价格参加评审。</w:t>
      </w:r>
      <w:r>
        <w:rPr>
          <w:sz w:val="24"/>
        </w:rPr>
      </w:r>
      <w:r/>
    </w:p>
    <w:p>
      <w:pPr>
        <w:pStyle w:val="1118"/>
        <w:numPr>
          <w:ilvl w:val="2"/>
          <w:numId w:val="11"/>
        </w:numPr>
        <w:spacing w:line="360" w:lineRule="auto"/>
        <w:tabs>
          <w:tab w:val="left" w:pos="1980"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rPr>
        <w:t xml:space="preserve">6</w:t>
      </w:r>
      <w:r>
        <w:rPr>
          <w:sz w:val="24"/>
        </w:rPr>
        <w:t xml:space="preserve">%的扣除，用扣除后的价格参加评审。</w:t>
      </w:r>
      <w:r>
        <w:rPr>
          <w:sz w:val="24"/>
        </w:rPr>
      </w:r>
      <w:r/>
    </w:p>
    <w:p>
      <w:pPr>
        <w:pStyle w:val="1118"/>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1118"/>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1118"/>
        <w:numPr>
          <w:ilvl w:val="2"/>
          <w:numId w:val="11"/>
        </w:numPr>
        <w:ind w:left="2035"/>
        <w:spacing w:line="360" w:lineRule="auto"/>
        <w:tabs>
          <w:tab w:val="left" w:pos="1080" w:leader="none"/>
          <w:tab w:val="left" w:pos="1589" w:leader="none"/>
          <w:tab w:val="left" w:pos="1980" w:leader="none"/>
          <w:tab w:val="left" w:pos="2035" w:leader="none"/>
        </w:tabs>
        <w:rPr>
          <w:sz w:val="24"/>
        </w:rPr>
      </w:pPr>
      <w:r>
        <w:rPr>
          <w:color w:val="000000"/>
          <w:sz w:val="24"/>
        </w:rPr>
        <w:t xml:space="preserve">中小企业参加政府采购活动，应当按照竞争性磋商文件给定的格式出具《中小企业声明函》，否则不得享受相关中小企业扶持政策。</w:t>
      </w:r>
      <w:r>
        <w:rPr>
          <w:sz w:val="24"/>
        </w:rPr>
      </w:r>
      <w:r/>
    </w:p>
    <w:p>
      <w:pPr>
        <w:pStyle w:val="1118"/>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1118"/>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残疾人福利性单位按竞争性磋商文件要求提供了《残疾人福利性单位声明函》（见附件）的，视同小微企业。</w:t>
      </w:r>
      <w:r>
        <w:rPr>
          <w:sz w:val="24"/>
        </w:rPr>
      </w:r>
      <w:r/>
    </w:p>
    <w:p>
      <w:pPr>
        <w:pStyle w:val="1118"/>
        <w:numPr>
          <w:ilvl w:val="2"/>
          <w:numId w:val="11"/>
        </w:numPr>
        <w:ind w:left="2035"/>
        <w:spacing w:line="360" w:lineRule="auto"/>
        <w:tabs>
          <w:tab w:val="left" w:pos="1080" w:leader="none"/>
          <w:tab w:val="left" w:pos="1589" w:leader="none"/>
          <w:tab w:val="left" w:pos="1980" w:leader="none"/>
          <w:tab w:val="left" w:pos="2014" w:leader="none"/>
        </w:tabs>
        <w:rPr>
          <w:sz w:val="24"/>
        </w:rPr>
      </w:pPr>
      <w:r>
        <w:rPr>
          <w:sz w:val="24"/>
        </w:rPr>
        <w:t xml:space="preserve">若供应商同时属于小型或微型企业、监狱企业、残疾人福利性单位中的两种及以上，将不重复享受小微企业价格扣减的优惠政策。</w:t>
      </w:r>
      <w:r>
        <w:rPr>
          <w:sz w:val="24"/>
        </w:rPr>
      </w:r>
      <w:r/>
    </w:p>
    <w:p>
      <w:pPr>
        <w:pStyle w:val="1118"/>
        <w:numPr>
          <w:ilvl w:val="2"/>
          <w:numId w:val="11"/>
        </w:numPr>
        <w:ind w:left="2035"/>
        <w:spacing w:line="360" w:lineRule="auto"/>
        <w:tabs>
          <w:tab w:val="left" w:pos="1080" w:leader="none"/>
          <w:tab w:val="left" w:pos="1589" w:leader="none"/>
          <w:tab w:val="left" w:pos="1980" w:leader="none"/>
          <w:tab w:val="left" w:pos="2014" w:leader="none"/>
        </w:tabs>
        <w:rPr>
          <w:sz w:val="24"/>
        </w:rPr>
      </w:pPr>
      <w:r>
        <w:rPr>
          <w:sz w:val="24"/>
        </w:rPr>
        <w:t xml:space="preserve">其他为落实政府采购政策实施的优先采购：______。</w:t>
      </w:r>
      <w:r>
        <w:rPr>
          <w:sz w:val="24"/>
        </w:rPr>
      </w:r>
      <w:r/>
    </w:p>
    <w:p>
      <w:pPr>
        <w:pStyle w:val="1118"/>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lang w:val="en-US" w:eastAsia="zh-CN"/>
        </w:rPr>
        <w:t xml:space="preserve">3</w:t>
      </w:r>
      <w:r>
        <w:rPr>
          <w:rFonts w:hint="eastAsia"/>
          <w:sz w:val="24"/>
          <w:highlight w:val="none"/>
        </w:rPr>
        <w:t xml:space="preserve">.</w:t>
      </w:r>
      <w:r>
        <w:rPr>
          <w:rFonts w:hint="eastAsia"/>
          <w:sz w:val="24"/>
          <w:highlight w:val="none"/>
          <w:lang w:val="en-US" w:eastAsia="zh-CN"/>
        </w:rPr>
        <w:t xml:space="preserve">4</w:t>
      </w:r>
      <w:r>
        <w:rPr>
          <w:rFonts w:hint="eastAsia"/>
          <w:sz w:val="24"/>
          <w:highlight w:val="none"/>
        </w:rPr>
        <w:t xml:space="preserve"> 采购本国产品的支持政策</w:t>
      </w:r>
      <w:r>
        <w:rPr>
          <w:sz w:val="24"/>
          <w:highlight w:val="none"/>
        </w:rPr>
      </w:r>
      <w:r/>
    </w:p>
    <w:p>
      <w:pPr>
        <w:pStyle w:val="1118"/>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lang w:val="en-US" w:eastAsia="zh-CN"/>
        </w:rPr>
        <w:t xml:space="preserve">3</w:t>
      </w:r>
      <w:r>
        <w:rPr>
          <w:rFonts w:hint="eastAsia"/>
          <w:sz w:val="24"/>
          <w:highlight w:val="none"/>
        </w:rPr>
        <w:t xml:space="preserve">.</w:t>
      </w:r>
      <w:r>
        <w:rPr>
          <w:rFonts w:hint="eastAsia"/>
          <w:sz w:val="24"/>
          <w:highlight w:val="none"/>
          <w:lang w:val="en-US" w:eastAsia="zh-CN"/>
        </w:rPr>
        <w:t xml:space="preserve">4</w:t>
      </w:r>
      <w:r>
        <w:rPr>
          <w:rFonts w:hint="eastAsia"/>
          <w:sz w:val="24"/>
          <w:highlight w:val="none"/>
        </w:rPr>
        <w:t xml:space="preserve">.1本项目政府采购活动中既有本国产品又有非本国产品参与竞争的，依法对本国产品给予价格评审优惠，对本国产品的报价给予20%的价格扣除，用扣除后的价格参与评审。</w:t>
      </w:r>
      <w:r>
        <w:rPr>
          <w:sz w:val="24"/>
          <w:highlight w:val="none"/>
        </w:rPr>
      </w:r>
      <w:r/>
    </w:p>
    <w:p>
      <w:pPr>
        <w:pStyle w:val="1118"/>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lang w:val="en-US" w:eastAsia="zh-CN"/>
        </w:rPr>
        <w:t xml:space="preserve">3</w:t>
      </w:r>
      <w:r>
        <w:rPr>
          <w:rFonts w:hint="eastAsia"/>
          <w:sz w:val="24"/>
          <w:highlight w:val="none"/>
        </w:rPr>
        <w:t xml:space="preserve">.</w:t>
      </w:r>
      <w:r>
        <w:rPr>
          <w:rFonts w:hint="eastAsia"/>
          <w:sz w:val="24"/>
          <w:highlight w:val="none"/>
          <w:lang w:val="en-US" w:eastAsia="zh-CN"/>
        </w:rPr>
        <w:t xml:space="preserve">4</w:t>
      </w:r>
      <w:r>
        <w:rPr>
          <w:rFonts w:hint="eastAsia"/>
          <w:sz w:val="24"/>
          <w:highlight w:val="none"/>
        </w:rPr>
        <w:t xml:space="preserve">.2 当采购项目或者采购包中含有多种产品，</w:t>
      </w:r>
      <w:r>
        <w:rPr>
          <w:rFonts w:hint="eastAsia"/>
          <w:sz w:val="24"/>
          <w:highlight w:val="none"/>
          <w:lang w:val="en-US" w:eastAsia="zh-CN"/>
        </w:rPr>
        <w:t xml:space="preserve">供应商</w:t>
      </w:r>
      <w:r>
        <w:rPr>
          <w:rFonts w:hint="eastAsia"/>
          <w:sz w:val="24"/>
          <w:highlight w:val="none"/>
        </w:rPr>
        <w:t xml:space="preserve">为该采购项目或者采购包提供的符合本国产品标准的产品成本之和占该供应商提供的全部产品成本之和的比例达到80%以上时（</w:t>
      </w:r>
      <w:r>
        <w:rPr>
          <w:rFonts w:hint="eastAsia"/>
          <w:b/>
          <w:bCs/>
          <w:sz w:val="24"/>
          <w:highlight w:val="none"/>
          <w:lang w:val="en-US" w:eastAsia="zh-CN"/>
        </w:rPr>
        <w:t xml:space="preserve">供应商</w:t>
      </w:r>
      <w:r>
        <w:rPr>
          <w:rFonts w:hint="eastAsia"/>
          <w:b/>
          <w:bCs/>
          <w:sz w:val="24"/>
          <w:highlight w:val="none"/>
        </w:rPr>
        <w:t xml:space="preserve">需在“</w:t>
      </w:r>
      <w:r>
        <w:rPr>
          <w:rFonts w:hint="eastAsia"/>
          <w:b/>
          <w:bCs/>
          <w:sz w:val="24"/>
          <w:highlight w:val="none"/>
          <w:lang w:val="en-US" w:eastAsia="zh-CN"/>
        </w:rPr>
        <w:t xml:space="preserve">响应</w:t>
      </w:r>
      <w:r>
        <w:rPr>
          <w:rFonts w:hint="eastAsia"/>
          <w:b/>
          <w:bCs/>
          <w:sz w:val="24"/>
          <w:highlight w:val="none"/>
        </w:rPr>
        <w:t xml:space="preserve">文件格式”的“投标分项报价表”中填写比例数值）</w:t>
      </w:r>
      <w:r>
        <w:rPr>
          <w:rFonts w:hint="eastAsia"/>
          <w:sz w:val="24"/>
          <w:highlight w:val="none"/>
        </w:rPr>
        <w:t xml:space="preserve">，依法对该</w:t>
      </w:r>
      <w:r>
        <w:rPr>
          <w:rFonts w:hint="eastAsia"/>
          <w:sz w:val="24"/>
          <w:highlight w:val="none"/>
          <w:lang w:val="en-US" w:eastAsia="zh-CN"/>
        </w:rPr>
        <w:t xml:space="preserve">供应商</w:t>
      </w:r>
      <w:r>
        <w:rPr>
          <w:rFonts w:hint="eastAsia"/>
          <w:sz w:val="24"/>
          <w:highlight w:val="none"/>
        </w:rPr>
        <w:t xml:space="preserve">提供的全部产品给予价格评审优惠，即对该</w:t>
      </w:r>
      <w:r>
        <w:rPr>
          <w:rFonts w:hint="eastAsia"/>
          <w:sz w:val="24"/>
          <w:highlight w:val="none"/>
          <w:lang w:val="en-US" w:eastAsia="zh-CN"/>
        </w:rPr>
        <w:t xml:space="preserve">供应商</w:t>
      </w:r>
      <w:r>
        <w:rPr>
          <w:rFonts w:hint="eastAsia"/>
          <w:sz w:val="24"/>
          <w:highlight w:val="none"/>
        </w:rPr>
        <w:t xml:space="preserve">提供的全部产品的总报价给予20%的价格扣除，用扣除后的价格参与评审。</w:t>
      </w:r>
      <w:r>
        <w:rPr>
          <w:rFonts w:hint="eastAsia"/>
          <w:b/>
          <w:bCs/>
          <w:sz w:val="24"/>
          <w:highlight w:val="none"/>
          <w:lang w:val="en-US" w:eastAsia="zh-CN"/>
        </w:rPr>
        <w:t xml:space="preserve">供应商</w:t>
      </w:r>
      <w:r>
        <w:rPr>
          <w:rFonts w:hint="eastAsia"/>
          <w:b/>
          <w:bCs/>
          <w:sz w:val="24"/>
          <w:highlight w:val="none"/>
        </w:rPr>
        <w:t xml:space="preserve">未填写比例数值，或比例数值未达到80%的，将不享受本国产品价格评审优惠。</w:t>
      </w:r>
      <w:r>
        <w:rPr>
          <w:sz w:val="24"/>
          <w:highlight w:val="none"/>
        </w:rPr>
      </w:r>
      <w:r/>
    </w:p>
    <w:p>
      <w:pPr>
        <w:pStyle w:val="1118"/>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lang w:val="en-US" w:eastAsia="zh-CN"/>
        </w:rPr>
        <w:t xml:space="preserve">3</w:t>
      </w:r>
      <w:r>
        <w:rPr>
          <w:rFonts w:hint="eastAsia"/>
          <w:sz w:val="24"/>
          <w:highlight w:val="none"/>
        </w:rPr>
        <w:t xml:space="preserve">.</w:t>
      </w:r>
      <w:r>
        <w:rPr>
          <w:rFonts w:hint="eastAsia"/>
          <w:sz w:val="24"/>
          <w:highlight w:val="none"/>
          <w:lang w:val="en-US" w:eastAsia="zh-CN"/>
        </w:rPr>
        <w:t xml:space="preserve">4</w:t>
      </w:r>
      <w:r>
        <w:rPr>
          <w:rFonts w:hint="eastAsia"/>
          <w:sz w:val="24"/>
          <w:highlight w:val="none"/>
        </w:rPr>
        <w:t xml:space="preserve">.3 </w:t>
      </w:r>
      <w:r>
        <w:rPr>
          <w:rFonts w:hint="eastAsia"/>
          <w:sz w:val="24"/>
          <w:highlight w:val="none"/>
          <w:lang w:val="en-US" w:eastAsia="zh-CN"/>
        </w:rPr>
        <w:t xml:space="preserve">供应商</w:t>
      </w:r>
      <w:r>
        <w:rPr>
          <w:rFonts w:hint="eastAsia"/>
          <w:sz w:val="24"/>
          <w:highlight w:val="none"/>
        </w:rPr>
        <w:t xml:space="preserve">需按照</w:t>
      </w:r>
      <w:r>
        <w:rPr>
          <w:rFonts w:hint="eastAsia"/>
          <w:sz w:val="24"/>
          <w:highlight w:val="none"/>
          <w:lang w:val="en-US" w:eastAsia="zh-CN"/>
        </w:rPr>
        <w:t xml:space="preserve">采购</w:t>
      </w:r>
      <w:r>
        <w:rPr>
          <w:rFonts w:hint="eastAsia"/>
          <w:sz w:val="24"/>
          <w:highlight w:val="none"/>
        </w:rPr>
        <w:t xml:space="preserve">文件的要求提供《关于符合本国产品标准的声明函》（以下简称《声明函》），如不提供将不享受本国产品价格评审优惠。</w:t>
      </w:r>
      <w:r>
        <w:rPr>
          <w:sz w:val="24"/>
          <w:highlight w:val="none"/>
        </w:rPr>
      </w:r>
      <w:r/>
    </w:p>
    <w:p>
      <w:pPr>
        <w:pStyle w:val="1118"/>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lang w:val="en-US" w:eastAsia="zh-CN"/>
        </w:rPr>
        <w:t xml:space="preserve">3</w:t>
      </w:r>
      <w:r>
        <w:rPr>
          <w:rFonts w:hint="eastAsia"/>
          <w:sz w:val="24"/>
          <w:highlight w:val="none"/>
        </w:rPr>
        <w:t xml:space="preserve">.</w:t>
      </w:r>
      <w:r>
        <w:rPr>
          <w:rFonts w:hint="eastAsia"/>
          <w:sz w:val="24"/>
          <w:highlight w:val="none"/>
          <w:lang w:val="en-US" w:eastAsia="zh-CN"/>
        </w:rPr>
        <w:t xml:space="preserve">4</w:t>
      </w:r>
      <w:r>
        <w:rPr>
          <w:rFonts w:hint="eastAsia"/>
          <w:sz w:val="24"/>
          <w:highlight w:val="none"/>
        </w:rPr>
        <w:t xml:space="preserve">.4 </w:t>
      </w:r>
      <w:r>
        <w:rPr>
          <w:rFonts w:hint="eastAsia"/>
          <w:sz w:val="24"/>
          <w:highlight w:val="none"/>
          <w:lang w:val="en-US" w:eastAsia="zh-CN"/>
        </w:rPr>
        <w:t xml:space="preserve">供应商</w:t>
      </w:r>
      <w:r>
        <w:rPr>
          <w:rFonts w:hint="eastAsia"/>
          <w:sz w:val="24"/>
          <w:highlight w:val="none"/>
        </w:rPr>
        <w:t xml:space="preserve">需在《声明函》中逐一、</w:t>
      </w:r>
      <w:r>
        <w:rPr>
          <w:sz w:val="24"/>
          <w:highlight w:val="none"/>
        </w:rPr>
        <w:t xml:space="preserve">准确</w:t>
      </w:r>
      <w:r>
        <w:rPr>
          <w:rFonts w:hint="eastAsia"/>
          <w:sz w:val="24"/>
          <w:highlight w:val="none"/>
        </w:rPr>
        <w:t xml:space="preserve">填写产品名称、厂名、生产厂址三项信息（《声明函》中用删除线划除的地方无需填写），三</w:t>
      </w:r>
      <w:r>
        <w:rPr>
          <w:sz w:val="24"/>
          <w:highlight w:val="none"/>
        </w:rPr>
        <w:t xml:space="preserve">项信息中</w:t>
      </w:r>
      <w:r>
        <w:rPr>
          <w:rFonts w:hint="eastAsia"/>
          <w:sz w:val="24"/>
          <w:highlight w:val="none"/>
        </w:rPr>
        <w:t xml:space="preserve">任意一项未填写的视为该项产品不符合本国产品标准，不享受本国产品价格评审优惠。</w:t>
      </w:r>
      <w:r>
        <w:rPr>
          <w:sz w:val="24"/>
          <w:highlight w:val="none"/>
        </w:rPr>
      </w:r>
      <w:r/>
    </w:p>
    <w:p>
      <w:pPr>
        <w:pStyle w:val="1118"/>
        <w:numPr>
          <w:ilvl w:val="2"/>
          <w:numId w:val="0"/>
        </w:numPr>
        <w:ind w:left="2035" w:hanging="900"/>
        <w:spacing w:line="360" w:lineRule="auto"/>
        <w:tabs>
          <w:tab w:val="left" w:pos="1080" w:leader="none"/>
          <w:tab w:val="left" w:pos="1589" w:leader="none"/>
          <w:tab w:val="left" w:pos="2035" w:leader="none"/>
        </w:tabs>
        <w:rPr>
          <w:sz w:val="24"/>
          <w:highlight w:val="none"/>
        </w:rPr>
      </w:pPr>
      <w:r>
        <w:rPr>
          <w:rFonts w:hint="eastAsia"/>
          <w:sz w:val="24"/>
          <w:highlight w:val="none"/>
          <w:lang w:val="en-US" w:eastAsia="zh-CN"/>
        </w:rPr>
        <w:t xml:space="preserve">3</w:t>
      </w:r>
      <w:r>
        <w:rPr>
          <w:rFonts w:hint="eastAsia"/>
          <w:sz w:val="24"/>
          <w:highlight w:val="none"/>
        </w:rPr>
        <w:t xml:space="preserve">.</w:t>
      </w:r>
      <w:r>
        <w:rPr>
          <w:rFonts w:hint="eastAsia"/>
          <w:sz w:val="24"/>
          <w:highlight w:val="none"/>
          <w:lang w:val="en-US" w:eastAsia="zh-CN"/>
        </w:rPr>
        <w:t xml:space="preserve">4</w:t>
      </w:r>
      <w:r>
        <w:rPr>
          <w:rFonts w:hint="eastAsia"/>
          <w:sz w:val="24"/>
          <w:highlight w:val="none"/>
        </w:rPr>
        <w:t xml:space="preserve">.5 评标过程中，如发现供应商在《声明函》内容</w:t>
      </w:r>
      <w:r>
        <w:rPr>
          <w:sz w:val="24"/>
          <w:highlight w:val="none"/>
        </w:rPr>
        <w:t xml:space="preserve">含义不明确、同类事项与投</w:t>
      </w:r>
      <w:r>
        <w:rPr>
          <w:rFonts w:hint="eastAsia"/>
          <w:sz w:val="24"/>
          <w:highlight w:val="none"/>
        </w:rPr>
        <w:t xml:space="preserve">标</w:t>
      </w:r>
      <w:r>
        <w:rPr>
          <w:sz w:val="24"/>
          <w:highlight w:val="none"/>
        </w:rPr>
        <w:t xml:space="preserve">（</w:t>
      </w:r>
      <w:r>
        <w:rPr>
          <w:rFonts w:hint="eastAsia"/>
          <w:sz w:val="24"/>
          <w:highlight w:val="none"/>
        </w:rPr>
        <w:t xml:space="preserve">响应</w:t>
      </w:r>
      <w:r>
        <w:rPr>
          <w:sz w:val="24"/>
          <w:highlight w:val="none"/>
        </w:rPr>
        <w:t xml:space="preserve">）</w:t>
      </w:r>
      <w:r>
        <w:rPr>
          <w:rFonts w:hint="eastAsia"/>
          <w:sz w:val="24"/>
          <w:highlight w:val="none"/>
        </w:rPr>
        <w:t xml:space="preserve">文件</w:t>
      </w:r>
      <w:r>
        <w:rPr>
          <w:sz w:val="24"/>
          <w:highlight w:val="none"/>
        </w:rPr>
        <w:t xml:space="preserve">表述不一致或者有</w:t>
      </w:r>
      <w:r>
        <w:rPr>
          <w:rFonts w:hint="eastAsia"/>
          <w:sz w:val="24"/>
          <w:highlight w:val="none"/>
        </w:rPr>
        <w:t xml:space="preserve">明显</w:t>
      </w:r>
      <w:r>
        <w:rPr>
          <w:sz w:val="24"/>
          <w:highlight w:val="none"/>
        </w:rPr>
        <w:t xml:space="preserve">文字错误等情况的</w:t>
      </w:r>
      <w:r>
        <w:rPr>
          <w:rFonts w:hint="eastAsia"/>
          <w:sz w:val="24"/>
          <w:highlight w:val="none"/>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sz w:val="24"/>
          <w:highlight w:val="none"/>
          <w:lang w:val="en-US" w:eastAsia="zh-CN"/>
        </w:rPr>
        <w:t xml:space="preserve">采购</w:t>
      </w:r>
      <w:r>
        <w:rPr>
          <w:rFonts w:hint="eastAsia"/>
          <w:sz w:val="24"/>
          <w:highlight w:val="none"/>
        </w:rPr>
        <w:t xml:space="preserve">文件规定的，供应商提供的相关产品视为不符合本国产品标准。</w:t>
      </w:r>
      <w:r>
        <w:rPr>
          <w:sz w:val="24"/>
          <w:highlight w:val="none"/>
        </w:rPr>
      </w:r>
      <w:r/>
    </w:p>
    <w:p>
      <w:pPr>
        <w:pStyle w:val="1118"/>
        <w:numPr>
          <w:ilvl w:val="2"/>
          <w:numId w:val="0"/>
        </w:numPr>
        <w:ind w:firstLine="480"/>
        <w:spacing w:line="360" w:lineRule="auto"/>
        <w:tabs>
          <w:tab w:val="left" w:pos="1080" w:leader="none"/>
          <w:tab w:val="left" w:pos="1589" w:leader="none"/>
          <w:tab w:val="left" w:pos="2035" w:leader="none"/>
        </w:tabs>
        <w:rPr>
          <w:sz w:val="24"/>
          <w:highlight w:val="none"/>
        </w:rPr>
      </w:pPr>
      <w:r>
        <w:rPr>
          <w:rFonts w:hint="eastAsia"/>
          <w:sz w:val="24"/>
          <w:highlight w:val="none"/>
          <w:lang w:val="en-US" w:eastAsia="zh-CN"/>
        </w:rPr>
        <w:t xml:space="preserve">3</w:t>
      </w:r>
      <w:r>
        <w:rPr>
          <w:rFonts w:hint="eastAsia"/>
          <w:sz w:val="24"/>
          <w:highlight w:val="none"/>
        </w:rPr>
        <w:t xml:space="preserve">.</w:t>
      </w:r>
      <w:r>
        <w:rPr>
          <w:rFonts w:hint="eastAsia"/>
          <w:sz w:val="24"/>
          <w:highlight w:val="none"/>
          <w:lang w:val="en-US" w:eastAsia="zh-CN"/>
        </w:rPr>
        <w:t xml:space="preserve">4</w:t>
      </w:r>
      <w:r>
        <w:rPr>
          <w:rFonts w:hint="eastAsia"/>
          <w:sz w:val="24"/>
          <w:highlight w:val="none"/>
        </w:rPr>
        <w:t xml:space="preserve">.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sz w:val="24"/>
          <w:highlight w:val="none"/>
        </w:rPr>
      </w:r>
      <w:r/>
    </w:p>
    <w:p>
      <w:pPr>
        <w:pStyle w:val="1118"/>
        <w:numPr>
          <w:ilvl w:val="2"/>
          <w:numId w:val="0"/>
        </w:numPr>
        <w:ind w:firstLine="480"/>
        <w:spacing w:line="360" w:lineRule="auto"/>
        <w:tabs>
          <w:tab w:val="left" w:pos="1080" w:leader="none"/>
          <w:tab w:val="left" w:pos="1589" w:leader="none"/>
          <w:tab w:val="left" w:pos="2035" w:leader="none"/>
        </w:tabs>
      </w:pPr>
      <w:r>
        <w:rPr>
          <w:rFonts w:hint="eastAsia"/>
          <w:sz w:val="24"/>
          <w:highlight w:val="none"/>
          <w:lang w:val="en-US" w:eastAsia="zh-CN"/>
        </w:rPr>
        <w:t xml:space="preserve">3</w:t>
      </w:r>
      <w:r>
        <w:rPr>
          <w:rFonts w:hint="eastAsia"/>
          <w:sz w:val="24"/>
          <w:highlight w:val="none"/>
        </w:rPr>
        <w:t xml:space="preserve">.</w:t>
      </w:r>
      <w:r>
        <w:rPr>
          <w:rFonts w:hint="eastAsia"/>
          <w:sz w:val="24"/>
          <w:highlight w:val="none"/>
          <w:lang w:val="en-US" w:eastAsia="zh-CN"/>
        </w:rPr>
        <w:t xml:space="preserve">4</w:t>
      </w:r>
      <w:r>
        <w:rPr>
          <w:rFonts w:hint="eastAsia"/>
          <w:sz w:val="24"/>
          <w:highlight w:val="none"/>
        </w:rPr>
        <w:t xml:space="preserve">.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118"/>
        <w:numPr>
          <w:ilvl w:val="0"/>
          <w:numId w:val="11"/>
        </w:numPr>
        <w:spacing w:line="360" w:lineRule="auto"/>
        <w:tabs>
          <w:tab w:val="left" w:pos="360" w:leader="none"/>
          <w:tab w:val="left" w:pos="900" w:leader="none"/>
        </w:tabs>
        <w:rPr>
          <w:sz w:val="24"/>
        </w:rPr>
        <w:outlineLvl w:val="1"/>
      </w:pPr>
      <w:r>
        <w:rPr>
          <w:sz w:val="24"/>
        </w:rPr>
        <w:t xml:space="preserve">磋商环节及提交最终报价后如出现以下情况的，供应商的</w:t>
      </w:r>
      <w:r>
        <w:rPr>
          <w:b/>
          <w:sz w:val="24"/>
        </w:rPr>
        <w:t xml:space="preserve">响应文件无效</w:t>
      </w:r>
      <w:r>
        <w:rPr>
          <w:sz w:val="24"/>
        </w:rPr>
        <w:t xml:space="preserve">：</w:t>
      </w:r>
      <w:r>
        <w:rPr>
          <w:sz w:val="24"/>
        </w:rPr>
      </w:r>
      <w:r/>
    </w:p>
    <w:p>
      <w:pPr>
        <w:pStyle w:val="1118"/>
        <w:numPr>
          <w:ilvl w:val="1"/>
          <w:numId w:val="11"/>
        </w:numPr>
        <w:ind w:left="1350" w:hanging="720"/>
        <w:spacing w:line="360" w:lineRule="auto"/>
        <w:tabs>
          <w:tab w:val="left" w:pos="1080" w:leader="none"/>
          <w:tab w:val="left" w:pos="1589" w:leader="none"/>
        </w:tabs>
        <w:rPr>
          <w:sz w:val="24"/>
        </w:rPr>
      </w:pPr>
      <w:r>
        <w:rPr>
          <w:sz w:val="24"/>
        </w:rPr>
        <w:t xml:space="preserve">供应商对实质性变动不予确认的；</w:t>
      </w:r>
      <w:r>
        <w:rPr>
          <w:sz w:val="24"/>
        </w:rPr>
      </w:r>
      <w:r/>
    </w:p>
    <w:p>
      <w:pPr>
        <w:pStyle w:val="1118"/>
        <w:numPr>
          <w:ilvl w:val="1"/>
          <w:numId w:val="11"/>
        </w:numPr>
        <w:ind w:left="1350" w:hanging="720"/>
        <w:spacing w:line="360" w:lineRule="auto"/>
        <w:tabs>
          <w:tab w:val="left" w:pos="1080" w:leader="none"/>
          <w:tab w:val="left" w:pos="1589" w:leader="none"/>
        </w:tabs>
        <w:rPr>
          <w:sz w:val="24"/>
        </w:rPr>
      </w:pPr>
      <w:r>
        <w:rPr>
          <w:sz w:val="24"/>
        </w:rPr>
        <w:t xml:space="preserve">不满足磋商文件</w:t>
      </w:r>
      <w:r>
        <w:rPr>
          <w:rFonts w:ascii="Segoe UI Symbol" w:hAnsi="Segoe UI Symbol" w:cs="Segoe UI Symbol"/>
          <w:sz w:val="24"/>
        </w:rPr>
        <w:t xml:space="preserve">★</w:t>
      </w:r>
      <w:r>
        <w:rPr>
          <w:sz w:val="24"/>
        </w:rPr>
        <w:t xml:space="preserve">号条款或磋商文件技术指标超出磋商文件</w:t>
      </w:r>
      <w:r>
        <w:rPr>
          <w:rFonts w:hint="eastAsia"/>
          <w:sz w:val="24"/>
        </w:rPr>
        <w:t xml:space="preserve">《</w:t>
      </w:r>
      <w:r>
        <w:rPr>
          <w:sz w:val="24"/>
        </w:rPr>
        <w:t xml:space="preserve">采购需求</w:t>
      </w:r>
      <w:r>
        <w:rPr>
          <w:rFonts w:hint="eastAsia"/>
          <w:sz w:val="24"/>
        </w:rPr>
        <w:t xml:space="preserve">》</w:t>
      </w:r>
      <w:r>
        <w:rPr>
          <w:sz w:val="24"/>
        </w:rPr>
        <w:t xml:space="preserve">中主要技术参数允许偏差的最大范围的（如有）；</w:t>
      </w:r>
      <w:r>
        <w:rPr>
          <w:sz w:val="24"/>
        </w:rPr>
      </w:r>
      <w:r/>
    </w:p>
    <w:p>
      <w:pPr>
        <w:pStyle w:val="1118"/>
        <w:numPr>
          <w:ilvl w:val="1"/>
          <w:numId w:val="11"/>
        </w:numPr>
        <w:ind w:left="1350" w:hanging="720"/>
        <w:spacing w:line="360" w:lineRule="auto"/>
        <w:tabs>
          <w:tab w:val="left" w:pos="1080" w:leader="none"/>
          <w:tab w:val="left" w:pos="1589" w:leader="none"/>
        </w:tabs>
        <w:rPr>
          <w:sz w:val="24"/>
        </w:rPr>
      </w:pPr>
      <w:r>
        <w:rPr>
          <w:sz w:val="24"/>
        </w:rPr>
        <w:t xml:space="preserve">未按照磋商小组规定的时间、逾期提交最终报价的；</w:t>
      </w:r>
      <w:r>
        <w:rPr>
          <w:sz w:val="24"/>
        </w:rPr>
      </w:r>
      <w:r/>
    </w:p>
    <w:p>
      <w:pPr>
        <w:pStyle w:val="1118"/>
        <w:numPr>
          <w:ilvl w:val="1"/>
          <w:numId w:val="11"/>
        </w:numPr>
        <w:ind w:left="1350" w:hanging="720"/>
        <w:spacing w:line="360" w:lineRule="auto"/>
        <w:tabs>
          <w:tab w:val="left" w:pos="1080" w:leader="none"/>
          <w:tab w:val="left" w:pos="1589" w:leader="none"/>
        </w:tabs>
        <w:rPr>
          <w:sz w:val="24"/>
        </w:rPr>
      </w:pPr>
      <w:r>
        <w:rPr>
          <w:sz w:val="24"/>
        </w:rPr>
        <w:t xml:space="preserve">如供应商的最终报价超过竞争性磋商文件中规定的项目/采购包预算金额或者项目/采购包最高限价的；</w:t>
      </w:r>
      <w:r>
        <w:rPr>
          <w:sz w:val="24"/>
        </w:rPr>
      </w:r>
      <w:r/>
    </w:p>
    <w:p>
      <w:pPr>
        <w:pStyle w:val="1118"/>
        <w:numPr>
          <w:ilvl w:val="1"/>
          <w:numId w:val="11"/>
        </w:numPr>
        <w:ind w:left="1350" w:hanging="720"/>
        <w:spacing w:line="360" w:lineRule="auto"/>
        <w:tabs>
          <w:tab w:val="left" w:pos="1080" w:leader="none"/>
          <w:tab w:val="left" w:pos="1589" w:leader="none"/>
        </w:tabs>
        <w:rPr>
          <w:sz w:val="24"/>
        </w:rPr>
      </w:pPr>
      <w:r>
        <w:rPr>
          <w:sz w:val="24"/>
        </w:rPr>
        <w:t xml:space="preserve">响应文件中出现可选择性或可调整的报价的（竞争性磋商文件另有规定的除外）；</w:t>
      </w:r>
      <w:r>
        <w:rPr>
          <w:sz w:val="24"/>
        </w:rPr>
      </w:r>
      <w:r/>
    </w:p>
    <w:p>
      <w:pPr>
        <w:pStyle w:val="1118"/>
        <w:numPr>
          <w:ilvl w:val="1"/>
          <w:numId w:val="11"/>
        </w:numPr>
        <w:ind w:left="1350" w:hanging="720"/>
        <w:spacing w:line="360" w:lineRule="auto"/>
        <w:tabs>
          <w:tab w:val="left" w:pos="1080" w:leader="none"/>
          <w:tab w:val="left" w:pos="1589" w:leader="none"/>
        </w:tabs>
        <w:rPr>
          <w:sz w:val="24"/>
        </w:rPr>
      </w:pPr>
      <w:r>
        <w:rPr>
          <w:sz w:val="24"/>
        </w:rPr>
        <w:t xml:space="preserve">最终报价出现前后不一致，供应商对修正后的报价不予确认的；</w:t>
      </w:r>
      <w:r>
        <w:rPr>
          <w:sz w:val="24"/>
        </w:rPr>
      </w:r>
      <w:r/>
    </w:p>
    <w:p>
      <w:pPr>
        <w:pStyle w:val="1118"/>
        <w:numPr>
          <w:ilvl w:val="1"/>
          <w:numId w:val="11"/>
        </w:numPr>
        <w:ind w:left="1350" w:hanging="720"/>
        <w:spacing w:line="360" w:lineRule="auto"/>
        <w:tabs>
          <w:tab w:val="left" w:pos="1080" w:leader="none"/>
          <w:tab w:val="left" w:pos="1589" w:leader="none"/>
        </w:tabs>
        <w:rPr>
          <w:sz w:val="24"/>
        </w:rPr>
      </w:pPr>
      <w:r>
        <w:rPr>
          <w:sz w:val="24"/>
        </w:rPr>
        <w:t xml:space="preserve">其他：______。</w:t>
      </w:r>
      <w:r>
        <w:rPr>
          <w:sz w:val="24"/>
        </w:rPr>
      </w:r>
      <w:r/>
    </w:p>
    <w:p>
      <w:pPr>
        <w:pStyle w:val="1118"/>
        <w:numPr>
          <w:ilvl w:val="0"/>
          <w:numId w:val="11"/>
        </w:numPr>
        <w:spacing w:line="360" w:lineRule="auto"/>
        <w:tabs>
          <w:tab w:val="left" w:pos="360" w:leader="none"/>
          <w:tab w:val="left" w:pos="900" w:leader="none"/>
        </w:tabs>
        <w:rPr>
          <w:sz w:val="24"/>
        </w:rPr>
        <w:outlineLvl w:val="1"/>
      </w:pPr>
      <w:r/>
      <w:bookmarkEnd w:id="615"/>
      <w:r/>
      <w:bookmarkEnd w:id="616"/>
      <w:r>
        <w:rPr>
          <w:sz w:val="24"/>
        </w:rPr>
        <w:t xml:space="preserve">评审方法和评审标准</w:t>
      </w:r>
      <w:r>
        <w:rPr>
          <w:sz w:val="24"/>
        </w:rPr>
      </w:r>
      <w:r/>
    </w:p>
    <w:p>
      <w:pPr>
        <w:pStyle w:val="1118"/>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sz w:val="24"/>
        </w:rPr>
      </w:r>
      <w:r/>
    </w:p>
    <w:p>
      <w:pPr>
        <w:pStyle w:val="1118"/>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竞争性磋商文件中没有规定的评审标准不得作为评审依据。</w:t>
      </w:r>
      <w:r>
        <w:rPr>
          <w:sz w:val="24"/>
        </w:rPr>
      </w:r>
      <w:r/>
    </w:p>
    <w:p>
      <w:pPr>
        <w:pStyle w:val="1118"/>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非政府强制采购的节能产品或环境标志产品，依据品目清单和认证证书实施政府优先采购。优先采购的具体规定（如涉及）______。</w:t>
      </w:r>
      <w:r>
        <w:rPr>
          <w:sz w:val="24"/>
        </w:rPr>
      </w:r>
      <w:r/>
    </w:p>
    <w:p>
      <w:pPr>
        <w:pStyle w:val="1118"/>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关于无线局域网认证产品政府采购清单中的产品，优先采购的具体规定（如涉及）______。</w:t>
      </w:r>
      <w:r>
        <w:rPr>
          <w:sz w:val="24"/>
        </w:rPr>
      </w:r>
      <w:r/>
    </w:p>
    <w:p>
      <w:pPr>
        <w:pStyle w:val="1118"/>
        <w:numPr>
          <w:ilvl w:val="0"/>
          <w:numId w:val="11"/>
        </w:numPr>
        <w:spacing w:line="360" w:lineRule="auto"/>
        <w:tabs>
          <w:tab w:val="left" w:pos="360" w:leader="none"/>
          <w:tab w:val="left" w:pos="900" w:leader="none"/>
        </w:tabs>
        <w:rPr>
          <w:sz w:val="24"/>
        </w:rPr>
        <w:outlineLvl w:val="1"/>
      </w:pPr>
      <w:r>
        <w:rPr>
          <w:sz w:val="24"/>
        </w:rPr>
        <w:t xml:space="preserve">确定</w:t>
      </w:r>
      <w:bookmarkStart w:id="631" w:name="_Toc142311048"/>
      <w:r/>
      <w:bookmarkStart w:id="632" w:name="_Toc150509297"/>
      <w:r/>
      <w:bookmarkStart w:id="633" w:name="_Toc150480784"/>
      <w:r/>
      <w:bookmarkStart w:id="634" w:name="_Toc164608815"/>
      <w:r/>
      <w:bookmarkStart w:id="635" w:name="_Toc151193788"/>
      <w:r/>
      <w:bookmarkStart w:id="636" w:name="_Toc305158888"/>
      <w:r/>
      <w:bookmarkStart w:id="637" w:name="_Toc164229387"/>
      <w:r/>
      <w:bookmarkStart w:id="638" w:name="_Toc151190173"/>
      <w:r/>
      <w:bookmarkStart w:id="639" w:name="_Toc151193644"/>
      <w:r/>
      <w:bookmarkStart w:id="640" w:name="_Toc149720839"/>
      <w:r/>
      <w:bookmarkStart w:id="641" w:name="_Toc226309790"/>
      <w:r/>
      <w:bookmarkStart w:id="642" w:name="_Toc127151747"/>
      <w:r/>
      <w:bookmarkStart w:id="643" w:name="_Toc164351640"/>
      <w:r/>
      <w:bookmarkStart w:id="644" w:name="_Toc164229241"/>
      <w:r/>
      <w:bookmarkStart w:id="645" w:name="_Toc226337242"/>
      <w:r/>
      <w:bookmarkStart w:id="646" w:name="_Toc264969236"/>
      <w:r/>
      <w:bookmarkStart w:id="647" w:name="_Toc305158814"/>
      <w:r/>
      <w:bookmarkStart w:id="648" w:name="_Toc151193716"/>
      <w:r/>
      <w:bookmarkStart w:id="649" w:name="_Toc151193860"/>
      <w:r/>
      <w:bookmarkStart w:id="650" w:name="_Toc127161460"/>
      <w:r/>
      <w:bookmarkStart w:id="651" w:name="_Toc164608660"/>
      <w:r/>
      <w:bookmarkStart w:id="652" w:name="_Toc150774751"/>
      <w:r/>
      <w:bookmarkStart w:id="653" w:name="_Ref467307010"/>
      <w:r/>
      <w:bookmarkStart w:id="654" w:name="_Toc195842911"/>
      <w:r/>
      <w:bookmarkStart w:id="655" w:name="_Toc226965819"/>
      <w:r/>
      <w:bookmarkStart w:id="656" w:name="_Toc127151546"/>
      <w:r/>
      <w:bookmarkStart w:id="657" w:name="_Toc151193934"/>
      <w:r/>
      <w:bookmarkStart w:id="658" w:name="_Toc520356170"/>
      <w:r/>
      <w:bookmarkStart w:id="659" w:name="_Toc150774646"/>
      <w:r/>
      <w:bookmarkStart w:id="660" w:name="_Toc265228384"/>
      <w:r/>
      <w:bookmarkStart w:id="661" w:name="_Toc226965736"/>
      <w:r>
        <w:rPr>
          <w:sz w:val="24"/>
        </w:rPr>
        <w:t xml:space="preserve">成交候选人名单</w:t>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rPr>
          <w:sz w:val="24"/>
        </w:rPr>
      </w:r>
      <w:r/>
    </w:p>
    <w:p>
      <w:pPr>
        <w:pStyle w:val="1118"/>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sz w:val="24"/>
        </w:rPr>
      </w:r>
      <w:r/>
    </w:p>
    <w:p>
      <w:pPr>
        <w:pStyle w:val="1118"/>
        <w:numPr>
          <w:ilvl w:val="1"/>
          <w:numId w:val="11"/>
        </w:numPr>
        <w:ind w:left="1350" w:hanging="720"/>
        <w:spacing w:line="360" w:lineRule="auto"/>
        <w:tabs>
          <w:tab w:val="left" w:pos="1080" w:leader="none"/>
          <w:tab w:val="left" w:pos="1589" w:leader="none"/>
          <w:tab w:val="left" w:pos="1872" w:leader="none"/>
        </w:tabs>
        <w:rPr>
          <w:sz w:val="24"/>
        </w:rPr>
      </w:pPr>
      <w:r>
        <w:rPr>
          <w:sz w:val="24"/>
          <w:szCs w:val="20"/>
        </w:rPr>
        <w:t xml:space="preserve">磋商小组根据上述供应商排序，依次推荐排序前</w:t>
      </w:r>
      <w:r>
        <w:rPr>
          <w:rFonts w:hint="eastAsia"/>
          <w:sz w:val="24"/>
        </w:rPr>
        <w:t xml:space="preserve">3</w:t>
      </w:r>
      <w:r>
        <w:rPr>
          <w:sz w:val="24"/>
        </w:rPr>
        <w:t xml:space="preserve">名</w:t>
      </w:r>
      <w:r>
        <w:rPr>
          <w:sz w:val="24"/>
          <w:szCs w:val="20"/>
        </w:rPr>
        <w:t xml:space="preserve">的供应商为</w:t>
      </w:r>
      <w:r>
        <w:rPr>
          <w:sz w:val="24"/>
          <w:szCs w:val="21"/>
        </w:rPr>
        <w:t xml:space="preserve">成交候选供应商</w:t>
      </w:r>
      <w:r>
        <w:rPr>
          <w:sz w:val="24"/>
          <w:szCs w:val="20"/>
        </w:rPr>
        <w:t xml:space="preserve">（若在磋商文件允许的情形下提交最终报价的供应商为二家，则依次推荐二名供应商为成交候选供应商），并编写评审报告。</w:t>
      </w:r>
      <w:r>
        <w:rPr>
          <w:sz w:val="24"/>
        </w:rPr>
      </w:r>
      <w:r/>
    </w:p>
    <w:p>
      <w:pPr>
        <w:pStyle w:val="1118"/>
        <w:numPr>
          <w:ilvl w:val="1"/>
          <w:numId w:val="11"/>
        </w:numPr>
        <w:ind w:left="1350" w:hanging="720"/>
        <w:spacing w:line="360" w:lineRule="auto"/>
        <w:tabs>
          <w:tab w:val="left" w:pos="1080" w:leader="none"/>
          <w:tab w:val="left" w:pos="1589" w:leader="none"/>
          <w:tab w:val="left" w:pos="1872" w:leader="none"/>
        </w:tabs>
        <w:rPr>
          <w:sz w:val="24"/>
        </w:rPr>
      </w:pPr>
      <w:r>
        <w:rPr>
          <w:sz w:val="24"/>
        </w:rPr>
        <w:t xml:space="preserve">磋商小组要对评分汇总情况进行复核，特别是对排名第一的、报价最低的、响应文件被认定为无效的情形进行重点复核。</w:t>
      </w:r>
      <w:r>
        <w:rPr>
          <w:sz w:val="24"/>
        </w:rPr>
      </w:r>
      <w:r/>
    </w:p>
    <w:p>
      <w:pPr>
        <w:pStyle w:val="1118"/>
        <w:numPr>
          <w:ilvl w:val="0"/>
          <w:numId w:val="11"/>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1120"/>
        <w:numPr>
          <w:ilvl w:val="0"/>
          <w:numId w:val="0"/>
        </w:numPr>
        <w:ind w:left="210"/>
        <w:jc w:val="center"/>
        <w:spacing w:before="0" w:line="360" w:lineRule="auto"/>
        <w:rPr>
          <w:rFonts w:ascii="Times New Roman" w:hAnsi="Times New Roman" w:eastAsia="宋体"/>
          <w:sz w:val="24"/>
          <w:szCs w:val="24"/>
        </w:rPr>
      </w:pPr>
      <w:r>
        <w:rPr>
          <w:rFonts w:ascii="Times New Roman" w:hAnsi="Times New Roman" w:eastAsia="宋体" w:cs="Times New Roman"/>
          <w:b w:val="0"/>
          <w:sz w:val="24"/>
          <w:szCs w:val="24"/>
          <w:lang w:val="en-US" w:eastAsia="zh-CN" w:bidi="ar-SA"/>
        </w:rPr>
        <w:t xml:space="preserve">磋商小组在评审过程中发现供应商有行贿、提供虚假材料或者串通等违法行为时，有向采购人、采购代理机构或者有关部门报告的职责。</w:t>
      </w:r>
      <w:r>
        <w:rPr>
          <w:b w:val="0"/>
          <w:sz w:val="24"/>
        </w:rPr>
        <w:br w:type="page" w:clear="all"/>
      </w:r>
      <w:r>
        <w:rPr>
          <w:rFonts w:ascii="Times New Roman" w:hAnsi="Times New Roman" w:eastAsia="宋体"/>
          <w:sz w:val="24"/>
          <w:szCs w:val="24"/>
        </w:rPr>
      </w:r>
      <w:r/>
    </w:p>
    <w:p>
      <w:pPr>
        <w:pStyle w:val="1118"/>
        <w:numPr>
          <w:ilvl w:val="0"/>
          <w:numId w:val="0"/>
        </w:numPr>
        <w:ind w:left="630"/>
        <w:jc w:val="left"/>
        <w:spacing w:line="360" w:lineRule="auto"/>
        <w:widowControl/>
        <w:tabs>
          <w:tab w:val="left" w:pos="1080" w:leader="none"/>
          <w:tab w:val="left" w:pos="1872" w:leader="none"/>
        </w:tabs>
        <w:rPr>
          <w:b/>
          <w:sz w:val="24"/>
        </w:rPr>
      </w:pPr>
      <w:r>
        <w:rPr>
          <w:b/>
          <w:sz w:val="24"/>
        </w:rPr>
      </w:r>
      <w:r/>
    </w:p>
    <w:p>
      <w:pPr>
        <w:pStyle w:val="1120"/>
        <w:numPr>
          <w:ilvl w:val="0"/>
          <w:numId w:val="0"/>
        </w:numPr>
        <w:spacing w:before="0" w:line="360" w:lineRule="auto"/>
        <w:rPr>
          <w:rFonts w:ascii="Times New Roman" w:hAnsi="Times New Roman" w:eastAsia="宋体"/>
          <w:sz w:val="24"/>
          <w:szCs w:val="24"/>
        </w:rPr>
      </w:pPr>
      <w:r/>
      <w:bookmarkEnd w:id="614"/>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Start w:id="662" w:name="_Toc104818929"/>
      <w:r/>
      <w:bookmarkStart w:id="663" w:name="_Toc12649"/>
      <w:r>
        <w:rPr>
          <w:rFonts w:hint="eastAsia" w:ascii="Times New Roman" w:hAnsi="Times New Roman" w:eastAsia="宋体"/>
          <w:sz w:val="24"/>
          <w:szCs w:val="24"/>
          <w:lang w:val="en-US" w:eastAsia="zh-CN"/>
        </w:rPr>
        <w:t xml:space="preserve">二、</w:t>
      </w:r>
      <w:r>
        <w:rPr>
          <w:rFonts w:ascii="Times New Roman" w:hAnsi="Times New Roman" w:eastAsia="宋体"/>
          <w:sz w:val="24"/>
          <w:szCs w:val="24"/>
        </w:rPr>
        <w:t xml:space="preserve">评</w:t>
      </w:r>
      <w:r>
        <w:rPr>
          <w:rFonts w:hint="eastAsia" w:ascii="Times New Roman" w:hAnsi="Times New Roman" w:eastAsia="宋体"/>
          <w:sz w:val="24"/>
          <w:szCs w:val="24"/>
        </w:rPr>
        <w:t xml:space="preserve">审</w:t>
      </w:r>
      <w:r>
        <w:rPr>
          <w:rFonts w:ascii="Times New Roman" w:hAnsi="Times New Roman" w:eastAsia="宋体"/>
          <w:sz w:val="24"/>
          <w:szCs w:val="24"/>
        </w:rPr>
        <w:t xml:space="preserve">标准</w:t>
      </w:r>
      <w:r>
        <w:rPr>
          <w:rFonts w:ascii="Times New Roman" w:hAnsi="Times New Roman" w:eastAsia="宋体"/>
          <w:sz w:val="24"/>
          <w:szCs w:val="24"/>
        </w:rPr>
      </w:r>
      <w:r/>
    </w:p>
    <w:tbl>
      <w:tblPr>
        <w:tblW w:w="4996"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0"/>
        <w:gridCol w:w="1606"/>
        <w:gridCol w:w="802"/>
        <w:gridCol w:w="4571"/>
        <w:gridCol w:w="1692"/>
      </w:tblGrid>
      <w:tr>
        <w:trPr/>
        <w:tc>
          <w:tcPr>
            <w:tcW w:w="610" w:type="dxa"/>
            <w:vAlign w:val="center"/>
            <w:textDirection w:val="lrTb"/>
            <w:noWrap w:val="false"/>
          </w:tcPr>
          <w:p>
            <w:pPr>
              <w:pStyle w:val="1118"/>
              <w:ind w:firstLine="28"/>
              <w:jc w:val="center"/>
              <w:spacing w:line="400" w:lineRule="exact"/>
              <w:rPr>
                <w:rFonts w:hint="eastAsia" w:ascii="宋体" w:hAnsi="宋体" w:cs="宋体"/>
                <w:b/>
                <w:sz w:val="24"/>
              </w:rPr>
            </w:pPr>
            <w:r>
              <w:rPr>
                <w:rFonts w:hint="eastAsia" w:ascii="宋体" w:hAnsi="宋体" w:cs="宋体"/>
                <w:b/>
                <w:sz w:val="24"/>
              </w:rPr>
              <w:t xml:space="preserve">序号</w:t>
            </w:r>
            <w:r>
              <w:rPr>
                <w:rFonts w:hint="eastAsia" w:ascii="宋体" w:hAnsi="宋体" w:cs="宋体"/>
                <w:b/>
                <w:sz w:val="24"/>
              </w:rPr>
            </w:r>
            <w:r/>
          </w:p>
        </w:tc>
        <w:tc>
          <w:tcPr>
            <w:tcW w:w="1606" w:type="dxa"/>
            <w:vAlign w:val="center"/>
            <w:textDirection w:val="lrTb"/>
            <w:noWrap w:val="false"/>
          </w:tcPr>
          <w:p>
            <w:pPr>
              <w:pStyle w:val="1118"/>
              <w:ind w:firstLine="28"/>
              <w:jc w:val="center"/>
              <w:spacing w:line="400" w:lineRule="exact"/>
              <w:rPr>
                <w:rFonts w:hint="eastAsia" w:ascii="宋体" w:hAnsi="宋体" w:cs="宋体"/>
                <w:b/>
                <w:sz w:val="24"/>
              </w:rPr>
            </w:pPr>
            <w:r>
              <w:rPr>
                <w:rFonts w:hint="eastAsia" w:ascii="宋体" w:hAnsi="宋体" w:cs="宋体"/>
                <w:b/>
                <w:sz w:val="24"/>
              </w:rPr>
              <w:t xml:space="preserve">评分因素</w:t>
            </w:r>
            <w:r>
              <w:rPr>
                <w:rFonts w:hint="eastAsia" w:ascii="宋体" w:hAnsi="宋体" w:cs="宋体"/>
                <w:b/>
                <w:sz w:val="24"/>
              </w:rPr>
            </w:r>
            <w:r/>
          </w:p>
        </w:tc>
        <w:tc>
          <w:tcPr>
            <w:tcW w:w="802" w:type="dxa"/>
            <w:vAlign w:val="center"/>
            <w:textDirection w:val="lrTb"/>
            <w:noWrap w:val="false"/>
          </w:tcPr>
          <w:p>
            <w:pPr>
              <w:pStyle w:val="1118"/>
              <w:ind w:firstLine="28"/>
              <w:jc w:val="center"/>
              <w:spacing w:line="400" w:lineRule="exact"/>
              <w:rPr>
                <w:rFonts w:hint="eastAsia" w:ascii="宋体" w:hAnsi="宋体" w:cs="宋体"/>
                <w:b/>
                <w:sz w:val="24"/>
              </w:rPr>
            </w:pPr>
            <w:r>
              <w:rPr>
                <w:rFonts w:hint="eastAsia" w:ascii="宋体" w:hAnsi="宋体" w:cs="宋体"/>
                <w:b/>
                <w:sz w:val="24"/>
              </w:rPr>
              <w:t xml:space="preserve">分值</w:t>
            </w:r>
            <w:r>
              <w:rPr>
                <w:rFonts w:hint="eastAsia" w:ascii="宋体" w:hAnsi="宋体" w:cs="宋体"/>
                <w:b/>
                <w:sz w:val="24"/>
              </w:rPr>
            </w:r>
            <w:r/>
          </w:p>
        </w:tc>
        <w:tc>
          <w:tcPr>
            <w:tcW w:w="4571" w:type="dxa"/>
            <w:vAlign w:val="center"/>
            <w:textDirection w:val="lrTb"/>
            <w:noWrap w:val="false"/>
          </w:tcPr>
          <w:p>
            <w:pPr>
              <w:pStyle w:val="1118"/>
              <w:ind w:firstLine="28"/>
              <w:jc w:val="center"/>
              <w:spacing w:line="400" w:lineRule="exact"/>
              <w:rPr>
                <w:rFonts w:hint="eastAsia" w:ascii="宋体" w:hAnsi="宋体" w:cs="宋体"/>
                <w:b/>
                <w:sz w:val="24"/>
              </w:rPr>
            </w:pPr>
            <w:r>
              <w:rPr>
                <w:rFonts w:hint="eastAsia" w:ascii="宋体" w:hAnsi="宋体" w:cs="宋体"/>
                <w:b/>
                <w:sz w:val="24"/>
              </w:rPr>
              <w:t xml:space="preserve">评分标准</w:t>
            </w:r>
            <w:r>
              <w:rPr>
                <w:rFonts w:hint="eastAsia" w:ascii="宋体" w:hAnsi="宋体" w:cs="宋体"/>
                <w:b/>
                <w:sz w:val="24"/>
              </w:rPr>
            </w:r>
            <w:r/>
          </w:p>
        </w:tc>
        <w:tc>
          <w:tcPr>
            <w:tcW w:w="1692" w:type="dxa"/>
            <w:vAlign w:val="center"/>
            <w:textDirection w:val="lrTb"/>
            <w:noWrap w:val="false"/>
          </w:tcPr>
          <w:p>
            <w:pPr>
              <w:pStyle w:val="1367"/>
              <w:spacing w:before="0" w:after="0" w:line="400" w:lineRule="exact"/>
              <w:rPr>
                <w:rFonts w:hint="eastAsia" w:ascii="宋体" w:hAnsi="宋体" w:eastAsia="宋体" w:cs="宋体"/>
                <w:szCs w:val="24"/>
              </w:rPr>
            </w:pPr>
            <w:r>
              <w:rPr>
                <w:rFonts w:hint="eastAsia" w:ascii="宋体" w:hAnsi="宋体" w:eastAsia="宋体" w:cs="宋体"/>
                <w:szCs w:val="24"/>
              </w:rPr>
              <w:t xml:space="preserve">说明</w:t>
            </w:r>
            <w:r>
              <w:rPr>
                <w:rFonts w:hint="eastAsia" w:ascii="宋体" w:hAnsi="宋体" w:eastAsia="宋体" w:cs="宋体"/>
                <w:szCs w:val="24"/>
              </w:rPr>
            </w:r>
            <w:r/>
          </w:p>
        </w:tc>
      </w:tr>
      <w:tr>
        <w:trPr>
          <w:trHeight w:val="631"/>
        </w:trPr>
        <w:tc>
          <w:tcPr>
            <w:tcW w:w="610" w:type="dxa"/>
            <w:vAlign w:val="center"/>
            <w:textDirection w:val="lrTb"/>
            <w:noWrap w:val="false"/>
          </w:tcPr>
          <w:p>
            <w:pPr>
              <w:pStyle w:val="1118"/>
              <w:ind w:firstLine="28"/>
              <w:jc w:val="center"/>
              <w:spacing w:line="400" w:lineRule="exact"/>
              <w:rPr>
                <w:rFonts w:hint="eastAsia" w:ascii="宋体" w:hAnsi="宋体" w:cs="宋体"/>
                <w:b/>
                <w:sz w:val="24"/>
              </w:rPr>
            </w:pPr>
            <w:r>
              <w:rPr>
                <w:rFonts w:hint="eastAsia" w:ascii="宋体" w:hAnsi="宋体" w:cs="宋体"/>
                <w:bCs/>
                <w:sz w:val="24"/>
              </w:rPr>
              <w:t xml:space="preserve">1</w:t>
            </w:r>
            <w:r>
              <w:rPr>
                <w:rFonts w:hint="eastAsia" w:ascii="宋体" w:hAnsi="宋体" w:cs="宋体"/>
                <w:b/>
                <w:sz w:val="24"/>
              </w:rPr>
            </w:r>
            <w:r/>
          </w:p>
        </w:tc>
        <w:tc>
          <w:tcPr>
            <w:tcW w:w="1606" w:type="dxa"/>
            <w:vAlign w:val="center"/>
            <w:textDirection w:val="lrTb"/>
            <w:noWrap w:val="false"/>
          </w:tcPr>
          <w:p>
            <w:pPr>
              <w:pStyle w:val="1118"/>
              <w:ind w:firstLine="28"/>
              <w:jc w:val="center"/>
              <w:spacing w:line="400" w:lineRule="exact"/>
              <w:rPr>
                <w:rFonts w:hint="eastAsia" w:ascii="宋体" w:hAnsi="宋体" w:cs="宋体"/>
                <w:sz w:val="24"/>
              </w:rPr>
            </w:pPr>
            <w:r>
              <w:rPr>
                <w:rFonts w:hint="eastAsia" w:ascii="宋体" w:hAnsi="宋体" w:cs="宋体"/>
                <w:sz w:val="24"/>
              </w:rPr>
              <w:t xml:space="preserve">价格分</w:t>
            </w:r>
            <w:r>
              <w:rPr>
                <w:rFonts w:hint="eastAsia" w:ascii="宋体" w:hAnsi="宋体" w:cs="宋体"/>
                <w:sz w:val="24"/>
              </w:rPr>
            </w:r>
            <w:r/>
          </w:p>
        </w:tc>
        <w:tc>
          <w:tcPr>
            <w:tcW w:w="802" w:type="dxa"/>
            <w:vAlign w:val="center"/>
            <w:textDirection w:val="lrTb"/>
            <w:noWrap w:val="false"/>
          </w:tcPr>
          <w:p>
            <w:pPr>
              <w:pStyle w:val="1118"/>
              <w:ind w:firstLine="28"/>
              <w:jc w:val="center"/>
              <w:spacing w:line="400" w:lineRule="exact"/>
              <w:rPr>
                <w:rFonts w:ascii="宋体" w:hAnsi="宋体" w:eastAsia="宋体" w:cs="宋体"/>
                <w:sz w:val="24"/>
                <w:lang w:val="en-US" w:eastAsia="zh-CN"/>
              </w:rPr>
            </w:pPr>
            <w:r>
              <w:rPr>
                <w:rFonts w:hint="eastAsia" w:ascii="宋体" w:hAnsi="宋体" w:cs="宋体"/>
                <w:sz w:val="24"/>
                <w:lang w:val="en-US" w:eastAsia="zh-CN"/>
              </w:rPr>
              <w:t xml:space="preserve">30</w:t>
            </w:r>
            <w:r>
              <w:rPr>
                <w:rFonts w:ascii="宋体" w:hAnsi="宋体" w:eastAsia="宋体" w:cs="宋体"/>
                <w:sz w:val="24"/>
                <w:lang w:val="en-US" w:eastAsia="zh-CN"/>
              </w:rPr>
            </w:r>
            <w:r/>
          </w:p>
        </w:tc>
        <w:tc>
          <w:tcPr>
            <w:tcW w:w="4571" w:type="dxa"/>
            <w:vAlign w:val="center"/>
            <w:textDirection w:val="lrTb"/>
            <w:noWrap w:val="false"/>
          </w:tcPr>
          <w:p>
            <w:pPr>
              <w:pStyle w:val="1118"/>
              <w:spacing w:line="400" w:lineRule="exact"/>
              <w:rPr>
                <w:rFonts w:hint="eastAsia" w:ascii="宋体" w:hAnsi="宋体" w:cs="宋体"/>
                <w:sz w:val="24"/>
              </w:rPr>
            </w:pPr>
            <w:r>
              <w:rPr>
                <w:rFonts w:hint="eastAsia" w:ascii="宋体" w:hAnsi="宋体" w:cs="宋体"/>
                <w:sz w:val="24"/>
              </w:rPr>
              <w:t xml:space="preserve">满足磋商文件要求且最终报价最低的报价为评标基准价，其价格分为满分。其他供应商的价格分统一按照下列公式计算：</w:t>
            </w:r>
            <w:r>
              <w:rPr>
                <w:rFonts w:hint="eastAsia" w:ascii="宋体" w:hAnsi="宋体" w:cs="宋体"/>
                <w:sz w:val="24"/>
              </w:rPr>
            </w:r>
            <w:r/>
          </w:p>
          <w:p>
            <w:pPr>
              <w:pStyle w:val="1118"/>
              <w:spacing w:line="400" w:lineRule="exact"/>
              <w:rPr>
                <w:rFonts w:hint="eastAsia" w:ascii="宋体" w:hAnsi="宋体" w:cs="宋体"/>
                <w:sz w:val="24"/>
              </w:rPr>
            </w:pPr>
            <w:r>
              <w:rPr>
                <w:rFonts w:hint="eastAsia" w:ascii="宋体" w:hAnsi="宋体" w:cs="宋体"/>
                <w:sz w:val="24"/>
              </w:rPr>
              <w:t xml:space="preserve">价格分得分＝（评标基准价/最终报价）×分值。</w:t>
            </w:r>
            <w:r>
              <w:rPr>
                <w:rFonts w:hint="eastAsia" w:ascii="宋体" w:hAnsi="宋体" w:cs="宋体"/>
                <w:sz w:val="24"/>
              </w:rPr>
            </w:r>
            <w:r/>
          </w:p>
        </w:tc>
        <w:tc>
          <w:tcPr>
            <w:tcW w:w="1692" w:type="dxa"/>
            <w:vAlign w:val="center"/>
            <w:textDirection w:val="lrTb"/>
            <w:noWrap w:val="false"/>
          </w:tcPr>
          <w:p>
            <w:pPr>
              <w:pStyle w:val="1118"/>
              <w:spacing w:line="400" w:lineRule="exact"/>
              <w:rPr>
                <w:rFonts w:hint="eastAsia" w:ascii="宋体" w:hAnsi="宋体" w:cs="宋体"/>
                <w:sz w:val="24"/>
              </w:rPr>
            </w:pPr>
            <w:r>
              <w:rPr>
                <w:rFonts w:hint="eastAsia" w:ascii="宋体" w:hAnsi="宋体" w:cs="宋体"/>
                <w:sz w:val="24"/>
              </w:rPr>
              <w:t xml:space="preserve">此处最终报价指经过报价修正，及因落实政府采购政策进行价格调整后的最终报价，详见第三章《评标方法和评标标准》</w:t>
            </w:r>
            <w:r>
              <w:rPr>
                <w:rFonts w:hint="eastAsia" w:ascii="宋体" w:hAnsi="宋体" w:cs="宋体"/>
                <w:sz w:val="24"/>
              </w:rPr>
            </w:r>
            <w:r/>
          </w:p>
        </w:tc>
      </w:tr>
      <w:tr>
        <w:trPr>
          <w:trHeight w:val="90"/>
        </w:trPr>
        <w:tc>
          <w:tcPr>
            <w:tcW w:w="610" w:type="dxa"/>
            <w:vAlign w:val="center"/>
            <w:textDirection w:val="lrTb"/>
            <w:noWrap w:val="false"/>
          </w:tcPr>
          <w:p>
            <w:pPr>
              <w:pStyle w:val="1118"/>
              <w:ind w:firstLine="28"/>
              <w:jc w:val="center"/>
              <w:spacing w:line="400" w:lineRule="exac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W w:w="1606" w:type="dxa"/>
            <w:vAlign w:val="center"/>
            <w:textDirection w:val="lrTb"/>
            <w:noWrap w:val="false"/>
          </w:tcPr>
          <w:p>
            <w:pPr>
              <w:pStyle w:val="1118"/>
              <w:ind w:firstLine="28"/>
              <w:jc w:val="center"/>
              <w:spacing w:line="40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客观分</w:t>
            </w:r>
            <w:r>
              <w:rPr>
                <w:rFonts w:hint="eastAsia" w:ascii="宋体" w:hAnsi="宋体" w:eastAsia="宋体" w:cs="宋体"/>
                <w:sz w:val="24"/>
                <w:szCs w:val="24"/>
                <w:lang w:eastAsia="zh-CN"/>
              </w:rPr>
            </w:r>
            <w:r/>
          </w:p>
        </w:tc>
        <w:tc>
          <w:tcPr>
            <w:tcW w:w="802" w:type="dxa"/>
            <w:vAlign w:val="center"/>
            <w:textDirection w:val="lrTb"/>
            <w:noWrap w:val="false"/>
          </w:tcPr>
          <w:p>
            <w:pPr>
              <w:pStyle w:val="1118"/>
              <w:ind w:firstLine="28"/>
              <w:jc w:val="center"/>
              <w:spacing w:line="400" w:lineRule="exact"/>
              <w:rPr>
                <w:rFonts w:ascii="宋体" w:hAnsi="宋体" w:eastAsia="宋体" w:cs="宋体"/>
                <w:sz w:val="24"/>
                <w:szCs w:val="24"/>
                <w:lang w:val="en-US" w:eastAsia="zh-CN"/>
              </w:rPr>
            </w:pPr>
            <w:r>
              <w:rPr>
                <w:rFonts w:hint="eastAsia" w:ascii="宋体" w:hAnsi="宋体" w:cs="宋体"/>
                <w:bCs/>
                <w:sz w:val="24"/>
                <w:szCs w:val="24"/>
                <w:lang w:val="en-US" w:eastAsia="zh-CN"/>
              </w:rPr>
              <w:t xml:space="preserve">25</w:t>
            </w:r>
            <w:r>
              <w:rPr>
                <w:rFonts w:ascii="宋体" w:hAnsi="宋体" w:eastAsia="宋体" w:cs="宋体"/>
                <w:sz w:val="24"/>
                <w:szCs w:val="24"/>
                <w:lang w:val="en-US" w:eastAsia="zh-CN"/>
              </w:rPr>
            </w:r>
            <w:r/>
          </w:p>
        </w:tc>
        <w:tc>
          <w:tcPr>
            <w:tcW w:w="4571" w:type="dxa"/>
            <w:vAlign w:val="center"/>
            <w:textDirection w:val="lrTb"/>
            <w:noWrap w:val="false"/>
          </w:tcPr>
          <w:p>
            <w:pPr>
              <w:pStyle w:val="1118"/>
              <w:spacing w:line="400" w:lineRule="exact"/>
              <w:rPr>
                <w:rFonts w:hint="eastAsia" w:ascii="宋体" w:hAnsi="宋体" w:cs="宋体"/>
                <w:sz w:val="24"/>
                <w:szCs w:val="24"/>
              </w:rPr>
            </w:pPr>
            <w:r>
              <w:rPr>
                <w:rFonts w:hint="eastAsia" w:ascii="宋体" w:hAnsi="宋体" w:cs="宋体"/>
                <w:sz w:val="24"/>
                <w:szCs w:val="24"/>
              </w:rPr>
            </w:r>
            <w:r/>
          </w:p>
        </w:tc>
        <w:tc>
          <w:tcPr>
            <w:tcW w:w="1692" w:type="dxa"/>
            <w:vAlign w:val="center"/>
            <w:textDirection w:val="lrTb"/>
            <w:noWrap w:val="false"/>
          </w:tcPr>
          <w:p>
            <w:pPr>
              <w:pStyle w:val="1118"/>
              <w:spacing w:line="400" w:lineRule="exact"/>
              <w:rPr>
                <w:rFonts w:hint="eastAsia" w:ascii="宋体" w:hAnsi="宋体" w:cs="宋体"/>
                <w:sz w:val="24"/>
              </w:rPr>
            </w:pPr>
            <w:r>
              <w:rPr>
                <w:rFonts w:hint="eastAsia" w:ascii="宋体" w:hAnsi="宋体" w:cs="宋体"/>
                <w:sz w:val="24"/>
              </w:rPr>
            </w:r>
            <w:r/>
          </w:p>
        </w:tc>
      </w:tr>
      <w:tr>
        <w:trPr/>
        <w:tc>
          <w:tcPr>
            <w:tcW w:w="610" w:type="dxa"/>
            <w:vAlign w:val="center"/>
            <w:textDirection w:val="lrTb"/>
            <w:noWrap w:val="false"/>
          </w:tcPr>
          <w:p>
            <w:pPr>
              <w:pStyle w:val="1118"/>
              <w:ind w:firstLine="28"/>
              <w:jc w:val="center"/>
              <w:spacing w:line="400" w:lineRule="exact"/>
              <w:rPr>
                <w:rFonts w:hint="eastAsia"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rPr>
            </w:r>
            <w:r/>
          </w:p>
        </w:tc>
        <w:tc>
          <w:tcPr>
            <w:tcW w:w="1606" w:type="dxa"/>
            <w:vAlign w:val="center"/>
            <w:textDirection w:val="lrTb"/>
            <w:noWrap w:val="false"/>
          </w:tcPr>
          <w:p>
            <w:pPr>
              <w:pStyle w:val="1118"/>
              <w:jc w:val="center"/>
              <w:spacing w:line="400" w:lineRule="exact"/>
              <w:rPr>
                <w:rFonts w:ascii="宋体" w:hAnsi="宋体" w:eastAsia="宋体" w:cs="宋体"/>
                <w:bCs/>
                <w:sz w:val="24"/>
                <w:szCs w:val="24"/>
                <w:lang w:val="en-US" w:eastAsia="zh-CN"/>
              </w:rPr>
            </w:pPr>
            <w:r>
              <w:rPr>
                <w:rFonts w:hint="eastAsia" w:ascii="宋体" w:hAnsi="宋体" w:cs="宋体"/>
                <w:bCs/>
                <w:sz w:val="24"/>
                <w:szCs w:val="24"/>
                <w:lang w:val="en-US" w:eastAsia="zh-CN"/>
              </w:rPr>
              <w:t xml:space="preserve">参数响应</w:t>
            </w:r>
            <w:r>
              <w:rPr>
                <w:rFonts w:ascii="宋体" w:hAnsi="宋体" w:eastAsia="宋体" w:cs="宋体"/>
                <w:bCs/>
                <w:sz w:val="24"/>
                <w:szCs w:val="24"/>
                <w:lang w:val="en-US" w:eastAsia="zh-CN"/>
              </w:rPr>
            </w:r>
            <w:r/>
          </w:p>
        </w:tc>
        <w:tc>
          <w:tcPr>
            <w:tcW w:w="802" w:type="dxa"/>
            <w:vAlign w:val="center"/>
            <w:textDirection w:val="lrTb"/>
            <w:noWrap w:val="false"/>
          </w:tcPr>
          <w:p>
            <w:pPr>
              <w:pStyle w:val="1118"/>
              <w:jc w:val="center"/>
              <w:spacing w:line="400" w:lineRule="exact"/>
              <w:rPr>
                <w:rFonts w:ascii="宋体" w:hAnsi="宋体" w:eastAsia="宋体" w:cs="宋体"/>
                <w:bCs/>
                <w:sz w:val="24"/>
                <w:szCs w:val="24"/>
                <w:lang w:val="en-US" w:eastAsia="zh-CN"/>
              </w:rPr>
            </w:pPr>
            <w:r>
              <w:rPr>
                <w:rFonts w:hint="eastAsia" w:ascii="宋体" w:hAnsi="宋体" w:cs="宋体"/>
                <w:bCs/>
                <w:sz w:val="24"/>
                <w:szCs w:val="24"/>
                <w:lang w:val="en-US" w:eastAsia="zh-CN"/>
              </w:rPr>
              <w:t xml:space="preserve">15</w:t>
            </w:r>
            <w:r>
              <w:rPr>
                <w:rFonts w:ascii="宋体" w:hAnsi="宋体" w:eastAsia="宋体" w:cs="宋体"/>
                <w:bCs/>
                <w:sz w:val="24"/>
                <w:szCs w:val="24"/>
                <w:lang w:val="en-US" w:eastAsia="zh-CN"/>
              </w:rPr>
            </w:r>
            <w:r/>
          </w:p>
        </w:tc>
        <w:tc>
          <w:tcPr>
            <w:tcW w:w="4571" w:type="dxa"/>
            <w:vAlign w:val="center"/>
            <w:textDirection w:val="lrTb"/>
            <w:noWrap w:val="false"/>
          </w:tcPr>
          <w:p>
            <w:pPr>
              <w:pStyle w:val="1218"/>
              <w:ind w:left="0" w:firstLine="0"/>
              <w:spacing w:after="0" w:line="3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技术要求的符合性，即对提供产品的技术参数是否符合《采购需求》-“</w:t>
            </w:r>
            <w:r>
              <w:rPr>
                <w:rFonts w:hint="eastAsia" w:ascii="Times New Roman" w:hAnsi="Times New Roman" w:eastAsia="宋体" w:cs="Times New Roman"/>
                <w:b/>
                <w:bCs/>
                <w:sz w:val="24"/>
                <w:szCs w:val="24"/>
                <w:lang w:val="en-US" w:eastAsia="zh-CN"/>
              </w:rPr>
              <w:t xml:space="preserve">产品参数要求</w:t>
            </w:r>
            <w:r>
              <w:rPr>
                <w:rFonts w:hint="eastAsia" w:ascii="宋体" w:hAnsi="宋体" w:eastAsia="宋体" w:cs="宋体"/>
                <w:color w:val="000000"/>
                <w:sz w:val="24"/>
                <w:szCs w:val="24"/>
                <w:lang w:val="en-US" w:eastAsia="zh-CN" w:bidi="ar-SA"/>
              </w:rPr>
              <w:t xml:space="preserve">”要求进行评价。全部符合技术要求的得15分。每有一项负偏离的，扣1分，扣完为止。</w:t>
            </w:r>
            <w:r>
              <w:rPr>
                <w:rFonts w:hint="eastAsia" w:ascii="宋体" w:hAnsi="宋体" w:eastAsia="宋体" w:cs="宋体"/>
                <w:color w:val="000000"/>
                <w:sz w:val="24"/>
                <w:szCs w:val="24"/>
                <w:lang w:val="en-US" w:eastAsia="zh-CN" w:bidi="ar-SA"/>
              </w:rPr>
            </w:r>
            <w:r/>
          </w:p>
          <w:p>
            <w:pPr>
              <w:pStyle w:val="1218"/>
              <w:ind w:left="0" w:firstLine="0"/>
              <w:spacing w:after="0" w:line="300" w:lineRule="exac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 xml:space="preserve">注：响应文件中应提供《采购需求偏离表》，并将参数偏离情况逐一列出，并提供参数证明材料（如产品使用说明书、技术白皮书、官方网站截图等）并加盖公章，否则磋商小组有权视相应技术参数负偏离。</w:t>
            </w:r>
            <w:r>
              <w:rPr>
                <w:rFonts w:hint="eastAsia" w:ascii="宋体" w:hAnsi="宋体" w:eastAsia="宋体" w:cs="宋体"/>
                <w:b/>
                <w:bCs/>
                <w:color w:val="000000"/>
                <w:sz w:val="24"/>
                <w:szCs w:val="24"/>
                <w:lang w:val="en-US" w:eastAsia="zh-CN" w:bidi="ar-SA"/>
              </w:rPr>
            </w:r>
            <w:r/>
          </w:p>
          <w:p>
            <w:pPr>
              <w:pStyle w:val="1118"/>
              <w:spacing w:line="400" w:lineRule="exact"/>
              <w:rPr>
                <w:rFonts w:hint="eastAsia" w:ascii="宋体" w:hAnsi="宋体" w:cs="宋体"/>
                <w:sz w:val="24"/>
                <w:szCs w:val="24"/>
              </w:rPr>
            </w:pPr>
            <w:r>
              <w:rPr>
                <w:rFonts w:hint="eastAsia" w:ascii="宋体" w:hAnsi="宋体" w:eastAsia="宋体" w:cs="宋体"/>
                <w:b/>
                <w:bCs/>
                <w:color w:val="000000"/>
                <w:sz w:val="24"/>
                <w:szCs w:val="24"/>
                <w:lang w:val="en-US" w:eastAsia="zh-CN" w:bidi="ar-SA"/>
              </w:rPr>
              <w:t xml:space="preserve">为便于评分，请供应商在偏离表中逐条列出证明材料所在页码，因未列明所在页码而造成的后果由供应商自行承担。</w:t>
            </w:r>
            <w:r>
              <w:rPr>
                <w:rFonts w:hint="eastAsia" w:ascii="宋体" w:hAnsi="宋体" w:cs="宋体"/>
                <w:sz w:val="24"/>
                <w:szCs w:val="24"/>
              </w:rPr>
            </w:r>
            <w:r/>
          </w:p>
        </w:tc>
        <w:tc>
          <w:tcPr>
            <w:tcW w:w="1692" w:type="dxa"/>
            <w:vAlign w:val="center"/>
            <w:textDirection w:val="lrTb"/>
            <w:noWrap w:val="false"/>
          </w:tcPr>
          <w:p>
            <w:pPr>
              <w:pStyle w:val="1118"/>
              <w:spacing w:line="400" w:lineRule="exact"/>
              <w:rPr>
                <w:rFonts w:hint="eastAsia" w:ascii="宋体" w:hAnsi="宋体" w:cs="宋体"/>
                <w:sz w:val="24"/>
              </w:rPr>
            </w:pPr>
            <w:r>
              <w:rPr>
                <w:rFonts w:hint="eastAsia" w:ascii="宋体" w:hAnsi="宋体" w:cs="宋体"/>
                <w:sz w:val="24"/>
              </w:rPr>
            </w:r>
            <w:r/>
          </w:p>
        </w:tc>
      </w:tr>
      <w:tr>
        <w:trPr/>
        <w:tc>
          <w:tcPr>
            <w:tcW w:w="610" w:type="dxa"/>
            <w:vAlign w:val="center"/>
            <w:textDirection w:val="lrTb"/>
            <w:noWrap w:val="false"/>
          </w:tcPr>
          <w:p>
            <w:pPr>
              <w:pStyle w:val="1118"/>
              <w:ind w:firstLine="28"/>
              <w:jc w:val="center"/>
              <w:spacing w:line="400" w:lineRule="exact"/>
              <w:rPr>
                <w:rFonts w:ascii="宋体" w:hAnsi="宋体" w:cs="宋体"/>
                <w:sz w:val="24"/>
                <w:szCs w:val="24"/>
              </w:rPr>
            </w:pPr>
            <w:r>
              <w:rPr>
                <w:rFonts w:hint="eastAsia" w:ascii="宋体" w:hAnsi="宋体" w:cs="宋体"/>
                <w:sz w:val="24"/>
                <w:szCs w:val="24"/>
              </w:rPr>
              <w:t xml:space="preserve">2.2</w:t>
            </w:r>
            <w:r>
              <w:rPr>
                <w:rFonts w:ascii="宋体" w:hAnsi="宋体" w:cs="宋体"/>
                <w:sz w:val="24"/>
                <w:szCs w:val="24"/>
              </w:rPr>
            </w:r>
            <w:r/>
          </w:p>
        </w:tc>
        <w:tc>
          <w:tcPr>
            <w:tcW w:w="1606" w:type="dxa"/>
            <w:vAlign w:val="center"/>
            <w:textDirection w:val="lrTb"/>
            <w:noWrap w:val="false"/>
          </w:tcPr>
          <w:p>
            <w:pPr>
              <w:pStyle w:val="1118"/>
              <w:jc w:val="center"/>
              <w:spacing w:line="400" w:lineRule="exact"/>
              <w:rPr>
                <w:rFonts w:hint="eastAsia" w:ascii="宋体" w:hAnsi="宋体" w:eastAsia="宋体" w:cs="宋体"/>
                <w:bCs/>
                <w:sz w:val="24"/>
                <w:szCs w:val="24"/>
                <w:lang w:eastAsia="zh-CN"/>
              </w:rPr>
            </w:pPr>
            <w:r>
              <w:rPr>
                <w:rFonts w:hint="eastAsia" w:ascii="宋体" w:hAnsi="宋体" w:cs="宋体"/>
                <w:bCs/>
                <w:sz w:val="24"/>
                <w:szCs w:val="24"/>
                <w:lang w:val="en-US" w:eastAsia="zh-CN"/>
              </w:rPr>
              <w:t xml:space="preserve">业绩</w:t>
            </w:r>
            <w:r>
              <w:rPr>
                <w:rFonts w:hint="eastAsia" w:ascii="宋体" w:hAnsi="宋体" w:eastAsia="宋体" w:cs="宋体"/>
                <w:bCs/>
                <w:sz w:val="24"/>
                <w:szCs w:val="24"/>
                <w:lang w:eastAsia="zh-CN"/>
              </w:rPr>
            </w:r>
            <w:r/>
          </w:p>
        </w:tc>
        <w:tc>
          <w:tcPr>
            <w:tcW w:w="802" w:type="dxa"/>
            <w:vAlign w:val="center"/>
            <w:textDirection w:val="lrTb"/>
            <w:noWrap w:val="false"/>
          </w:tcPr>
          <w:p>
            <w:pPr>
              <w:pStyle w:val="1118"/>
              <w:jc w:val="center"/>
              <w:spacing w:line="400" w:lineRule="exact"/>
              <w:rPr>
                <w:rFonts w:hint="eastAsia" w:ascii="宋体" w:hAnsi="宋体" w:eastAsia="宋体" w:cs="宋体"/>
                <w:bCs/>
                <w:sz w:val="24"/>
                <w:szCs w:val="24"/>
                <w:lang w:eastAsia="zh-CN"/>
              </w:rPr>
            </w:pPr>
            <w:r>
              <w:rPr>
                <w:rFonts w:hint="eastAsia" w:ascii="宋体" w:hAnsi="宋体" w:cs="宋体"/>
                <w:bCs/>
                <w:sz w:val="24"/>
                <w:szCs w:val="24"/>
                <w:lang w:val="en-US" w:eastAsia="zh-CN"/>
              </w:rPr>
              <w:t xml:space="preserve">8</w:t>
            </w:r>
            <w:r>
              <w:rPr>
                <w:rFonts w:hint="eastAsia" w:ascii="宋体" w:hAnsi="宋体" w:eastAsia="宋体" w:cs="宋体"/>
                <w:bCs/>
                <w:sz w:val="24"/>
                <w:szCs w:val="24"/>
                <w:lang w:eastAsia="zh-CN"/>
              </w:rPr>
            </w:r>
            <w:r/>
          </w:p>
        </w:tc>
        <w:tc>
          <w:tcPr>
            <w:tcW w:w="4571" w:type="dxa"/>
            <w:vAlign w:val="top"/>
            <w:textDirection w:val="lrTb"/>
            <w:noWrap w:val="false"/>
          </w:tcPr>
          <w:p>
            <w:pPr>
              <w:pStyle w:val="1118"/>
              <w:numPr>
                <w:ilvl w:val="0"/>
                <w:numId w:val="0"/>
              </w:numPr>
              <w:jc w:val="left"/>
              <w:spacing w:line="360" w:lineRule="auto"/>
              <w:widowControl/>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提供202</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年</w:t>
            </w:r>
            <w:r>
              <w:rPr>
                <w:rFonts w:hint="eastAsia" w:ascii="宋体" w:hAnsi="宋体"/>
                <w:color w:val="000000"/>
                <w:sz w:val="24"/>
                <w:szCs w:val="24"/>
                <w:highlight w:val="none"/>
                <w:lang w:val="en-US" w:eastAsia="zh-CN"/>
              </w:rPr>
              <w:t xml:space="preserve">1月1日（含）</w:t>
            </w:r>
            <w:r>
              <w:rPr>
                <w:rFonts w:hint="eastAsia" w:ascii="宋体" w:hAnsi="宋体"/>
                <w:color w:val="000000"/>
                <w:sz w:val="24"/>
                <w:szCs w:val="24"/>
                <w:highlight w:val="none"/>
              </w:rPr>
              <w:t xml:space="preserve">以来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以合同签订时间为准</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供应商完成的与本项目类似的业绩，每有1个得2分，最高得8分。</w:t>
            </w:r>
            <w:r>
              <w:rPr>
                <w:rFonts w:hint="eastAsia" w:ascii="宋体" w:hAnsi="宋体"/>
                <w:color w:val="000000"/>
                <w:sz w:val="24"/>
                <w:szCs w:val="24"/>
                <w:highlight w:val="none"/>
                <w:lang w:val="en-US" w:eastAsia="zh-CN"/>
              </w:rPr>
            </w:r>
            <w:r/>
          </w:p>
          <w:p>
            <w:pPr>
              <w:pStyle w:val="1118"/>
              <w:numPr>
                <w:ilvl w:val="0"/>
                <w:numId w:val="0"/>
              </w:numPr>
              <w:jc w:val="left"/>
              <w:spacing w:line="360" w:lineRule="auto"/>
              <w:widowControl/>
              <w:rPr>
                <w:rFonts w:hint="eastAsia" w:ascii="宋体" w:hAnsi="宋体" w:cs="宋体"/>
                <w:sz w:val="24"/>
                <w:szCs w:val="24"/>
              </w:rPr>
            </w:pPr>
            <w:r>
              <w:rPr>
                <w:rFonts w:hint="eastAsia" w:ascii="宋体" w:hAnsi="宋体"/>
                <w:b/>
                <w:bCs/>
                <w:color w:val="000000"/>
                <w:sz w:val="24"/>
                <w:szCs w:val="24"/>
                <w:highlight w:val="none"/>
                <w:lang w:val="en-US" w:eastAsia="zh-CN"/>
              </w:rPr>
              <w:t xml:space="preserve">注：响应文件中提供合同扫描件并加盖供应商公章，须体现双方盖章、签订时间及关键页，否则的不得分。</w:t>
            </w:r>
            <w:r>
              <w:rPr>
                <w:rFonts w:hint="eastAsia" w:ascii="宋体" w:hAnsi="宋体" w:cs="宋体"/>
                <w:sz w:val="24"/>
                <w:szCs w:val="24"/>
              </w:rPr>
            </w:r>
            <w:r/>
          </w:p>
        </w:tc>
        <w:tc>
          <w:tcPr>
            <w:tcW w:w="1692" w:type="dxa"/>
            <w:vAlign w:val="center"/>
            <w:textDirection w:val="lrTb"/>
            <w:noWrap w:val="false"/>
          </w:tcPr>
          <w:p>
            <w:pPr>
              <w:pStyle w:val="1118"/>
              <w:spacing w:line="400" w:lineRule="exact"/>
              <w:rPr>
                <w:rFonts w:hint="eastAsia" w:ascii="宋体" w:hAnsi="宋体" w:cs="宋体"/>
                <w:sz w:val="24"/>
              </w:rPr>
            </w:pPr>
            <w:r>
              <w:rPr>
                <w:rFonts w:hint="eastAsia" w:ascii="宋体" w:hAnsi="宋体" w:cs="宋体"/>
                <w:sz w:val="24"/>
              </w:rPr>
            </w:r>
            <w:r/>
          </w:p>
        </w:tc>
      </w:tr>
      <w:tr>
        <w:trPr/>
        <w:tc>
          <w:tcPr>
            <w:tcW w:w="610" w:type="dxa"/>
            <w:vAlign w:val="center"/>
            <w:textDirection w:val="lrTb"/>
            <w:noWrap w:val="false"/>
          </w:tcPr>
          <w:p>
            <w:pPr>
              <w:pStyle w:val="1118"/>
              <w:ind w:firstLine="28"/>
              <w:jc w:val="center"/>
              <w:spacing w:line="400" w:lineRule="exact"/>
              <w:rPr>
                <w:rFonts w:ascii="宋体" w:hAnsi="宋体" w:cs="宋体"/>
                <w:sz w:val="24"/>
                <w:szCs w:val="24"/>
              </w:rPr>
            </w:pPr>
            <w:r>
              <w:rPr>
                <w:rFonts w:hint="eastAsia" w:ascii="宋体" w:hAnsi="宋体" w:cs="宋体"/>
                <w:sz w:val="24"/>
                <w:szCs w:val="24"/>
              </w:rPr>
              <w:t xml:space="preserve">2.3</w:t>
            </w:r>
            <w:r>
              <w:rPr>
                <w:rFonts w:ascii="宋体" w:hAnsi="宋体" w:cs="宋体"/>
                <w:sz w:val="24"/>
                <w:szCs w:val="24"/>
              </w:rPr>
            </w:r>
            <w:r/>
          </w:p>
        </w:tc>
        <w:tc>
          <w:tcPr>
            <w:tcW w:w="1606" w:type="dxa"/>
            <w:vAlign w:val="center"/>
            <w:textDirection w:val="lrTb"/>
            <w:noWrap w:val="false"/>
          </w:tcPr>
          <w:p>
            <w:pPr>
              <w:pStyle w:val="1118"/>
              <w:jc w:val="center"/>
              <w:spacing w:line="400" w:lineRule="exact"/>
              <w:rPr>
                <w:rFonts w:hint="eastAsia" w:ascii="宋体" w:hAnsi="宋体" w:cs="宋体"/>
                <w:bCs/>
                <w:sz w:val="24"/>
                <w:szCs w:val="24"/>
              </w:rPr>
            </w:pPr>
            <w:r>
              <w:rPr>
                <w:rFonts w:hint="eastAsia" w:ascii="宋体" w:hAnsi="宋体"/>
                <w:b w:val="0"/>
                <w:bCs/>
                <w:color w:val="000000"/>
                <w:sz w:val="24"/>
                <w:szCs w:val="24"/>
                <w:highlight w:val="none"/>
              </w:rPr>
              <w:t xml:space="preserve">售后服务</w:t>
            </w:r>
            <w:r>
              <w:rPr>
                <w:rFonts w:hint="eastAsia" w:ascii="宋体" w:hAnsi="宋体" w:cs="宋体"/>
                <w:bCs/>
                <w:sz w:val="24"/>
                <w:szCs w:val="24"/>
              </w:rPr>
            </w:r>
            <w:r/>
          </w:p>
        </w:tc>
        <w:tc>
          <w:tcPr>
            <w:tcW w:w="802" w:type="dxa"/>
            <w:vAlign w:val="center"/>
            <w:textDirection w:val="lrTb"/>
            <w:noWrap w:val="false"/>
          </w:tcPr>
          <w:p>
            <w:pPr>
              <w:pStyle w:val="1118"/>
              <w:jc w:val="center"/>
              <w:spacing w:line="400" w:lineRule="exact"/>
              <w:rPr>
                <w:rFonts w:hint="eastAsia" w:ascii="宋体" w:hAnsi="宋体" w:eastAsia="宋体" w:cs="宋体"/>
                <w:bCs/>
                <w:sz w:val="24"/>
                <w:szCs w:val="24"/>
                <w:lang w:eastAsia="zh-CN"/>
              </w:rPr>
            </w:pPr>
            <w:r>
              <w:rPr>
                <w:rFonts w:hint="eastAsia" w:ascii="宋体" w:hAnsi="宋体" w:cs="宋体"/>
                <w:bCs/>
                <w:sz w:val="24"/>
                <w:szCs w:val="24"/>
                <w:lang w:val="en-US" w:eastAsia="zh-CN"/>
              </w:rPr>
              <w:t xml:space="preserve">2</w:t>
            </w:r>
            <w:r>
              <w:rPr>
                <w:rFonts w:hint="eastAsia" w:ascii="宋体" w:hAnsi="宋体" w:eastAsia="宋体" w:cs="宋体"/>
                <w:bCs/>
                <w:sz w:val="24"/>
                <w:szCs w:val="24"/>
                <w:lang w:eastAsia="zh-CN"/>
              </w:rPr>
            </w:r>
            <w:r/>
          </w:p>
        </w:tc>
        <w:tc>
          <w:tcPr>
            <w:tcW w:w="4571" w:type="dxa"/>
            <w:vAlign w:val="center"/>
            <w:textDirection w:val="lrTb"/>
            <w:noWrap w:val="false"/>
          </w:tcPr>
          <w:p>
            <w:pPr>
              <w:pStyle w:val="1118"/>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在本项目免费质保期要求的基础上，每增加1年得1分，</w:t>
            </w:r>
            <w:r>
              <w:rPr>
                <w:rFonts w:hint="eastAsia" w:ascii="宋体" w:hAnsi="宋体"/>
                <w:color w:val="000000"/>
                <w:sz w:val="24"/>
                <w:szCs w:val="24"/>
                <w:highlight w:val="none"/>
                <w:lang w:val="en-US" w:eastAsia="zh-CN"/>
              </w:rPr>
              <w:t xml:space="preserve">本项</w:t>
            </w:r>
            <w:r>
              <w:rPr>
                <w:rFonts w:hint="eastAsia" w:ascii="宋体" w:hAnsi="宋体"/>
                <w:color w:val="000000"/>
                <w:sz w:val="24"/>
                <w:szCs w:val="24"/>
                <w:highlight w:val="none"/>
              </w:rPr>
              <w:t xml:space="preserve">最高得2分</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1118"/>
              <w:spacing w:line="360" w:lineRule="auto"/>
              <w:rPr>
                <w:rFonts w:hint="eastAsia" w:ascii="宋体" w:hAnsi="宋体" w:cs="宋体"/>
                <w:sz w:val="24"/>
                <w:szCs w:val="24"/>
              </w:rPr>
            </w:pPr>
            <w:r>
              <w:rPr>
                <w:rFonts w:hint="eastAsia" w:ascii="宋体" w:hAnsi="宋体"/>
                <w:b/>
                <w:bCs/>
                <w:color w:val="000000"/>
                <w:sz w:val="24"/>
                <w:szCs w:val="24"/>
                <w:highlight w:val="none"/>
                <w:lang w:val="en-US" w:eastAsia="zh-CN"/>
              </w:rPr>
              <w:t xml:space="preserve">注：响应文件中</w:t>
            </w:r>
            <w:r>
              <w:rPr>
                <w:rFonts w:hint="eastAsia" w:ascii="宋体" w:hAnsi="宋体"/>
                <w:b/>
                <w:bCs/>
                <w:color w:val="000000"/>
                <w:sz w:val="24"/>
                <w:szCs w:val="24"/>
                <w:highlight w:val="none"/>
              </w:rPr>
              <w:t xml:space="preserve">提供承诺函</w:t>
            </w:r>
            <w:r>
              <w:rPr>
                <w:rFonts w:hint="eastAsia" w:ascii="宋体" w:hAnsi="宋体"/>
                <w:b/>
                <w:bCs/>
                <w:color w:val="000000"/>
                <w:sz w:val="24"/>
                <w:szCs w:val="24"/>
                <w:highlight w:val="none"/>
                <w:lang w:val="en-US" w:eastAsia="zh-CN"/>
              </w:rPr>
              <w:t xml:space="preserve">并</w:t>
            </w:r>
            <w:r>
              <w:rPr>
                <w:rFonts w:hint="eastAsia" w:ascii="宋体" w:hAnsi="宋体"/>
                <w:b/>
                <w:bCs/>
                <w:color w:val="000000"/>
                <w:sz w:val="24"/>
                <w:szCs w:val="24"/>
                <w:highlight w:val="none"/>
              </w:rPr>
              <w:t xml:space="preserve">加盖</w:t>
            </w:r>
            <w:r>
              <w:rPr>
                <w:rFonts w:hint="eastAsia" w:ascii="宋体" w:hAnsi="宋体"/>
                <w:b/>
                <w:bCs/>
                <w:color w:val="000000"/>
                <w:sz w:val="24"/>
                <w:szCs w:val="24"/>
                <w:highlight w:val="none"/>
                <w:lang w:val="en-US" w:eastAsia="zh-CN"/>
              </w:rPr>
              <w:t xml:space="preserve">供应商</w:t>
            </w:r>
            <w:r>
              <w:rPr>
                <w:rFonts w:hint="eastAsia" w:ascii="宋体" w:hAnsi="宋体"/>
                <w:b/>
                <w:bCs/>
                <w:color w:val="000000"/>
                <w:sz w:val="24"/>
                <w:szCs w:val="24"/>
                <w:highlight w:val="none"/>
              </w:rPr>
              <w:t xml:space="preserve">公章</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lang w:val="en-US" w:eastAsia="zh-CN"/>
              </w:rPr>
              <w:t xml:space="preserve">否则不得分</w:t>
            </w:r>
            <w:r>
              <w:rPr>
                <w:rFonts w:hint="eastAsia" w:ascii="宋体" w:hAnsi="宋体"/>
                <w:b/>
                <w:bCs/>
                <w:color w:val="000000"/>
                <w:sz w:val="24"/>
                <w:szCs w:val="24"/>
                <w:highlight w:val="none"/>
              </w:rPr>
              <w:t xml:space="preserve">。</w:t>
            </w:r>
            <w:r>
              <w:rPr>
                <w:rFonts w:hint="eastAsia" w:ascii="宋体" w:hAnsi="宋体" w:cs="宋体"/>
                <w:sz w:val="24"/>
                <w:szCs w:val="24"/>
              </w:rPr>
            </w:r>
            <w:r/>
          </w:p>
        </w:tc>
        <w:tc>
          <w:tcPr>
            <w:tcW w:w="1692" w:type="dxa"/>
            <w:vAlign w:val="center"/>
            <w:textDirection w:val="lrTb"/>
            <w:noWrap w:val="false"/>
          </w:tcPr>
          <w:p>
            <w:pPr>
              <w:pStyle w:val="1118"/>
              <w:spacing w:line="400" w:lineRule="exact"/>
              <w:rPr>
                <w:rFonts w:hint="eastAsia" w:ascii="宋体" w:hAnsi="宋体" w:cs="宋体"/>
                <w:sz w:val="24"/>
              </w:rPr>
            </w:pPr>
            <w:r>
              <w:rPr>
                <w:rFonts w:hint="eastAsia" w:ascii="宋体" w:hAnsi="宋体" w:cs="宋体"/>
                <w:sz w:val="24"/>
              </w:rPr>
            </w:r>
            <w:r/>
          </w:p>
        </w:tc>
      </w:tr>
      <w:tr>
        <w:trPr/>
        <w:tc>
          <w:tcPr>
            <w:tcW w:w="610" w:type="dxa"/>
            <w:vAlign w:val="center"/>
            <w:textDirection w:val="lrTb"/>
            <w:noWrap w:val="false"/>
          </w:tcPr>
          <w:p>
            <w:pPr>
              <w:pStyle w:val="1118"/>
              <w:ind w:firstLine="28"/>
              <w:jc w:val="center"/>
              <w:spacing w:line="40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r>
            <w:r/>
          </w:p>
        </w:tc>
        <w:tc>
          <w:tcPr>
            <w:tcW w:w="1606" w:type="dxa"/>
            <w:vAlign w:val="center"/>
            <w:textDirection w:val="lrTb"/>
            <w:noWrap w:val="false"/>
          </w:tcPr>
          <w:p>
            <w:pPr>
              <w:pStyle w:val="1118"/>
              <w:jc w:val="center"/>
              <w:spacing w:line="400" w:lineRule="exact"/>
              <w:rPr>
                <w:rFonts w:hint="eastAsia" w:ascii="宋体" w:hAnsi="宋体" w:eastAsia="宋体"/>
                <w:b/>
                <w:color w:val="000000"/>
                <w:sz w:val="24"/>
                <w:szCs w:val="24"/>
                <w:highlight w:val="none"/>
                <w:lang w:val="en-US" w:eastAsia="zh-CN"/>
              </w:rPr>
            </w:pPr>
            <w:r>
              <w:rPr>
                <w:rFonts w:hint="eastAsia" w:ascii="宋体" w:hAnsi="宋体"/>
                <w:b/>
                <w:color w:val="000000"/>
                <w:sz w:val="24"/>
                <w:szCs w:val="24"/>
                <w:highlight w:val="none"/>
                <w:lang w:val="en-US" w:eastAsia="zh-CN"/>
              </w:rPr>
              <w:t xml:space="preserve">主观分</w:t>
            </w:r>
            <w:r>
              <w:rPr>
                <w:rFonts w:hint="eastAsia" w:ascii="宋体" w:hAnsi="宋体" w:eastAsia="宋体"/>
                <w:b/>
                <w:color w:val="000000"/>
                <w:sz w:val="24"/>
                <w:szCs w:val="24"/>
                <w:highlight w:val="none"/>
                <w:lang w:val="en-US" w:eastAsia="zh-CN"/>
              </w:rPr>
            </w:r>
            <w:r/>
          </w:p>
        </w:tc>
        <w:tc>
          <w:tcPr>
            <w:tcW w:w="802" w:type="dxa"/>
            <w:vAlign w:val="center"/>
            <w:textDirection w:val="lrTb"/>
            <w:noWrap w:val="false"/>
          </w:tcPr>
          <w:p>
            <w:pPr>
              <w:pStyle w:val="1118"/>
              <w:jc w:val="center"/>
              <w:spacing w:line="400" w:lineRule="exact"/>
              <w:rPr>
                <w:rFonts w:ascii="宋体" w:hAnsi="宋体" w:cs="宋体"/>
                <w:bCs/>
                <w:sz w:val="24"/>
                <w:szCs w:val="24"/>
                <w:lang w:val="en-US" w:eastAsia="zh-CN"/>
              </w:rPr>
            </w:pPr>
            <w:r>
              <w:rPr>
                <w:rFonts w:hint="eastAsia" w:ascii="宋体" w:hAnsi="宋体" w:cs="宋体"/>
                <w:bCs/>
                <w:sz w:val="24"/>
                <w:szCs w:val="24"/>
                <w:lang w:val="en-US" w:eastAsia="zh-CN"/>
              </w:rPr>
              <w:t xml:space="preserve">45</w:t>
            </w:r>
            <w:r>
              <w:rPr>
                <w:rFonts w:ascii="宋体" w:hAnsi="宋体" w:cs="宋体"/>
                <w:bCs/>
                <w:sz w:val="24"/>
                <w:szCs w:val="24"/>
                <w:lang w:val="en-US" w:eastAsia="zh-CN"/>
              </w:rPr>
            </w:r>
            <w:r/>
          </w:p>
        </w:tc>
        <w:tc>
          <w:tcPr>
            <w:tcW w:w="4571" w:type="dxa"/>
            <w:vAlign w:val="center"/>
            <w:textDirection w:val="lrTb"/>
            <w:noWrap w:val="false"/>
          </w:tcPr>
          <w:p>
            <w:pPr>
              <w:pStyle w:val="1118"/>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tc>
        <w:tc>
          <w:tcPr>
            <w:tcW w:w="1692" w:type="dxa"/>
            <w:vAlign w:val="center"/>
            <w:textDirection w:val="lrTb"/>
            <w:noWrap w:val="false"/>
          </w:tcPr>
          <w:p>
            <w:pPr>
              <w:pStyle w:val="1118"/>
              <w:spacing w:line="400" w:lineRule="exact"/>
              <w:rPr>
                <w:rFonts w:hint="eastAsia" w:ascii="宋体" w:hAnsi="宋体" w:cs="宋体"/>
                <w:sz w:val="24"/>
              </w:rPr>
            </w:pPr>
            <w:r>
              <w:rPr>
                <w:rFonts w:hint="eastAsia" w:ascii="宋体" w:hAnsi="宋体" w:cs="宋体"/>
                <w:sz w:val="24"/>
              </w:rPr>
            </w:r>
            <w:r/>
          </w:p>
        </w:tc>
      </w:tr>
      <w:tr>
        <w:trPr/>
        <w:tc>
          <w:tcPr>
            <w:tcW w:w="610" w:type="dxa"/>
            <w:vAlign w:val="center"/>
            <w:textDirection w:val="lrTb"/>
            <w:noWrap w:val="false"/>
          </w:tcPr>
          <w:p>
            <w:pPr>
              <w:pStyle w:val="1118"/>
              <w:ind w:firstLine="28"/>
              <w:jc w:val="center"/>
              <w:spacing w:line="400" w:lineRule="exact"/>
              <w:rPr>
                <w:rFonts w:ascii="宋体" w:hAnsi="宋体" w:eastAsia="宋体" w:cs="宋体"/>
                <w:sz w:val="24"/>
                <w:szCs w:val="24"/>
                <w:lang w:val="en-US" w:eastAsia="zh-CN"/>
              </w:rPr>
            </w:pPr>
            <w:r>
              <w:rPr>
                <w:rFonts w:hint="eastAsia" w:ascii="宋体" w:hAnsi="宋体" w:cs="宋体"/>
                <w:sz w:val="24"/>
                <w:szCs w:val="24"/>
                <w:lang w:val="en-US" w:eastAsia="zh-CN"/>
              </w:rPr>
              <w:t xml:space="preserve">3.1</w:t>
            </w:r>
            <w:r>
              <w:rPr>
                <w:rFonts w:ascii="宋体" w:hAnsi="宋体" w:eastAsia="宋体" w:cs="宋体"/>
                <w:sz w:val="24"/>
                <w:szCs w:val="24"/>
                <w:lang w:val="en-US" w:eastAsia="zh-CN"/>
              </w:rPr>
            </w:r>
            <w:r/>
          </w:p>
        </w:tc>
        <w:tc>
          <w:tcPr>
            <w:tcW w:w="1606" w:type="dxa"/>
            <w:vAlign w:val="center"/>
            <w:textDirection w:val="lrTb"/>
            <w:noWrap w:val="false"/>
          </w:tcPr>
          <w:p>
            <w:pPr>
              <w:pStyle w:val="1118"/>
              <w:jc w:val="center"/>
              <w:spacing w:line="400" w:lineRule="exact"/>
              <w:rPr>
                <w:rFonts w:hint="eastAsia" w:ascii="宋体" w:hAnsi="宋体"/>
                <w:b/>
                <w:color w:val="000000"/>
                <w:sz w:val="24"/>
                <w:szCs w:val="24"/>
                <w:highlight w:val="none"/>
              </w:rPr>
            </w:pPr>
            <w:r>
              <w:rPr>
                <w:rFonts w:hint="eastAsia" w:ascii="宋体" w:hAnsi="宋体" w:eastAsia="宋体" w:cs="宋体"/>
                <w:b w:val="0"/>
                <w:bCs w:val="0"/>
                <w:color w:val="000000"/>
                <w:sz w:val="24"/>
                <w:szCs w:val="24"/>
              </w:rPr>
              <w:t xml:space="preserve">供货方案</w:t>
            </w:r>
            <w:r>
              <w:rPr>
                <w:rFonts w:hint="eastAsia" w:ascii="宋体" w:hAnsi="宋体"/>
                <w:b/>
                <w:color w:val="000000"/>
                <w:sz w:val="24"/>
                <w:szCs w:val="24"/>
                <w:highlight w:val="none"/>
              </w:rPr>
            </w:r>
            <w:r/>
          </w:p>
        </w:tc>
        <w:tc>
          <w:tcPr>
            <w:tcW w:w="802" w:type="dxa"/>
            <w:vAlign w:val="center"/>
            <w:textDirection w:val="lrTb"/>
            <w:noWrap w:val="false"/>
          </w:tcPr>
          <w:p>
            <w:pPr>
              <w:pStyle w:val="1118"/>
              <w:jc w:val="center"/>
              <w:spacing w:line="400" w:lineRule="exact"/>
              <w:rPr>
                <w:rFonts w:ascii="宋体" w:hAnsi="宋体" w:eastAsia="宋体" w:cs="宋体"/>
                <w:bCs/>
                <w:sz w:val="24"/>
                <w:szCs w:val="24"/>
                <w:lang w:val="en-US" w:eastAsia="zh-CN"/>
              </w:rPr>
            </w:pPr>
            <w:r>
              <w:rPr>
                <w:rFonts w:hint="eastAsia" w:ascii="宋体" w:hAnsi="宋体" w:cs="宋体"/>
                <w:bCs/>
                <w:sz w:val="24"/>
                <w:szCs w:val="24"/>
                <w:lang w:val="en-US" w:eastAsia="zh-CN"/>
              </w:rPr>
              <w:t xml:space="preserve">12</w:t>
            </w:r>
            <w:r>
              <w:rPr>
                <w:rFonts w:ascii="宋体" w:hAnsi="宋体" w:eastAsia="宋体" w:cs="宋体"/>
                <w:bCs/>
                <w:sz w:val="24"/>
                <w:szCs w:val="24"/>
                <w:lang w:val="en-US" w:eastAsia="zh-CN"/>
              </w:rPr>
            </w:r>
            <w:r/>
          </w:p>
        </w:tc>
        <w:tc>
          <w:tcPr>
            <w:tcW w:w="4571" w:type="dxa"/>
            <w:vAlign w:val="center"/>
            <w:textDirection w:val="lrTb"/>
            <w:noWrap w:val="false"/>
          </w:tcPr>
          <w:p>
            <w:pPr>
              <w:pStyle w:val="1118"/>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rPr>
              <w:t xml:space="preserve">根据</w:t>
            </w:r>
            <w:r>
              <w:rPr>
                <w:rFonts w:hint="eastAsia" w:ascii="宋体" w:hAnsi="宋体" w:eastAsia="宋体" w:cs="宋体"/>
                <w:b w:val="0"/>
                <w:bCs w:val="0"/>
                <w:color w:val="000000"/>
                <w:sz w:val="24"/>
                <w:szCs w:val="24"/>
                <w:lang w:val="en-US" w:eastAsia="zh-CN"/>
              </w:rPr>
              <w:t xml:space="preserve">供应商</w:t>
            </w:r>
            <w:r>
              <w:rPr>
                <w:rFonts w:hint="eastAsia" w:ascii="宋体" w:hAnsi="宋体" w:eastAsia="宋体" w:cs="宋体"/>
                <w:b w:val="0"/>
                <w:bCs w:val="0"/>
                <w:color w:val="000000"/>
                <w:sz w:val="24"/>
                <w:szCs w:val="24"/>
              </w:rPr>
              <w:t xml:space="preserve">提供</w:t>
            </w:r>
            <w:r>
              <w:rPr>
                <w:rFonts w:hint="eastAsia" w:ascii="宋体" w:hAnsi="宋体" w:eastAsia="宋体" w:cs="宋体"/>
                <w:b w:val="0"/>
                <w:bCs w:val="0"/>
                <w:color w:val="000000"/>
                <w:sz w:val="24"/>
                <w:szCs w:val="24"/>
              </w:rPr>
              <w:t xml:space="preserve">的供货方案及措施进行评审包括但不限于：</w:t>
            </w:r>
            <w:r>
              <w:rPr>
                <w:rFonts w:ascii="Times New Roman" w:hAnsi="Times New Roman" w:eastAsia="宋体" w:cs="Times New Roman"/>
                <w:b w:val="0"/>
                <w:bCs w:val="0"/>
                <w:color w:val="000000"/>
                <w:sz w:val="24"/>
                <w:szCs w:val="24"/>
              </w:rPr>
              <w:t xml:space="preserve"> 1</w:t>
            </w:r>
            <w:r>
              <w:rPr>
                <w:rFonts w:hint="eastAsia" w:ascii="宋体" w:hAnsi="宋体" w:eastAsia="宋体" w:cs="宋体"/>
                <w:b w:val="0"/>
                <w:bCs w:val="0"/>
                <w:color w:val="000000"/>
                <w:sz w:val="24"/>
                <w:szCs w:val="24"/>
              </w:rPr>
              <w:t xml:space="preserve">、总体供货方案；</w:t>
            </w:r>
            <w:r>
              <w:rPr>
                <w:rFonts w:ascii="Times New Roman" w:hAnsi="Times New Roman" w:eastAsia="宋体" w:cs="Times New Roman"/>
                <w:b w:val="0"/>
                <w:bCs w:val="0"/>
                <w:color w:val="000000"/>
                <w:sz w:val="24"/>
                <w:szCs w:val="24"/>
              </w:rPr>
              <w:t xml:space="preserve"> 2</w:t>
            </w:r>
            <w:r>
              <w:rPr>
                <w:rFonts w:hint="eastAsia" w:ascii="宋体" w:hAnsi="宋体" w:eastAsia="宋体" w:cs="宋体"/>
                <w:b w:val="0"/>
                <w:bCs w:val="0"/>
                <w:color w:val="000000"/>
                <w:sz w:val="24"/>
                <w:szCs w:val="24"/>
              </w:rPr>
              <w:t xml:space="preserve">、成品储备；</w:t>
            </w:r>
            <w:r>
              <w:rPr>
                <w:rFonts w:ascii="Times New Roman" w:hAnsi="Times New Roman" w:eastAsia="宋体" w:cs="Times New Roman"/>
                <w:b w:val="0"/>
                <w:bCs w:val="0"/>
                <w:color w:val="000000"/>
                <w:sz w:val="24"/>
                <w:szCs w:val="24"/>
              </w:rPr>
              <w:t xml:space="preserve"> 3</w:t>
            </w:r>
            <w:r>
              <w:rPr>
                <w:rFonts w:hint="eastAsia" w:ascii="宋体" w:hAnsi="宋体" w:eastAsia="宋体" w:cs="宋体"/>
                <w:b w:val="0"/>
                <w:bCs w:val="0"/>
                <w:color w:val="000000"/>
                <w:sz w:val="24"/>
                <w:szCs w:val="24"/>
              </w:rPr>
              <w:t xml:space="preserve">、产品供货流程及时间安排；</w:t>
            </w:r>
            <w:r>
              <w:rPr>
                <w:rFonts w:ascii="Times New Roman" w:hAnsi="Times New Roman" w:eastAsia="宋体" w:cs="Times New Roman"/>
                <w:b w:val="0"/>
                <w:bCs w:val="0"/>
                <w:color w:val="000000"/>
                <w:sz w:val="24"/>
                <w:szCs w:val="24"/>
              </w:rPr>
              <w:t xml:space="preserve"> 4</w:t>
            </w:r>
            <w:r>
              <w:rPr>
                <w:rFonts w:hint="eastAsia" w:ascii="宋体" w:hAnsi="宋体" w:eastAsia="宋体" w:cs="宋体"/>
                <w:b w:val="0"/>
                <w:bCs w:val="0"/>
                <w:color w:val="000000"/>
                <w:sz w:val="24"/>
                <w:szCs w:val="24"/>
              </w:rPr>
              <w:t xml:space="preserve">、产品的出库、包装措施；</w:t>
            </w:r>
            <w:r>
              <w:rPr>
                <w:rFonts w:ascii="Times New Roman" w:hAnsi="Times New Roman" w:eastAsia="宋体" w:cs="Times New Roman"/>
                <w:b w:val="0"/>
                <w:bCs w:val="0"/>
                <w:color w:val="000000"/>
                <w:sz w:val="24"/>
                <w:szCs w:val="24"/>
              </w:rPr>
              <w:t xml:space="preserve"> 5</w:t>
            </w:r>
            <w:r>
              <w:rPr>
                <w:rFonts w:hint="eastAsia" w:ascii="宋体" w:hAnsi="宋体" w:eastAsia="宋体" w:cs="宋体"/>
                <w:b w:val="0"/>
                <w:bCs w:val="0"/>
                <w:color w:val="000000"/>
                <w:sz w:val="24"/>
                <w:szCs w:val="24"/>
              </w:rPr>
              <w:t xml:space="preserve">、送货细则；</w:t>
            </w:r>
            <w:r>
              <w:rPr>
                <w:rFonts w:ascii="Times New Roman" w:hAnsi="Times New Roman" w:eastAsia="宋体" w:cs="Times New Roman"/>
                <w:b w:val="0"/>
                <w:bCs w:val="0"/>
                <w:color w:val="000000"/>
                <w:sz w:val="24"/>
                <w:szCs w:val="24"/>
              </w:rPr>
              <w:t xml:space="preserve"> 6</w:t>
            </w:r>
            <w:r>
              <w:rPr>
                <w:rFonts w:hint="eastAsia" w:ascii="宋体" w:hAnsi="宋体" w:eastAsia="宋体" w:cs="宋体"/>
                <w:b w:val="0"/>
                <w:bCs w:val="0"/>
                <w:color w:val="000000"/>
                <w:sz w:val="24"/>
                <w:szCs w:val="24"/>
              </w:rPr>
              <w:t xml:space="preserve">、装卸安全操作程序</w:t>
            </w:r>
            <w:r>
              <w:rPr>
                <w:rFonts w:hint="eastAsia" w:ascii="宋体" w:hAnsi="宋体" w:eastAsia="宋体" w:cs="宋体"/>
                <w:b w:val="0"/>
                <w:bCs w:val="0"/>
                <w:color w:val="000000"/>
                <w:sz w:val="24"/>
                <w:szCs w:val="24"/>
                <w:lang w:eastAsia="zh-CN"/>
              </w:rPr>
              <w:t xml:space="preserve">。</w:t>
            </w:r>
            <w:r>
              <w:rPr>
                <w:rFonts w:hint="eastAsia" w:ascii="宋体" w:hAnsi="宋体" w:eastAsia="宋体" w:cs="宋体"/>
                <w:b w:val="0"/>
                <w:bCs w:val="0"/>
                <w:color w:val="000000"/>
                <w:sz w:val="24"/>
                <w:szCs w:val="24"/>
                <w:lang w:val="en-US" w:eastAsia="zh-CN"/>
              </w:rPr>
            </w:r>
            <w:r/>
          </w:p>
          <w:p>
            <w:pPr>
              <w:pStyle w:val="1118"/>
              <w:numPr>
                <w:ilvl w:val="0"/>
                <w:numId w:val="12"/>
              </w:numPr>
              <w:spacing w:line="400" w:lineRule="exact"/>
              <w:tabs>
                <w:tab w:val="left" w:pos="312" w:leader="none"/>
              </w:tabs>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方案内容完整全面，内容前后逻辑性强，得12分；</w:t>
            </w:r>
            <w:r>
              <w:rPr>
                <w:rFonts w:hint="eastAsia" w:ascii="宋体" w:hAnsi="宋体" w:eastAsia="宋体" w:cs="宋体"/>
                <w:b w:val="0"/>
                <w:bCs w:val="0"/>
                <w:color w:val="000000"/>
                <w:sz w:val="24"/>
                <w:szCs w:val="24"/>
                <w:lang w:val="en-US" w:eastAsia="zh-CN"/>
              </w:rPr>
            </w:r>
            <w:r/>
          </w:p>
          <w:p>
            <w:pPr>
              <w:pStyle w:val="1118"/>
              <w:numPr>
                <w:ilvl w:val="0"/>
                <w:numId w:val="12"/>
              </w:numPr>
              <w:spacing w:line="400" w:lineRule="exact"/>
              <w:tabs>
                <w:tab w:val="left" w:pos="312" w:leader="none"/>
              </w:tabs>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方案内容较完整全面，内容前后逻辑性较强，得9分；</w:t>
            </w:r>
            <w:r>
              <w:rPr>
                <w:rFonts w:ascii="宋体" w:hAnsi="宋体" w:eastAsia="宋体" w:cs="宋体"/>
                <w:b w:val="0"/>
                <w:bCs w:val="0"/>
                <w:color w:val="000000"/>
                <w:sz w:val="24"/>
                <w:szCs w:val="24"/>
                <w:lang w:val="en-US" w:eastAsia="zh-CN"/>
              </w:rPr>
            </w:r>
            <w:r/>
          </w:p>
          <w:p>
            <w:pPr>
              <w:pStyle w:val="1118"/>
              <w:numPr>
                <w:ilvl w:val="0"/>
                <w:numId w:val="12"/>
              </w:numPr>
              <w:spacing w:line="400" w:lineRule="exact"/>
              <w:tabs>
                <w:tab w:val="left" w:pos="312" w:leader="none"/>
              </w:tabs>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方案内容稍有缺漏。内容描述准确性稍有欠缺，得6分；</w:t>
            </w:r>
            <w:r>
              <w:rPr>
                <w:rFonts w:ascii="宋体" w:hAnsi="宋体" w:eastAsia="宋体" w:cs="宋体"/>
                <w:b w:val="0"/>
                <w:bCs w:val="0"/>
                <w:color w:val="000000"/>
                <w:sz w:val="24"/>
                <w:szCs w:val="24"/>
                <w:lang w:val="en-US" w:eastAsia="zh-CN"/>
              </w:rPr>
            </w:r>
            <w:r/>
          </w:p>
          <w:p>
            <w:pPr>
              <w:pStyle w:val="1118"/>
              <w:numPr>
                <w:ilvl w:val="0"/>
                <w:numId w:val="12"/>
              </w:numPr>
              <w:spacing w:line="400" w:lineRule="exact"/>
              <w:tabs>
                <w:tab w:val="left" w:pos="312" w:leader="none"/>
              </w:tabs>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方案内容简单、缺漏多，内容描述文不对题，得3分；</w:t>
            </w:r>
            <w:r>
              <w:rPr>
                <w:rFonts w:ascii="宋体" w:hAnsi="宋体" w:eastAsia="宋体" w:cs="宋体"/>
                <w:b w:val="0"/>
                <w:bCs w:val="0"/>
                <w:color w:val="000000"/>
                <w:sz w:val="24"/>
                <w:szCs w:val="24"/>
                <w:lang w:val="en-US" w:eastAsia="zh-CN"/>
              </w:rPr>
            </w:r>
            <w:r/>
          </w:p>
          <w:p>
            <w:pPr>
              <w:pStyle w:val="1118"/>
              <w:spacing w:line="36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未提供方案不得分。</w:t>
            </w:r>
            <w:r>
              <w:rPr>
                <w:rFonts w:hint="eastAsia" w:ascii="宋体" w:hAnsi="宋体" w:eastAsia="宋体" w:cs="宋体"/>
                <w:b w:val="0"/>
                <w:bCs w:val="0"/>
                <w:color w:val="000000"/>
                <w:sz w:val="24"/>
                <w:szCs w:val="24"/>
                <w:lang w:val="en-US" w:eastAsia="zh-CN"/>
              </w:rPr>
            </w:r>
            <w:r/>
          </w:p>
        </w:tc>
        <w:tc>
          <w:tcPr>
            <w:tcW w:w="1692" w:type="dxa"/>
            <w:vAlign w:val="center"/>
            <w:textDirection w:val="lrTb"/>
            <w:noWrap w:val="false"/>
          </w:tcPr>
          <w:p>
            <w:pPr>
              <w:pStyle w:val="1118"/>
              <w:spacing w:line="400" w:lineRule="exact"/>
              <w:rPr>
                <w:rFonts w:hint="eastAsia" w:ascii="宋体" w:hAnsi="宋体" w:cs="宋体"/>
                <w:sz w:val="24"/>
              </w:rPr>
            </w:pPr>
            <w:r>
              <w:rPr>
                <w:rFonts w:hint="eastAsia" w:ascii="宋体" w:hAnsi="宋体" w:cs="宋体"/>
                <w:sz w:val="24"/>
              </w:rPr>
            </w:r>
            <w:r/>
          </w:p>
        </w:tc>
      </w:tr>
      <w:tr>
        <w:trPr/>
        <w:tc>
          <w:tcPr>
            <w:tcW w:w="610" w:type="dxa"/>
            <w:vAlign w:val="center"/>
            <w:textDirection w:val="lrTb"/>
            <w:noWrap w:val="false"/>
          </w:tcPr>
          <w:p>
            <w:pPr>
              <w:pStyle w:val="1118"/>
              <w:ind w:firstLine="28"/>
              <w:jc w:val="center"/>
              <w:spacing w:line="400" w:lineRule="exact"/>
              <w:rPr>
                <w:rFonts w:ascii="宋体" w:hAnsi="宋体" w:eastAsia="宋体" w:cs="宋体"/>
                <w:sz w:val="24"/>
                <w:szCs w:val="24"/>
                <w:lang w:val="en-US" w:eastAsia="zh-CN"/>
              </w:rPr>
            </w:pPr>
            <w:r>
              <w:rPr>
                <w:rFonts w:hint="eastAsia" w:ascii="宋体" w:hAnsi="宋体" w:cs="宋体"/>
                <w:sz w:val="24"/>
                <w:szCs w:val="24"/>
                <w:lang w:val="en-US" w:eastAsia="zh-CN"/>
              </w:rPr>
              <w:t xml:space="preserve">3.2</w:t>
            </w:r>
            <w:r>
              <w:rPr>
                <w:rFonts w:ascii="宋体" w:hAnsi="宋体" w:eastAsia="宋体" w:cs="宋体"/>
                <w:sz w:val="24"/>
                <w:szCs w:val="24"/>
                <w:lang w:val="en-US" w:eastAsia="zh-CN"/>
              </w:rPr>
            </w:r>
            <w:r/>
          </w:p>
        </w:tc>
        <w:tc>
          <w:tcPr>
            <w:tcW w:w="1606" w:type="dxa"/>
            <w:vAlign w:val="center"/>
            <w:textDirection w:val="lrTb"/>
            <w:noWrap w:val="false"/>
          </w:tcPr>
          <w:p>
            <w:pPr>
              <w:pStyle w:val="1118"/>
              <w:jc w:val="center"/>
              <w:spacing w:line="400" w:lineRule="exact"/>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售后服务</w:t>
            </w:r>
            <w:r>
              <w:rPr>
                <w:rFonts w:hint="eastAsia" w:ascii="宋体" w:hAnsi="宋体" w:cs="宋体"/>
                <w:bCs/>
                <w:sz w:val="24"/>
                <w:szCs w:val="24"/>
                <w:lang w:val="en-US" w:eastAsia="zh-CN"/>
              </w:rPr>
            </w:r>
            <w:r/>
          </w:p>
          <w:p>
            <w:pPr>
              <w:pStyle w:val="1118"/>
              <w:jc w:val="center"/>
              <w:spacing w:line="400" w:lineRule="exact"/>
              <w:rPr>
                <w:rFonts w:ascii="宋体" w:hAnsi="宋体" w:eastAsia="宋体" w:cs="宋体"/>
                <w:bCs/>
                <w:sz w:val="24"/>
                <w:szCs w:val="24"/>
                <w:lang w:val="en-US" w:eastAsia="zh-CN"/>
              </w:rPr>
            </w:pPr>
            <w:r>
              <w:rPr>
                <w:rFonts w:hint="eastAsia" w:ascii="宋体" w:hAnsi="宋体" w:cs="宋体"/>
                <w:bCs/>
                <w:sz w:val="24"/>
                <w:szCs w:val="24"/>
                <w:lang w:val="en-US" w:eastAsia="zh-CN"/>
              </w:rPr>
              <w:t xml:space="preserve">方案</w:t>
            </w:r>
            <w:r>
              <w:rPr>
                <w:rFonts w:ascii="宋体" w:hAnsi="宋体" w:eastAsia="宋体" w:cs="宋体"/>
                <w:bCs/>
                <w:sz w:val="24"/>
                <w:szCs w:val="24"/>
                <w:lang w:val="en-US" w:eastAsia="zh-CN"/>
              </w:rPr>
            </w:r>
            <w:r/>
          </w:p>
        </w:tc>
        <w:tc>
          <w:tcPr>
            <w:tcW w:w="802" w:type="dxa"/>
            <w:vAlign w:val="center"/>
            <w:textDirection w:val="lrTb"/>
            <w:noWrap w:val="false"/>
          </w:tcPr>
          <w:p>
            <w:pPr>
              <w:pStyle w:val="1118"/>
              <w:jc w:val="center"/>
              <w:spacing w:line="400" w:lineRule="exact"/>
              <w:rPr>
                <w:rFonts w:ascii="宋体" w:hAnsi="宋体" w:eastAsia="宋体" w:cs="宋体"/>
                <w:bCs/>
                <w:sz w:val="24"/>
                <w:szCs w:val="24"/>
                <w:lang w:val="en-US" w:eastAsia="zh-CN"/>
              </w:rPr>
            </w:pPr>
            <w:r>
              <w:rPr>
                <w:rFonts w:hint="eastAsia" w:ascii="宋体" w:hAnsi="宋体" w:cs="宋体"/>
                <w:bCs/>
                <w:sz w:val="24"/>
                <w:szCs w:val="24"/>
                <w:lang w:val="en-US" w:eastAsia="zh-CN"/>
              </w:rPr>
              <w:t xml:space="preserve">11</w:t>
            </w:r>
            <w:r>
              <w:rPr>
                <w:rFonts w:ascii="宋体" w:hAnsi="宋体" w:eastAsia="宋体" w:cs="宋体"/>
                <w:bCs/>
                <w:sz w:val="24"/>
                <w:szCs w:val="24"/>
                <w:lang w:val="en-US" w:eastAsia="zh-CN"/>
              </w:rPr>
            </w:r>
            <w:r/>
          </w:p>
        </w:tc>
        <w:tc>
          <w:tcPr>
            <w:tcW w:w="4571" w:type="dxa"/>
            <w:vAlign w:val="center"/>
            <w:textDirection w:val="lrTb"/>
            <w:noWrap w:val="false"/>
          </w:tcPr>
          <w:p>
            <w:pPr>
              <w:pStyle w:val="1118"/>
              <w:spacing w:line="400" w:lineRule="exact"/>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lang w:val="en-US" w:eastAsia="zh-CN"/>
              </w:rPr>
              <w:t xml:space="preserve">供应商</w:t>
            </w:r>
            <w:r>
              <w:rPr>
                <w:rFonts w:hint="eastAsia" w:ascii="宋体" w:hAnsi="宋体" w:eastAsia="宋体" w:cs="宋体"/>
                <w:b w:val="0"/>
                <w:bCs w:val="0"/>
                <w:color w:val="000000"/>
                <w:sz w:val="24"/>
                <w:szCs w:val="24"/>
              </w:rPr>
              <w:t xml:space="preserve">针对本项目制定的售后服务方案，包括但不限于以下内容： 1、售后服务承诺；</w:t>
            </w:r>
            <w:r>
              <w:rPr>
                <w:rFonts w:hint="eastAsia" w:ascii="宋体" w:hAnsi="宋体" w:eastAsia="宋体" w:cs="宋体"/>
                <w:b w:val="0"/>
                <w:bCs w:val="0"/>
                <w:color w:val="000000"/>
                <w:sz w:val="24"/>
                <w:szCs w:val="24"/>
                <w:lang w:val="en-US" w:eastAsia="zh-CN"/>
              </w:rPr>
              <w:t xml:space="preserve">2</w:t>
            </w:r>
            <w:r>
              <w:rPr>
                <w:rFonts w:hint="eastAsia" w:ascii="宋体" w:hAnsi="宋体" w:eastAsia="宋体" w:cs="宋体"/>
                <w:b w:val="0"/>
                <w:bCs w:val="0"/>
                <w:color w:val="000000"/>
                <w:sz w:val="24"/>
                <w:szCs w:val="24"/>
              </w:rPr>
              <w:t xml:space="preserve">、售后服务培训计划； </w:t>
            </w:r>
            <w:r>
              <w:rPr>
                <w:rFonts w:hint="eastAsia" w:ascii="宋体" w:hAnsi="宋体" w:eastAsia="宋体" w:cs="宋体"/>
                <w:b w:val="0"/>
                <w:bCs w:val="0"/>
                <w:color w:val="000000"/>
                <w:sz w:val="24"/>
                <w:szCs w:val="24"/>
                <w:lang w:val="en-US" w:eastAsia="zh-CN"/>
              </w:rPr>
              <w:t xml:space="preserve">3</w:t>
            </w:r>
            <w:r>
              <w:rPr>
                <w:rFonts w:hint="eastAsia" w:ascii="宋体" w:hAnsi="宋体" w:eastAsia="宋体" w:cs="宋体"/>
                <w:b w:val="0"/>
                <w:bCs w:val="0"/>
                <w:color w:val="000000"/>
                <w:sz w:val="24"/>
                <w:szCs w:val="24"/>
              </w:rPr>
              <w:t xml:space="preserve">、售后维修响应及解决时间； </w:t>
            </w:r>
            <w:r>
              <w:rPr>
                <w:rFonts w:hint="eastAsia" w:ascii="宋体" w:hAnsi="宋体" w:eastAsia="宋体" w:cs="宋体"/>
                <w:b w:val="0"/>
                <w:bCs w:val="0"/>
                <w:color w:val="000000"/>
                <w:sz w:val="24"/>
                <w:szCs w:val="24"/>
                <w:lang w:val="en-US" w:eastAsia="zh-CN"/>
              </w:rPr>
              <w:t xml:space="preserve">4</w:t>
            </w:r>
            <w:r>
              <w:rPr>
                <w:rFonts w:hint="eastAsia" w:ascii="宋体" w:hAnsi="宋体" w:eastAsia="宋体" w:cs="宋体"/>
                <w:b w:val="0"/>
                <w:bCs w:val="0"/>
                <w:color w:val="000000"/>
                <w:sz w:val="24"/>
                <w:szCs w:val="24"/>
              </w:rPr>
              <w:t xml:space="preserve">、售后服务人员安排。 </w:t>
            </w:r>
            <w:r>
              <w:rPr>
                <w:rFonts w:hint="eastAsia" w:ascii="宋体" w:hAnsi="宋体" w:eastAsia="宋体" w:cs="宋体"/>
                <w:b w:val="0"/>
                <w:bCs w:val="0"/>
                <w:color w:val="000000"/>
                <w:sz w:val="24"/>
                <w:szCs w:val="24"/>
              </w:rPr>
            </w:r>
            <w:r/>
          </w:p>
          <w:p>
            <w:pPr>
              <w:pStyle w:val="1118"/>
              <w:numPr>
                <w:ilvl w:val="0"/>
                <w:numId w:val="0"/>
              </w:numPr>
              <w:spacing w:line="40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1.方案内容完整全面，内容前后逻辑性强，得11分；</w:t>
            </w:r>
            <w:r>
              <w:rPr>
                <w:rFonts w:hint="eastAsia" w:ascii="宋体" w:hAnsi="宋体" w:eastAsia="宋体" w:cs="宋体"/>
                <w:b w:val="0"/>
                <w:bCs w:val="0"/>
                <w:color w:val="000000"/>
                <w:sz w:val="24"/>
                <w:szCs w:val="24"/>
                <w:lang w:val="en-US" w:eastAsia="zh-CN"/>
              </w:rPr>
            </w:r>
            <w:r/>
          </w:p>
          <w:p>
            <w:pPr>
              <w:pStyle w:val="1118"/>
              <w:numPr>
                <w:ilvl w:val="0"/>
                <w:numId w:val="0"/>
              </w:numPr>
              <w:spacing w:line="400" w:lineRule="exact"/>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2.方案内容较完整全面，内容前后逻辑性较强，得7分；</w:t>
            </w:r>
            <w:r>
              <w:rPr>
                <w:rFonts w:ascii="宋体" w:hAnsi="宋体" w:eastAsia="宋体" w:cs="宋体"/>
                <w:b w:val="0"/>
                <w:bCs w:val="0"/>
                <w:color w:val="000000"/>
                <w:sz w:val="24"/>
                <w:szCs w:val="24"/>
                <w:lang w:val="en-US" w:eastAsia="zh-CN"/>
              </w:rPr>
            </w:r>
            <w:r/>
          </w:p>
          <w:p>
            <w:pPr>
              <w:pStyle w:val="1118"/>
              <w:numPr>
                <w:ilvl w:val="0"/>
                <w:numId w:val="0"/>
              </w:numPr>
              <w:spacing w:line="400" w:lineRule="exact"/>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3.方案内容稍有缺漏。内容描述准确性稍有欠缺，得4分；</w:t>
            </w:r>
            <w:r>
              <w:rPr>
                <w:rFonts w:ascii="宋体" w:hAnsi="宋体" w:eastAsia="宋体" w:cs="宋体"/>
                <w:b w:val="0"/>
                <w:bCs w:val="0"/>
                <w:color w:val="000000"/>
                <w:sz w:val="24"/>
                <w:szCs w:val="24"/>
                <w:lang w:val="en-US" w:eastAsia="zh-CN"/>
              </w:rPr>
            </w:r>
            <w:r/>
          </w:p>
          <w:p>
            <w:pPr>
              <w:pStyle w:val="1118"/>
              <w:numPr>
                <w:ilvl w:val="0"/>
                <w:numId w:val="0"/>
              </w:numPr>
              <w:spacing w:line="400" w:lineRule="exact"/>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4.方案内容简单、缺漏多，内容描述文不对题，得1分；</w:t>
            </w:r>
            <w:r>
              <w:rPr>
                <w:rFonts w:ascii="宋体" w:hAnsi="宋体" w:eastAsia="宋体" w:cs="宋体"/>
                <w:b w:val="0"/>
                <w:bCs w:val="0"/>
                <w:color w:val="000000"/>
                <w:sz w:val="24"/>
                <w:szCs w:val="24"/>
                <w:lang w:val="en-US" w:eastAsia="zh-CN"/>
              </w:rPr>
            </w:r>
            <w:r/>
          </w:p>
          <w:p>
            <w:pPr>
              <w:pStyle w:val="1118"/>
              <w:numPr>
                <w:ilvl w:val="0"/>
                <w:numId w:val="0"/>
              </w:numPr>
              <w:spacing w:line="400" w:lineRule="exact"/>
              <w:rPr>
                <w:rFonts w:hint="eastAsia" w:ascii="宋体" w:hAnsi="宋体" w:cs="宋体"/>
                <w:sz w:val="24"/>
                <w:szCs w:val="24"/>
              </w:rPr>
            </w:pPr>
            <w:r>
              <w:rPr>
                <w:rFonts w:hint="eastAsia" w:ascii="宋体" w:hAnsi="宋体" w:eastAsia="宋体" w:cs="宋体"/>
                <w:b w:val="0"/>
                <w:bCs w:val="0"/>
                <w:color w:val="000000"/>
                <w:sz w:val="24"/>
                <w:szCs w:val="24"/>
                <w:lang w:val="en-US" w:eastAsia="zh-CN"/>
              </w:rPr>
              <w:t xml:space="preserve">5.未提供方案不得分。</w:t>
            </w:r>
            <w:r>
              <w:rPr>
                <w:rFonts w:hint="eastAsia" w:ascii="宋体" w:hAnsi="宋体" w:cs="宋体"/>
                <w:sz w:val="24"/>
                <w:szCs w:val="24"/>
              </w:rPr>
            </w:r>
            <w:r/>
          </w:p>
        </w:tc>
        <w:tc>
          <w:tcPr>
            <w:tcW w:w="1692" w:type="dxa"/>
            <w:vAlign w:val="center"/>
            <w:textDirection w:val="lrTb"/>
            <w:noWrap w:val="false"/>
          </w:tcPr>
          <w:p>
            <w:pPr>
              <w:pStyle w:val="1118"/>
              <w:spacing w:line="400" w:lineRule="exact"/>
              <w:rPr>
                <w:rFonts w:hint="eastAsia" w:ascii="宋体" w:hAnsi="宋体" w:cs="宋体"/>
                <w:sz w:val="24"/>
              </w:rPr>
            </w:pPr>
            <w:r>
              <w:rPr>
                <w:rFonts w:hint="eastAsia" w:ascii="宋体" w:hAnsi="宋体" w:cs="宋体"/>
                <w:sz w:val="24"/>
              </w:rPr>
            </w:r>
            <w:r/>
          </w:p>
        </w:tc>
      </w:tr>
      <w:tr>
        <w:trPr/>
        <w:tc>
          <w:tcPr>
            <w:tcW w:w="610" w:type="dxa"/>
            <w:vAlign w:val="center"/>
            <w:textDirection w:val="lrTb"/>
            <w:noWrap w:val="false"/>
          </w:tcPr>
          <w:p>
            <w:pPr>
              <w:pStyle w:val="1118"/>
              <w:ind w:firstLine="28"/>
              <w:jc w:val="center"/>
              <w:spacing w:line="400" w:lineRule="exact"/>
              <w:rPr>
                <w:rFonts w:ascii="宋体" w:hAnsi="宋体" w:eastAsia="宋体" w:cs="宋体"/>
                <w:sz w:val="24"/>
                <w:szCs w:val="24"/>
                <w:lang w:val="en-US" w:eastAsia="zh-CN"/>
              </w:rPr>
            </w:pPr>
            <w:r>
              <w:rPr>
                <w:rFonts w:hint="eastAsia" w:ascii="宋体" w:hAnsi="宋体" w:cs="宋体"/>
                <w:sz w:val="24"/>
                <w:szCs w:val="24"/>
                <w:lang w:val="en-US" w:eastAsia="zh-CN"/>
              </w:rPr>
              <w:t xml:space="preserve">3.3</w:t>
            </w:r>
            <w:r>
              <w:rPr>
                <w:rFonts w:ascii="宋体" w:hAnsi="宋体" w:eastAsia="宋体" w:cs="宋体"/>
                <w:sz w:val="24"/>
                <w:szCs w:val="24"/>
                <w:lang w:val="en-US" w:eastAsia="zh-CN"/>
              </w:rPr>
            </w:r>
            <w:r/>
          </w:p>
        </w:tc>
        <w:tc>
          <w:tcPr>
            <w:tcW w:w="1606" w:type="dxa"/>
            <w:vAlign w:val="center"/>
            <w:textDirection w:val="lrTb"/>
            <w:noWrap w:val="false"/>
          </w:tcPr>
          <w:p>
            <w:pPr>
              <w:pStyle w:val="1118"/>
              <w:jc w:val="center"/>
              <w:spacing w:line="400" w:lineRule="exact"/>
              <w:rPr>
                <w:rFonts w:hint="eastAsia" w:ascii="宋体" w:hAnsi="宋体" w:cs="宋体"/>
                <w:bCs/>
                <w:sz w:val="24"/>
                <w:szCs w:val="24"/>
              </w:rPr>
            </w:pPr>
            <w:r>
              <w:rPr>
                <w:rFonts w:hint="eastAsia" w:ascii="宋体" w:hAnsi="宋体" w:eastAsia="宋体" w:cs="宋体"/>
                <w:b w:val="0"/>
                <w:bCs w:val="0"/>
                <w:color w:val="000000"/>
                <w:sz w:val="24"/>
                <w:szCs w:val="24"/>
              </w:rPr>
              <w:t xml:space="preserve">质量保证措施</w:t>
            </w:r>
            <w:r>
              <w:rPr>
                <w:rFonts w:hint="eastAsia" w:ascii="宋体" w:hAnsi="宋体" w:cs="宋体"/>
                <w:bCs/>
                <w:sz w:val="24"/>
                <w:szCs w:val="24"/>
              </w:rPr>
            </w:r>
            <w:r/>
          </w:p>
        </w:tc>
        <w:tc>
          <w:tcPr>
            <w:tcW w:w="802" w:type="dxa"/>
            <w:vAlign w:val="center"/>
            <w:textDirection w:val="lrTb"/>
            <w:noWrap w:val="false"/>
          </w:tcPr>
          <w:p>
            <w:pPr>
              <w:pStyle w:val="1118"/>
              <w:jc w:val="center"/>
              <w:spacing w:line="400" w:lineRule="exact"/>
              <w:rPr>
                <w:rFonts w:ascii="宋体" w:hAnsi="宋体" w:eastAsia="宋体" w:cs="宋体"/>
                <w:bCs/>
                <w:sz w:val="24"/>
                <w:szCs w:val="24"/>
                <w:lang w:val="en-US" w:eastAsia="zh-CN"/>
              </w:rPr>
            </w:pPr>
            <w:r>
              <w:rPr>
                <w:rFonts w:hint="eastAsia" w:ascii="宋体" w:hAnsi="宋体" w:cs="宋体"/>
                <w:bCs/>
                <w:sz w:val="24"/>
                <w:szCs w:val="24"/>
                <w:lang w:val="en-US" w:eastAsia="zh-CN"/>
              </w:rPr>
              <w:t xml:space="preserve">10</w:t>
            </w:r>
            <w:r>
              <w:rPr>
                <w:rFonts w:ascii="宋体" w:hAnsi="宋体" w:eastAsia="宋体" w:cs="宋体"/>
                <w:bCs/>
                <w:sz w:val="24"/>
                <w:szCs w:val="24"/>
                <w:lang w:val="en-US" w:eastAsia="zh-CN"/>
              </w:rPr>
            </w:r>
            <w:r/>
          </w:p>
        </w:tc>
        <w:tc>
          <w:tcPr>
            <w:tcW w:w="4571" w:type="dxa"/>
            <w:vAlign w:val="center"/>
            <w:textDirection w:val="lrTb"/>
            <w:noWrap w:val="false"/>
          </w:tcPr>
          <w:p>
            <w:pPr>
              <w:pStyle w:val="1118"/>
              <w:spacing w:line="400" w:lineRule="exact"/>
              <w:rPr>
                <w:rFonts w:ascii="Times New Roman" w:hAnsi="Times New Roman" w:eastAsia="宋体" w:cs="Times New Roman"/>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供应商</w:t>
            </w:r>
            <w:r>
              <w:rPr>
                <w:rFonts w:hint="eastAsia" w:ascii="宋体" w:hAnsi="宋体" w:eastAsia="宋体" w:cs="宋体"/>
                <w:b w:val="0"/>
                <w:bCs w:val="0"/>
                <w:color w:val="000000"/>
                <w:sz w:val="24"/>
                <w:szCs w:val="24"/>
              </w:rPr>
              <w:t xml:space="preserve">针对于本项目制定相应的产品质量保证措施方案，包含但不限于以下几个方面：</w:t>
            </w:r>
            <w:r>
              <w:rPr>
                <w:rFonts w:ascii="Times New Roman" w:hAnsi="Times New Roman" w:eastAsia="宋体" w:cs="Times New Roman"/>
                <w:b w:val="0"/>
                <w:bCs w:val="0"/>
                <w:color w:val="000000"/>
                <w:sz w:val="24"/>
                <w:szCs w:val="24"/>
              </w:rPr>
              <w:t xml:space="preserve"> 1</w:t>
            </w:r>
            <w:r>
              <w:rPr>
                <w:rFonts w:hint="eastAsia" w:ascii="宋体" w:hAnsi="宋体" w:eastAsia="宋体" w:cs="宋体"/>
                <w:b w:val="0"/>
                <w:bCs w:val="0"/>
                <w:color w:val="000000"/>
                <w:sz w:val="24"/>
                <w:szCs w:val="24"/>
              </w:rPr>
              <w:t xml:space="preserve">、</w:t>
            </w:r>
            <w:r>
              <w:rPr>
                <w:rFonts w:hint="eastAsia" w:ascii="宋体" w:hAnsi="宋体" w:eastAsia="宋体" w:cs="宋体"/>
                <w:b w:val="0"/>
                <w:bCs w:val="0"/>
                <w:color w:val="000000"/>
                <w:sz w:val="24"/>
                <w:szCs w:val="24"/>
                <w:lang w:val="en-US" w:eastAsia="zh-CN"/>
              </w:rPr>
              <w:t xml:space="preserve">产品选配方案、2、</w:t>
            </w:r>
            <w:r>
              <w:rPr>
                <w:rFonts w:hint="eastAsia" w:ascii="宋体" w:hAnsi="宋体" w:eastAsia="宋体" w:cs="宋体"/>
                <w:b w:val="0"/>
                <w:bCs w:val="0"/>
                <w:color w:val="000000"/>
                <w:sz w:val="24"/>
                <w:szCs w:val="24"/>
              </w:rPr>
              <w:t xml:space="preserve">质量保障措施</w:t>
            </w:r>
            <w:r>
              <w:rPr>
                <w:rFonts w:hint="eastAsia" w:ascii="宋体" w:hAnsi="宋体" w:eastAsia="宋体" w:cs="宋体"/>
                <w:b w:val="0"/>
                <w:bCs w:val="0"/>
                <w:color w:val="000000"/>
                <w:sz w:val="24"/>
                <w:szCs w:val="24"/>
                <w:lang w:val="en-US" w:eastAsia="zh-CN"/>
              </w:rPr>
              <w:t xml:space="preserve">等内容。</w:t>
            </w:r>
            <w:r>
              <w:rPr>
                <w:rFonts w:ascii="Times New Roman" w:hAnsi="Times New Roman" w:eastAsia="宋体" w:cs="Times New Roman"/>
                <w:b w:val="0"/>
                <w:bCs w:val="0"/>
                <w:color w:val="000000"/>
                <w:sz w:val="24"/>
                <w:szCs w:val="24"/>
                <w:lang w:val="en-US" w:eastAsia="zh-CN"/>
              </w:rPr>
            </w:r>
            <w:r/>
          </w:p>
          <w:p>
            <w:pPr>
              <w:pStyle w:val="1118"/>
              <w:numPr>
                <w:ilvl w:val="0"/>
                <w:numId w:val="0"/>
              </w:numPr>
              <w:spacing w:line="40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1.方案内容完整全面，内容前后逻辑性强，得10分；</w:t>
            </w:r>
            <w:r>
              <w:rPr>
                <w:rFonts w:hint="eastAsia" w:ascii="宋体" w:hAnsi="宋体" w:eastAsia="宋体" w:cs="宋体"/>
                <w:b w:val="0"/>
                <w:bCs w:val="0"/>
                <w:color w:val="000000"/>
                <w:sz w:val="24"/>
                <w:szCs w:val="24"/>
                <w:lang w:val="en-US" w:eastAsia="zh-CN"/>
              </w:rPr>
            </w:r>
            <w:r/>
          </w:p>
          <w:p>
            <w:pPr>
              <w:pStyle w:val="1118"/>
              <w:numPr>
                <w:ilvl w:val="0"/>
                <w:numId w:val="0"/>
              </w:numPr>
              <w:spacing w:line="400" w:lineRule="exact"/>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2.方案内容较完整全面，内容前后逻辑性较强，得7分；</w:t>
            </w:r>
            <w:r>
              <w:rPr>
                <w:rFonts w:ascii="宋体" w:hAnsi="宋体" w:eastAsia="宋体" w:cs="宋体"/>
                <w:b w:val="0"/>
                <w:bCs w:val="0"/>
                <w:color w:val="000000"/>
                <w:sz w:val="24"/>
                <w:szCs w:val="24"/>
                <w:lang w:val="en-US" w:eastAsia="zh-CN"/>
              </w:rPr>
            </w:r>
            <w:r/>
          </w:p>
          <w:p>
            <w:pPr>
              <w:pStyle w:val="1118"/>
              <w:numPr>
                <w:ilvl w:val="0"/>
                <w:numId w:val="0"/>
              </w:numPr>
              <w:spacing w:line="400" w:lineRule="exact"/>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3.方案内容稍有缺漏。内容描述准确性稍有欠缺，得4分；</w:t>
            </w:r>
            <w:r>
              <w:rPr>
                <w:rFonts w:ascii="宋体" w:hAnsi="宋体" w:eastAsia="宋体" w:cs="宋体"/>
                <w:b w:val="0"/>
                <w:bCs w:val="0"/>
                <w:color w:val="000000"/>
                <w:sz w:val="24"/>
                <w:szCs w:val="24"/>
                <w:lang w:val="en-US" w:eastAsia="zh-CN"/>
              </w:rPr>
            </w:r>
            <w:r/>
          </w:p>
          <w:p>
            <w:pPr>
              <w:pStyle w:val="1118"/>
              <w:numPr>
                <w:ilvl w:val="0"/>
                <w:numId w:val="0"/>
              </w:numPr>
              <w:spacing w:line="400" w:lineRule="exact"/>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4.方案内容简单、缺漏多，内容描述文不对题，得1分；</w:t>
            </w:r>
            <w:r>
              <w:rPr>
                <w:rFonts w:ascii="宋体" w:hAnsi="宋体" w:eastAsia="宋体" w:cs="宋体"/>
                <w:b w:val="0"/>
                <w:bCs w:val="0"/>
                <w:color w:val="000000"/>
                <w:sz w:val="24"/>
                <w:szCs w:val="24"/>
                <w:lang w:val="en-US" w:eastAsia="zh-CN"/>
              </w:rPr>
            </w:r>
            <w:r/>
          </w:p>
          <w:p>
            <w:pPr>
              <w:pStyle w:val="1118"/>
              <w:spacing w:line="400" w:lineRule="exact"/>
              <w:rPr>
                <w:rFonts w:hint="eastAsia" w:ascii="Times New Roman" w:hAnsi="Times New Roman" w:eastAsia="宋体" w:cs="Times New Roman"/>
                <w:b w:val="0"/>
                <w:bCs w:val="0"/>
                <w:color w:val="000000"/>
                <w:sz w:val="24"/>
                <w:szCs w:val="24"/>
                <w:lang w:eastAsia="zh-CN"/>
              </w:rPr>
            </w:pPr>
            <w:r>
              <w:rPr>
                <w:rFonts w:hint="eastAsia" w:ascii="宋体" w:hAnsi="宋体" w:eastAsia="宋体" w:cs="宋体"/>
                <w:b w:val="0"/>
                <w:bCs w:val="0"/>
                <w:color w:val="000000"/>
                <w:sz w:val="24"/>
                <w:szCs w:val="24"/>
                <w:lang w:val="en-US" w:eastAsia="zh-CN"/>
              </w:rPr>
              <w:t xml:space="preserve">5.未提供方案不得分。</w:t>
            </w:r>
            <w:r>
              <w:rPr>
                <w:rFonts w:hint="eastAsia" w:ascii="Times New Roman" w:hAnsi="Times New Roman" w:eastAsia="宋体" w:cs="Times New Roman"/>
                <w:b w:val="0"/>
                <w:bCs w:val="0"/>
                <w:color w:val="000000"/>
                <w:sz w:val="24"/>
                <w:szCs w:val="24"/>
                <w:lang w:eastAsia="zh-CN"/>
              </w:rPr>
            </w:r>
            <w:r/>
          </w:p>
        </w:tc>
        <w:tc>
          <w:tcPr>
            <w:tcW w:w="1692" w:type="dxa"/>
            <w:vAlign w:val="center"/>
            <w:textDirection w:val="lrTb"/>
            <w:noWrap w:val="false"/>
          </w:tcPr>
          <w:p>
            <w:pPr>
              <w:pStyle w:val="1118"/>
              <w:spacing w:line="400" w:lineRule="exact"/>
              <w:rPr>
                <w:rFonts w:hint="eastAsia" w:ascii="宋体" w:hAnsi="宋体" w:cs="宋体"/>
                <w:sz w:val="24"/>
              </w:rPr>
            </w:pPr>
            <w:r>
              <w:rPr>
                <w:rFonts w:hint="eastAsia" w:ascii="宋体" w:hAnsi="宋体" w:cs="宋体"/>
                <w:sz w:val="24"/>
              </w:rPr>
            </w:r>
            <w:r/>
          </w:p>
        </w:tc>
      </w:tr>
      <w:tr>
        <w:trPr/>
        <w:tc>
          <w:tcPr>
            <w:tcW w:w="610" w:type="dxa"/>
            <w:vAlign w:val="center"/>
            <w:textDirection w:val="lrTb"/>
            <w:noWrap w:val="false"/>
          </w:tcPr>
          <w:p>
            <w:pPr>
              <w:pStyle w:val="1118"/>
              <w:ind w:firstLine="28"/>
              <w:jc w:val="center"/>
              <w:spacing w:line="400" w:lineRule="exact"/>
              <w:rPr>
                <w:rFonts w:ascii="宋体" w:hAnsi="宋体" w:eastAsia="宋体" w:cs="宋体"/>
                <w:sz w:val="24"/>
                <w:szCs w:val="24"/>
                <w:lang w:val="en-US" w:eastAsia="zh-CN"/>
              </w:rPr>
            </w:pPr>
            <w:r>
              <w:rPr>
                <w:rFonts w:hint="eastAsia" w:ascii="宋体" w:hAnsi="宋体" w:cs="宋体"/>
                <w:sz w:val="24"/>
                <w:szCs w:val="24"/>
                <w:lang w:val="en-US" w:eastAsia="zh-CN"/>
              </w:rPr>
              <w:t xml:space="preserve">3.4</w:t>
            </w:r>
            <w:r>
              <w:rPr>
                <w:rFonts w:ascii="宋体" w:hAnsi="宋体" w:eastAsia="宋体" w:cs="宋体"/>
                <w:sz w:val="24"/>
                <w:szCs w:val="24"/>
                <w:lang w:val="en-US" w:eastAsia="zh-CN"/>
              </w:rPr>
            </w:r>
            <w:r/>
          </w:p>
        </w:tc>
        <w:tc>
          <w:tcPr>
            <w:tcW w:w="1606" w:type="dxa"/>
            <w:vAlign w:val="center"/>
            <w:textDirection w:val="lrTb"/>
            <w:noWrap w:val="false"/>
          </w:tcPr>
          <w:p>
            <w:pPr>
              <w:pStyle w:val="1118"/>
              <w:numPr>
                <w:ilvl w:val="0"/>
                <w:numId w:val="0"/>
              </w:numPr>
              <w:jc w:val="center"/>
              <w:spacing w:line="40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所投产品质量、性能评价</w:t>
            </w:r>
            <w:r>
              <w:rPr>
                <w:rFonts w:hint="eastAsia" w:ascii="宋体" w:hAnsi="宋体" w:eastAsia="宋体" w:cs="宋体"/>
                <w:b w:val="0"/>
                <w:bCs w:val="0"/>
                <w:color w:val="000000"/>
                <w:sz w:val="24"/>
                <w:szCs w:val="24"/>
                <w:lang w:val="en-US" w:eastAsia="zh-CN"/>
              </w:rPr>
            </w:r>
            <w:r/>
          </w:p>
        </w:tc>
        <w:tc>
          <w:tcPr>
            <w:tcW w:w="802" w:type="dxa"/>
            <w:vAlign w:val="center"/>
            <w:textDirection w:val="lrTb"/>
            <w:noWrap w:val="false"/>
          </w:tcPr>
          <w:p>
            <w:pPr>
              <w:pStyle w:val="1118"/>
              <w:numPr>
                <w:ilvl w:val="0"/>
                <w:numId w:val="0"/>
              </w:numPr>
              <w:jc w:val="center"/>
              <w:spacing w:line="400" w:lineRule="exact"/>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12</w:t>
            </w:r>
            <w:r>
              <w:rPr>
                <w:rFonts w:ascii="宋体" w:hAnsi="宋体" w:eastAsia="宋体" w:cs="宋体"/>
                <w:b w:val="0"/>
                <w:bCs w:val="0"/>
                <w:color w:val="000000"/>
                <w:sz w:val="24"/>
                <w:szCs w:val="24"/>
                <w:lang w:val="en-US" w:eastAsia="zh-CN"/>
              </w:rPr>
            </w:r>
            <w:r/>
          </w:p>
        </w:tc>
        <w:tc>
          <w:tcPr>
            <w:tcW w:w="4571" w:type="dxa"/>
            <w:vAlign w:val="center"/>
            <w:textDirection w:val="lrTb"/>
            <w:noWrap w:val="false"/>
          </w:tcPr>
          <w:p>
            <w:pPr>
              <w:pStyle w:val="1118"/>
              <w:numPr>
                <w:ilvl w:val="0"/>
                <w:numId w:val="0"/>
              </w:numPr>
              <w:spacing w:line="40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根据供应商响应文件中所投产品介绍、产品实样照片、产品品质、产品配置等，从性能稳定性、质量可靠性等方面综合评分。</w:t>
            </w:r>
            <w:r>
              <w:rPr>
                <w:rFonts w:hint="eastAsia" w:ascii="宋体" w:hAnsi="宋体" w:eastAsia="宋体" w:cs="宋体"/>
                <w:b w:val="0"/>
                <w:bCs w:val="0"/>
                <w:color w:val="000000"/>
                <w:sz w:val="24"/>
                <w:szCs w:val="24"/>
                <w:lang w:val="en-US" w:eastAsia="zh-CN"/>
              </w:rPr>
            </w:r>
            <w:r/>
          </w:p>
          <w:p>
            <w:pPr>
              <w:pStyle w:val="1118"/>
              <w:numPr>
                <w:ilvl w:val="0"/>
                <w:numId w:val="13"/>
              </w:numPr>
              <w:spacing w:line="400" w:lineRule="exact"/>
              <w:tabs>
                <w:tab w:val="left" w:pos="312" w:leader="none"/>
              </w:tabs>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产品稳定性强、质量可靠性高，得12分；</w:t>
            </w:r>
            <w:r>
              <w:rPr>
                <w:rFonts w:hint="eastAsia" w:ascii="宋体" w:hAnsi="宋体" w:eastAsia="宋体" w:cs="宋体"/>
                <w:b w:val="0"/>
                <w:bCs w:val="0"/>
                <w:color w:val="000000"/>
                <w:sz w:val="24"/>
                <w:szCs w:val="24"/>
                <w:lang w:val="en-US" w:eastAsia="zh-CN"/>
              </w:rPr>
            </w:r>
            <w:r/>
          </w:p>
          <w:p>
            <w:pPr>
              <w:pStyle w:val="1118"/>
              <w:numPr>
                <w:ilvl w:val="0"/>
                <w:numId w:val="13"/>
              </w:numPr>
              <w:spacing w:line="400" w:lineRule="exact"/>
              <w:tabs>
                <w:tab w:val="left" w:pos="312" w:leader="none"/>
              </w:tabs>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产品稳定性较强、质量可靠性较高，得9分；</w:t>
            </w:r>
            <w:r>
              <w:rPr>
                <w:rFonts w:ascii="宋体" w:hAnsi="宋体" w:eastAsia="宋体" w:cs="宋体"/>
                <w:b w:val="0"/>
                <w:bCs w:val="0"/>
                <w:color w:val="000000"/>
                <w:sz w:val="24"/>
                <w:szCs w:val="24"/>
                <w:lang w:val="en-US" w:eastAsia="zh-CN"/>
              </w:rPr>
            </w:r>
            <w:r/>
          </w:p>
          <w:p>
            <w:pPr>
              <w:pStyle w:val="1118"/>
              <w:numPr>
                <w:ilvl w:val="0"/>
                <w:numId w:val="13"/>
              </w:numPr>
              <w:spacing w:line="400" w:lineRule="exact"/>
              <w:tabs>
                <w:tab w:val="left" w:pos="312" w:leader="none"/>
              </w:tabs>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产品稳定性、可靠性稍有欠缺，得6分；</w:t>
            </w:r>
            <w:r>
              <w:rPr>
                <w:rFonts w:ascii="宋体" w:hAnsi="宋体" w:eastAsia="宋体" w:cs="宋体"/>
                <w:b w:val="0"/>
                <w:bCs w:val="0"/>
                <w:color w:val="000000"/>
                <w:sz w:val="24"/>
                <w:szCs w:val="24"/>
                <w:lang w:val="en-US" w:eastAsia="zh-CN"/>
              </w:rPr>
            </w:r>
            <w:r/>
          </w:p>
          <w:p>
            <w:pPr>
              <w:pStyle w:val="1118"/>
              <w:numPr>
                <w:ilvl w:val="0"/>
                <w:numId w:val="13"/>
              </w:numPr>
              <w:spacing w:line="400" w:lineRule="exact"/>
              <w:tabs>
                <w:tab w:val="left" w:pos="312" w:leader="none"/>
              </w:tabs>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产品稳定性、可靠性差，得3分；</w:t>
            </w:r>
            <w:r>
              <w:rPr>
                <w:rFonts w:ascii="宋体" w:hAnsi="宋体" w:eastAsia="宋体" w:cs="宋体"/>
                <w:b w:val="0"/>
                <w:bCs w:val="0"/>
                <w:color w:val="000000"/>
                <w:sz w:val="24"/>
                <w:szCs w:val="24"/>
                <w:lang w:val="en-US" w:eastAsia="zh-CN"/>
              </w:rPr>
            </w:r>
            <w:r/>
          </w:p>
          <w:p>
            <w:pPr>
              <w:pStyle w:val="1118"/>
              <w:numPr>
                <w:ilvl w:val="0"/>
                <w:numId w:val="0"/>
              </w:numPr>
              <w:spacing w:line="40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5.未提供方案不得分。</w:t>
            </w:r>
            <w:r>
              <w:rPr>
                <w:rFonts w:hint="eastAsia" w:ascii="宋体" w:hAnsi="宋体" w:eastAsia="宋体" w:cs="宋体"/>
                <w:b w:val="0"/>
                <w:bCs w:val="0"/>
                <w:color w:val="000000"/>
                <w:sz w:val="24"/>
                <w:szCs w:val="24"/>
                <w:lang w:val="en-US" w:eastAsia="zh-CN"/>
              </w:rPr>
            </w:r>
            <w:r/>
          </w:p>
        </w:tc>
        <w:tc>
          <w:tcPr>
            <w:tcW w:w="1692" w:type="dxa"/>
            <w:vAlign w:val="center"/>
            <w:textDirection w:val="lrTb"/>
            <w:noWrap w:val="false"/>
          </w:tcPr>
          <w:p>
            <w:pPr>
              <w:pStyle w:val="1118"/>
              <w:spacing w:line="400" w:lineRule="exact"/>
              <w:rPr>
                <w:rFonts w:hint="eastAsia" w:ascii="宋体" w:hAnsi="宋体" w:cs="宋体"/>
                <w:sz w:val="24"/>
              </w:rPr>
            </w:pPr>
            <w:r>
              <w:rPr>
                <w:rFonts w:hint="eastAsia" w:ascii="宋体" w:hAnsi="宋体" w:cs="宋体"/>
                <w:sz w:val="24"/>
              </w:rPr>
            </w:r>
            <w:r/>
          </w:p>
        </w:tc>
      </w:tr>
    </w:tbl>
    <w:p>
      <w:pPr>
        <w:pStyle w:val="1118"/>
        <w:jc w:val="center"/>
        <w:spacing w:line="360" w:lineRule="auto"/>
        <w:rPr>
          <w:rFonts w:hint="eastAsia"/>
          <w:b/>
          <w:sz w:val="36"/>
          <w:szCs w:val="36"/>
        </w:rPr>
        <w:outlineLvl w:val="0"/>
      </w:pPr>
      <w:r>
        <w:rPr>
          <w:rFonts w:hint="eastAsia"/>
          <w:b/>
          <w:sz w:val="36"/>
          <w:szCs w:val="36"/>
        </w:rPr>
        <w:br w:type="page" w:clear="all"/>
      </w:r>
      <w:r>
        <w:rPr>
          <w:rFonts w:hint="eastAsia"/>
          <w:b/>
          <w:sz w:val="36"/>
          <w:szCs w:val="36"/>
        </w:rPr>
        <w:t xml:space="preserve">第四章 </w:t>
      </w:r>
      <w:r>
        <w:rPr>
          <w:b/>
          <w:sz w:val="36"/>
          <w:szCs w:val="36"/>
        </w:rPr>
        <w:t xml:space="preserve">  采购需求</w:t>
      </w:r>
      <w:r>
        <w:rPr>
          <w:rFonts w:hint="eastAsia"/>
          <w:b/>
          <w:sz w:val="36"/>
          <w:szCs w:val="36"/>
        </w:rPr>
      </w:r>
      <w:r/>
    </w:p>
    <w:p>
      <w:pPr>
        <w:pStyle w:val="1218"/>
        <w:ind w:firstLine="482"/>
        <w:spacing w:line="360" w:lineRule="auto"/>
        <w:widowControl/>
        <w:rPr>
          <w:rFonts w:hint="eastAsia" w:ascii="宋体" w:hAnsi="宋体" w:cs="宋体"/>
          <w:b/>
          <w:bCs/>
          <w:sz w:val="24"/>
          <w:szCs w:val="24"/>
        </w:rPr>
      </w:pPr>
      <w:r>
        <w:rPr>
          <w:rFonts w:hint="eastAsia" w:ascii="宋体" w:hAnsi="宋体" w:cs="宋体"/>
          <w:b/>
          <w:bCs/>
          <w:sz w:val="24"/>
          <w:szCs w:val="24"/>
        </w:rPr>
        <w:t xml:space="preserve">一、项目概述</w:t>
      </w:r>
      <w:r>
        <w:rPr>
          <w:rFonts w:hint="eastAsia" w:ascii="宋体" w:hAnsi="宋体" w:cs="宋体"/>
          <w:b/>
          <w:bCs/>
          <w:sz w:val="24"/>
          <w:szCs w:val="24"/>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1"/>
          <w:szCs w:val="21"/>
        </w:rPr>
        <w:t xml:space="preserve">本项目共分</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个采购包，供应商可对本次采购项目中的一个采购包或全部采购包进行响应，每个供应商仅限中一个采购包。</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个采购包依次评审，按采购包1-采购包</w:t>
      </w:r>
      <w:r>
        <w:rPr>
          <w:rFonts w:hint="eastAsia" w:ascii="宋体" w:hAnsi="宋体" w:eastAsia="宋体" w:cs="宋体"/>
          <w:color w:val="000000"/>
          <w:sz w:val="21"/>
          <w:szCs w:val="21"/>
          <w:lang w:val="en-US" w:eastAsia="zh-CN"/>
        </w:rPr>
        <w:t xml:space="preserve">2</w:t>
      </w:r>
      <w:r>
        <w:rPr>
          <w:rFonts w:hint="eastAsia" w:ascii="宋体" w:hAnsi="宋体" w:eastAsia="宋体" w:cs="宋体"/>
          <w:color w:val="000000"/>
          <w:sz w:val="21"/>
          <w:szCs w:val="21"/>
        </w:rPr>
        <w:t xml:space="preserve">的顺序依次确定成交供应商，如供应商被列为采购包1的第一成交候选人，</w:t>
      </w:r>
      <w:r>
        <w:rPr>
          <w:rFonts w:hint="eastAsia" w:ascii="宋体" w:hAnsi="宋体" w:eastAsia="宋体" w:cs="宋体"/>
          <w:b/>
          <w:spacing w:val="2"/>
          <w:szCs w:val="21"/>
          <w:highlight w:val="none"/>
        </w:rPr>
      </w:r>
      <w:r>
        <w:rPr>
          <w:rFonts w:ascii="SimSun" w:hAnsi="SimSun" w:eastAsia="SimSun" w:cs="SimSun"/>
          <w:color w:val="000000"/>
          <w:sz w:val="21"/>
        </w:rPr>
        <w:t xml:space="preserve">将不再列入采购包2的成交候选人名单。</w:t>
      </w:r>
      <w:r/>
      <w:r>
        <w:rPr>
          <w:rFonts w:hint="eastAsia" w:ascii="宋体" w:hAnsi="宋体" w:eastAsia="宋体" w:cs="宋体"/>
          <w:color w:val="000000"/>
          <w:sz w:val="21"/>
          <w:szCs w:val="21"/>
        </w:rPr>
      </w:r>
      <w:r/>
      <w:r/>
      <w:r>
        <w:rPr>
          <w:sz w:val="21"/>
        </w:rPr>
      </w:r>
    </w:p>
    <w:p>
      <w:pPr>
        <w:pStyle w:val="1118"/>
        <w:ind w:firstLine="428"/>
        <w:spacing w:line="360" w:lineRule="auto"/>
        <w:rPr>
          <w:rFonts w:ascii="宋体" w:hAnsi="宋体" w:eastAsia="宋体" w:cs="宋体"/>
          <w:b w:val="0"/>
          <w:bCs/>
          <w:spacing w:val="2"/>
          <w:szCs w:val="21"/>
          <w:highlight w:val="none"/>
          <w:lang w:val="en-US" w:eastAsia="zh-CN"/>
        </w:rPr>
      </w:pPr>
      <w:r>
        <w:rPr>
          <w:rFonts w:hint="eastAsia" w:ascii="宋体" w:hAnsi="宋体" w:cs="宋体"/>
          <w:b w:val="0"/>
          <w:bCs/>
          <w:spacing w:val="2"/>
          <w:szCs w:val="21"/>
          <w:highlight w:val="none"/>
          <w:lang w:val="en-US" w:eastAsia="zh-CN"/>
        </w:rPr>
        <w:t xml:space="preserve">采购包1拟采购的内容：</w:t>
      </w:r>
      <w:r>
        <w:rPr>
          <w:rFonts w:ascii="Segoe UI" w:hAnsi="Segoe UI" w:eastAsia="Segoe UI" w:cs="Segoe UI"/>
          <w:b w:val="0"/>
          <w:bCs/>
          <w:i w:val="0"/>
          <w:iCs w:val="0"/>
          <w:caps w:val="0"/>
          <w:spacing w:val="0"/>
          <w:sz w:val="21"/>
          <w:szCs w:val="21"/>
          <w:highlight w:val="none"/>
        </w:rPr>
        <w:t xml:space="preserve">赛艇训练器材</w:t>
      </w:r>
      <w:r>
        <w:rPr>
          <w:rFonts w:hint="eastAsia" w:ascii="宋体" w:hAnsi="宋体" w:cs="宋体"/>
          <w:b w:val="0"/>
          <w:bCs/>
          <w:spacing w:val="2"/>
          <w:szCs w:val="21"/>
          <w:highlight w:val="none"/>
          <w:lang w:val="en-US" w:eastAsia="zh-CN"/>
        </w:rPr>
        <w:t xml:space="preserve">；采购包2拟采购的内容：</w:t>
      </w:r>
      <w:r>
        <w:rPr>
          <w:rFonts w:ascii="Segoe UI" w:hAnsi="Segoe UI" w:eastAsia="Segoe UI" w:cs="Segoe UI"/>
          <w:b w:val="0"/>
          <w:bCs/>
          <w:i w:val="0"/>
          <w:iCs w:val="0"/>
          <w:caps w:val="0"/>
          <w:spacing w:val="0"/>
          <w:sz w:val="21"/>
          <w:szCs w:val="21"/>
          <w:highlight w:val="none"/>
          <w:shd w:val="clear" w:color="auto" w:fill="fafafa"/>
        </w:rPr>
        <w:t xml:space="preserve">自行车训练器材</w:t>
      </w:r>
      <w:r>
        <w:rPr>
          <w:rFonts w:hint="eastAsia" w:ascii="宋体" w:hAnsi="宋体" w:cs="宋体"/>
          <w:b w:val="0"/>
          <w:bCs/>
          <w:spacing w:val="2"/>
          <w:szCs w:val="21"/>
          <w:highlight w:val="none"/>
          <w:lang w:val="en-US" w:eastAsia="zh-CN"/>
        </w:rPr>
        <w:t xml:space="preserve">。详见采购需求。</w:t>
      </w:r>
      <w:r>
        <w:rPr>
          <w:rFonts w:ascii="宋体" w:hAnsi="宋体" w:eastAsia="宋体" w:cs="宋体"/>
          <w:b w:val="0"/>
          <w:bCs/>
          <w:spacing w:val="2"/>
          <w:szCs w:val="21"/>
          <w:highlight w:val="none"/>
          <w:lang w:val="en-US" w:eastAsia="zh-CN"/>
        </w:rPr>
      </w:r>
      <w:r/>
    </w:p>
    <w:p>
      <w:pPr>
        <w:pStyle w:val="1218"/>
        <w:ind w:firstLine="480"/>
        <w:spacing w:line="360" w:lineRule="auto"/>
        <w:widowControl/>
        <w:rPr>
          <w:rFonts w:hint="eastAsia" w:ascii="宋体" w:hAnsi="宋体" w:eastAsia="宋体" w:cs="宋体"/>
          <w:b/>
          <w:sz w:val="20"/>
          <w:szCs w:val="20"/>
        </w:rPr>
      </w:pPr>
      <w:r>
        <w:rPr>
          <w:rFonts w:hint="eastAsia" w:ascii="宋体" w:hAnsi="宋体" w:cs="宋体"/>
          <w:b/>
          <w:bCs/>
          <w:sz w:val="24"/>
          <w:szCs w:val="24"/>
        </w:rPr>
        <w:t xml:space="preserve">二、</w:t>
      </w:r>
      <w:r>
        <w:rPr>
          <w:rFonts w:hint="eastAsia" w:ascii="宋体" w:hAnsi="宋体" w:cs="宋体"/>
          <w:b/>
          <w:bCs/>
          <w:sz w:val="24"/>
          <w:szCs w:val="24"/>
          <w:lang w:val="en-US" w:eastAsia="zh-CN"/>
        </w:rPr>
        <w:t xml:space="preserve">采购清单</w:t>
      </w:r>
      <w:r>
        <w:rPr>
          <w:rFonts w:hint="eastAsia" w:ascii="宋体" w:hAnsi="宋体" w:eastAsia="宋体" w:cs="宋体"/>
          <w:b/>
          <w:sz w:val="20"/>
          <w:szCs w:val="20"/>
        </w:rPr>
      </w:r>
      <w:r/>
    </w:p>
    <w:p>
      <w:pPr>
        <w:pStyle w:val="1118"/>
        <w:spacing w:line="360" w:lineRule="auto"/>
        <w:rPr>
          <w:rFonts w:hint="eastAsia" w:ascii="Times New Roman" w:hAnsi="Times New Roman" w:eastAsia="宋体" w:cs="Times New Roman"/>
          <w:b/>
          <w:sz w:val="24"/>
          <w:lang w:val="en-US" w:eastAsia="zh-CN"/>
        </w:rPr>
        <w:outlineLvl w:val="0"/>
      </w:pPr>
      <w:r>
        <w:rPr>
          <w:rFonts w:hint="eastAsia" w:ascii="Times New Roman" w:hAnsi="Times New Roman" w:eastAsia="宋体" w:cs="Times New Roman"/>
          <w:b/>
          <w:sz w:val="24"/>
          <w:lang w:val="en-US" w:eastAsia="zh-CN"/>
        </w:rPr>
        <w:t xml:space="preserve">采购包1：赛艇器材</w:t>
      </w:r>
      <w:r>
        <w:rPr>
          <w:rFonts w:hint="eastAsia" w:ascii="Times New Roman" w:hAnsi="Times New Roman" w:eastAsia="宋体" w:cs="Times New Roman"/>
          <w:b/>
          <w:sz w:val="24"/>
          <w:lang w:val="en-US" w:eastAsia="zh-CN"/>
        </w:rPr>
      </w:r>
      <w:r/>
    </w:p>
    <w:tbl>
      <w:tblPr>
        <w:tblW w:w="8903"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75"/>
        <w:gridCol w:w="2048"/>
        <w:gridCol w:w="1860"/>
        <w:gridCol w:w="4320"/>
      </w:tblGrid>
      <w:tr>
        <w:trPr>
          <w:trHeight w:val="60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pStyle w:val="1118"/>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序号</w:t>
            </w:r>
            <w:r>
              <w:rPr>
                <w:rFonts w:hint="eastAsia" w:ascii="宋体" w:hAnsi="宋体" w:eastAsia="宋体" w:cs="宋体"/>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048" w:type="dxa"/>
            <w:vAlign w:val="center"/>
            <w:textDirection w:val="lrTb"/>
            <w:noWrap w:val="false"/>
          </w:tcPr>
          <w:p>
            <w:pPr>
              <w:pStyle w:val="1118"/>
              <w:jc w:val="center"/>
              <w:keepLines w:val="0"/>
              <w:keepNext w:val="0"/>
              <w:widowControl/>
              <w:rPr>
                <w:rFonts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产品名称</w:t>
            </w:r>
            <w:r>
              <w:rPr>
                <w:rFonts w:ascii="宋体" w:hAnsi="宋体" w:eastAsia="宋体" w:cs="宋体"/>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pStyle w:val="1118"/>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购置数量</w:t>
            </w:r>
            <w:r>
              <w:rPr>
                <w:rFonts w:hint="eastAsia" w:ascii="宋体" w:hAnsi="宋体" w:eastAsia="宋体" w:cs="宋体"/>
                <w:b/>
                <w:bCs/>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pStyle w:val="1118"/>
              <w:jc w:val="center"/>
              <w:keepLines w:val="0"/>
              <w:keepNext w:val="0"/>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具体参数要求</w:t>
            </w:r>
            <w:r>
              <w:rPr>
                <w:rFonts w:hint="eastAsia" w:ascii="宋体" w:hAnsi="宋体" w:eastAsia="宋体" w:cs="宋体"/>
                <w:b/>
                <w:bCs/>
                <w:i w:val="0"/>
                <w:iCs w:val="0"/>
                <w:color w:val="000000"/>
                <w:sz w:val="20"/>
                <w:szCs w:val="20"/>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1118"/>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w:t>
            </w: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048" w:type="dxa"/>
            <w:vAlign w:val="center"/>
            <w:textDirection w:val="lrTb"/>
            <w:noWrap w:val="false"/>
          </w:tcPr>
          <w:p>
            <w:pPr>
              <w:pStyle w:val="1118"/>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单人双桨赛艇</w:t>
            </w: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pStyle w:val="1118"/>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3艘</w:t>
            </w:r>
            <w:r>
              <w:rPr>
                <w:rFonts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pStyle w:val="1118"/>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1、艇壳：采用航天级复合材料，真空袋工艺，在模具中120度高温固化成型！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2、外层材料：高强度预浸料碳纤维；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3、夹层材料：蜂窝。</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4、内层材料：高强度预浸料碳纤维；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5、内舱平板：预浸料碳布、蜂窝；</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6、甲板：根据人体工学原理设计，能使运动员更好的发挥最大力量。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7、尾鳍：铝合金翼型鳍。</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8、桨架：新型一体式碳纤维可调节扇形桨架和桨架套、配进口桨栓；</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9、船艇尺寸：总长8356mm±5mm，最宽处325mm±3mm，翻边最宽处405mm±3mm,最深220mm±3mm，切水处宽290mm±3mm；</w:t>
            </w:r>
            <w:r>
              <w:rPr>
                <w:rFonts w:hint="eastAsia" w:ascii="宋体" w:hAnsi="宋体" w:eastAsia="宋体" w:cs="宋体"/>
                <w:i w:val="0"/>
                <w:iCs w:val="0"/>
                <w:color w:val="000000"/>
                <w:sz w:val="22"/>
                <w:szCs w:val="22"/>
                <w:u w:val="none"/>
                <w:lang w:val="en-US" w:eastAsia="zh-CN" w:bidi="ar"/>
              </w:rPr>
            </w:r>
            <w:r/>
          </w:p>
          <w:p>
            <w:pPr>
              <w:pStyle w:val="1118"/>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10、座凳：高强度预浸料碳布制作，可前后和高低调节，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11、脚蹬：碳纤蹬板配进口赛艇专用鞋，可前后和高低调节.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12、船艇重量：14kg±0.3kg；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13、独特设计：每个座位设计有水杯专用放置架并配好专用水杯。</w:t>
            </w:r>
            <w:r>
              <w:rPr>
                <w:rFonts w:hint="eastAsia" w:ascii="宋体" w:hAnsi="宋体" w:eastAsia="宋体" w:cs="宋体"/>
                <w:i w:val="0"/>
                <w:iCs w:val="0"/>
                <w:color w:val="000000"/>
                <w:sz w:val="20"/>
                <w:szCs w:val="20"/>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1118"/>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w:t>
            </w: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048" w:type="dxa"/>
            <w:vAlign w:val="center"/>
            <w:textDirection w:val="lrTb"/>
            <w:noWrap w:val="false"/>
          </w:tcPr>
          <w:p>
            <w:pPr>
              <w:pStyle w:val="1118"/>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双人双桨赛艇</w:t>
            </w: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pStyle w:val="1118"/>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2艘</w:t>
            </w:r>
            <w:r>
              <w:rPr>
                <w:rFonts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pStyle w:val="1118"/>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1、艇壳：采用航天级复合材料，真空袋工艺，在模具中120度高温固化成型！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2、外层材料：高强度预浸料碳纤维；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3、夹层材料：高性能蜂窝。</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4、内层材料：高强度预浸料碳纤维；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5、内舱平板：预浸料碳布、蜂窝；</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6、甲板：根据人体工学原理设计，能使运动员更好的发挥最大力量。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7、尾鳍：铝合金翼型鳍。</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8、桨架：新型一体式碳纤维可调节扇形桨架和桨架套、配进口桨栓；</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9、总长9600mm±5mm，最宽处453mm±5mm ，翻边最宽处525mm±5mm ,最深287mm±5mm±5mm，切水处宽357mm±5mm。</w:t>
            </w:r>
            <w:r>
              <w:rPr>
                <w:rFonts w:hint="eastAsia" w:ascii="宋体" w:hAnsi="宋体" w:eastAsia="宋体" w:cs="宋体"/>
                <w:i w:val="0"/>
                <w:iCs w:val="0"/>
                <w:color w:val="000000"/>
                <w:sz w:val="22"/>
                <w:szCs w:val="22"/>
                <w:u w:val="none"/>
                <w:lang w:val="en-US" w:eastAsia="zh-CN" w:bidi="ar"/>
              </w:rPr>
            </w:r>
            <w:r/>
          </w:p>
          <w:p>
            <w:pPr>
              <w:pStyle w:val="1118"/>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10、座凳：高强度预浸料碳布制作，可前后和高低调节，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11、脚蹬：碳纤蹬板配进口赛艇专用鞋，可前后和高低调节.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12、船艇重量：27kg±0.3kg；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13、独特设计：每个座位设计有水杯专用放置架并配好专用水杯。</w:t>
            </w:r>
            <w:r>
              <w:rPr>
                <w:rFonts w:hint="eastAsia" w:ascii="宋体" w:hAnsi="宋体" w:eastAsia="宋体" w:cs="宋体"/>
                <w:i w:val="0"/>
                <w:iCs w:val="0"/>
                <w:color w:val="000000"/>
                <w:sz w:val="20"/>
                <w:szCs w:val="20"/>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1118"/>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3</w:t>
            </w: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048" w:type="dxa"/>
            <w:vAlign w:val="center"/>
            <w:textDirection w:val="lrTb"/>
            <w:noWrap w:val="false"/>
          </w:tcPr>
          <w:p>
            <w:pPr>
              <w:pStyle w:val="1118"/>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双人单桨赛艇</w:t>
            </w: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pStyle w:val="1118"/>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1艘</w:t>
            </w:r>
            <w:r>
              <w:rPr>
                <w:rFonts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pStyle w:val="1118"/>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1、艇壳：采用航天级复合材料，真空袋工艺，在模具中120度高温固化成型！  </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2、外层材料：预浸料碳纤维；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3、夹层材料：蜂窝。</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4、内层材料：预浸料碳纤维；</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5、内舱平板：预浸料碳布、蜂窝；</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6、甲板：根据人体工学原理设计，能使运动员更好的发挥最大力量。</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7、尾鳍：铝合金翼型鳍。</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8、桨架：新型一体式扇形桨架和桨架套、配进口桨栓；</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9、船艇尺寸：总长9420mm±5mm，最宽处468mm±3mm，翻边最宽处530mm±3mm,最深280mm±3mm，切水处宽337mm±3mm；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10、座凳：预浸料碳布制作，可前后和高低调节，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11、脚蹬：碳纤蹬板配赛艇专用鞋，可前后和高低调节.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12、船艇重量：27kg±0.3kg；</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13、独特设计：每个座位设计有水杯专用放置架并配好专用水杯。</w:t>
            </w:r>
            <w:r>
              <w:rPr>
                <w:rFonts w:hint="eastAsia" w:ascii="宋体" w:hAnsi="宋体" w:eastAsia="宋体" w:cs="宋体"/>
                <w:i w:val="0"/>
                <w:iCs w:val="0"/>
                <w:color w:val="000000"/>
                <w:sz w:val="20"/>
                <w:szCs w:val="20"/>
                <w:u w:val="none"/>
                <w:lang w:val="en-US" w:eastAsia="zh-CN" w:bidi="ar"/>
              </w:rPr>
            </w:r>
            <w:r/>
          </w:p>
        </w:tc>
      </w:tr>
      <w:tr>
        <w:trPr>
          <w:trHeight w:val="60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pStyle w:val="1118"/>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4</w:t>
            </w: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048" w:type="dxa"/>
            <w:vAlign w:val="center"/>
            <w:textDirection w:val="lrTb"/>
            <w:noWrap w:val="false"/>
          </w:tcPr>
          <w:p>
            <w:pPr>
              <w:pStyle w:val="1118"/>
              <w:jc w:val="center"/>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赛艇双桨</w:t>
            </w:r>
            <w:r>
              <w:rPr>
                <w:rFonts w:hint="eastAsia"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pStyle w:val="1118"/>
              <w:jc w:val="center"/>
              <w:keepLines w:val="0"/>
              <w:keepNext w:val="0"/>
              <w:widowControl/>
              <w:rPr>
                <w:rFonts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6副</w:t>
            </w:r>
            <w:r>
              <w:rPr>
                <w:rFonts w:ascii="宋体" w:hAnsi="宋体" w:eastAsia="宋体" w:cs="宋体"/>
                <w:i w:val="0"/>
                <w:iCs w:val="0"/>
                <w:color w:val="000000"/>
                <w:sz w:val="20"/>
                <w:szCs w:val="20"/>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320" w:type="dxa"/>
            <w:vAlign w:val="center"/>
            <w:textDirection w:val="lrTb"/>
            <w:noWrap w:val="false"/>
          </w:tcPr>
          <w:p>
            <w:pPr>
              <w:pStyle w:val="1118"/>
              <w:jc w:val="left"/>
              <w:keepLines w:val="0"/>
              <w:keepNext w:val="0"/>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1、碳纤维纤细桨杆，</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2、桨尺寸：桨长284-292cm,桨叶：24X46cm，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3、手柄：合成手柄可调节5cm，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4、角度：0°，</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5、手柄套（中等厚度）：34.5mm，</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6、内柄尺寸：79-91cm。</w:t>
            </w:r>
            <w:r>
              <w:rPr>
                <w:rFonts w:hint="eastAsia" w:ascii="宋体" w:hAnsi="宋体" w:eastAsia="宋体" w:cs="宋体"/>
                <w:i w:val="0"/>
                <w:iCs w:val="0"/>
                <w:color w:val="000000"/>
                <w:sz w:val="20"/>
                <w:szCs w:val="20"/>
                <w:u w:val="none"/>
                <w:lang w:val="en-US" w:eastAsia="zh-CN" w:bidi="ar"/>
              </w:rPr>
            </w:r>
            <w:r/>
          </w:p>
        </w:tc>
      </w:tr>
    </w:tbl>
    <w:p>
      <w:pPr>
        <w:pStyle w:val="1118"/>
        <w:spacing w:line="360" w:lineRule="auto"/>
        <w:rPr>
          <w:rFonts w:hint="eastAsia" w:ascii="宋体" w:hAnsi="宋体" w:eastAsia="宋体" w:cs="宋体"/>
          <w:b/>
          <w:sz w:val="20"/>
          <w:szCs w:val="20"/>
        </w:rPr>
        <w:outlineLvl w:val="0"/>
      </w:pPr>
      <w:r>
        <w:rPr>
          <w:rFonts w:hint="eastAsia" w:ascii="宋体" w:hAnsi="宋体" w:eastAsia="宋体" w:cs="宋体"/>
          <w:b/>
          <w:sz w:val="20"/>
          <w:szCs w:val="20"/>
        </w:rPr>
      </w:r>
      <w:r/>
    </w:p>
    <w:p>
      <w:pPr>
        <w:pStyle w:val="1118"/>
        <w:spacing w:line="360" w:lineRule="auto"/>
        <w:rPr>
          <w:rFonts w:hint="eastAsia" w:ascii="宋体" w:hAnsi="宋体" w:eastAsia="宋体" w:cs="宋体"/>
          <w:b/>
          <w:sz w:val="20"/>
          <w:szCs w:val="20"/>
        </w:rPr>
        <w:outlineLvl w:val="0"/>
      </w:pPr>
      <w:r>
        <w:rPr>
          <w:rFonts w:hint="eastAsia" w:ascii="宋体" w:hAnsi="宋体" w:eastAsia="宋体" w:cs="宋体"/>
          <w:b/>
          <w:sz w:val="20"/>
          <w:szCs w:val="20"/>
        </w:rPr>
        <w:br w:type="page" w:clear="all"/>
      </w:r>
      <w:r>
        <w:rPr>
          <w:rFonts w:hint="eastAsia" w:ascii="宋体" w:hAnsi="宋体" w:eastAsia="宋体" w:cs="宋体"/>
          <w:b/>
          <w:sz w:val="20"/>
          <w:szCs w:val="20"/>
        </w:rPr>
      </w:r>
      <w:r/>
    </w:p>
    <w:p>
      <w:pPr>
        <w:pStyle w:val="1118"/>
        <w:spacing w:line="360" w:lineRule="auto"/>
        <w:rPr>
          <w:rFonts w:hint="eastAsia" w:ascii="Times New Roman" w:hAnsi="Times New Roman" w:eastAsia="宋体" w:cs="Times New Roman"/>
          <w:b/>
          <w:sz w:val="24"/>
          <w:lang w:val="en-US" w:eastAsia="zh-CN"/>
        </w:rPr>
        <w:outlineLvl w:val="0"/>
      </w:pPr>
      <w:r>
        <w:rPr>
          <w:rFonts w:hint="eastAsia" w:ascii="Times New Roman" w:hAnsi="Times New Roman" w:eastAsia="宋体" w:cs="Times New Roman"/>
          <w:b/>
          <w:sz w:val="24"/>
          <w:lang w:val="en-US" w:eastAsia="zh-CN"/>
        </w:rPr>
        <w:t xml:space="preserve">采购包2：自行车器材</w:t>
      </w:r>
      <w:r>
        <w:rPr>
          <w:rFonts w:hint="eastAsia" w:ascii="Times New Roman" w:hAnsi="Times New Roman" w:eastAsia="宋体" w:cs="Times New Roman"/>
          <w:b/>
          <w:sz w:val="24"/>
          <w:lang w:val="en-US" w:eastAsia="zh-CN"/>
        </w:rPr>
      </w:r>
      <w:r/>
    </w:p>
    <w:tbl>
      <w:tblPr>
        <w:tblW w:w="8963"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3"/>
        <w:gridCol w:w="2010"/>
        <w:gridCol w:w="1890"/>
        <w:gridCol w:w="4380"/>
      </w:tblGrid>
      <w:tr>
        <w:trPr>
          <w:trHeight w:val="780"/>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tcPr>
          <w:p>
            <w:pPr>
              <w:pStyle w:val="1118"/>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序号</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pStyle w:val="1118"/>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产品名称</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pStyle w:val="1118"/>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购置数量</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380" w:type="dxa"/>
            <w:vAlign w:val="center"/>
            <w:textDirection w:val="lrTb"/>
            <w:noWrap w:val="false"/>
          </w:tcPr>
          <w:p>
            <w:pPr>
              <w:pStyle w:val="1118"/>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具体参数要求</w:t>
            </w:r>
            <w:r>
              <w:rPr>
                <w:rFonts w:ascii="宋体" w:hAnsi="宋体" w:eastAsia="宋体" w:cs="宋体"/>
                <w:i w:val="0"/>
                <w:iCs w:val="0"/>
                <w:color w:val="000000"/>
                <w:sz w:val="22"/>
                <w:szCs w:val="22"/>
                <w:u w:val="none"/>
                <w:lang w:val="en-US" w:eastAsia="zh-CN" w:bidi="ar"/>
              </w:rPr>
            </w:r>
            <w:r/>
          </w:p>
        </w:tc>
      </w:tr>
      <w:tr>
        <w:trPr>
          <w:trHeight w:val="860"/>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118"/>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pStyle w:val="1118"/>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公路车架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pStyle w:val="1118"/>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3套</w:t>
            </w:r>
            <w:r>
              <w:rPr>
                <w:rFonts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380" w:type="dxa"/>
            <w:vAlign w:val="center"/>
            <w:textDirection w:val="lrTb"/>
            <w:noWrap w:val="false"/>
          </w:tcPr>
          <w:p>
            <w:pPr>
              <w:pStyle w:val="1118"/>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顶级材料技术：采用专业竞技级碳纤维材质，通过连续纤维技术和碳纳米管工艺实现极致轻量化（比普通碳架轻10%以上），同时保持高强度与高刚性，吸震性能优异。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空气动力学优化：破风车架</w:t>
            </w:r>
            <w:r>
              <w:rPr>
                <w:rFonts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：采用内走线设计+流线型管型，显著降低风阻，冲刺性能提升20%以上。</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全内走线技术</w:t>
            </w:r>
            <w:r>
              <w:rPr>
                <w:rFonts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：整合线管布局，提升美观度和维护便利性。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竞赛级操控性：高刚性五通设计</w:t>
            </w:r>
            <w:r>
              <w:rPr>
                <w:rFonts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：提升踩踏效率，能量损耗降低8%，适合冲刺和爬坡场景。轻量化优势加速响应更快。</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品牌工艺与可靠性：磷化处理+四层烤漆工艺，车架耐腐蚀性提升50%。</w:t>
            </w:r>
            <w:r>
              <w:rPr>
                <w:rFonts w:hint="eastAsia" w:ascii="宋体" w:hAnsi="宋体" w:eastAsia="宋体" w:cs="宋体"/>
                <w:i w:val="0"/>
                <w:iCs w:val="0"/>
                <w:color w:val="000000"/>
                <w:sz w:val="22"/>
                <w:szCs w:val="22"/>
                <w:u w:val="none"/>
                <w:lang w:val="en-US" w:eastAsia="zh-CN" w:bidi="ar"/>
              </w:rPr>
            </w:r>
            <w:r/>
          </w:p>
        </w:tc>
      </w:tr>
      <w:tr>
        <w:trPr>
          <w:trHeight w:val="720"/>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118"/>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pStyle w:val="1118"/>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盘片</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pStyle w:val="1118"/>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20片</w:t>
            </w:r>
            <w:r>
              <w:rPr>
                <w:rFonts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380" w:type="dxa"/>
            <w:vAlign w:val="center"/>
            <w:textDirection w:val="lrTb"/>
            <w:noWrap w:val="false"/>
          </w:tcPr>
          <w:p>
            <w:pPr>
              <w:pStyle w:val="1118"/>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盘片48齿*10、50齿*10</w:t>
            </w:r>
            <w:r>
              <w:rPr>
                <w:rFonts w:hint="eastAsia" w:ascii="宋体" w:hAnsi="宋体" w:eastAsia="宋体" w:cs="宋体"/>
                <w:i w:val="0"/>
                <w:iCs w:val="0"/>
                <w:color w:val="000000"/>
                <w:sz w:val="22"/>
                <w:szCs w:val="22"/>
                <w:u w:val="none"/>
                <w:lang w:val="en-US" w:eastAsia="zh-CN" w:bidi="ar"/>
              </w:rPr>
            </w:r>
            <w:r/>
          </w:p>
        </w:tc>
      </w:tr>
      <w:tr>
        <w:trPr>
          <w:trHeight w:val="720"/>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118"/>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pStyle w:val="1118"/>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车架</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pStyle w:val="1118"/>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1个</w:t>
            </w:r>
            <w:r>
              <w:rPr>
                <w:rFonts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380" w:type="dxa"/>
            <w:vAlign w:val="center"/>
            <w:textDirection w:val="lrTb"/>
            <w:noWrap w:val="false"/>
          </w:tcPr>
          <w:p>
            <w:pPr>
              <w:pStyle w:val="1118"/>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尺寸与几何参数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车架尺寸：共有XXS-XS、XS、M、L四种尺寸。</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堆高：分别为486mm、503mm、520mm、537mm。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Reach（前伸）：分别为359mm、393mm、427mm、461mm。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头管角度：均为72.5°。</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座管角度：均为74.5°。</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水平上管长度：分别为493.7mm、532.5mm、571.2mm、609.9mm。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前中心长度：分别为544mm、583.2mm、622.1mm、650.6mm。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拖曳距：分别为61.5mm、61.5mm、61.5mm、70.9mm。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叉脚偏移量：分别为43mm、43mm、43mm、34mm。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后叉长度：均为380mm。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头管长度：分别为89.5mm、107.3mm、125.1mm、142.9mm。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前叉长度：均为379.5mm。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水平轴距：均为50mm。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跨高：分别为746.6mm、758.3mm、799.5mm、828.4mm。</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性能参数</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重量：相比前代R96减轻了880克。</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刚度：五通刚度提高25%，车架后三角刚度提高12.5%，头管刚度提高12%。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风阻：车架阻力减少11%，人+车的风阻系数减少2%。</w:t>
            </w:r>
            <w:r>
              <w:rPr>
                <w:rFonts w:hint="eastAsia" w:ascii="宋体" w:hAnsi="宋体" w:eastAsia="宋体" w:cs="宋体"/>
                <w:i w:val="0"/>
                <w:iCs w:val="0"/>
                <w:color w:val="000000"/>
                <w:sz w:val="22"/>
                <w:szCs w:val="22"/>
                <w:highlight w:val="none"/>
                <w:u w:val="none"/>
                <w:lang w:val="en-US" w:eastAsia="zh-CN" w:bidi="ar"/>
              </w:rPr>
              <w:br w:type="textWrapping" w:clear="all"/>
            </w:r>
            <w:r>
              <w:rPr>
                <w:rFonts w:hint="eastAsia" w:ascii="宋体" w:hAnsi="宋体" w:eastAsia="宋体" w:cs="宋体"/>
                <w:i w:val="0"/>
                <w:iCs w:val="0"/>
                <w:color w:val="000000"/>
                <w:sz w:val="22"/>
                <w:szCs w:val="22"/>
                <w:highlight w:val="none"/>
                <w:u w:val="none"/>
                <w:lang w:val="en-US" w:eastAsia="zh-CN" w:bidi="ar"/>
              </w:rPr>
              <w:t xml:space="preserve">最大限重：车架最大限重100公斤。</w:t>
            </w:r>
            <w:r>
              <w:rPr>
                <w:rFonts w:hint="eastAsia" w:ascii="宋体" w:hAnsi="宋体" w:eastAsia="宋体" w:cs="宋体"/>
                <w:i w:val="0"/>
                <w:iCs w:val="0"/>
                <w:color w:val="000000"/>
                <w:sz w:val="22"/>
                <w:szCs w:val="22"/>
                <w:u w:val="none"/>
                <w:lang w:val="en-US" w:eastAsia="zh-CN" w:bidi="ar"/>
              </w:rPr>
            </w:r>
            <w:r/>
          </w:p>
        </w:tc>
      </w:tr>
      <w:tr>
        <w:trPr>
          <w:trHeight w:val="90"/>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118"/>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pStyle w:val="1118"/>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0度锁片</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pStyle w:val="1118"/>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150片</w:t>
            </w:r>
            <w:r>
              <w:rPr>
                <w:rFonts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380" w:type="dxa"/>
            <w:vAlign w:val="center"/>
            <w:textDirection w:val="lrTb"/>
            <w:noWrap w:val="false"/>
          </w:tcPr>
          <w:p>
            <w:pPr>
              <w:pStyle w:val="1118"/>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浮动设计：锁片完全固定无浮动角度，踩踏时锁鞋与锁踏无活动空间，可最大限度提升踩踏效率与力量传递精准度，适合追求极致输出的竞技场景。与黄色（6°浮动）、蓝色（2°浮动）锁片相比，0度锁片对骑行姿势和肌肉控制要求更高，需配合精准的锁片安装位置以避免运动损伤</w:t>
            </w:r>
            <w:r>
              <w:rPr>
                <w:rFonts w:hint="eastAsia" w:ascii="宋体" w:hAnsi="宋体" w:eastAsia="宋体" w:cs="宋体"/>
                <w:i w:val="0"/>
                <w:iCs w:val="0"/>
                <w:color w:val="000000"/>
                <w:sz w:val="22"/>
                <w:szCs w:val="22"/>
                <w:u w:val="none"/>
                <w:lang w:val="en-US" w:eastAsia="zh-CN" w:bidi="ar"/>
              </w:rPr>
            </w:r>
            <w:r/>
          </w:p>
        </w:tc>
      </w:tr>
      <w:tr>
        <w:trPr>
          <w:trHeight w:val="720"/>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118"/>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pStyle w:val="1118"/>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锁片</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pStyle w:val="1118"/>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50片</w:t>
            </w:r>
            <w:r>
              <w:rPr>
                <w:rFonts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380" w:type="dxa"/>
            <w:vAlign w:val="center"/>
            <w:textDirection w:val="lrTb"/>
            <w:noWrap w:val="false"/>
          </w:tcPr>
          <w:p>
            <w:pPr>
              <w:pStyle w:val="1118"/>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大浮动角度设计</w:t>
            </w:r>
            <w:r>
              <w:rPr>
                <w:rFonts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：红色锁片提供9°浮动范围，降低骑行时膝盖压力，提升动作适应性，尤其适合新手或存在轻微力线偏移的骑行者。</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自然踩踏轨迹优化</w:t>
            </w:r>
            <w:r>
              <w:rPr>
                <w:rFonts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：浮动设计允许脚部在踩踏中微调角度，减少因锁片安装偏差导致的运动损伤风险。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极致轻量化材质</w:t>
            </w:r>
            <w:r>
              <w:rPr>
                <w:rFonts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：顶级锁片采用碳纤维与钛合金材质，单对锁片重量低至80克以内，降低整车负载。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高刚性支撑</w:t>
            </w:r>
            <w:r>
              <w:rPr>
                <w:rFonts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：宽锁片设计增加踩踏接触面积，提升发力效率与稳定性，适合高功率输出场景。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快速上锁/解锁体验，防滑与耐用性</w:t>
            </w:r>
            <w:r>
              <w:rPr>
                <w:rFonts w:ascii="宋体" w:hAnsi="宋体" w:eastAsia="宋体" w:cs="宋体"/>
                <w:i w:val="0"/>
                <w:iCs w:val="0"/>
                <w:color w:val="000000"/>
                <w:sz w:val="22"/>
                <w:szCs w:val="22"/>
                <w:u w:val="none"/>
                <w:lang w:val="en-US" w:eastAsia="zh-CN" w:bidi="ar"/>
              </w:rPr>
              <w:t xml:space="preserve">‌</w:t>
            </w:r>
            <w:r>
              <w:rPr>
                <w:rFonts w:hint="eastAsia" w:ascii="宋体" w:hAnsi="宋体" w:eastAsia="宋体" w:cs="宋体"/>
                <w:i w:val="0"/>
                <w:iCs w:val="0"/>
                <w:color w:val="000000"/>
                <w:sz w:val="22"/>
                <w:szCs w:val="22"/>
                <w:u w:val="none"/>
                <w:lang w:val="en-US" w:eastAsia="zh-CN" w:bidi="ar"/>
              </w:rPr>
              <w:t xml:space="preserve">：锁片底部防滑纹路设计增强步行稳定性，碳纤维材质耐磨性优异。</w:t>
            </w:r>
            <w:r>
              <w:rPr>
                <w:rFonts w:hint="eastAsia" w:ascii="宋体" w:hAnsi="宋体" w:eastAsia="宋体" w:cs="宋体"/>
                <w:i w:val="0"/>
                <w:iCs w:val="0"/>
                <w:color w:val="000000"/>
                <w:sz w:val="22"/>
                <w:szCs w:val="22"/>
                <w:u w:val="none"/>
                <w:lang w:val="en-US" w:eastAsia="zh-CN" w:bidi="ar"/>
              </w:rPr>
            </w:r>
            <w:r/>
          </w:p>
        </w:tc>
      </w:tr>
      <w:tr>
        <w:trPr>
          <w:trHeight w:val="720"/>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118"/>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pStyle w:val="1118"/>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小轮车比赛胎</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pStyle w:val="1118"/>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20个</w:t>
            </w:r>
            <w:r>
              <w:rPr>
                <w:rFonts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380" w:type="dxa"/>
            <w:vAlign w:val="center"/>
            <w:textDirection w:val="lrTb"/>
            <w:noWrap w:val="false"/>
          </w:tcPr>
          <w:p>
            <w:pPr>
              <w:pStyle w:val="1118"/>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1、小轮车比赛项目主要分2类：竞速小轮车比赛和自由式小轮车比赛，车轮尺寸和胎宽对于比赛成绩有着重要的影响。</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2、自行车轮胎有胎面花纹，在雨中也能提供出色的骑手舒适度和路面抓地力。</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3、胎壁柔软，易于安装，且能够承受高胎压，骑行路感舒适。</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4、一体成型胎纹，非贴合方式，两侧带有排水纹，胎面的细小纹路可以在湿滑的地面增加抓地力，增加安全系数。</w:t>
            </w:r>
            <w:r>
              <w:rPr>
                <w:rFonts w:hint="eastAsia" w:ascii="宋体" w:hAnsi="宋体" w:eastAsia="宋体" w:cs="宋体"/>
                <w:i w:val="0"/>
                <w:iCs w:val="0"/>
                <w:color w:val="000000"/>
                <w:sz w:val="22"/>
                <w:szCs w:val="22"/>
                <w:u w:val="none"/>
                <w:lang w:val="en-US" w:eastAsia="zh-CN" w:bidi="ar"/>
              </w:rPr>
            </w:r>
            <w:r/>
          </w:p>
        </w:tc>
      </w:tr>
      <w:tr>
        <w:trPr>
          <w:trHeight w:val="720"/>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118"/>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pStyle w:val="1118"/>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小轮车比赛内胎</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pStyle w:val="1118"/>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20个</w:t>
            </w:r>
            <w:r>
              <w:rPr>
                <w:rFonts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380" w:type="dxa"/>
            <w:vAlign w:val="center"/>
            <w:textDirection w:val="lrTb"/>
            <w:noWrap w:val="false"/>
          </w:tcPr>
          <w:p>
            <w:pPr>
              <w:pStyle w:val="1118"/>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1、小轮车比赛项目主要分2类：竞速小轮车比赛和自由式小轮车比赛，车轮尺寸和胎宽对于比赛成绩有着重要的影响。</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2、自行车内胎采用高气密性的气嘴，法嘴40/48/60/80mm可选，配有气嘴帽，增强其耐久性。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3、内胎采用优质丁基橡胶材质，内胎侧面均印有尺寸、型号、LOGO、产地等，选择内胎可根据外胎上的尺寸确定内胎型号。</w:t>
            </w:r>
            <w:r>
              <w:rPr>
                <w:rFonts w:hint="eastAsia" w:ascii="宋体" w:hAnsi="宋体" w:eastAsia="宋体" w:cs="宋体"/>
                <w:i w:val="0"/>
                <w:iCs w:val="0"/>
                <w:color w:val="000000"/>
                <w:sz w:val="22"/>
                <w:szCs w:val="22"/>
                <w:u w:val="none"/>
                <w:lang w:val="en-US" w:eastAsia="zh-CN" w:bidi="ar"/>
              </w:rPr>
            </w:r>
            <w:r/>
          </w:p>
        </w:tc>
      </w:tr>
      <w:tr>
        <w:trPr>
          <w:trHeight w:val="720"/>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118"/>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pStyle w:val="1118"/>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公路比赛胎</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pStyle w:val="1118"/>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20个</w:t>
            </w:r>
            <w:r>
              <w:rPr>
                <w:rFonts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380" w:type="dxa"/>
            <w:vAlign w:val="center"/>
            <w:textDirection w:val="lrTb"/>
            <w:noWrap w:val="false"/>
          </w:tcPr>
          <w:p>
            <w:pPr>
              <w:pStyle w:val="1118"/>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23-25毫米宽的轮胎。公路比赛对轮胎的性能有严格要求，主要包括抓地力、耐用性和操控性等方面。宽胎需具有抓地力和操控性，适合路况不佳的赛道。降低胎压，提供更好的避震效果，减轻车手的疲劳，同时降低破胎与蛇咬的风险。</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2、公路比赛的轮胎需要符合国际自行车联盟（UCI）的规定。例如，UCI规定自行车车轮的直径（包括轮胎）最大为700毫米，最小为550毫米。</w:t>
            </w:r>
            <w:r>
              <w:rPr>
                <w:rFonts w:hint="eastAsia" w:ascii="宋体" w:hAnsi="宋体" w:eastAsia="宋体" w:cs="宋体"/>
                <w:i w:val="0"/>
                <w:iCs w:val="0"/>
                <w:color w:val="000000"/>
                <w:sz w:val="22"/>
                <w:szCs w:val="22"/>
                <w:u w:val="none"/>
                <w:lang w:val="en-US" w:eastAsia="zh-CN" w:bidi="ar"/>
              </w:rPr>
            </w:r>
            <w:r/>
          </w:p>
        </w:tc>
      </w:tr>
      <w:tr>
        <w:trPr>
          <w:trHeight w:val="720"/>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118"/>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pStyle w:val="1118"/>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场地比赛胎</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pStyle w:val="1118"/>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40个</w:t>
            </w:r>
            <w:r>
              <w:rPr>
                <w:rFonts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380" w:type="dxa"/>
            <w:vAlign w:val="center"/>
            <w:textDirection w:val="lrTb"/>
            <w:noWrap w:val="false"/>
          </w:tcPr>
          <w:p>
            <w:pPr>
              <w:pStyle w:val="1118"/>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自行车轮胎与25毫米内宽轮辋结合后形成空气动力学轮廓，时速55公里时减少5瓦功率损耗，提升竞速效率。</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采用棉线材质胎体，相较尼龙材质更柔软，滚动阻力更低，路感更舒适，并通过涂层技术实现真空胎兼容性。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混合石墨烯材料的胎面，增强抓地力与耐用性，适用于干燥路面和复杂地形。</w:t>
            </w:r>
            <w:r>
              <w:rPr>
                <w:rFonts w:hint="eastAsia" w:ascii="宋体" w:hAnsi="宋体" w:eastAsia="宋体" w:cs="宋体"/>
                <w:i w:val="0"/>
                <w:iCs w:val="0"/>
                <w:color w:val="000000"/>
                <w:sz w:val="22"/>
                <w:szCs w:val="22"/>
                <w:u w:val="none"/>
                <w:lang w:val="en-US" w:eastAsia="zh-CN" w:bidi="ar"/>
              </w:rPr>
            </w:r>
            <w:r/>
          </w:p>
        </w:tc>
      </w:tr>
      <w:tr>
        <w:trPr>
          <w:trHeight w:val="720"/>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118"/>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pStyle w:val="1118"/>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场地比赛轮</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pStyle w:val="1118"/>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4个</w:t>
            </w:r>
            <w:r>
              <w:rPr>
                <w:rFonts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380" w:type="dxa"/>
            <w:vAlign w:val="center"/>
            <w:textDirection w:val="lrTb"/>
            <w:noWrap w:val="false"/>
          </w:tcPr>
          <w:p>
            <w:pPr>
              <w:pStyle w:val="1118"/>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所有的构思、设计和制作，均为了更好的协作。零配件应尽可能方便用户使用，并满足骑手的各项期望。我们称之为“人体工程学”。这样便可确保优异的</w:t>
            </w:r>
            <w:r>
              <w:rPr>
                <w:rFonts w:hint="eastAsia" w:ascii="宋体" w:hAnsi="宋体" w:eastAsia="宋体" w:cs="宋体"/>
                <w:i w:val="0"/>
                <w:iCs w:val="0"/>
                <w:color w:val="000000"/>
                <w:sz w:val="22"/>
                <w:szCs w:val="22"/>
                <w:u w:val="none"/>
                <w:lang w:val="en-US" w:eastAsia="zh-CN" w:bidi="ar"/>
              </w:rPr>
              <w:t xml:space="preserve">性能和舒适度。为了获得更好性能，因为每个零配件均可彼此匹配。为确保系统维持原有水准。</w:t>
            </w:r>
            <w:r>
              <w:rPr>
                <w:rFonts w:hint="eastAsia" w:ascii="宋体" w:hAnsi="宋体" w:eastAsia="宋体" w:cs="宋体"/>
                <w:i w:val="0"/>
                <w:iCs w:val="0"/>
                <w:color w:val="000000"/>
                <w:sz w:val="22"/>
                <w:szCs w:val="22"/>
                <w:u w:val="none"/>
                <w:lang w:val="en-US" w:eastAsia="zh-CN" w:bidi="ar"/>
              </w:rPr>
            </w:r>
            <w:r/>
          </w:p>
        </w:tc>
      </w:tr>
      <w:tr>
        <w:trPr>
          <w:trHeight w:val="720"/>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118"/>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pStyle w:val="1118"/>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小轮车</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pStyle w:val="1118"/>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1辆</w:t>
            </w:r>
            <w:r>
              <w:rPr>
                <w:rFonts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380" w:type="dxa"/>
            <w:vAlign w:val="center"/>
            <w:textDirection w:val="lrTb"/>
            <w:noWrap w:val="false"/>
          </w:tcPr>
          <w:p>
            <w:pPr>
              <w:pStyle w:val="1118"/>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 车轮尺寸</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小轮车车轮直径通常为20英寸（约50.8厘米），这是国际通用的标准尺寸，适用于大多数竞技和休闲场景。</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 车架材质</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常见材质包括钢、铝合金、碳纤维等。钢制车架坚固耐用，价格相对较低；铝合金车架轻便且耐腐蚀；碳纤维车架则更轻、强度更高，但成本较高，多用于专业竞技。</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 刹车系统</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竞速小轮车通常要求安装前后刹车，以确保高速行驶时的安全制动；自由式小轮车部分选手可能根据个人技巧需求选择不安装刹车，但需符合比赛规则。</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 其他部件</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车把、曲柄、踏板等部件需符合人体工程学设计，便于选手操作和发力。自由式小轮车还可能配备特殊的“火箭筒”（pegs）装置，用于支撑身体完成花式动作。</w:t>
            </w:r>
            <w:r>
              <w:rPr>
                <w:rFonts w:hint="eastAsia" w:ascii="宋体" w:hAnsi="宋体" w:eastAsia="宋体" w:cs="宋体"/>
                <w:i w:val="0"/>
                <w:iCs w:val="0"/>
                <w:color w:val="000000"/>
                <w:sz w:val="22"/>
                <w:szCs w:val="22"/>
                <w:u w:val="none"/>
                <w:lang w:val="en-US" w:eastAsia="zh-CN" w:bidi="ar"/>
              </w:rPr>
            </w:r>
            <w:r/>
          </w:p>
        </w:tc>
      </w:tr>
      <w:tr>
        <w:trPr>
          <w:trHeight w:val="720"/>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118"/>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pStyle w:val="1118"/>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公路比赛链条</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pStyle w:val="1118"/>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20条</w:t>
            </w:r>
            <w:r>
              <w:rPr>
                <w:rFonts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380" w:type="dxa"/>
            <w:vAlign w:val="center"/>
            <w:textDirection w:val="lrTb"/>
            <w:noWrap w:val="false"/>
          </w:tcPr>
          <w:p>
            <w:pPr>
              <w:pStyle w:val="1118"/>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提升耐用性和效率HG方向性设计确保顺畅的前后变速，同时减噪声兼容11-速传动系统，新型镀铬销钉提升链条顺畅与耐久。</w:t>
            </w:r>
            <w:r>
              <w:rPr>
                <w:rFonts w:hint="eastAsia" w:ascii="宋体" w:hAnsi="宋体" w:eastAsia="宋体" w:cs="宋体"/>
                <w:i w:val="0"/>
                <w:iCs w:val="0"/>
                <w:color w:val="000000"/>
                <w:sz w:val="22"/>
                <w:szCs w:val="22"/>
                <w:u w:val="none"/>
                <w:lang w:val="en-US" w:eastAsia="zh-CN" w:bidi="ar"/>
              </w:rPr>
            </w:r>
            <w:r/>
          </w:p>
        </w:tc>
      </w:tr>
      <w:tr>
        <w:trPr>
          <w:trHeight w:val="410"/>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118"/>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pStyle w:val="1118"/>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场地比赛链条</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pStyle w:val="1118"/>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20条</w:t>
            </w:r>
            <w:r>
              <w:rPr>
                <w:rFonts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380" w:type="dxa"/>
            <w:vAlign w:val="center"/>
            <w:textDirection w:val="lrTb"/>
            <w:noWrap w:val="false"/>
          </w:tcPr>
          <w:p>
            <w:pPr>
              <w:pStyle w:val="1118"/>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highlight w:val="none"/>
                <w:u w:val="none"/>
                <w:lang w:val="en-US" w:eastAsia="zh-CN" w:bidi="ar"/>
              </w:rPr>
              <w:t xml:space="preserve">自行车链条</w:t>
            </w:r>
            <w:r>
              <w:rPr>
                <w:rFonts w:hint="eastAsia" w:ascii="宋体" w:hAnsi="宋体" w:eastAsia="宋体" w:cs="宋体"/>
                <w:i w:val="0"/>
                <w:iCs w:val="0"/>
                <w:color w:val="000000"/>
                <w:sz w:val="22"/>
                <w:szCs w:val="22"/>
                <w:u w:val="none"/>
                <w:lang w:val="en-US" w:eastAsia="zh-CN" w:bidi="ar"/>
              </w:rPr>
              <w:t xml:space="preserve">采用高碳钢材质，部分型号经日本原产工艺处理，兼顾轻量化与高耐久性，黑金、金色等配色链条搭配复古外观，适配潮流改装需求；方孔低风阻结构优化竞速性能。通用100节标准长度，匹配主流死飞车、折叠车及公路车牙盘系统。</w:t>
            </w:r>
            <w:r>
              <w:rPr>
                <w:rFonts w:hint="eastAsia" w:ascii="宋体" w:hAnsi="宋体" w:eastAsia="宋体" w:cs="宋体"/>
                <w:i w:val="0"/>
                <w:iCs w:val="0"/>
                <w:color w:val="000000"/>
                <w:sz w:val="22"/>
                <w:szCs w:val="22"/>
                <w:u w:val="none"/>
                <w:lang w:val="en-US" w:eastAsia="zh-CN" w:bidi="ar"/>
              </w:rPr>
            </w:r>
            <w:r/>
          </w:p>
        </w:tc>
      </w:tr>
      <w:tr>
        <w:trPr>
          <w:trHeight w:val="720"/>
        </w:trPr>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1118"/>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2010" w:type="dxa"/>
            <w:vAlign w:val="center"/>
            <w:textDirection w:val="lrTb"/>
            <w:noWrap w:val="false"/>
          </w:tcPr>
          <w:p>
            <w:pPr>
              <w:pStyle w:val="1118"/>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场地牙盘螺丝</w:t>
            </w:r>
            <w:r>
              <w:rPr>
                <w:rFonts w:hint="eastAsia"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1890" w:type="dxa"/>
            <w:vAlign w:val="center"/>
            <w:textDirection w:val="lrTb"/>
            <w:noWrap w:val="false"/>
          </w:tcPr>
          <w:p>
            <w:pPr>
              <w:pStyle w:val="1118"/>
              <w:jc w:val="center"/>
              <w:keepLines w:val="0"/>
              <w:keepNext w:val="0"/>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20个</w:t>
            </w:r>
            <w:r>
              <w:rPr>
                <w:rFonts w:ascii="宋体" w:hAnsi="宋体" w:eastAsia="宋体" w:cs="宋体"/>
                <w:i w:val="0"/>
                <w:iCs w:val="0"/>
                <w:color w:val="000000"/>
                <w:sz w:val="22"/>
                <w:szCs w:val="22"/>
                <w:u w:val="none"/>
                <w:lang w:val="en-US" w:eastAsia="zh-CN" w:bidi="ar"/>
              </w:rPr>
            </w:r>
            <w:r/>
          </w:p>
        </w:tc>
        <w:tc>
          <w:tcPr>
            <w:tcBorders>
              <w:top w:val="single" w:color="000000" w:sz="4" w:space="0"/>
              <w:left w:val="single" w:color="000000" w:sz="4" w:space="0"/>
              <w:bottom w:val="single" w:color="000000" w:sz="4" w:space="0"/>
              <w:right w:val="single" w:color="000000" w:sz="4" w:space="0"/>
            </w:tcBorders>
            <w:tcW w:w="4380" w:type="dxa"/>
            <w:vAlign w:val="center"/>
            <w:textDirection w:val="lrTb"/>
            <w:noWrap w:val="false"/>
          </w:tcPr>
          <w:p>
            <w:pPr>
              <w:pStyle w:val="1118"/>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高强度与轻量化材质：采用高强度铝合金/不锈钢材质，在保证抗拉强度的同时实现轻量化设计，降低整车负载，提升场地竞速响应效率。表面镀层工艺有效抵御汗液、雨水侵蚀，延长螺丝在潮湿环境下的使用寿命。</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2、精准适配与稳定性：专为竞技系统设计，独特螺纹工艺结合自锁式垫片设计，降低高频震动下的松动风险，保障高速骑行时的结构稳定性。</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3、性能优化与安全保障：空气动力学优化，空气动力学优化。</w:t>
            </w:r>
            <w:r>
              <w:rPr>
                <w:rFonts w:hint="eastAsia" w:ascii="宋体" w:hAnsi="宋体" w:eastAsia="宋体" w:cs="宋体"/>
                <w:i w:val="0"/>
                <w:iCs w:val="0"/>
                <w:color w:val="000000"/>
                <w:sz w:val="22"/>
                <w:szCs w:val="22"/>
                <w:u w:val="none"/>
                <w:lang w:val="en-US" w:eastAsia="zh-CN" w:bidi="ar"/>
              </w:rPr>
              <w:br w:type="textWrapping" w:clear="all"/>
            </w:r>
            <w:r>
              <w:rPr>
                <w:rFonts w:hint="eastAsia" w:ascii="宋体" w:hAnsi="宋体" w:eastAsia="宋体" w:cs="宋体"/>
                <w:i w:val="0"/>
                <w:iCs w:val="0"/>
                <w:color w:val="000000"/>
                <w:sz w:val="22"/>
                <w:szCs w:val="22"/>
                <w:u w:val="none"/>
                <w:lang w:val="en-US" w:eastAsia="zh-CN" w:bidi="ar"/>
              </w:rPr>
              <w:t xml:space="preserve">4、场景适配与维护便捷性：多规格兼容性，快速维护特性。</w:t>
            </w:r>
            <w:r>
              <w:rPr>
                <w:rFonts w:hint="eastAsia" w:ascii="宋体" w:hAnsi="宋体" w:eastAsia="宋体" w:cs="宋体"/>
                <w:i w:val="0"/>
                <w:iCs w:val="0"/>
                <w:color w:val="000000"/>
                <w:sz w:val="22"/>
                <w:szCs w:val="22"/>
                <w:u w:val="none"/>
                <w:lang w:val="en-US" w:eastAsia="zh-CN" w:bidi="ar"/>
              </w:rPr>
            </w:r>
            <w:r/>
          </w:p>
        </w:tc>
      </w:tr>
    </w:tbl>
    <w:p>
      <w:pPr>
        <w:pStyle w:val="1201"/>
        <w:ind w:firstLine="482"/>
        <w:keepLines w:val="0"/>
        <w:keepNext w:val="0"/>
        <w:pageBreakBefore w:val="0"/>
        <w:spacing w:line="360" w:lineRule="auto"/>
        <w:widowControl w:val="off"/>
        <w:rPr>
          <w:rFonts w:hint="eastAsia" w:hAnsi="宋体"/>
          <w:b/>
          <w:bCs/>
          <w:color w:val="000000"/>
        </w:rPr>
        <w:outlineLvl w:val="2"/>
      </w:pPr>
      <w:r>
        <w:rPr>
          <w:rFonts w:hint="eastAsia" w:hAnsi="宋体"/>
          <w:b/>
          <w:bCs/>
          <w:color w:val="000000"/>
          <w:lang w:val="en-US" w:eastAsia="zh-CN"/>
        </w:rPr>
        <w:t xml:space="preserve">三、项目</w:t>
      </w:r>
      <w:r>
        <w:rPr>
          <w:rFonts w:hint="eastAsia" w:hAnsi="宋体"/>
          <w:b/>
          <w:bCs/>
          <w:color w:val="000000"/>
        </w:rPr>
        <w:t xml:space="preserve">要求</w:t>
      </w:r>
      <w:r>
        <w:rPr>
          <w:rFonts w:hint="eastAsia" w:hAnsi="宋体"/>
          <w:b/>
          <w:bCs/>
          <w:color w:val="000000"/>
        </w:rPr>
      </w:r>
      <w:r/>
    </w:p>
    <w:p>
      <w:pPr>
        <w:pStyle w:val="1118"/>
        <w:ind w:firstLine="480"/>
        <w:jc w:val="left"/>
        <w:spacing w:line="360" w:lineRule="auto"/>
        <w:rPr>
          <w:rFonts w:hint="eastAsia" w:ascii="宋体" w:hAnsi="宋体"/>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供应商</w:t>
      </w:r>
      <w:r>
        <w:rPr>
          <w:rFonts w:hint="eastAsia" w:ascii="宋体" w:hAnsi="宋体"/>
          <w:sz w:val="24"/>
          <w:highlight w:val="none"/>
        </w:rPr>
        <w:t xml:space="preserve">必须对投标时承诺的产品材质、技术参数等真实性负责。标的物材质、型号、规格不得改变。在</w:t>
      </w:r>
      <w:r>
        <w:rPr>
          <w:rFonts w:hint="eastAsia" w:ascii="宋体" w:hAnsi="宋体"/>
          <w:sz w:val="24"/>
          <w:highlight w:val="none"/>
          <w:lang w:val="en-US" w:eastAsia="zh-CN"/>
        </w:rPr>
        <w:t xml:space="preserve">成交单价</w:t>
      </w:r>
      <w:r>
        <w:rPr>
          <w:rFonts w:hint="eastAsia" w:ascii="宋体" w:hAnsi="宋体"/>
          <w:sz w:val="24"/>
          <w:highlight w:val="none"/>
        </w:rPr>
        <w:t xml:space="preserve">不变的前提下，各标的物的颜色和数量由采购</w:t>
      </w:r>
      <w:r>
        <w:rPr>
          <w:rFonts w:hint="eastAsia" w:ascii="宋体" w:hAnsi="宋体"/>
          <w:sz w:val="24"/>
          <w:highlight w:val="none"/>
          <w:lang w:val="en-US" w:eastAsia="zh-CN"/>
        </w:rPr>
        <w:t xml:space="preserve">人</w:t>
      </w:r>
      <w:r>
        <w:rPr>
          <w:rFonts w:hint="eastAsia" w:ascii="宋体" w:hAnsi="宋体"/>
          <w:sz w:val="24"/>
          <w:highlight w:val="none"/>
        </w:rPr>
        <w:t xml:space="preserve">确定，采购</w:t>
      </w:r>
      <w:r>
        <w:rPr>
          <w:rFonts w:hint="eastAsia" w:ascii="宋体" w:hAnsi="宋体"/>
          <w:sz w:val="24"/>
          <w:highlight w:val="none"/>
          <w:lang w:val="en-US" w:eastAsia="zh-CN"/>
        </w:rPr>
        <w:t xml:space="preserve">人</w:t>
      </w:r>
      <w:r>
        <w:rPr>
          <w:rFonts w:hint="eastAsia" w:ascii="宋体" w:hAnsi="宋体"/>
          <w:sz w:val="24"/>
          <w:highlight w:val="none"/>
        </w:rPr>
        <w:t xml:space="preserve">同时可对体育设备款式进行微调。</w:t>
      </w:r>
      <w:r>
        <w:rPr>
          <w:rFonts w:hint="eastAsia" w:ascii="宋体" w:hAnsi="宋体"/>
          <w:sz w:val="24"/>
          <w:highlight w:val="none"/>
        </w:rPr>
      </w:r>
      <w:r/>
    </w:p>
    <w:p>
      <w:pPr>
        <w:pStyle w:val="1118"/>
        <w:ind w:firstLine="480"/>
        <w:jc w:val="left"/>
        <w:spacing w:line="360" w:lineRule="auto"/>
        <w:rPr>
          <w:rFonts w:hint="eastAsia" w:ascii="宋体" w:hAnsi="宋体"/>
          <w:sz w:val="24"/>
          <w:highlight w:val="none"/>
        </w:rPr>
      </w:pPr>
      <w:r>
        <w:rPr>
          <w:rFonts w:hint="eastAsia" w:ascii="宋体" w:hAnsi="宋体"/>
          <w:sz w:val="24"/>
          <w:highlight w:val="none"/>
        </w:rPr>
        <w:t xml:space="preserve">（2）采购</w:t>
      </w:r>
      <w:r>
        <w:rPr>
          <w:rFonts w:hint="eastAsia" w:ascii="宋体" w:hAnsi="宋体"/>
          <w:sz w:val="24"/>
          <w:highlight w:val="none"/>
          <w:lang w:val="en-US" w:eastAsia="zh-CN"/>
        </w:rPr>
        <w:t xml:space="preserve">人</w:t>
      </w:r>
      <w:r>
        <w:rPr>
          <w:rFonts w:hint="eastAsia" w:ascii="宋体" w:hAnsi="宋体"/>
          <w:sz w:val="24"/>
          <w:highlight w:val="none"/>
        </w:rPr>
        <w:t xml:space="preserve">有权不定期对</w:t>
      </w:r>
      <w:r>
        <w:rPr>
          <w:rFonts w:hint="eastAsia" w:ascii="宋体" w:hAnsi="宋体"/>
          <w:sz w:val="24"/>
          <w:highlight w:val="none"/>
          <w:lang w:val="en-US" w:eastAsia="zh-CN"/>
        </w:rPr>
        <w:t xml:space="preserve">成交</w:t>
      </w:r>
      <w:r>
        <w:rPr>
          <w:rFonts w:hint="eastAsia" w:ascii="宋体" w:hAnsi="宋体"/>
          <w:sz w:val="24"/>
          <w:highlight w:val="none"/>
        </w:rPr>
        <w:t xml:space="preserve">标的物的生产过程等进行查看，如果发现</w:t>
      </w:r>
      <w:r>
        <w:rPr>
          <w:rFonts w:hint="eastAsia" w:ascii="宋体" w:hAnsi="宋体"/>
          <w:sz w:val="24"/>
          <w:highlight w:val="none"/>
          <w:lang w:val="en-US" w:eastAsia="zh-CN"/>
        </w:rPr>
        <w:t xml:space="preserve">成交供应商</w:t>
      </w:r>
      <w:r>
        <w:rPr>
          <w:rFonts w:hint="eastAsia" w:ascii="宋体" w:hAnsi="宋体"/>
          <w:sz w:val="24"/>
          <w:highlight w:val="none"/>
        </w:rPr>
        <w:t xml:space="preserve">存在违反本次采购标的物要求的，采购</w:t>
      </w:r>
      <w:r>
        <w:rPr>
          <w:rFonts w:hint="eastAsia" w:ascii="宋体" w:hAnsi="宋体"/>
          <w:sz w:val="24"/>
          <w:highlight w:val="none"/>
          <w:lang w:val="en-US" w:eastAsia="zh-CN"/>
        </w:rPr>
        <w:t xml:space="preserve">人</w:t>
      </w:r>
      <w:r>
        <w:rPr>
          <w:rFonts w:hint="eastAsia" w:ascii="宋体" w:hAnsi="宋体"/>
          <w:sz w:val="24"/>
          <w:highlight w:val="none"/>
        </w:rPr>
        <w:t xml:space="preserve">有权中止合同，相关损失由</w:t>
      </w:r>
      <w:r>
        <w:rPr>
          <w:rFonts w:hint="eastAsia" w:ascii="宋体" w:hAnsi="宋体"/>
          <w:sz w:val="24"/>
          <w:highlight w:val="none"/>
          <w:lang w:val="en-US" w:eastAsia="zh-CN"/>
        </w:rPr>
        <w:t xml:space="preserve">成交供应商</w:t>
      </w:r>
      <w:r>
        <w:rPr>
          <w:rFonts w:hint="eastAsia" w:ascii="宋体" w:hAnsi="宋体"/>
          <w:sz w:val="24"/>
          <w:highlight w:val="none"/>
        </w:rPr>
        <w:t xml:space="preserve">承担。</w:t>
      </w:r>
      <w:r>
        <w:rPr>
          <w:rFonts w:hint="eastAsia" w:ascii="宋体" w:hAnsi="宋体"/>
          <w:sz w:val="24"/>
          <w:highlight w:val="none"/>
        </w:rPr>
      </w:r>
      <w:r/>
    </w:p>
    <w:p>
      <w:pPr>
        <w:pStyle w:val="1118"/>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sz w:val="24"/>
          <w:highlight w:val="none"/>
        </w:rPr>
        <w:t xml:space="preserve">（3）体育设备在生产安装过程中，所采用的主要配件的名称及制造厂家，并提供相应的技术说明书。所有体育设备材质制作规范，要符合国家强制标准、体育设备及安装相关行业标准和企业标准以及竞争性磋商文件包含的本项目的技术要求</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201"/>
        <w:ind w:firstLine="482"/>
        <w:keepLines w:val="0"/>
        <w:keepNext w:val="0"/>
        <w:pageBreakBefore w:val="0"/>
        <w:spacing w:line="360" w:lineRule="auto"/>
        <w:widowControl w:val="off"/>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lang w:val="en-US" w:eastAsia="zh-CN"/>
        </w:rPr>
        <w:t xml:space="preserve">四</w:t>
      </w:r>
      <w:r>
        <w:rPr>
          <w:rFonts w:hint="eastAsia" w:ascii="宋体" w:hAnsi="宋体" w:eastAsia="宋体" w:cs="宋体"/>
          <w:b/>
          <w:bCs/>
          <w:color w:val="000000"/>
          <w:sz w:val="24"/>
          <w:szCs w:val="24"/>
        </w:rPr>
        <w:t xml:space="preserve">、售后服务要求：</w:t>
      </w:r>
      <w:r>
        <w:rPr>
          <w:rFonts w:hint="eastAsia" w:ascii="宋体" w:hAnsi="宋体" w:eastAsia="宋体" w:cs="宋体"/>
          <w:b/>
          <w:bCs/>
          <w:color w:val="000000"/>
          <w:sz w:val="24"/>
          <w:szCs w:val="24"/>
        </w:rPr>
      </w:r>
      <w:r/>
    </w:p>
    <w:p>
      <w:pPr>
        <w:pStyle w:val="1201"/>
        <w:ind w:firstLine="480"/>
        <w:keepLines w:val="0"/>
        <w:keepNext w:val="0"/>
        <w:pageBreakBefore w:val="0"/>
        <w:spacing w:line="360" w:lineRule="auto"/>
        <w:widowControl w:val="off"/>
        <w:rPr>
          <w:rFonts w:hint="eastAsia" w:hAnsi="宋体" w:eastAsia="宋体"/>
          <w:b w:val="0"/>
          <w:bCs w:val="0"/>
          <w:color w:val="000000"/>
          <w:highlight w:val="none"/>
          <w:lang w:eastAsia="zh-CN"/>
        </w:rPr>
      </w:pPr>
      <w:r>
        <w:rPr>
          <w:rFonts w:hint="eastAsia" w:hAnsi="宋体"/>
          <w:b w:val="0"/>
          <w:bCs w:val="0"/>
          <w:color w:val="000000"/>
          <w:highlight w:val="none"/>
          <w:lang w:val="en-US" w:eastAsia="zh-CN"/>
        </w:rPr>
        <w:t xml:space="preserve">（1）</w:t>
      </w:r>
      <w:r>
        <w:rPr>
          <w:rFonts w:hAnsi="宋体"/>
          <w:b w:val="0"/>
          <w:bCs w:val="0"/>
          <w:color w:val="000000"/>
          <w:highlight w:val="none"/>
        </w:rPr>
        <w:t xml:space="preserve">免费质量保证期：</w:t>
      </w:r>
      <w:r>
        <w:rPr>
          <w:rFonts w:hint="eastAsia" w:hAnsi="宋体"/>
          <w:b w:val="0"/>
          <w:bCs w:val="0"/>
          <w:color w:val="000000"/>
          <w:highlight w:val="none"/>
          <w:lang w:val="en-US" w:eastAsia="zh-CN"/>
        </w:rPr>
        <w:t xml:space="preserve">自验收合格之日起</w:t>
      </w:r>
      <w:r>
        <w:rPr>
          <w:rFonts w:hint="eastAsia" w:hAnsi="宋体"/>
          <w:b w:val="0"/>
          <w:bCs w:val="0"/>
          <w:color w:val="000000"/>
          <w:highlight w:val="none"/>
          <w:u w:val="single"/>
          <w:lang w:val="en-US" w:eastAsia="zh-CN"/>
        </w:rPr>
        <w:t xml:space="preserve">    1 </w:t>
      </w:r>
      <w:r>
        <w:rPr>
          <w:rFonts w:hint="eastAsia" w:hAnsi="宋体"/>
          <w:b w:val="0"/>
          <w:bCs w:val="0"/>
          <w:color w:val="ff0000"/>
          <w:highlight w:val="none"/>
          <w:u w:val="single"/>
          <w:lang w:val="en-US" w:eastAsia="zh-CN"/>
        </w:rPr>
        <w:t xml:space="preserve"> </w:t>
      </w:r>
      <w:r>
        <w:rPr>
          <w:rFonts w:hAnsi="宋体"/>
          <w:b w:val="0"/>
          <w:bCs w:val="0"/>
          <w:color w:val="000000"/>
          <w:highlight w:val="none"/>
        </w:rPr>
        <w:t xml:space="preserve">年</w:t>
      </w:r>
      <w:r>
        <w:rPr>
          <w:rFonts w:hint="eastAsia" w:hAnsi="宋体"/>
          <w:b w:val="0"/>
          <w:bCs w:val="0"/>
          <w:color w:val="000000"/>
          <w:highlight w:val="none"/>
          <w:lang w:eastAsia="zh-CN"/>
        </w:rPr>
        <w:t xml:space="preserve">；</w:t>
      </w:r>
      <w:r>
        <w:rPr>
          <w:rFonts w:hint="eastAsia" w:hAnsi="宋体" w:eastAsia="宋体"/>
          <w:b w:val="0"/>
          <w:bCs w:val="0"/>
          <w:color w:val="000000"/>
          <w:highlight w:val="none"/>
          <w:lang w:eastAsia="zh-CN"/>
        </w:rPr>
      </w:r>
      <w:r/>
    </w:p>
    <w:p>
      <w:pPr>
        <w:pStyle w:val="1201"/>
        <w:ind w:firstLine="480"/>
        <w:keepLines w:val="0"/>
        <w:keepNext w:val="0"/>
        <w:pageBreakBefore w:val="0"/>
        <w:spacing w:line="360" w:lineRule="auto"/>
        <w:widowControl w:val="off"/>
        <w:rPr>
          <w:rFonts w:hAnsi="宋体"/>
          <w:b w:val="0"/>
          <w:bCs w:val="0"/>
          <w:color w:val="000000"/>
          <w:highlight w:val="none"/>
        </w:rPr>
      </w:pPr>
      <w:r>
        <w:rPr>
          <w:rFonts w:hint="eastAsia" w:hAnsi="宋体"/>
          <w:b w:val="0"/>
          <w:bCs w:val="0"/>
          <w:color w:val="000000"/>
          <w:highlight w:val="none"/>
          <w:lang w:val="en-US" w:eastAsia="zh-CN"/>
        </w:rPr>
        <w:t xml:space="preserve">（2）</w:t>
      </w:r>
      <w:r>
        <w:rPr>
          <w:rFonts w:hAnsi="宋体"/>
          <w:b w:val="0"/>
          <w:bCs w:val="0"/>
          <w:color w:val="000000"/>
          <w:highlight w:val="none"/>
        </w:rPr>
        <w:t xml:space="preserve">交货时间：</w:t>
      </w:r>
      <w:r>
        <w:rPr>
          <w:rFonts w:hint="eastAsia" w:hAnsi="宋体"/>
          <w:b w:val="0"/>
          <w:bCs w:val="0"/>
          <w:color w:val="000000"/>
          <w:highlight w:val="none"/>
          <w:lang w:val="en-US" w:eastAsia="zh-CN"/>
        </w:rPr>
        <w:t xml:space="preserve">自收到采购人通知后15日内完成供货</w:t>
      </w:r>
      <w:r>
        <w:rPr>
          <w:rFonts w:hAnsi="宋体"/>
          <w:b w:val="0"/>
          <w:bCs w:val="0"/>
          <w:color w:val="000000"/>
          <w:highlight w:val="none"/>
        </w:rPr>
        <w:t xml:space="preserve">。</w:t>
      </w:r>
      <w:r>
        <w:rPr>
          <w:rFonts w:hAnsi="宋体"/>
          <w:b w:val="0"/>
          <w:bCs w:val="0"/>
          <w:color w:val="000000"/>
          <w:highlight w:val="none"/>
        </w:rPr>
      </w:r>
      <w:r/>
    </w:p>
    <w:p>
      <w:pPr>
        <w:pStyle w:val="1201"/>
        <w:ind w:firstLine="480"/>
        <w:keepLines w:val="0"/>
        <w:keepNext w:val="0"/>
        <w:pageBreakBefore w:val="0"/>
        <w:spacing w:line="360" w:lineRule="auto"/>
        <w:widowControl w:val="off"/>
        <w:rPr>
          <w:rFonts w:hAnsi="宋体"/>
          <w:color w:val="000000"/>
        </w:rPr>
      </w:pPr>
      <w:r>
        <w:rPr>
          <w:rFonts w:hint="eastAsia" w:hAnsi="宋体"/>
          <w:color w:val="000000"/>
          <w:lang w:val="en-US" w:eastAsia="zh-CN"/>
        </w:rPr>
        <w:t xml:space="preserve">（3）</w:t>
      </w:r>
      <w:r>
        <w:rPr>
          <w:rFonts w:hAnsi="宋体"/>
          <w:color w:val="000000"/>
        </w:rPr>
        <w:t xml:space="preserve">售后服务：</w:t>
      </w:r>
      <w:r>
        <w:rPr>
          <w:rFonts w:hint="eastAsia" w:hAnsi="宋体"/>
          <w:color w:val="000000"/>
          <w:lang w:val="en-US" w:eastAsia="zh-CN"/>
        </w:rPr>
        <w:t xml:space="preserve">成交供应商</w:t>
      </w:r>
      <w:r>
        <w:rPr>
          <w:rFonts w:hAnsi="宋体"/>
          <w:color w:val="000000"/>
        </w:rPr>
        <w:t xml:space="preserve">应保证所供货物在需方安装合同货物时，免费派出技术人员赴需方现场技术指导。对</w:t>
      </w:r>
      <w:r>
        <w:rPr>
          <w:rFonts w:hint="eastAsia" w:hAnsi="宋体"/>
          <w:color w:val="000000"/>
          <w:lang w:val="en-US" w:eastAsia="zh-CN"/>
        </w:rPr>
        <w:t xml:space="preserve">采购人</w:t>
      </w:r>
      <w:r>
        <w:rPr>
          <w:rFonts w:hAnsi="宋体"/>
          <w:color w:val="000000"/>
        </w:rPr>
        <w:t xml:space="preserve">人员进行培训，主要培训内容为：货物的功能、基本结构、性能、主要部件的构造及处理，日常使用操作、保养与管理、常见故障的排除、紧急情况的处理等。</w:t>
      </w:r>
      <w:r>
        <w:rPr>
          <w:rFonts w:hAnsi="宋体"/>
          <w:color w:val="000000"/>
        </w:rPr>
      </w:r>
      <w:r/>
    </w:p>
    <w:p>
      <w:pPr>
        <w:pStyle w:val="1201"/>
        <w:ind w:firstLine="480"/>
        <w:keepLines w:val="0"/>
        <w:keepNext w:val="0"/>
        <w:pageBreakBefore w:val="0"/>
        <w:spacing w:line="360" w:lineRule="auto"/>
        <w:widowControl w:val="off"/>
        <w:rPr>
          <w:rFonts w:hAnsi="宋体"/>
          <w:color w:val="000000"/>
        </w:rPr>
      </w:pPr>
      <w:r>
        <w:rPr>
          <w:rFonts w:hint="eastAsia" w:hAnsi="宋体"/>
          <w:color w:val="000000"/>
          <w:lang w:val="en-US" w:eastAsia="zh-CN"/>
        </w:rPr>
        <w:t xml:space="preserve">（4）</w:t>
      </w:r>
      <w:r>
        <w:rPr>
          <w:rFonts w:hAnsi="宋体"/>
          <w:color w:val="000000"/>
        </w:rPr>
        <w:t xml:space="preserve">免费质量保证期内免费更换零配件（人为损坏除外），免费质量保证期满后实行终身有偿维修保养。</w:t>
      </w:r>
      <w:r>
        <w:rPr>
          <w:rFonts w:hint="eastAsia" w:hAnsi="宋体"/>
          <w:color w:val="000000"/>
          <w:lang w:val="en-US" w:eastAsia="zh-CN"/>
        </w:rPr>
        <w:t xml:space="preserve">成交供应商</w:t>
      </w:r>
      <w:r>
        <w:rPr>
          <w:rFonts w:hAnsi="宋体"/>
          <w:color w:val="000000"/>
        </w:rPr>
        <w:t xml:space="preserve">接到用户报修电话后白天3小时、夜间6小时内维修人员赶到现场检修处理。</w:t>
      </w:r>
      <w:r>
        <w:rPr>
          <w:rFonts w:hAnsi="宋体"/>
          <w:color w:val="000000"/>
        </w:rPr>
      </w:r>
      <w:r/>
    </w:p>
    <w:p>
      <w:pPr>
        <w:pStyle w:val="1201"/>
        <w:ind w:firstLine="480"/>
        <w:keepLines w:val="0"/>
        <w:keepNext w:val="0"/>
        <w:pageBreakBefore w:val="0"/>
        <w:spacing w:line="360" w:lineRule="auto"/>
        <w:widowControl w:val="off"/>
        <w:rPr>
          <w:rFonts w:hint="eastAsia" w:hAnsi="宋体"/>
          <w:color w:val="000000"/>
        </w:rPr>
      </w:pPr>
      <w:r>
        <w:rPr>
          <w:rFonts w:hint="eastAsia" w:hAnsi="宋体"/>
          <w:color w:val="000000"/>
          <w:lang w:val="en-US" w:eastAsia="zh-CN"/>
        </w:rPr>
        <w:t xml:space="preserve">（5）</w:t>
      </w:r>
      <w:r>
        <w:rPr>
          <w:rFonts w:hAnsi="宋体"/>
          <w:color w:val="000000"/>
        </w:rPr>
        <w:t xml:space="preserve">免费质保期结束，不能视为</w:t>
      </w:r>
      <w:r>
        <w:rPr>
          <w:rFonts w:hint="eastAsia" w:hAnsi="宋体"/>
          <w:color w:val="000000"/>
          <w:lang w:val="en-US" w:eastAsia="zh-CN"/>
        </w:rPr>
        <w:t xml:space="preserve">成交供应商</w:t>
      </w:r>
      <w:r>
        <w:rPr>
          <w:rFonts w:hAnsi="宋体"/>
          <w:color w:val="000000"/>
        </w:rPr>
        <w:t xml:space="preserve">对合同货物中存在的可能引起货物损坏的潜在缺陷所应负责任的解除。潜在缺陷指货物在制造过程中未被发现的隐患，</w:t>
      </w:r>
      <w:r>
        <w:rPr>
          <w:rFonts w:hint="eastAsia" w:hAnsi="宋体"/>
          <w:color w:val="000000"/>
          <w:lang w:val="en-US" w:eastAsia="zh-CN"/>
        </w:rPr>
        <w:t xml:space="preserve">成交供应商</w:t>
      </w:r>
      <w:r>
        <w:rPr>
          <w:rFonts w:hAnsi="宋体"/>
          <w:color w:val="000000"/>
        </w:rPr>
        <w:t xml:space="preserve">对纠正潜在缺陷应负责任，其时间应延续至质保期终止后</w:t>
      </w:r>
      <w:r>
        <w:rPr>
          <w:rFonts w:hAnsi="宋体" w:eastAsia="宋体"/>
          <w:color w:val="000000"/>
        </w:rPr>
        <w:t xml:space="preserve">贰年</w:t>
      </w:r>
      <w:r>
        <w:rPr>
          <w:rFonts w:hAnsi="宋体"/>
          <w:color w:val="000000"/>
        </w:rPr>
        <w:t xml:space="preserve">。当发现这类潜在缺陷时（经双方确认），</w:t>
      </w:r>
      <w:r>
        <w:rPr>
          <w:rFonts w:hint="eastAsia" w:hAnsi="宋体"/>
          <w:color w:val="000000"/>
          <w:lang w:val="en-US" w:eastAsia="zh-CN"/>
        </w:rPr>
        <w:t xml:space="preserve">成交供应商</w:t>
      </w:r>
      <w:r>
        <w:rPr>
          <w:rFonts w:hAnsi="宋体"/>
          <w:color w:val="000000"/>
        </w:rPr>
        <w:t xml:space="preserve">应立即予以无偿修复或更换。</w:t>
      </w:r>
      <w:r>
        <w:rPr>
          <w:rFonts w:hint="eastAsia" w:hAnsi="宋体"/>
          <w:color w:val="000000"/>
        </w:rPr>
      </w:r>
      <w:r/>
    </w:p>
    <w:p>
      <w:pPr>
        <w:pStyle w:val="1201"/>
        <w:ind w:firstLine="482"/>
        <w:keepLines w:val="0"/>
        <w:keepNext w:val="0"/>
        <w:pageBreakBefore w:val="0"/>
        <w:spacing w:line="360" w:lineRule="auto"/>
        <w:widowControl w:val="off"/>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lang w:val="en-US" w:eastAsia="zh-CN"/>
        </w:rPr>
        <w:t xml:space="preserve">五</w:t>
      </w:r>
      <w:r>
        <w:rPr>
          <w:rFonts w:hint="eastAsia" w:ascii="宋体" w:hAnsi="宋体" w:eastAsia="宋体" w:cs="宋体"/>
          <w:b/>
          <w:bCs/>
          <w:color w:val="000000"/>
          <w:sz w:val="24"/>
          <w:szCs w:val="24"/>
        </w:rPr>
        <w:t xml:space="preserve">、验收要求</w:t>
      </w:r>
      <w:r>
        <w:rPr>
          <w:rFonts w:hint="eastAsia" w:ascii="宋体" w:hAnsi="宋体" w:eastAsia="宋体" w:cs="宋体"/>
          <w:b/>
          <w:bCs/>
          <w:color w:val="000000"/>
          <w:sz w:val="24"/>
          <w:szCs w:val="24"/>
        </w:rPr>
      </w:r>
      <w:r/>
    </w:p>
    <w:p>
      <w:pPr>
        <w:pStyle w:val="1118"/>
        <w:ind w:firstLine="480"/>
        <w:keepLines w:val="0"/>
        <w:keepNext w:val="0"/>
        <w:pageBreakBefore w:val="0"/>
        <w:spacing w:line="360" w:lineRule="auto"/>
        <w:widowControl w:val="off"/>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所有货物必须符合国家产品质量法的相关规定；所有货物材质制作规范；要符合现行国家行业标准；所有货物均符合国家环保要求。</w:t>
      </w:r>
      <w:r>
        <w:rPr>
          <w:rFonts w:hint="eastAsia" w:ascii="宋体" w:hAnsi="宋体" w:cs="宋体"/>
          <w:sz w:val="24"/>
        </w:rPr>
      </w:r>
      <w:r/>
    </w:p>
    <w:p>
      <w:pPr>
        <w:pStyle w:val="1118"/>
        <w:ind w:firstLine="480"/>
        <w:keepLines w:val="0"/>
        <w:keepNext w:val="0"/>
        <w:pageBreakBefore w:val="0"/>
        <w:spacing w:line="360" w:lineRule="auto"/>
        <w:widowControl w:val="off"/>
        <w:rPr>
          <w:rFonts w:hint="eastAsia" w:ascii="宋体" w:hAnsi="宋体"/>
          <w:sz w:val="24"/>
        </w:rPr>
      </w:pPr>
      <w:r>
        <w:rPr>
          <w:rFonts w:hint="eastAsia" w:ascii="宋体" w:hAnsi="宋体" w:cs="宋体"/>
          <w:sz w:val="24"/>
          <w:lang w:val="en-US" w:eastAsia="zh-CN"/>
        </w:rPr>
        <w:t xml:space="preserve">2.</w:t>
      </w:r>
      <w:r>
        <w:rPr>
          <w:rFonts w:hint="eastAsia" w:ascii="宋体" w:hAnsi="宋体" w:cs="宋体"/>
          <w:sz w:val="24"/>
        </w:rPr>
        <w:t xml:space="preserve">验收标准：按国家最新行业标准进行验收通过。</w:t>
      </w:r>
      <w:r>
        <w:rPr>
          <w:rFonts w:hint="eastAsia" w:ascii="宋体" w:hAnsi="宋体"/>
          <w:sz w:val="24"/>
        </w:rPr>
      </w:r>
      <w:r/>
    </w:p>
    <w:p>
      <w:pPr>
        <w:pStyle w:val="1201"/>
        <w:ind w:firstLine="482"/>
        <w:keepLines w:val="0"/>
        <w:keepNext w:val="0"/>
        <w:pageBreakBefore w:val="0"/>
        <w:spacing w:line="360" w:lineRule="auto"/>
        <w:widowControl w:val="off"/>
        <w:rPr>
          <w:rFonts w:hint="eastAsia" w:ascii="宋体" w:hAnsi="宋体" w:eastAsia="宋体" w:cs="宋体"/>
          <w:b/>
          <w:bCs/>
          <w:color w:val="000000"/>
          <w:sz w:val="24"/>
          <w:szCs w:val="24"/>
        </w:rPr>
        <w:outlineLvl w:val="1"/>
      </w:pPr>
      <w:r>
        <w:rPr>
          <w:rFonts w:hint="eastAsia" w:ascii="宋体" w:hAnsi="宋体" w:eastAsia="宋体" w:cs="宋体"/>
          <w:b/>
          <w:bCs/>
          <w:color w:val="000000"/>
          <w:sz w:val="24"/>
          <w:szCs w:val="24"/>
          <w:lang w:val="en-US" w:eastAsia="zh-CN"/>
        </w:rPr>
        <w:t xml:space="preserve">六</w:t>
      </w:r>
      <w:r>
        <w:rPr>
          <w:rFonts w:hint="eastAsia" w:ascii="宋体" w:hAnsi="宋体" w:eastAsia="宋体" w:cs="宋体"/>
          <w:b/>
          <w:bCs/>
          <w:color w:val="000000"/>
          <w:sz w:val="24"/>
          <w:szCs w:val="24"/>
        </w:rPr>
        <w:t xml:space="preserve">、付款方式</w:t>
      </w:r>
      <w:r>
        <w:rPr>
          <w:rFonts w:hint="eastAsia" w:ascii="宋体" w:hAnsi="宋体" w:eastAsia="宋体" w:cs="宋体"/>
          <w:b/>
          <w:bCs/>
          <w:color w:val="000000"/>
          <w:sz w:val="24"/>
          <w:szCs w:val="24"/>
        </w:rPr>
      </w:r>
      <w:r/>
    </w:p>
    <w:p>
      <w:pPr>
        <w:pStyle w:val="1118"/>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成交供应商在规定时间内将所有货物送至采购人指定地点并完成安装调试，经采购人验收合格后，供应商开具增值税发票后30日内采购人一次性结清货款</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118"/>
        <w:spacing w:line="360" w:lineRule="auto"/>
        <w:rPr>
          <w:b/>
          <w:sz w:val="36"/>
          <w:szCs w:val="36"/>
        </w:rPr>
        <w:outlineLvl w:val="0"/>
      </w:pPr>
      <w:r>
        <w:rPr>
          <w:rFonts w:hint="eastAsia" w:ascii="宋体" w:hAnsi="宋体" w:eastAsia="宋体" w:cs="宋体"/>
          <w:b/>
          <w:sz w:val="20"/>
          <w:szCs w:val="20"/>
        </w:rPr>
        <w:br w:type="page" w:clear="all"/>
      </w:r>
      <w:r>
        <w:rPr>
          <w:b/>
          <w:sz w:val="36"/>
          <w:szCs w:val="36"/>
        </w:rPr>
      </w:r>
      <w:r/>
    </w:p>
    <w:p>
      <w:pPr>
        <w:pStyle w:val="1118"/>
        <w:jc w:val="center"/>
        <w:spacing w:line="360" w:lineRule="auto"/>
        <w:rPr>
          <w:b/>
          <w:sz w:val="36"/>
          <w:szCs w:val="36"/>
        </w:rPr>
        <w:outlineLvl w:val="0"/>
      </w:pPr>
      <w:r>
        <w:rPr>
          <w:b/>
          <w:sz w:val="36"/>
          <w:szCs w:val="36"/>
        </w:rPr>
        <w:t xml:space="preserve">第五章   合同</w:t>
      </w:r>
      <w:r>
        <w:rPr>
          <w:rFonts w:hint="eastAsia"/>
          <w:b/>
          <w:sz w:val="36"/>
          <w:szCs w:val="36"/>
        </w:rPr>
        <w:t xml:space="preserve">主要</w:t>
      </w:r>
      <w:r>
        <w:rPr>
          <w:b/>
          <w:sz w:val="36"/>
          <w:szCs w:val="36"/>
        </w:rPr>
        <w:t xml:space="preserve">条款</w:t>
      </w:r>
      <w:bookmarkEnd w:id="662"/>
      <w:r/>
      <w:bookmarkEnd w:id="663"/>
      <w:r>
        <w:rPr>
          <w:b/>
          <w:sz w:val="36"/>
          <w:szCs w:val="36"/>
        </w:rPr>
      </w:r>
      <w:r/>
    </w:p>
    <w:p>
      <w:pPr>
        <w:pStyle w:val="1118"/>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甲方（需方）</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rPr>
        <w:t xml:space="preserve">                  </w:t>
      </w:r>
      <w:r>
        <w:rPr>
          <w:rFonts w:hint="eastAsia" w:ascii="宋体" w:hAnsi="宋体" w:eastAsia="宋体" w:cs="宋体"/>
          <w:b/>
          <w:sz w:val="24"/>
          <w:szCs w:val="24"/>
        </w:rPr>
        <w:t xml:space="preserve">     </w:t>
      </w:r>
      <w:r>
        <w:rPr>
          <w:rFonts w:hint="eastAsia" w:ascii="宋体" w:hAnsi="宋体" w:eastAsia="宋体" w:cs="宋体"/>
          <w:b/>
          <w:sz w:val="24"/>
          <w:szCs w:val="24"/>
          <w:lang w:val="en-US" w:eastAsia="zh-CN"/>
        </w:rPr>
        <w:t xml:space="preserve">  </w:t>
      </w:r>
      <w:r>
        <w:rPr>
          <w:rFonts w:hint="eastAsia" w:ascii="宋体" w:hAnsi="宋体" w:eastAsia="宋体" w:cs="宋体"/>
          <w:sz w:val="24"/>
          <w:szCs w:val="24"/>
        </w:rPr>
        <w:t xml:space="preserve">合同编号：</w:t>
      </w:r>
      <w:r>
        <w:rPr>
          <w:rFonts w:hint="eastAsia" w:ascii="宋体" w:hAnsi="宋体" w:eastAsia="宋体" w:cs="宋体"/>
          <w:sz w:val="24"/>
          <w:szCs w:val="24"/>
        </w:rPr>
      </w:r>
      <w:r/>
    </w:p>
    <w:p>
      <w:pPr>
        <w:pStyle w:val="1118"/>
        <w:pageBreakBefore w:val="0"/>
        <w:spacing w:line="360" w:lineRule="auto"/>
        <w:widowControl w:val="off"/>
        <w:rPr>
          <w:rFonts w:hint="eastAsia" w:ascii="宋体" w:hAnsi="宋体" w:eastAsia="宋体" w:cs="宋体"/>
          <w:sz w:val="24"/>
          <w:szCs w:val="24"/>
          <w:u w:val="single"/>
        </w:rPr>
        <w:outlineLvl w:val="9"/>
      </w:pPr>
      <w:r>
        <w:rPr>
          <w:rFonts w:hint="eastAsia" w:ascii="宋体" w:hAnsi="宋体" w:eastAsia="宋体" w:cs="宋体"/>
          <w:sz w:val="24"/>
          <w:szCs w:val="24"/>
        </w:rPr>
        <w:t xml:space="preserve">乙方（供方）</w:t>
      </w:r>
      <w:r>
        <w:rPr>
          <w:rFonts w:hint="eastAsia" w:ascii="宋体" w:hAnsi="宋体" w:eastAsia="宋体" w:cs="宋体"/>
          <w:sz w:val="24"/>
          <w:szCs w:val="24"/>
          <w:lang w:eastAsia="zh-CN"/>
        </w:rPr>
        <w:t xml:space="preserve">：</w:t>
      </w:r>
      <w:r>
        <w:rPr>
          <w:rFonts w:hint="eastAsia" w:ascii="宋体" w:hAnsi="宋体" w:eastAsia="宋体" w:cs="宋体"/>
          <w:b/>
          <w:sz w:val="24"/>
          <w:szCs w:val="24"/>
          <w:u w:val="single"/>
        </w:rPr>
        <w:t xml:space="preserve">                 </w:t>
      </w:r>
      <w:r>
        <w:rPr>
          <w:rFonts w:hint="eastAsia" w:ascii="宋体" w:hAnsi="宋体" w:eastAsia="宋体" w:cs="宋体"/>
          <w:b/>
          <w:sz w:val="24"/>
          <w:szCs w:val="24"/>
        </w:rPr>
        <w:t xml:space="preserve">      </w:t>
      </w:r>
      <w:r>
        <w:rPr>
          <w:rFonts w:hint="eastAsia" w:ascii="宋体" w:hAnsi="宋体" w:eastAsia="宋体" w:cs="宋体"/>
          <w:b/>
          <w:sz w:val="24"/>
          <w:szCs w:val="24"/>
          <w:lang w:val="en-US" w:eastAsia="zh-CN"/>
        </w:rPr>
        <w:t xml:space="preserve">  </w:t>
      </w:r>
      <w:r>
        <w:rPr>
          <w:rFonts w:hint="eastAsia" w:ascii="宋体" w:hAnsi="宋体" w:eastAsia="宋体" w:cs="宋体"/>
          <w:sz w:val="24"/>
          <w:szCs w:val="24"/>
        </w:rPr>
        <w:t xml:space="preserve">签订地点：</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1118"/>
        <w:pageBreakBefore w:val="0"/>
        <w:spacing w:line="360" w:lineRule="auto"/>
        <w:widowControl w:val="off"/>
        <w:rPr>
          <w:rFonts w:hint="eastAsia" w:ascii="宋体" w:hAnsi="宋体" w:eastAsia="宋体" w:cs="宋体"/>
          <w:sz w:val="24"/>
          <w:szCs w:val="24"/>
          <w:u w:val="single"/>
        </w:rPr>
        <w:outlineLvl w:val="9"/>
      </w:pPr>
      <w:r>
        <w:rPr>
          <w:rFonts w:hint="eastAsia" w:ascii="宋体" w:hAnsi="宋体" w:eastAsia="宋体" w:cs="宋体"/>
          <w:sz w:val="24"/>
          <w:szCs w:val="24"/>
        </w:rPr>
        <w:t xml:space="preserve">合同时间</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u w:val="none"/>
        </w:rPr>
        <w:t xml:space="preserve">日</w:t>
      </w:r>
      <w:r>
        <w:rPr>
          <w:rFonts w:hint="eastAsia" w:ascii="宋体" w:hAnsi="宋体" w:eastAsia="宋体" w:cs="宋体"/>
          <w:sz w:val="24"/>
          <w:szCs w:val="24"/>
          <w:u w:val="single"/>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依据《中华人民共和国民法典》以及有关法律、法规的规定，甲方、乙方经协商一致，订立本合同。</w:t>
      </w:r>
      <w:r>
        <w:rPr>
          <w:rFonts w:hint="eastAsia" w:ascii="宋体" w:hAnsi="宋体" w:eastAsia="宋体" w:cs="宋体"/>
          <w:sz w:val="24"/>
          <w:szCs w:val="24"/>
        </w:rPr>
      </w:r>
      <w:r/>
    </w:p>
    <w:p>
      <w:pPr>
        <w:pStyle w:val="1118"/>
        <w:ind w:left="0" w:firstLine="482"/>
        <w:keepLines/>
        <w:keepNext/>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一、合同内容</w:t>
      </w:r>
      <w:r>
        <w:rPr>
          <w:rFonts w:hint="eastAsia" w:ascii="宋体" w:hAnsi="宋体" w:eastAsia="宋体" w:cs="宋体"/>
          <w:b/>
          <w:bCs/>
          <w:sz w:val="24"/>
          <w:szCs w:val="24"/>
        </w:rPr>
      </w:r>
      <w:r/>
    </w:p>
    <w:p>
      <w:pPr>
        <w:pStyle w:val="1118"/>
        <w:ind w:left="0" w:firstLine="482"/>
        <w:jc w:val="left"/>
        <w:pageBreakBefore w:val="0"/>
        <w:spacing w:line="360" w:lineRule="auto"/>
        <w:widowControl w:val="off"/>
        <w:rPr>
          <w:rFonts w:hint="eastAsia" w:ascii="宋体" w:hAnsi="宋体" w:eastAsia="宋体" w:cs="宋体"/>
          <w:b/>
          <w:bCs/>
          <w:sz w:val="24"/>
          <w:szCs w:val="24"/>
        </w:rPr>
        <w:outlineLvl w:val="9"/>
      </w:pPr>
      <w:r/>
      <w:bookmarkStart w:id="664" w:name="_Toc508285909"/>
      <w:r/>
      <w:bookmarkStart w:id="665" w:name="_Toc504548280"/>
      <w:r>
        <w:rPr>
          <w:rFonts w:hint="eastAsia" w:ascii="宋体" w:hAnsi="宋体" w:eastAsia="宋体" w:cs="宋体"/>
          <w:b/>
          <w:bCs/>
          <w:sz w:val="24"/>
          <w:szCs w:val="24"/>
        </w:rPr>
        <w:t xml:space="preserve">1.合同标的名称、型号、规格、数量</w:t>
      </w:r>
      <w:bookmarkEnd w:id="664"/>
      <w:r/>
      <w:bookmarkEnd w:id="665"/>
      <w:r>
        <w:rPr>
          <w:rFonts w:hint="eastAsia" w:ascii="宋体" w:hAnsi="宋体" w:eastAsia="宋体" w:cs="宋体"/>
          <w:b/>
          <w:bCs/>
          <w:sz w:val="24"/>
          <w:szCs w:val="24"/>
        </w:rPr>
      </w:r>
      <w:r/>
    </w:p>
    <w:p>
      <w:pPr>
        <w:pStyle w:val="1118"/>
        <w:ind w:left="0" w:firstLine="482"/>
        <w:jc w:val="left"/>
        <w:pageBreakBefore w:val="0"/>
        <w:spacing w:line="360" w:lineRule="auto"/>
        <w:widowControl w:val="off"/>
        <w:rPr>
          <w:rFonts w:hint="eastAsia" w:ascii="宋体" w:hAnsi="宋体" w:eastAsia="宋体" w:cs="宋体"/>
          <w:b/>
          <w:bCs/>
          <w:sz w:val="24"/>
          <w:szCs w:val="24"/>
        </w:rPr>
        <w:outlineLvl w:val="9"/>
      </w:pPr>
      <w:r/>
      <w:bookmarkStart w:id="666" w:name="_Toc508285910"/>
      <w:r/>
      <w:bookmarkStart w:id="667" w:name="_Toc504548281"/>
      <w:r>
        <w:rPr>
          <w:rFonts w:hint="eastAsia" w:ascii="宋体" w:hAnsi="宋体" w:eastAsia="宋体" w:cs="宋体"/>
          <w:b/>
          <w:bCs/>
          <w:sz w:val="24"/>
          <w:szCs w:val="24"/>
        </w:rPr>
        <w:t xml:space="preserve">2.下列文件为本合同不可分割部分：</w:t>
      </w:r>
      <w:bookmarkEnd w:id="666"/>
      <w:r/>
      <w:bookmarkEnd w:id="667"/>
      <w:r>
        <w:rPr>
          <w:rFonts w:hint="eastAsia" w:ascii="宋体" w:hAnsi="宋体" w:eastAsia="宋体" w:cs="宋体"/>
          <w:b/>
          <w:bCs/>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①</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文件及相关资料；</w:t>
      </w:r>
      <w:r>
        <w:rPr>
          <w:rFonts w:hint="eastAsia" w:ascii="宋体" w:hAnsi="宋体" w:eastAsia="宋体" w:cs="宋体"/>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②乙方</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的</w:t>
      </w:r>
      <w:r>
        <w:rPr>
          <w:rFonts w:hint="eastAsia" w:ascii="宋体" w:hAnsi="宋体" w:eastAsia="宋体" w:cs="宋体"/>
          <w:sz w:val="24"/>
          <w:szCs w:val="24"/>
          <w:lang w:val="en-US" w:eastAsia="zh-CN"/>
        </w:rPr>
        <w:t xml:space="preserve">响应文件</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③乙方在招投标过程中所作的其它承诺、声明、书面澄清等；</w:t>
      </w:r>
      <w:r>
        <w:rPr>
          <w:rFonts w:hint="eastAsia" w:ascii="宋体" w:hAnsi="宋体" w:eastAsia="宋体" w:cs="宋体"/>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④</w:t>
      </w:r>
      <w:r>
        <w:rPr>
          <w:rFonts w:hint="eastAsia" w:ascii="宋体" w:hAnsi="宋体" w:eastAsia="宋体" w:cs="宋体"/>
          <w:sz w:val="24"/>
          <w:szCs w:val="24"/>
          <w:lang w:val="en-US" w:eastAsia="zh-CN"/>
        </w:rPr>
        <w:t xml:space="preserve">成交</w:t>
      </w:r>
      <w:r>
        <w:rPr>
          <w:rFonts w:hint="eastAsia" w:ascii="宋体" w:hAnsi="宋体" w:eastAsia="宋体" w:cs="宋体"/>
          <w:sz w:val="24"/>
          <w:szCs w:val="24"/>
        </w:rPr>
        <w:t xml:space="preserve">通知书；</w:t>
      </w:r>
      <w:r>
        <w:rPr>
          <w:rFonts w:hint="eastAsia" w:ascii="宋体" w:hAnsi="宋体" w:eastAsia="宋体" w:cs="宋体"/>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⑤经甲、乙双方确认的其他补充协议及相关资料。</w:t>
      </w:r>
      <w:r>
        <w:rPr>
          <w:rFonts w:hint="eastAsia" w:ascii="宋体" w:hAnsi="宋体" w:eastAsia="宋体" w:cs="宋体"/>
          <w:sz w:val="24"/>
          <w:szCs w:val="24"/>
        </w:rPr>
      </w:r>
      <w:r/>
    </w:p>
    <w:p>
      <w:pPr>
        <w:pStyle w:val="1118"/>
        <w:ind w:left="0" w:firstLine="482"/>
        <w:keepLines/>
        <w:keepNext/>
        <w:pageBreakBefore w:val="0"/>
        <w:spacing w:line="360" w:lineRule="auto"/>
        <w:widowControl w:val="off"/>
        <w:rPr>
          <w:rFonts w:hint="eastAsia" w:ascii="宋体" w:hAnsi="宋体" w:eastAsia="宋体" w:cs="宋体"/>
          <w:b/>
          <w:bCs/>
          <w:sz w:val="24"/>
          <w:szCs w:val="24"/>
        </w:rPr>
        <w:outlineLvl w:val="9"/>
      </w:pPr>
      <w:r/>
      <w:bookmarkStart w:id="668" w:name="_Toc27309"/>
      <w:r/>
      <w:bookmarkStart w:id="669" w:name="_Toc13700"/>
      <w:r/>
      <w:bookmarkStart w:id="670" w:name="_Toc22780"/>
      <w:r/>
      <w:bookmarkStart w:id="671" w:name="_Toc19184"/>
      <w:r>
        <w:rPr>
          <w:rFonts w:hint="eastAsia" w:ascii="宋体" w:hAnsi="宋体" w:eastAsia="宋体" w:cs="宋体"/>
          <w:b/>
          <w:bCs/>
          <w:sz w:val="24"/>
          <w:szCs w:val="24"/>
        </w:rPr>
        <w:t xml:space="preserve">二、标的物的一般条款</w:t>
      </w:r>
      <w:bookmarkEnd w:id="668"/>
      <w:r/>
      <w:bookmarkEnd w:id="669"/>
      <w:r/>
      <w:bookmarkEnd w:id="670"/>
      <w:r/>
      <w:bookmarkEnd w:id="671"/>
      <w:r>
        <w:rPr>
          <w:rFonts w:hint="eastAsia" w:ascii="宋体" w:hAnsi="宋体" w:eastAsia="宋体" w:cs="宋体"/>
          <w:b/>
          <w:bCs/>
          <w:sz w:val="24"/>
          <w:szCs w:val="24"/>
        </w:rPr>
      </w:r>
      <w:r/>
    </w:p>
    <w:p>
      <w:pPr>
        <w:pStyle w:val="1118"/>
        <w:ind w:left="0" w:firstLine="482"/>
        <w:jc w:val="left"/>
        <w:pageBreakBefore w:val="0"/>
        <w:spacing w:line="360" w:lineRule="auto"/>
        <w:widowControl w:val="off"/>
        <w:rPr>
          <w:rFonts w:hint="eastAsia" w:ascii="宋体" w:hAnsi="宋体" w:eastAsia="宋体" w:cs="宋体"/>
          <w:b/>
          <w:bCs/>
          <w:sz w:val="24"/>
          <w:szCs w:val="24"/>
        </w:rPr>
        <w:outlineLvl w:val="9"/>
      </w:pPr>
      <w:r/>
      <w:bookmarkStart w:id="672" w:name="_Toc19703"/>
      <w:r/>
      <w:bookmarkStart w:id="673" w:name="_Toc504548282"/>
      <w:r/>
      <w:bookmarkStart w:id="674" w:name="_Toc508285911"/>
      <w:r/>
      <w:bookmarkStart w:id="675" w:name="_Toc9147"/>
      <w:r/>
      <w:bookmarkStart w:id="676" w:name="_Toc3884"/>
      <w:r/>
      <w:bookmarkStart w:id="677" w:name="_Toc2870"/>
      <w:r>
        <w:rPr>
          <w:rFonts w:hint="eastAsia" w:ascii="宋体" w:hAnsi="宋体" w:eastAsia="宋体" w:cs="宋体"/>
          <w:b/>
          <w:bCs/>
          <w:sz w:val="24"/>
          <w:szCs w:val="24"/>
        </w:rPr>
        <w:t xml:space="preserve">1.完整物权</w:t>
      </w:r>
      <w:bookmarkEnd w:id="672"/>
      <w:r/>
      <w:bookmarkEnd w:id="673"/>
      <w:r/>
      <w:bookmarkEnd w:id="674"/>
      <w:r/>
      <w:bookmarkEnd w:id="675"/>
      <w:r/>
      <w:bookmarkEnd w:id="676"/>
      <w:r/>
      <w:bookmarkEnd w:id="677"/>
      <w:r>
        <w:rPr>
          <w:rFonts w:hint="eastAsia" w:ascii="宋体" w:hAnsi="宋体" w:eastAsia="宋体" w:cs="宋体"/>
          <w:b/>
          <w:bCs/>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对于出卖的标的物，乙方应当拥有完整物权，并且乙方负有保证第三人不得向甲方主张任何权利（包括知识产权）的义务。</w:t>
      </w:r>
      <w:r>
        <w:rPr>
          <w:rFonts w:hint="eastAsia" w:ascii="宋体" w:hAnsi="宋体" w:eastAsia="宋体" w:cs="宋体"/>
          <w:sz w:val="24"/>
          <w:szCs w:val="24"/>
        </w:rPr>
      </w:r>
      <w:r/>
    </w:p>
    <w:p>
      <w:pPr>
        <w:pStyle w:val="1118"/>
        <w:ind w:left="0" w:firstLine="482"/>
        <w:jc w:val="left"/>
        <w:pageBreakBefore w:val="0"/>
        <w:spacing w:line="360" w:lineRule="auto"/>
        <w:widowControl w:val="off"/>
        <w:rPr>
          <w:rFonts w:hint="eastAsia" w:ascii="宋体" w:hAnsi="宋体" w:eastAsia="宋体" w:cs="宋体"/>
          <w:b/>
          <w:bCs/>
          <w:sz w:val="24"/>
          <w:szCs w:val="24"/>
        </w:rPr>
        <w:outlineLvl w:val="9"/>
      </w:pPr>
      <w:r/>
      <w:bookmarkStart w:id="678" w:name="_Toc32047"/>
      <w:r/>
      <w:bookmarkStart w:id="679" w:name="_Toc3707"/>
      <w:r/>
      <w:bookmarkStart w:id="680" w:name="_Toc504548283"/>
      <w:r/>
      <w:bookmarkStart w:id="681" w:name="_Toc14048"/>
      <w:r/>
      <w:bookmarkStart w:id="682" w:name="_Toc32525"/>
      <w:r/>
      <w:bookmarkStart w:id="683" w:name="_Toc508285912"/>
      <w:r>
        <w:rPr>
          <w:rFonts w:hint="eastAsia" w:ascii="宋体" w:hAnsi="宋体" w:eastAsia="宋体" w:cs="宋体"/>
          <w:b/>
          <w:bCs/>
          <w:sz w:val="24"/>
          <w:szCs w:val="24"/>
        </w:rPr>
        <w:t xml:space="preserve">2.质量保证</w:t>
      </w:r>
      <w:bookmarkEnd w:id="678"/>
      <w:r/>
      <w:bookmarkEnd w:id="679"/>
      <w:r/>
      <w:bookmarkEnd w:id="680"/>
      <w:r/>
      <w:bookmarkEnd w:id="681"/>
      <w:r/>
      <w:bookmarkEnd w:id="682"/>
      <w:r/>
      <w:bookmarkEnd w:id="683"/>
      <w:r>
        <w:rPr>
          <w:rFonts w:hint="eastAsia" w:ascii="宋体" w:hAnsi="宋体" w:eastAsia="宋体" w:cs="宋体"/>
          <w:b/>
          <w:bCs/>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rPr>
          <w:rFonts w:hint="eastAsia" w:ascii="宋体" w:hAnsi="宋体" w:eastAsia="宋体" w:cs="宋体"/>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rPr>
          <w:rFonts w:hint="eastAsia" w:ascii="宋体" w:hAnsi="宋体" w:eastAsia="宋体" w:cs="宋体"/>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2.3合同条款中标的物的质量保证期均自标的物通过最终验收之日起计算，且质量保证期不低于</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2.4在质保期内乙方提供快速响应服务，乙方在收到设备问题的通知后，在0.5小时内响应，2小时内给出解决问题的方案。如果甲方按照乙方的指导不能解决问题，乙方在8小时内派出维修人员到现场维修或更换零件。产品质量保证期内，凡货物在开箱检验、安装调试、货物试运转过程中发现的货物质量问题，由乙方负责处理，实行包修、包换、包退，直至产品符合质量要求。乙方承担修理、调换、退货发生的一切费用和甲方的直接经济损失。</w:t>
      </w:r>
      <w:r>
        <w:rPr>
          <w:rFonts w:hint="eastAsia" w:ascii="宋体" w:hAnsi="宋体" w:eastAsia="宋体" w:cs="宋体"/>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2.5乙方应对其合同内的货物及安装工程的质量达到国家相关验收规范和图纸要求，并与土建工程质量标准相同。</w:t>
      </w:r>
      <w:r>
        <w:rPr>
          <w:rFonts w:hint="eastAsia" w:ascii="宋体" w:hAnsi="宋体" w:eastAsia="宋体" w:cs="宋体"/>
          <w:sz w:val="24"/>
          <w:szCs w:val="24"/>
        </w:rPr>
      </w:r>
      <w:r/>
    </w:p>
    <w:p>
      <w:pPr>
        <w:pStyle w:val="1118"/>
        <w:ind w:left="0" w:firstLine="482"/>
        <w:jc w:val="left"/>
        <w:pageBreakBefore w:val="0"/>
        <w:spacing w:line="360" w:lineRule="auto"/>
        <w:widowControl w:val="off"/>
        <w:rPr>
          <w:rFonts w:hint="eastAsia" w:ascii="宋体" w:hAnsi="宋体" w:eastAsia="宋体" w:cs="宋体"/>
          <w:b/>
          <w:bCs/>
          <w:sz w:val="24"/>
          <w:szCs w:val="24"/>
        </w:rPr>
        <w:outlineLvl w:val="9"/>
      </w:pPr>
      <w:r/>
      <w:bookmarkStart w:id="684" w:name="_Toc31923"/>
      <w:r/>
      <w:bookmarkStart w:id="685" w:name="_Toc9687"/>
      <w:r/>
      <w:bookmarkStart w:id="686" w:name="_Toc27625"/>
      <w:r/>
      <w:bookmarkStart w:id="687" w:name="_Toc504548284"/>
      <w:r/>
      <w:bookmarkStart w:id="688" w:name="_Toc508285913"/>
      <w:r/>
      <w:bookmarkStart w:id="689" w:name="_Toc8798"/>
      <w:r>
        <w:rPr>
          <w:rFonts w:hint="eastAsia" w:ascii="宋体" w:hAnsi="宋体" w:eastAsia="宋体" w:cs="宋体"/>
          <w:b/>
          <w:bCs/>
          <w:sz w:val="24"/>
          <w:szCs w:val="24"/>
        </w:rPr>
        <w:t xml:space="preserve">3.包装</w:t>
      </w:r>
      <w:bookmarkEnd w:id="684"/>
      <w:r/>
      <w:bookmarkEnd w:id="685"/>
      <w:r/>
      <w:bookmarkEnd w:id="686"/>
      <w:r/>
      <w:bookmarkEnd w:id="687"/>
      <w:r/>
      <w:bookmarkEnd w:id="688"/>
      <w:r/>
      <w:bookmarkEnd w:id="689"/>
      <w:r>
        <w:rPr>
          <w:rFonts w:hint="eastAsia" w:ascii="宋体" w:hAnsi="宋体" w:eastAsia="宋体" w:cs="宋体"/>
          <w:b/>
          <w:bCs/>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rPr>
          <w:rFonts w:hint="eastAsia" w:ascii="宋体" w:hAnsi="宋体" w:eastAsia="宋体" w:cs="宋体"/>
          <w:sz w:val="24"/>
          <w:szCs w:val="24"/>
        </w:rPr>
      </w:r>
      <w:r/>
    </w:p>
    <w:p>
      <w:pPr>
        <w:pStyle w:val="1118"/>
        <w:ind w:left="0" w:firstLine="482"/>
        <w:jc w:val="left"/>
        <w:pageBreakBefore w:val="0"/>
        <w:spacing w:line="360" w:lineRule="auto"/>
        <w:widowControl w:val="off"/>
        <w:rPr>
          <w:rFonts w:hint="eastAsia" w:ascii="宋体" w:hAnsi="宋体" w:eastAsia="宋体" w:cs="宋体"/>
          <w:b/>
          <w:bCs/>
          <w:sz w:val="24"/>
          <w:szCs w:val="24"/>
        </w:rPr>
        <w:outlineLvl w:val="9"/>
      </w:pPr>
      <w:r/>
      <w:bookmarkStart w:id="690" w:name="_Toc508285914"/>
      <w:r/>
      <w:bookmarkStart w:id="691" w:name="_Toc14499"/>
      <w:r/>
      <w:bookmarkStart w:id="692" w:name="_Toc1081"/>
      <w:r/>
      <w:bookmarkStart w:id="693" w:name="_Toc14416"/>
      <w:r/>
      <w:bookmarkStart w:id="694" w:name="_Toc5802"/>
      <w:r/>
      <w:bookmarkStart w:id="695" w:name="_Toc504548285"/>
      <w:r>
        <w:rPr>
          <w:rFonts w:hint="eastAsia" w:ascii="宋体" w:hAnsi="宋体" w:eastAsia="宋体" w:cs="宋体"/>
          <w:b/>
          <w:bCs/>
          <w:sz w:val="24"/>
          <w:szCs w:val="24"/>
        </w:rPr>
        <w:t xml:space="preserve">4.伴随服务</w:t>
      </w:r>
      <w:bookmarkEnd w:id="690"/>
      <w:r/>
      <w:bookmarkEnd w:id="691"/>
      <w:r/>
      <w:bookmarkEnd w:id="692"/>
      <w:r/>
      <w:bookmarkEnd w:id="693"/>
      <w:r/>
      <w:bookmarkEnd w:id="694"/>
      <w:r/>
      <w:bookmarkEnd w:id="695"/>
      <w:r>
        <w:rPr>
          <w:rFonts w:hint="eastAsia" w:ascii="宋体" w:hAnsi="宋体" w:eastAsia="宋体" w:cs="宋体"/>
          <w:b/>
          <w:bCs/>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4.1乙方除应履行按期按量交付合格标的物的义务之外，还应提供下列服务。</w:t>
      </w:r>
      <w:r>
        <w:rPr>
          <w:rFonts w:hint="eastAsia" w:ascii="宋体" w:hAnsi="宋体" w:eastAsia="宋体" w:cs="宋体"/>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4.1.1标的物的现场安装、启动、调试、监督；</w:t>
      </w:r>
      <w:r>
        <w:rPr>
          <w:rFonts w:hint="eastAsia" w:ascii="宋体" w:hAnsi="宋体" w:eastAsia="宋体" w:cs="宋体"/>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4.1.2提供标的物组装和一般维修所必须的工具；</w:t>
      </w:r>
      <w:r>
        <w:rPr>
          <w:rFonts w:hint="eastAsia" w:ascii="宋体" w:hAnsi="宋体" w:eastAsia="宋体" w:cs="宋体"/>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4.1.3在合同规定的期限内对所提供标的物实行运行监督、维修服务的前提条件是该服务并不能免除乙方在质量保证期内所承担的义务；</w:t>
      </w:r>
      <w:r>
        <w:rPr>
          <w:rFonts w:hint="eastAsia" w:ascii="宋体" w:hAnsi="宋体" w:eastAsia="宋体" w:cs="宋体"/>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4.1.4对甲方技术人员的技术指导或培训。</w:t>
      </w:r>
      <w:r>
        <w:rPr>
          <w:rFonts w:hint="eastAsia" w:ascii="宋体" w:hAnsi="宋体" w:eastAsia="宋体" w:cs="宋体"/>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4.2除合同另有规定之外，伴随服务的费用均已含在合同价款中，甲方不再另行进行支付。</w:t>
      </w:r>
      <w:r>
        <w:rPr>
          <w:rFonts w:hint="eastAsia" w:ascii="宋体" w:hAnsi="宋体" w:eastAsia="宋体" w:cs="宋体"/>
          <w:sz w:val="24"/>
          <w:szCs w:val="24"/>
        </w:rPr>
      </w:r>
      <w:r/>
    </w:p>
    <w:p>
      <w:pPr>
        <w:pStyle w:val="1118"/>
        <w:ind w:left="0" w:firstLine="482"/>
        <w:keepLines/>
        <w:keepNext/>
        <w:pageBreakBefore w:val="0"/>
        <w:spacing w:line="360" w:lineRule="auto"/>
        <w:widowControl w:val="off"/>
        <w:rPr>
          <w:rFonts w:hint="eastAsia" w:ascii="宋体" w:hAnsi="宋体" w:eastAsia="宋体" w:cs="宋体"/>
          <w:b/>
          <w:bCs/>
          <w:sz w:val="24"/>
          <w:szCs w:val="24"/>
        </w:rPr>
        <w:outlineLvl w:val="9"/>
      </w:pPr>
      <w:r/>
      <w:bookmarkStart w:id="696" w:name="_Toc32153"/>
      <w:r/>
      <w:bookmarkStart w:id="697" w:name="_Toc16136"/>
      <w:r/>
      <w:bookmarkStart w:id="698" w:name="_Toc3760"/>
      <w:r/>
      <w:bookmarkStart w:id="699" w:name="_Toc4701"/>
      <w:r>
        <w:rPr>
          <w:rFonts w:hint="eastAsia" w:ascii="宋体" w:hAnsi="宋体" w:eastAsia="宋体" w:cs="宋体"/>
          <w:b/>
          <w:bCs/>
          <w:sz w:val="24"/>
          <w:szCs w:val="24"/>
        </w:rPr>
        <w:t xml:space="preserve">三、标的物的交付、检验和验收</w:t>
      </w:r>
      <w:bookmarkEnd w:id="696"/>
      <w:r/>
      <w:bookmarkEnd w:id="697"/>
      <w:r/>
      <w:bookmarkEnd w:id="698"/>
      <w:r/>
      <w:bookmarkEnd w:id="699"/>
      <w:r>
        <w:rPr>
          <w:rFonts w:hint="eastAsia" w:ascii="宋体" w:hAnsi="宋体" w:eastAsia="宋体" w:cs="宋体"/>
          <w:b/>
          <w:bCs/>
          <w:sz w:val="24"/>
          <w:szCs w:val="24"/>
        </w:rPr>
      </w:r>
      <w:r/>
    </w:p>
    <w:p>
      <w:pPr>
        <w:pStyle w:val="1118"/>
        <w:ind w:left="0" w:firstLine="482"/>
        <w:jc w:val="left"/>
        <w:pageBreakBefore w:val="0"/>
        <w:spacing w:line="360" w:lineRule="auto"/>
        <w:widowControl w:val="off"/>
        <w:rPr>
          <w:rFonts w:hint="eastAsia" w:ascii="宋体" w:hAnsi="宋体" w:eastAsia="宋体" w:cs="宋体"/>
          <w:b/>
          <w:bCs/>
          <w:sz w:val="24"/>
          <w:szCs w:val="24"/>
        </w:rPr>
        <w:outlineLvl w:val="9"/>
      </w:pPr>
      <w:r/>
      <w:bookmarkStart w:id="700" w:name="_Toc31633"/>
      <w:r/>
      <w:bookmarkStart w:id="701" w:name="_Toc508285915"/>
      <w:r/>
      <w:bookmarkStart w:id="702" w:name="_Toc504548286"/>
      <w:r/>
      <w:bookmarkStart w:id="703" w:name="_Toc5609"/>
      <w:r/>
      <w:bookmarkStart w:id="704" w:name="_Toc25749"/>
      <w:r/>
      <w:bookmarkStart w:id="705" w:name="_Toc12903"/>
      <w:r>
        <w:rPr>
          <w:rFonts w:hint="eastAsia" w:ascii="宋体" w:hAnsi="宋体" w:eastAsia="宋体" w:cs="宋体"/>
          <w:b/>
          <w:bCs/>
          <w:sz w:val="24"/>
          <w:szCs w:val="24"/>
        </w:rPr>
        <w:t xml:space="preserve">1.标的物的交付</w:t>
      </w:r>
      <w:bookmarkEnd w:id="700"/>
      <w:r/>
      <w:bookmarkEnd w:id="701"/>
      <w:r/>
      <w:bookmarkEnd w:id="702"/>
      <w:r/>
      <w:bookmarkEnd w:id="703"/>
      <w:r/>
      <w:bookmarkEnd w:id="704"/>
      <w:r/>
      <w:bookmarkEnd w:id="705"/>
      <w:r>
        <w:rPr>
          <w:rFonts w:hint="eastAsia" w:ascii="宋体" w:hAnsi="宋体" w:eastAsia="宋体" w:cs="宋体"/>
          <w:b/>
          <w:bCs/>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1.1标的物的所有权自标的物交付时转移。</w:t>
      </w:r>
      <w:r>
        <w:rPr>
          <w:rFonts w:hint="eastAsia" w:ascii="宋体" w:hAnsi="宋体" w:eastAsia="宋体" w:cs="宋体"/>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1.2乙方应当按照约定的期限和约定的地点交付标的物。</w:t>
      </w:r>
      <w:r>
        <w:rPr>
          <w:rFonts w:hint="eastAsia" w:ascii="宋体" w:hAnsi="宋体" w:eastAsia="宋体" w:cs="宋体"/>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1.3乙方应当按照约定或者交易习惯向甲方交付提取标的物单证以外的有关单证和资料。</w:t>
      </w:r>
      <w:r>
        <w:rPr>
          <w:rFonts w:hint="eastAsia" w:ascii="宋体" w:hAnsi="宋体" w:eastAsia="宋体" w:cs="宋体"/>
          <w:sz w:val="24"/>
          <w:szCs w:val="24"/>
        </w:rPr>
      </w:r>
      <w:r/>
    </w:p>
    <w:p>
      <w:pPr>
        <w:pStyle w:val="1118"/>
        <w:ind w:left="0" w:firstLine="482"/>
        <w:jc w:val="left"/>
        <w:pageBreakBefore w:val="0"/>
        <w:spacing w:line="360" w:lineRule="auto"/>
        <w:widowControl w:val="off"/>
        <w:rPr>
          <w:rFonts w:hint="eastAsia" w:ascii="宋体" w:hAnsi="宋体" w:eastAsia="宋体" w:cs="宋体"/>
          <w:b/>
          <w:bCs/>
          <w:sz w:val="24"/>
          <w:szCs w:val="24"/>
        </w:rPr>
        <w:outlineLvl w:val="9"/>
      </w:pPr>
      <w:r/>
      <w:bookmarkStart w:id="706" w:name="_Toc16906"/>
      <w:r/>
      <w:bookmarkStart w:id="707" w:name="_Toc8735"/>
      <w:r/>
      <w:bookmarkStart w:id="708" w:name="_Toc31358"/>
      <w:r/>
      <w:bookmarkStart w:id="709" w:name="_Toc28047"/>
      <w:r/>
      <w:bookmarkStart w:id="710" w:name="_Toc504548287"/>
      <w:r/>
      <w:bookmarkStart w:id="711" w:name="_Toc508285916"/>
      <w:r>
        <w:rPr>
          <w:rFonts w:hint="eastAsia" w:ascii="宋体" w:hAnsi="宋体" w:eastAsia="宋体" w:cs="宋体"/>
          <w:b/>
          <w:bCs/>
          <w:sz w:val="24"/>
          <w:szCs w:val="24"/>
        </w:rPr>
        <w:t xml:space="preserve">2.检验和验收</w:t>
      </w:r>
      <w:bookmarkEnd w:id="706"/>
      <w:r/>
      <w:bookmarkEnd w:id="707"/>
      <w:r/>
      <w:bookmarkEnd w:id="708"/>
      <w:r/>
      <w:bookmarkEnd w:id="709"/>
      <w:r/>
      <w:bookmarkEnd w:id="710"/>
      <w:r/>
      <w:bookmarkEnd w:id="711"/>
      <w:r>
        <w:rPr>
          <w:rFonts w:hint="eastAsia" w:ascii="宋体" w:hAnsi="宋体" w:eastAsia="宋体" w:cs="宋体"/>
          <w:b/>
          <w:bCs/>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2.1在交货前，乙方应对标的物的质量、规格、性能、数量等进行详细而全面的检验，并出具一份合格检验证明，合格检验证明作为甲方验收的依据，但不能作为有关标的物质量、规格、数量或性能的最终检验结果。</w:t>
      </w:r>
      <w:r>
        <w:rPr>
          <w:rFonts w:hint="eastAsia" w:ascii="宋体" w:hAnsi="宋体" w:eastAsia="宋体" w:cs="宋体"/>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2.2甲方根据合同规定的内容和验收标准进行验收，同时比较乙方出具的检验证明，经检验无误后出具验收合格证明，该证明作为最终付款所需文件的组成部分。</w:t>
      </w:r>
      <w:r>
        <w:rPr>
          <w:rFonts w:hint="eastAsia" w:ascii="宋体" w:hAnsi="宋体" w:eastAsia="宋体" w:cs="宋体"/>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2.3如双方对验收结果有分歧，则以国家权威部门的检验结果为准，检验费用由有过失的一方支付。</w:t>
      </w:r>
      <w:r>
        <w:rPr>
          <w:rFonts w:hint="eastAsia" w:ascii="宋体" w:hAnsi="宋体" w:eastAsia="宋体" w:cs="宋体"/>
          <w:sz w:val="24"/>
          <w:szCs w:val="24"/>
        </w:rPr>
      </w:r>
      <w:r/>
    </w:p>
    <w:p>
      <w:pPr>
        <w:pStyle w:val="1118"/>
        <w:ind w:left="0" w:firstLine="482"/>
        <w:keepLines/>
        <w:keepNext/>
        <w:pageBreakBefore w:val="0"/>
        <w:spacing w:line="360" w:lineRule="auto"/>
        <w:widowControl w:val="off"/>
        <w:rPr>
          <w:rFonts w:hint="eastAsia" w:ascii="宋体" w:hAnsi="宋体" w:eastAsia="宋体" w:cs="宋体"/>
          <w:b/>
          <w:bCs/>
          <w:sz w:val="24"/>
          <w:szCs w:val="24"/>
        </w:rPr>
        <w:outlineLvl w:val="9"/>
      </w:pPr>
      <w:r/>
      <w:bookmarkStart w:id="712" w:name="_Toc7819"/>
      <w:r/>
      <w:bookmarkStart w:id="713" w:name="_Toc12676"/>
      <w:r/>
      <w:bookmarkStart w:id="714" w:name="_Toc8140"/>
      <w:r/>
      <w:bookmarkStart w:id="715" w:name="_Toc5582"/>
      <w:r>
        <w:rPr>
          <w:rFonts w:hint="eastAsia" w:ascii="宋体" w:hAnsi="宋体" w:eastAsia="宋体" w:cs="宋体"/>
          <w:b/>
          <w:bCs/>
          <w:sz w:val="24"/>
          <w:szCs w:val="24"/>
        </w:rPr>
        <w:t xml:space="preserve">四、对标的物提出异议的时间和办法</w:t>
      </w:r>
      <w:bookmarkEnd w:id="712"/>
      <w:r/>
      <w:bookmarkEnd w:id="713"/>
      <w:r/>
      <w:bookmarkEnd w:id="714"/>
      <w:r/>
      <w:bookmarkEnd w:id="715"/>
      <w:r>
        <w:rPr>
          <w:rFonts w:hint="eastAsia" w:ascii="宋体" w:hAnsi="宋体" w:eastAsia="宋体" w:cs="宋体"/>
          <w:b/>
          <w:bCs/>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bookmarkStart w:id="716" w:name="_Toc5263"/>
      <w:r/>
      <w:bookmarkStart w:id="717" w:name="_Toc14319"/>
      <w:r/>
      <w:bookmarkStart w:id="718" w:name="_Toc16103"/>
      <w:r/>
      <w:bookmarkStart w:id="719" w:name="_Toc19652"/>
      <w:r>
        <w:rPr>
          <w:rFonts w:hint="eastAsia" w:ascii="宋体" w:hAnsi="宋体" w:eastAsia="宋体" w:cs="宋体"/>
          <w:sz w:val="24"/>
          <w:szCs w:val="24"/>
        </w:rPr>
        <w:t xml:space="preserve">1.对标的物提出异议的时间和办法</w:t>
      </w:r>
      <w:bookmarkEnd w:id="716"/>
      <w:r/>
      <w:bookmarkEnd w:id="717"/>
      <w:r/>
      <w:bookmarkEnd w:id="718"/>
      <w:r/>
      <w:bookmarkEnd w:id="719"/>
      <w:r>
        <w:rPr>
          <w:rFonts w:hint="eastAsia" w:ascii="宋体" w:hAnsi="宋体" w:eastAsia="宋体" w:cs="宋体"/>
          <w:sz w:val="24"/>
          <w:szCs w:val="24"/>
        </w:rPr>
        <w:t xml:space="preserve"> </w:t>
      </w:r>
      <w:r>
        <w:rPr>
          <w:rFonts w:hint="eastAsia" w:ascii="宋体" w:hAnsi="宋体" w:eastAsia="宋体" w:cs="宋体"/>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1.1甲方在验收过程中，应当于双方约定的检验期间内将标的物的数量或质量不符合约定的情形及处理方式以书面形式通知乙方。</w:t>
      </w:r>
      <w:r>
        <w:rPr>
          <w:rFonts w:hint="eastAsia" w:ascii="宋体" w:hAnsi="宋体" w:eastAsia="宋体" w:cs="宋体"/>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1.2如甲方在验收期满后既不出具验收合格证明又未提出书面异议的视为乙方所交标的物符合合同规定。</w:t>
      </w:r>
      <w:r>
        <w:rPr>
          <w:rFonts w:hint="eastAsia" w:ascii="宋体" w:hAnsi="宋体" w:eastAsia="宋体" w:cs="宋体"/>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1.3乙方应在收到甲方书面异议后七天内负责处理问题，否则将视为默认甲方提出的异议和处理意见。</w:t>
      </w:r>
      <w:r>
        <w:rPr>
          <w:rFonts w:hint="eastAsia" w:ascii="宋体" w:hAnsi="宋体" w:eastAsia="宋体" w:cs="宋体"/>
          <w:sz w:val="24"/>
          <w:szCs w:val="24"/>
        </w:rPr>
      </w:r>
      <w:r/>
    </w:p>
    <w:p>
      <w:pPr>
        <w:pStyle w:val="1118"/>
        <w:ind w:left="0" w:firstLine="482"/>
        <w:keepLines/>
        <w:keepNext/>
        <w:pageBreakBefore w:val="0"/>
        <w:spacing w:line="360" w:lineRule="auto"/>
        <w:widowControl w:val="off"/>
        <w:rPr>
          <w:rFonts w:hint="eastAsia" w:ascii="宋体" w:hAnsi="宋体" w:eastAsia="宋体" w:cs="宋体"/>
          <w:b/>
          <w:bCs/>
          <w:sz w:val="24"/>
          <w:szCs w:val="24"/>
        </w:rPr>
        <w:outlineLvl w:val="9"/>
      </w:pPr>
      <w:r/>
      <w:bookmarkStart w:id="720" w:name="_Toc920"/>
      <w:r/>
      <w:bookmarkStart w:id="721" w:name="_Toc26921"/>
      <w:r/>
      <w:bookmarkStart w:id="722" w:name="_Toc18670"/>
      <w:r/>
      <w:bookmarkStart w:id="723" w:name="_Toc26476"/>
      <w:r>
        <w:rPr>
          <w:rFonts w:hint="eastAsia" w:ascii="宋体" w:hAnsi="宋体" w:eastAsia="宋体" w:cs="宋体"/>
          <w:b/>
          <w:bCs/>
          <w:sz w:val="24"/>
          <w:szCs w:val="24"/>
        </w:rPr>
        <w:t xml:space="preserve">五、合同价款和支付</w:t>
      </w:r>
      <w:bookmarkEnd w:id="720"/>
      <w:r/>
      <w:bookmarkEnd w:id="721"/>
      <w:r/>
      <w:bookmarkEnd w:id="722"/>
      <w:r/>
      <w:bookmarkEnd w:id="723"/>
      <w:r>
        <w:rPr>
          <w:rFonts w:hint="eastAsia" w:ascii="宋体" w:hAnsi="宋体" w:eastAsia="宋体" w:cs="宋体"/>
          <w:b/>
          <w:bCs/>
          <w:sz w:val="24"/>
          <w:szCs w:val="24"/>
        </w:rPr>
      </w:r>
      <w:r/>
    </w:p>
    <w:p>
      <w:pPr>
        <w:pStyle w:val="1118"/>
        <w:ind w:left="0" w:firstLine="482"/>
        <w:jc w:val="left"/>
        <w:pageBreakBefore w:val="0"/>
        <w:spacing w:line="360" w:lineRule="auto"/>
        <w:widowControl w:val="off"/>
        <w:rPr>
          <w:rFonts w:hint="eastAsia" w:ascii="宋体" w:hAnsi="宋体" w:eastAsia="宋体" w:cs="宋体"/>
          <w:b/>
          <w:bCs/>
          <w:sz w:val="24"/>
          <w:szCs w:val="24"/>
        </w:rPr>
        <w:outlineLvl w:val="9"/>
      </w:pPr>
      <w:r/>
      <w:bookmarkStart w:id="724" w:name="_Toc32212"/>
      <w:r/>
      <w:bookmarkStart w:id="725" w:name="_Toc8953"/>
      <w:r/>
      <w:bookmarkStart w:id="726" w:name="_Toc6292"/>
      <w:r/>
      <w:bookmarkStart w:id="727" w:name="_Toc508285917"/>
      <w:r/>
      <w:bookmarkStart w:id="728" w:name="_Toc13458"/>
      <w:r/>
      <w:bookmarkStart w:id="729" w:name="_Toc504548288"/>
      <w:r>
        <w:rPr>
          <w:rFonts w:hint="eastAsia" w:ascii="宋体" w:hAnsi="宋体" w:eastAsia="宋体" w:cs="宋体"/>
          <w:b/>
          <w:bCs/>
          <w:sz w:val="24"/>
          <w:szCs w:val="24"/>
        </w:rPr>
        <w:t xml:space="preserve">1.合同价款和支付</w:t>
      </w:r>
      <w:bookmarkEnd w:id="724"/>
      <w:r/>
      <w:bookmarkEnd w:id="725"/>
      <w:r/>
      <w:bookmarkEnd w:id="726"/>
      <w:r/>
      <w:bookmarkEnd w:id="727"/>
      <w:r/>
      <w:bookmarkEnd w:id="728"/>
      <w:r/>
      <w:bookmarkEnd w:id="729"/>
      <w:r>
        <w:rPr>
          <w:rFonts w:hint="eastAsia" w:ascii="宋体" w:hAnsi="宋体" w:eastAsia="宋体" w:cs="宋体"/>
          <w:b/>
          <w:bCs/>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1.1 本合同的结算货币为人民币，单位元。合同价格按此次中标价格执行，合同总金额为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，合同形式为总价包干。投标报价为最终报价，除非因特殊原因并经甲乙双方协商同意，投标人不得再要求追加任何费用。</w:t>
      </w:r>
      <w:r>
        <w:rPr>
          <w:rFonts w:hint="eastAsia" w:ascii="宋体" w:hAnsi="宋体" w:eastAsia="宋体" w:cs="宋体"/>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1.2 乙方应按照双方签订的合同规定交货并在合同特殊条款规定的期限内持下列单据结算货款。</w:t>
      </w:r>
      <w:r>
        <w:rPr>
          <w:rFonts w:hint="eastAsia" w:ascii="宋体" w:hAnsi="宋体" w:eastAsia="宋体" w:cs="宋体"/>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① 合格的销售发票；</w:t>
      </w:r>
      <w:r>
        <w:rPr>
          <w:rFonts w:hint="eastAsia" w:ascii="宋体" w:hAnsi="宋体" w:eastAsia="宋体" w:cs="宋体"/>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② 甲方盖章签收后的送货回单和验收合格证明。</w:t>
      </w:r>
      <w:r>
        <w:rPr>
          <w:rFonts w:hint="eastAsia" w:ascii="宋体" w:hAnsi="宋体" w:eastAsia="宋体" w:cs="宋体"/>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1.3 甲方应按合同特殊条款规定的期限和方式付款。</w:t>
      </w:r>
      <w:r>
        <w:rPr>
          <w:rFonts w:hint="eastAsia" w:ascii="宋体" w:hAnsi="宋体" w:eastAsia="宋体" w:cs="宋体"/>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1.4付款方式：</w:t>
      </w:r>
      <w:r>
        <w:rPr>
          <w:rFonts w:hint="eastAsia" w:ascii="宋体" w:hAnsi="宋体" w:eastAsia="宋体" w:cs="宋体"/>
          <w:sz w:val="24"/>
          <w:szCs w:val="24"/>
        </w:rPr>
      </w:r>
      <w:r/>
    </w:p>
    <w:p>
      <w:pPr>
        <w:pStyle w:val="1118"/>
        <w:ind w:left="0" w:firstLine="482"/>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六、交货和安装</w:t>
      </w:r>
      <w:r>
        <w:rPr>
          <w:rFonts w:hint="eastAsia" w:ascii="宋体" w:hAnsi="宋体" w:eastAsia="宋体" w:cs="宋体"/>
          <w:b/>
          <w:bCs/>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1、交货时间：接采购人通知，</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日内完成并通过验收。</w:t>
      </w:r>
      <w:r>
        <w:rPr>
          <w:rFonts w:hint="eastAsia" w:ascii="宋体" w:hAnsi="宋体" w:eastAsia="宋体" w:cs="宋体"/>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2、交货地点：由乙方负责办理运输将标的物送到甲方所在地。       </w:t>
      </w:r>
      <w:r>
        <w:rPr>
          <w:rFonts w:hint="eastAsia" w:ascii="宋体" w:hAnsi="宋体" w:eastAsia="宋体" w:cs="宋体"/>
          <w:sz w:val="24"/>
          <w:szCs w:val="24"/>
        </w:rPr>
      </w:r>
      <w:r/>
    </w:p>
    <w:p>
      <w:pPr>
        <w:pStyle w:val="1118"/>
        <w:ind w:left="0" w:firstLine="482"/>
        <w:pageBreakBefore w:val="0"/>
        <w:spacing w:line="360" w:lineRule="auto"/>
        <w:widowControl w:val="off"/>
        <w:rPr>
          <w:rFonts w:hint="eastAsia" w:ascii="宋体" w:hAnsi="宋体" w:eastAsia="宋体" w:cs="宋体"/>
          <w:b/>
          <w:bCs/>
          <w:sz w:val="24"/>
          <w:szCs w:val="24"/>
        </w:rPr>
        <w:outlineLvl w:val="9"/>
      </w:pPr>
      <w:r/>
      <w:bookmarkStart w:id="730" w:name="_Toc4977"/>
      <w:r/>
      <w:bookmarkStart w:id="731" w:name="_Toc20337"/>
      <w:r/>
      <w:bookmarkStart w:id="732" w:name="_Toc26194"/>
      <w:r/>
      <w:bookmarkStart w:id="733" w:name="_Toc21554"/>
      <w:r>
        <w:rPr>
          <w:rFonts w:hint="eastAsia" w:ascii="宋体" w:hAnsi="宋体" w:eastAsia="宋体" w:cs="宋体"/>
          <w:b/>
          <w:bCs/>
          <w:sz w:val="24"/>
          <w:szCs w:val="24"/>
        </w:rPr>
        <w:t xml:space="preserve">七、违约责任</w:t>
      </w:r>
      <w:bookmarkEnd w:id="730"/>
      <w:r/>
      <w:bookmarkEnd w:id="731"/>
      <w:r/>
      <w:bookmarkEnd w:id="732"/>
      <w:r/>
      <w:bookmarkEnd w:id="733"/>
      <w:r>
        <w:rPr>
          <w:rFonts w:hint="eastAsia" w:ascii="宋体" w:hAnsi="宋体" w:eastAsia="宋体" w:cs="宋体"/>
          <w:b/>
          <w:bCs/>
          <w:sz w:val="24"/>
          <w:szCs w:val="24"/>
        </w:rPr>
      </w:r>
      <w:r/>
    </w:p>
    <w:p>
      <w:pPr>
        <w:pStyle w:val="1118"/>
        <w:ind w:left="0" w:firstLine="482"/>
        <w:jc w:val="left"/>
        <w:pageBreakBefore w:val="0"/>
        <w:spacing w:line="360" w:lineRule="auto"/>
        <w:widowControl w:val="off"/>
        <w:rPr>
          <w:rFonts w:hint="eastAsia" w:ascii="宋体" w:hAnsi="宋体" w:eastAsia="宋体" w:cs="宋体"/>
          <w:b/>
          <w:bCs/>
          <w:sz w:val="24"/>
          <w:szCs w:val="24"/>
        </w:rPr>
        <w:outlineLvl w:val="9"/>
      </w:pPr>
      <w:r/>
      <w:bookmarkStart w:id="734" w:name="_Toc3877"/>
      <w:r/>
      <w:bookmarkStart w:id="735" w:name="_Toc508285918"/>
      <w:r/>
      <w:bookmarkStart w:id="736" w:name="_Toc2784"/>
      <w:r/>
      <w:bookmarkStart w:id="737" w:name="_Toc24489"/>
      <w:r/>
      <w:bookmarkStart w:id="738" w:name="_Toc504548289"/>
      <w:r/>
      <w:bookmarkStart w:id="739" w:name="_Toc11371"/>
      <w:r>
        <w:rPr>
          <w:rFonts w:hint="eastAsia" w:ascii="宋体" w:hAnsi="宋体" w:eastAsia="宋体" w:cs="宋体"/>
          <w:b/>
          <w:bCs/>
          <w:sz w:val="24"/>
          <w:szCs w:val="24"/>
        </w:rPr>
        <w:t xml:space="preserve">1.违约责任</w:t>
      </w:r>
      <w:bookmarkEnd w:id="734"/>
      <w:r/>
      <w:bookmarkEnd w:id="735"/>
      <w:r/>
      <w:bookmarkEnd w:id="736"/>
      <w:r/>
      <w:bookmarkEnd w:id="737"/>
      <w:r/>
      <w:bookmarkEnd w:id="738"/>
      <w:r/>
      <w:bookmarkEnd w:id="739"/>
      <w:r>
        <w:rPr>
          <w:rFonts w:hint="eastAsia" w:ascii="宋体" w:hAnsi="宋体" w:eastAsia="宋体" w:cs="宋体"/>
          <w:b/>
          <w:bCs/>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合同一方不履行合同义务或者履行合同义务不符合约定的，应当承担继续履行、采取补救措施或者赔偿损失等违约责任。</w:t>
      </w:r>
      <w:r>
        <w:rPr>
          <w:rFonts w:hint="eastAsia" w:ascii="宋体" w:hAnsi="宋体" w:eastAsia="宋体" w:cs="宋体"/>
          <w:sz w:val="24"/>
          <w:szCs w:val="24"/>
        </w:rPr>
      </w:r>
      <w:r/>
    </w:p>
    <w:p>
      <w:pPr>
        <w:pStyle w:val="1118"/>
        <w:ind w:left="0" w:firstLine="482"/>
        <w:jc w:val="left"/>
        <w:pageBreakBefore w:val="0"/>
        <w:spacing w:line="360" w:lineRule="auto"/>
        <w:widowControl w:val="off"/>
        <w:rPr>
          <w:rFonts w:hint="eastAsia" w:ascii="宋体" w:hAnsi="宋体" w:eastAsia="宋体" w:cs="宋体"/>
          <w:b/>
          <w:bCs/>
          <w:sz w:val="24"/>
          <w:szCs w:val="24"/>
        </w:rPr>
        <w:outlineLvl w:val="9"/>
      </w:pPr>
      <w:r/>
      <w:bookmarkStart w:id="740" w:name="_Toc504548290"/>
      <w:r/>
      <w:bookmarkStart w:id="741" w:name="_Toc508285919"/>
      <w:r/>
      <w:bookmarkStart w:id="742" w:name="_Toc27676"/>
      <w:r/>
      <w:bookmarkStart w:id="743" w:name="_Toc24057"/>
      <w:r/>
      <w:bookmarkStart w:id="744" w:name="_Toc31069"/>
      <w:r/>
      <w:bookmarkStart w:id="745" w:name="_Toc3173"/>
      <w:r>
        <w:rPr>
          <w:rFonts w:hint="eastAsia" w:ascii="宋体" w:hAnsi="宋体" w:eastAsia="宋体" w:cs="宋体"/>
          <w:b/>
          <w:bCs/>
          <w:sz w:val="24"/>
          <w:szCs w:val="24"/>
        </w:rPr>
        <w:t xml:space="preserve">2.甲方违约责任</w:t>
      </w:r>
      <w:bookmarkEnd w:id="740"/>
      <w:r/>
      <w:bookmarkEnd w:id="741"/>
      <w:r/>
      <w:bookmarkEnd w:id="742"/>
      <w:r/>
      <w:bookmarkEnd w:id="743"/>
      <w:r/>
      <w:bookmarkEnd w:id="744"/>
      <w:r/>
      <w:bookmarkEnd w:id="745"/>
      <w:r>
        <w:rPr>
          <w:rFonts w:hint="eastAsia" w:ascii="宋体" w:hAnsi="宋体" w:eastAsia="宋体" w:cs="宋体"/>
          <w:b/>
          <w:bCs/>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bookmarkStart w:id="746" w:name="_Toc9919"/>
      <w:r/>
      <w:bookmarkStart w:id="747" w:name="_Toc508285920"/>
      <w:r/>
      <w:bookmarkStart w:id="748" w:name="_Toc18509"/>
      <w:r/>
      <w:bookmarkStart w:id="749" w:name="_Toc130"/>
      <w:r/>
      <w:bookmarkStart w:id="750" w:name="_Toc31887"/>
      <w:r/>
      <w:bookmarkStart w:id="751" w:name="_Toc504548291"/>
      <w:r>
        <w:rPr>
          <w:rFonts w:hint="eastAsia" w:ascii="宋体" w:hAnsi="宋体" w:eastAsia="宋体" w:cs="宋体"/>
          <w:sz w:val="24"/>
          <w:szCs w:val="24"/>
        </w:rPr>
        <w:t xml:space="preserve">2.1在合同生效后，甲方要求退货的，应向乙方偿付合同总价款5%的违约金，违约金不足以补偿损失的，乙方有权要求甲方补足。</w:t>
      </w:r>
      <w:r>
        <w:rPr>
          <w:rFonts w:hint="eastAsia" w:ascii="宋体" w:hAnsi="宋体" w:eastAsia="宋体" w:cs="宋体"/>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2.2甲方逾期付款的应按照逾期付款金额的每天万分之四支付逾期付款违约金。</w:t>
      </w:r>
      <w:r>
        <w:rPr>
          <w:rFonts w:hint="eastAsia" w:ascii="宋体" w:hAnsi="宋体" w:eastAsia="宋体" w:cs="宋体"/>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2.3甲方违反合同规定，拒绝接收乙方交付的合格标的物，应当承担乙方由此造成的损失。</w:t>
      </w:r>
      <w:r>
        <w:rPr>
          <w:rFonts w:hint="eastAsia" w:ascii="宋体" w:hAnsi="宋体" w:eastAsia="宋体" w:cs="宋体"/>
          <w:sz w:val="24"/>
          <w:szCs w:val="24"/>
        </w:rPr>
      </w:r>
      <w:r/>
    </w:p>
    <w:p>
      <w:pPr>
        <w:pStyle w:val="1118"/>
        <w:ind w:left="0" w:firstLine="482"/>
        <w:jc w:val="left"/>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3.乙方违约责任</w:t>
      </w:r>
      <w:bookmarkEnd w:id="746"/>
      <w:r/>
      <w:bookmarkEnd w:id="747"/>
      <w:r/>
      <w:bookmarkEnd w:id="748"/>
      <w:r/>
      <w:bookmarkEnd w:id="749"/>
      <w:r/>
      <w:bookmarkEnd w:id="750"/>
      <w:r/>
      <w:bookmarkEnd w:id="751"/>
      <w:r>
        <w:rPr>
          <w:rFonts w:hint="eastAsia" w:ascii="宋体" w:hAnsi="宋体" w:eastAsia="宋体" w:cs="宋体"/>
          <w:b/>
          <w:bCs/>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3.1乙方不能交货（逾期超过十五天视为不能交货），或交货不合格从而影响甲方按期正常使用的，甲方有权解除合同，乙方向甲方偿付合同总价款5%的违约金，违约金不足以补偿损失的甲方有权要求乙方补足。</w:t>
      </w:r>
      <w:r>
        <w:rPr>
          <w:rFonts w:hint="eastAsia" w:ascii="宋体" w:hAnsi="宋体" w:eastAsia="宋体" w:cs="宋体"/>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3.2乙方逾期交货的，应在发货前与甲方协商，甲方仍需求的，乙方应立即发货并应按照逾期交货部分货款的每天万分之四支付逾期交货违约金，同时承担甲方因此遭致的损失费用。</w:t>
      </w:r>
      <w:r>
        <w:rPr>
          <w:rFonts w:hint="eastAsia" w:ascii="宋体" w:hAnsi="宋体" w:eastAsia="宋体" w:cs="宋体"/>
          <w:sz w:val="24"/>
          <w:szCs w:val="24"/>
        </w:rPr>
      </w:r>
      <w:r/>
    </w:p>
    <w:p>
      <w:pPr>
        <w:pStyle w:val="1118"/>
        <w:ind w:left="0" w:firstLine="482"/>
        <w:jc w:val="left"/>
        <w:pageBreakBefore w:val="0"/>
        <w:spacing w:line="360" w:lineRule="auto"/>
        <w:widowControl w:val="off"/>
        <w:rPr>
          <w:rFonts w:hint="eastAsia" w:ascii="宋体" w:hAnsi="宋体" w:eastAsia="宋体" w:cs="宋体"/>
          <w:b/>
          <w:bCs/>
          <w:sz w:val="24"/>
          <w:szCs w:val="24"/>
        </w:rPr>
        <w:outlineLvl w:val="9"/>
      </w:pPr>
      <w:r/>
      <w:bookmarkStart w:id="752" w:name="_Toc17159"/>
      <w:r/>
      <w:bookmarkStart w:id="753" w:name="_Toc32260"/>
      <w:r/>
      <w:bookmarkStart w:id="754" w:name="_Toc504548292"/>
      <w:r/>
      <w:bookmarkStart w:id="755" w:name="_Toc508285921"/>
      <w:r/>
      <w:bookmarkStart w:id="756" w:name="_Toc23998"/>
      <w:r/>
      <w:bookmarkStart w:id="757" w:name="_Toc32001"/>
      <w:r>
        <w:rPr>
          <w:rFonts w:hint="eastAsia" w:ascii="宋体" w:hAnsi="宋体" w:eastAsia="宋体" w:cs="宋体"/>
          <w:b/>
          <w:bCs/>
          <w:sz w:val="24"/>
          <w:szCs w:val="24"/>
        </w:rPr>
        <w:t xml:space="preserve">4.不可抗力</w:t>
      </w:r>
      <w:bookmarkEnd w:id="752"/>
      <w:r/>
      <w:bookmarkEnd w:id="753"/>
      <w:r/>
      <w:bookmarkEnd w:id="754"/>
      <w:r/>
      <w:bookmarkEnd w:id="755"/>
      <w:r/>
      <w:bookmarkEnd w:id="756"/>
      <w:r/>
      <w:bookmarkEnd w:id="757"/>
      <w:r>
        <w:rPr>
          <w:rFonts w:hint="eastAsia" w:ascii="宋体" w:hAnsi="宋体" w:eastAsia="宋体" w:cs="宋体"/>
          <w:b/>
          <w:bCs/>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4.1因不可抗力不能履行合同的，根据不可抗力的影响，部分或者全部免除责任。但合同一方迟延履行后发生不可抗力的，不能免除责任。</w:t>
      </w:r>
      <w:r>
        <w:rPr>
          <w:rFonts w:hint="eastAsia" w:ascii="宋体" w:hAnsi="宋体" w:eastAsia="宋体" w:cs="宋体"/>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4.2合同一方因不可抗力不能履行合同的，应当及时通知对方，以减轻可能给对方造成的损失，并应当在合理期限内提供证明。</w:t>
      </w:r>
      <w:r>
        <w:rPr>
          <w:rFonts w:hint="eastAsia" w:ascii="宋体" w:hAnsi="宋体" w:eastAsia="宋体" w:cs="宋体"/>
          <w:sz w:val="24"/>
          <w:szCs w:val="24"/>
        </w:rPr>
      </w:r>
      <w:r/>
    </w:p>
    <w:p>
      <w:pPr>
        <w:pStyle w:val="1118"/>
        <w:ind w:left="0" w:firstLine="482"/>
        <w:keepLines/>
        <w:keepNext/>
        <w:pageBreakBefore w:val="0"/>
        <w:spacing w:line="360" w:lineRule="auto"/>
        <w:widowControl w:val="off"/>
        <w:rPr>
          <w:rFonts w:hint="eastAsia" w:ascii="宋体" w:hAnsi="宋体" w:eastAsia="宋体" w:cs="宋体"/>
          <w:b/>
          <w:bCs/>
          <w:sz w:val="24"/>
          <w:szCs w:val="24"/>
        </w:rPr>
        <w:outlineLvl w:val="9"/>
      </w:pPr>
      <w:r/>
      <w:bookmarkStart w:id="758" w:name="_Toc23968"/>
      <w:r/>
      <w:bookmarkStart w:id="759" w:name="_Toc17447"/>
      <w:r/>
      <w:bookmarkStart w:id="760" w:name="_Toc16807"/>
      <w:r/>
      <w:bookmarkStart w:id="761" w:name="_Toc10459"/>
      <w:r>
        <w:rPr>
          <w:rFonts w:hint="eastAsia" w:ascii="宋体" w:hAnsi="宋体" w:eastAsia="宋体" w:cs="宋体"/>
          <w:b/>
          <w:bCs/>
          <w:sz w:val="24"/>
          <w:szCs w:val="24"/>
        </w:rPr>
        <w:t xml:space="preserve">七、索赔</w:t>
      </w:r>
      <w:bookmarkEnd w:id="758"/>
      <w:r/>
      <w:bookmarkEnd w:id="759"/>
      <w:r/>
      <w:bookmarkEnd w:id="760"/>
      <w:r/>
      <w:bookmarkEnd w:id="761"/>
      <w:r>
        <w:rPr>
          <w:rFonts w:hint="eastAsia" w:ascii="宋体" w:hAnsi="宋体" w:eastAsia="宋体" w:cs="宋体"/>
          <w:b/>
          <w:bCs/>
          <w:sz w:val="24"/>
          <w:szCs w:val="24"/>
        </w:rPr>
      </w:r>
      <w:r/>
    </w:p>
    <w:p>
      <w:pPr>
        <w:pStyle w:val="1118"/>
        <w:ind w:left="0" w:firstLine="482"/>
        <w:jc w:val="left"/>
        <w:pageBreakBefore w:val="0"/>
        <w:spacing w:line="360" w:lineRule="auto"/>
        <w:widowControl w:val="off"/>
        <w:rPr>
          <w:rFonts w:hint="eastAsia" w:ascii="宋体" w:hAnsi="宋体" w:eastAsia="宋体" w:cs="宋体"/>
          <w:b/>
          <w:bCs/>
          <w:sz w:val="24"/>
          <w:szCs w:val="24"/>
        </w:rPr>
        <w:outlineLvl w:val="9"/>
      </w:pPr>
      <w:r/>
      <w:bookmarkStart w:id="762" w:name="_Toc12408"/>
      <w:r/>
      <w:bookmarkStart w:id="763" w:name="_Toc508285922"/>
      <w:r/>
      <w:bookmarkStart w:id="764" w:name="_Toc26000"/>
      <w:r/>
      <w:bookmarkStart w:id="765" w:name="_Toc17302"/>
      <w:r/>
      <w:bookmarkStart w:id="766" w:name="_Toc15269"/>
      <w:r/>
      <w:bookmarkStart w:id="767" w:name="_Toc504548293"/>
      <w:r>
        <w:rPr>
          <w:rFonts w:hint="eastAsia" w:ascii="宋体" w:hAnsi="宋体" w:eastAsia="宋体" w:cs="宋体"/>
          <w:b/>
          <w:bCs/>
          <w:sz w:val="24"/>
          <w:szCs w:val="24"/>
        </w:rPr>
        <w:t xml:space="preserve">1.索赔</w:t>
      </w:r>
      <w:bookmarkEnd w:id="762"/>
      <w:r/>
      <w:bookmarkEnd w:id="763"/>
      <w:r/>
      <w:bookmarkEnd w:id="764"/>
      <w:r/>
      <w:bookmarkEnd w:id="765"/>
      <w:r/>
      <w:bookmarkEnd w:id="766"/>
      <w:r/>
      <w:bookmarkEnd w:id="767"/>
      <w:r>
        <w:rPr>
          <w:rFonts w:hint="eastAsia" w:ascii="宋体" w:hAnsi="宋体" w:eastAsia="宋体" w:cs="宋体"/>
          <w:b/>
          <w:bCs/>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1.1甲方有权根据当地产品质量检验机构或其它有权部门出具的检验证书向乙方提出索赔。</w:t>
      </w:r>
      <w:r>
        <w:rPr>
          <w:rFonts w:hint="eastAsia" w:ascii="宋体" w:hAnsi="宋体" w:eastAsia="宋体" w:cs="宋体"/>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1.2在本合同规定的检验期和质量保证期内，如果乙方对甲方提出的索赔或差异有责任，则乙方应按甲方同意的下列一种或多种方式解决索赔事宜：</w:t>
      </w:r>
      <w:r>
        <w:rPr>
          <w:rFonts w:hint="eastAsia" w:ascii="宋体" w:hAnsi="宋体" w:eastAsia="宋体" w:cs="宋体"/>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1.2.1乙方同意退货，并按合同规定的货币将货款退还给甲方，并承担由此发生的一切损失和费用，包括利息、银行手续费、运费、保险费、检验费、仓储费、装卸费以及为保护退回标的物所需的其它必要费用。</w:t>
      </w:r>
      <w:r>
        <w:rPr>
          <w:rFonts w:hint="eastAsia" w:ascii="宋体" w:hAnsi="宋体" w:eastAsia="宋体" w:cs="宋体"/>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1.2.2根据标的物的低劣程度、损坏程度以及甲方遭受损失的数额，经双方协商确定降低标的物的价格。</w:t>
      </w:r>
      <w:r>
        <w:rPr>
          <w:rFonts w:hint="eastAsia" w:ascii="宋体" w:hAnsi="宋体" w:eastAsia="宋体" w:cs="宋体"/>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1.2.3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rPr>
          <w:rFonts w:hint="eastAsia" w:ascii="宋体" w:hAnsi="宋体" w:eastAsia="宋体" w:cs="宋体"/>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1.3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rPr>
          <w:rFonts w:hint="eastAsia" w:ascii="宋体" w:hAnsi="宋体" w:eastAsia="宋体" w:cs="宋体"/>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1.4甲方提出索赔的书面材料应报政府采购监督管理部门备案，同时乙方同意的索赔方案也应报政府采购监督管理部门备案。</w:t>
      </w:r>
      <w:r>
        <w:rPr>
          <w:rFonts w:hint="eastAsia" w:ascii="宋体" w:hAnsi="宋体" w:eastAsia="宋体" w:cs="宋体"/>
          <w:sz w:val="24"/>
          <w:szCs w:val="24"/>
        </w:rPr>
      </w:r>
      <w:r/>
    </w:p>
    <w:p>
      <w:pPr>
        <w:pStyle w:val="1118"/>
        <w:ind w:left="0" w:firstLine="482"/>
        <w:keepLines/>
        <w:keepNext/>
        <w:pageBreakBefore w:val="0"/>
        <w:spacing w:line="360" w:lineRule="auto"/>
        <w:widowControl w:val="off"/>
        <w:rPr>
          <w:rFonts w:hint="eastAsia" w:ascii="宋体" w:hAnsi="宋体" w:eastAsia="宋体" w:cs="宋体"/>
          <w:b/>
          <w:bCs/>
          <w:sz w:val="24"/>
          <w:szCs w:val="24"/>
        </w:rPr>
        <w:outlineLvl w:val="9"/>
      </w:pPr>
      <w:r/>
      <w:bookmarkStart w:id="768" w:name="_Toc5613"/>
      <w:r/>
      <w:bookmarkStart w:id="769" w:name="_Toc32750"/>
      <w:r/>
      <w:bookmarkStart w:id="770" w:name="_Toc7107"/>
      <w:r/>
      <w:bookmarkStart w:id="771" w:name="_Toc11852"/>
      <w:r>
        <w:rPr>
          <w:rFonts w:hint="eastAsia" w:ascii="宋体" w:hAnsi="宋体" w:eastAsia="宋体" w:cs="宋体"/>
          <w:b/>
          <w:bCs/>
          <w:sz w:val="24"/>
          <w:szCs w:val="24"/>
        </w:rPr>
        <w:t xml:space="preserve">八、履约保证金</w:t>
      </w:r>
      <w:bookmarkEnd w:id="768"/>
      <w:r/>
      <w:bookmarkEnd w:id="769"/>
      <w:r/>
      <w:bookmarkEnd w:id="770"/>
      <w:r/>
      <w:bookmarkEnd w:id="771"/>
      <w:r>
        <w:rPr>
          <w:rFonts w:hint="eastAsia" w:ascii="宋体" w:hAnsi="宋体" w:eastAsia="宋体" w:cs="宋体"/>
          <w:b/>
          <w:bCs/>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1.1乙方应在本合同签订时，按</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文件的约定提供相应的履约保证金。</w:t>
      </w:r>
      <w:r>
        <w:rPr>
          <w:rFonts w:hint="eastAsia" w:ascii="宋体" w:hAnsi="宋体" w:eastAsia="宋体" w:cs="宋体"/>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1.2如果乙方未能履行合同规定的任何义务，甲方有权从履约保证金中取得补偿。</w:t>
      </w:r>
      <w:r>
        <w:rPr>
          <w:rFonts w:hint="eastAsia" w:ascii="宋体" w:hAnsi="宋体" w:eastAsia="宋体" w:cs="宋体"/>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1.3履约保证金（无息）将在中标设备达到甲方指定地点安装调试并经验收合格后28日内由保证收取单位（甲方）全额退回。</w:t>
      </w:r>
      <w:r>
        <w:rPr>
          <w:rFonts w:hint="eastAsia" w:ascii="宋体" w:hAnsi="宋体" w:eastAsia="宋体" w:cs="宋体"/>
          <w:sz w:val="24"/>
          <w:szCs w:val="24"/>
        </w:rPr>
      </w:r>
      <w:r/>
    </w:p>
    <w:p>
      <w:pPr>
        <w:pStyle w:val="1118"/>
        <w:ind w:left="0" w:firstLine="482"/>
        <w:keepLines/>
        <w:keepNext/>
        <w:pageBreakBefore w:val="0"/>
        <w:spacing w:line="360" w:lineRule="auto"/>
        <w:widowControl w:val="off"/>
        <w:rPr>
          <w:rFonts w:hint="eastAsia" w:ascii="宋体" w:hAnsi="宋体" w:eastAsia="宋体" w:cs="宋体"/>
          <w:b/>
          <w:bCs/>
          <w:sz w:val="24"/>
          <w:szCs w:val="24"/>
        </w:rPr>
        <w:outlineLvl w:val="9"/>
      </w:pPr>
      <w:r/>
      <w:bookmarkStart w:id="772" w:name="_Toc32319"/>
      <w:r/>
      <w:bookmarkStart w:id="773" w:name="_Toc19232"/>
      <w:r/>
      <w:bookmarkStart w:id="774" w:name="_Toc27585"/>
      <w:r/>
      <w:bookmarkStart w:id="775" w:name="_Toc15129"/>
      <w:r>
        <w:rPr>
          <w:rFonts w:hint="eastAsia" w:ascii="宋体" w:hAnsi="宋体" w:eastAsia="宋体" w:cs="宋体"/>
          <w:b/>
          <w:bCs/>
          <w:sz w:val="24"/>
          <w:szCs w:val="24"/>
        </w:rPr>
        <w:t xml:space="preserve">九、合同的解除和转让</w:t>
      </w:r>
      <w:bookmarkEnd w:id="772"/>
      <w:r/>
      <w:bookmarkEnd w:id="773"/>
      <w:r/>
      <w:bookmarkEnd w:id="774"/>
      <w:r/>
      <w:bookmarkEnd w:id="775"/>
      <w:r>
        <w:rPr>
          <w:rFonts w:hint="eastAsia" w:ascii="宋体" w:hAnsi="宋体" w:eastAsia="宋体" w:cs="宋体"/>
          <w:b/>
          <w:bCs/>
          <w:sz w:val="24"/>
          <w:szCs w:val="24"/>
        </w:rPr>
      </w:r>
      <w:r/>
    </w:p>
    <w:p>
      <w:pPr>
        <w:pStyle w:val="1118"/>
        <w:ind w:left="0" w:firstLine="482"/>
        <w:jc w:val="left"/>
        <w:pageBreakBefore w:val="0"/>
        <w:spacing w:line="360" w:lineRule="auto"/>
        <w:widowControl w:val="off"/>
        <w:rPr>
          <w:rFonts w:hint="eastAsia" w:ascii="宋体" w:hAnsi="宋体" w:eastAsia="宋体" w:cs="宋体"/>
          <w:b/>
          <w:bCs/>
          <w:sz w:val="24"/>
          <w:szCs w:val="24"/>
        </w:rPr>
        <w:outlineLvl w:val="9"/>
      </w:pPr>
      <w:r/>
      <w:bookmarkStart w:id="776" w:name="_Toc504548294"/>
      <w:r/>
      <w:bookmarkStart w:id="777" w:name="_Toc21945"/>
      <w:r/>
      <w:bookmarkStart w:id="778" w:name="_Toc12285"/>
      <w:r/>
      <w:bookmarkStart w:id="779" w:name="_Toc14246"/>
      <w:r/>
      <w:bookmarkStart w:id="780" w:name="_Toc20006"/>
      <w:r/>
      <w:bookmarkStart w:id="781" w:name="_Toc508285923"/>
      <w:r>
        <w:rPr>
          <w:rFonts w:hint="eastAsia" w:ascii="宋体" w:hAnsi="宋体" w:eastAsia="宋体" w:cs="宋体"/>
          <w:b/>
          <w:bCs/>
          <w:sz w:val="24"/>
          <w:szCs w:val="24"/>
        </w:rPr>
        <w:t xml:space="preserve">1.合同的解除</w:t>
      </w:r>
      <w:bookmarkEnd w:id="776"/>
      <w:r/>
      <w:bookmarkEnd w:id="777"/>
      <w:r/>
      <w:bookmarkEnd w:id="778"/>
      <w:r/>
      <w:bookmarkEnd w:id="779"/>
      <w:r/>
      <w:bookmarkEnd w:id="780"/>
      <w:r/>
      <w:bookmarkEnd w:id="781"/>
      <w:r>
        <w:rPr>
          <w:rFonts w:hint="eastAsia" w:ascii="宋体" w:hAnsi="宋体" w:eastAsia="宋体" w:cs="宋体"/>
          <w:b/>
          <w:bCs/>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1.1有下列情形之一，合同一方可以解除合同：</w:t>
      </w:r>
      <w:r>
        <w:rPr>
          <w:rFonts w:hint="eastAsia" w:ascii="宋体" w:hAnsi="宋体" w:eastAsia="宋体" w:cs="宋体"/>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1.1.1因不可抗力致使不能实现合同目的，未受不可抗力影响的一方有权解除合同；</w:t>
      </w:r>
      <w:r>
        <w:rPr>
          <w:rFonts w:hint="eastAsia" w:ascii="宋体" w:hAnsi="宋体" w:eastAsia="宋体" w:cs="宋体"/>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1.1.2因合同一方违约导致合同不能履行，另一方有权解除合同；</w:t>
      </w:r>
      <w:r>
        <w:rPr>
          <w:rFonts w:hint="eastAsia" w:ascii="宋体" w:hAnsi="宋体" w:eastAsia="宋体" w:cs="宋体"/>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1.2 有权解除合同的一方，应当在违约事实或不可抗力发生之后三天内书面通知对方以主张解除合同，合同在书面通知到达对方时解除。</w:t>
      </w:r>
      <w:r>
        <w:rPr>
          <w:rFonts w:hint="eastAsia" w:ascii="宋体" w:hAnsi="宋体" w:eastAsia="宋体" w:cs="宋体"/>
          <w:sz w:val="24"/>
          <w:szCs w:val="24"/>
        </w:rPr>
      </w:r>
      <w:r/>
    </w:p>
    <w:p>
      <w:pPr>
        <w:pStyle w:val="1118"/>
        <w:ind w:left="0" w:firstLine="482"/>
        <w:jc w:val="left"/>
        <w:pageBreakBefore w:val="0"/>
        <w:spacing w:line="360" w:lineRule="auto"/>
        <w:widowControl w:val="off"/>
        <w:rPr>
          <w:rFonts w:hint="eastAsia" w:ascii="宋体" w:hAnsi="宋体" w:eastAsia="宋体" w:cs="宋体"/>
          <w:b/>
          <w:bCs/>
          <w:sz w:val="24"/>
          <w:szCs w:val="24"/>
        </w:rPr>
        <w:outlineLvl w:val="9"/>
      </w:pPr>
      <w:r/>
      <w:bookmarkStart w:id="782" w:name="_Toc30657"/>
      <w:r/>
      <w:bookmarkStart w:id="783" w:name="_Toc5217"/>
      <w:r/>
      <w:bookmarkStart w:id="784" w:name="_Toc508285924"/>
      <w:r/>
      <w:bookmarkStart w:id="785" w:name="_Toc5587"/>
      <w:r/>
      <w:bookmarkStart w:id="786" w:name="_Toc23567"/>
      <w:r/>
      <w:bookmarkStart w:id="787" w:name="_Toc504548295"/>
      <w:r>
        <w:rPr>
          <w:rFonts w:hint="eastAsia" w:ascii="宋体" w:hAnsi="宋体" w:eastAsia="宋体" w:cs="宋体"/>
          <w:b/>
          <w:bCs/>
          <w:sz w:val="24"/>
          <w:szCs w:val="24"/>
        </w:rPr>
        <w:t xml:space="preserve">2.合同的转让</w:t>
      </w:r>
      <w:bookmarkEnd w:id="782"/>
      <w:r/>
      <w:bookmarkEnd w:id="783"/>
      <w:r/>
      <w:bookmarkEnd w:id="784"/>
      <w:r/>
      <w:bookmarkEnd w:id="785"/>
      <w:r/>
      <w:bookmarkEnd w:id="786"/>
      <w:r/>
      <w:bookmarkEnd w:id="787"/>
      <w:r>
        <w:rPr>
          <w:rFonts w:hint="eastAsia" w:ascii="宋体" w:hAnsi="宋体" w:eastAsia="宋体" w:cs="宋体"/>
          <w:b/>
          <w:bCs/>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合同的部分和全部都不得转让。</w:t>
      </w:r>
      <w:r>
        <w:rPr>
          <w:rFonts w:hint="eastAsia" w:ascii="宋体" w:hAnsi="宋体" w:eastAsia="宋体" w:cs="宋体"/>
          <w:sz w:val="24"/>
          <w:szCs w:val="24"/>
        </w:rPr>
      </w:r>
      <w:r/>
    </w:p>
    <w:p>
      <w:pPr>
        <w:pStyle w:val="1118"/>
        <w:ind w:left="0" w:firstLine="482"/>
        <w:keepLines/>
        <w:keepNext/>
        <w:pageBreakBefore w:val="0"/>
        <w:spacing w:line="360" w:lineRule="auto"/>
        <w:widowControl w:val="off"/>
        <w:rPr>
          <w:rFonts w:hint="eastAsia" w:ascii="宋体" w:hAnsi="宋体" w:eastAsia="宋体" w:cs="宋体"/>
          <w:b/>
          <w:bCs/>
          <w:sz w:val="24"/>
          <w:szCs w:val="24"/>
        </w:rPr>
        <w:outlineLvl w:val="9"/>
      </w:pPr>
      <w:r/>
      <w:bookmarkStart w:id="788" w:name="_Toc30723"/>
      <w:r/>
      <w:bookmarkStart w:id="789" w:name="_Toc5721"/>
      <w:r/>
      <w:bookmarkStart w:id="790" w:name="_Toc20090"/>
      <w:r/>
      <w:bookmarkStart w:id="791" w:name="_Toc400"/>
      <w:r>
        <w:rPr>
          <w:rFonts w:hint="eastAsia" w:ascii="宋体" w:hAnsi="宋体" w:eastAsia="宋体" w:cs="宋体"/>
          <w:b/>
          <w:bCs/>
          <w:sz w:val="24"/>
          <w:szCs w:val="24"/>
        </w:rPr>
        <w:t xml:space="preserve">十、合同的生效</w:t>
      </w:r>
      <w:bookmarkEnd w:id="788"/>
      <w:r/>
      <w:bookmarkEnd w:id="789"/>
      <w:r/>
      <w:bookmarkEnd w:id="790"/>
      <w:r/>
      <w:bookmarkEnd w:id="791"/>
      <w:r>
        <w:rPr>
          <w:rFonts w:hint="eastAsia" w:ascii="宋体" w:hAnsi="宋体" w:eastAsia="宋体" w:cs="宋体"/>
          <w:b/>
          <w:bCs/>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bookmarkStart w:id="792" w:name="_Toc31568"/>
      <w:r/>
      <w:bookmarkStart w:id="793" w:name="_Toc32128"/>
      <w:r/>
      <w:bookmarkStart w:id="794" w:name="_Toc12403"/>
      <w:r/>
      <w:bookmarkStart w:id="795" w:name="_Toc23878"/>
      <w:r>
        <w:rPr>
          <w:rFonts w:hint="eastAsia" w:ascii="宋体" w:hAnsi="宋体" w:eastAsia="宋体" w:cs="宋体"/>
          <w:sz w:val="24"/>
          <w:szCs w:val="24"/>
        </w:rPr>
        <w:t xml:space="preserve">1.1本合同自甲、乙签字盖章之日起成立，并依法生效。</w:t>
      </w:r>
      <w:r>
        <w:rPr>
          <w:rFonts w:hint="eastAsia" w:ascii="宋体" w:hAnsi="宋体" w:eastAsia="宋体" w:cs="宋体"/>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1.2本合同货物或服务交付使用后所发生的合同纠纷，由甲乙双方直接进行处理。</w:t>
      </w:r>
      <w:r>
        <w:rPr>
          <w:rFonts w:hint="eastAsia" w:ascii="宋体" w:hAnsi="宋体" w:eastAsia="宋体" w:cs="宋体"/>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1.3如需修改或补充合同内容，应经甲乙双方协商一致，共同签署书面修改或补充协议。该协议将作为本合同不可分割的一部分</w:t>
      </w:r>
      <w:r>
        <w:rPr>
          <w:rFonts w:hint="eastAsia" w:ascii="宋体" w:hAnsi="宋体" w:eastAsia="宋体" w:cs="宋体"/>
          <w:sz w:val="24"/>
          <w:szCs w:val="24"/>
        </w:rPr>
      </w:r>
      <w:r/>
    </w:p>
    <w:p>
      <w:pPr>
        <w:pStyle w:val="1118"/>
        <w:ind w:left="0" w:firstLine="482"/>
        <w:keepLines/>
        <w:keepNext/>
        <w:pageBreakBefore w:val="0"/>
        <w:spacing w:line="36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十一、争议解决</w:t>
      </w:r>
      <w:bookmarkEnd w:id="792"/>
      <w:r/>
      <w:bookmarkEnd w:id="793"/>
      <w:r/>
      <w:bookmarkEnd w:id="794"/>
      <w:r/>
      <w:bookmarkEnd w:id="795"/>
      <w:r>
        <w:rPr>
          <w:rFonts w:hint="eastAsia" w:ascii="宋体" w:hAnsi="宋体" w:eastAsia="宋体" w:cs="宋体"/>
          <w:b/>
          <w:bCs/>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bookmarkStart w:id="796" w:name="_Hlk494266313"/>
      <w:r/>
      <w:bookmarkStart w:id="797" w:name="_Toc28243"/>
      <w:r/>
      <w:bookmarkStart w:id="798" w:name="_Toc22807"/>
      <w:r/>
      <w:bookmarkStart w:id="799" w:name="_Toc8721"/>
      <w:r/>
      <w:bookmarkStart w:id="800" w:name="_Toc30157"/>
      <w:r>
        <w:rPr>
          <w:rFonts w:hint="eastAsia" w:ascii="宋体" w:hAnsi="宋体" w:eastAsia="宋体" w:cs="宋体"/>
          <w:sz w:val="24"/>
          <w:szCs w:val="24"/>
        </w:rPr>
        <w:t xml:space="preserve">因履行本合同发生争议协商解决不成的提交常州市仲裁委员会仲裁。因本合同产生的以及与本合同有关的一切纠纷，均由常州市仲裁委员会仲裁。该裁决是终局的，对双方均具有约束力。</w:t>
      </w:r>
      <w:r>
        <w:rPr>
          <w:rFonts w:hint="eastAsia" w:ascii="宋体" w:hAnsi="宋体" w:eastAsia="宋体" w:cs="宋体"/>
          <w:sz w:val="24"/>
          <w:szCs w:val="24"/>
        </w:rPr>
      </w:r>
      <w:r/>
    </w:p>
    <w:p>
      <w:pPr>
        <w:pStyle w:val="1118"/>
        <w:ind w:left="0" w:firstLine="482"/>
        <w:keepLines/>
        <w:keepNext/>
        <w:pageBreakBefore w:val="0"/>
        <w:spacing w:line="360" w:lineRule="auto"/>
        <w:widowControl w:val="off"/>
        <w:rPr>
          <w:rFonts w:hint="eastAsia" w:ascii="宋体" w:hAnsi="宋体" w:eastAsia="宋体" w:cs="宋体"/>
          <w:b/>
          <w:bCs/>
          <w:sz w:val="24"/>
          <w:szCs w:val="24"/>
        </w:rPr>
        <w:outlineLvl w:val="9"/>
      </w:pPr>
      <w:r/>
      <w:bookmarkEnd w:id="796"/>
      <w:r>
        <w:rPr>
          <w:rFonts w:hint="eastAsia" w:ascii="宋体" w:hAnsi="宋体" w:eastAsia="宋体" w:cs="宋体"/>
          <w:b/>
          <w:bCs/>
          <w:sz w:val="24"/>
          <w:szCs w:val="24"/>
        </w:rPr>
        <w:t xml:space="preserve">十二、附则</w:t>
      </w:r>
      <w:bookmarkEnd w:id="797"/>
      <w:r/>
      <w:bookmarkEnd w:id="798"/>
      <w:r/>
      <w:bookmarkEnd w:id="799"/>
      <w:r/>
      <w:bookmarkEnd w:id="800"/>
      <w:r>
        <w:rPr>
          <w:rFonts w:hint="eastAsia" w:ascii="宋体" w:hAnsi="宋体" w:eastAsia="宋体" w:cs="宋体"/>
          <w:b/>
          <w:bCs/>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bookmarkStart w:id="801" w:name="_Toc6361"/>
      <w:r/>
      <w:bookmarkStart w:id="802" w:name="_Toc16873"/>
      <w:r/>
      <w:bookmarkStart w:id="803" w:name="_Toc24352"/>
      <w:r/>
      <w:bookmarkStart w:id="804" w:name="_Toc8362"/>
      <w:r>
        <w:rPr>
          <w:rFonts w:hint="eastAsia" w:ascii="宋体" w:hAnsi="宋体" w:eastAsia="宋体" w:cs="宋体"/>
          <w:sz w:val="24"/>
          <w:szCs w:val="24"/>
        </w:rPr>
        <w:t xml:space="preserve">1.合同份数。</w:t>
      </w:r>
      <w:bookmarkEnd w:id="801"/>
      <w:r/>
      <w:bookmarkEnd w:id="802"/>
      <w:r/>
      <w:bookmarkEnd w:id="803"/>
      <w:r/>
      <w:bookmarkEnd w:id="804"/>
      <w:r>
        <w:rPr>
          <w:rFonts w:hint="eastAsia" w:ascii="宋体" w:hAnsi="宋体" w:eastAsia="宋体" w:cs="宋体"/>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bookmarkStart w:id="805" w:name="_Hlk494266298"/>
      <w:r/>
      <w:bookmarkStart w:id="806" w:name="_Toc24515"/>
      <w:r/>
      <w:bookmarkStart w:id="807" w:name="_Toc17779"/>
      <w:r/>
      <w:bookmarkStart w:id="808" w:name="_Toc9955"/>
      <w:r/>
      <w:bookmarkStart w:id="809" w:name="_Toc8482"/>
      <w:r>
        <w:rPr>
          <w:rFonts w:hint="eastAsia" w:ascii="宋体" w:hAnsi="宋体" w:eastAsia="宋体" w:cs="宋体"/>
          <w:sz w:val="24"/>
          <w:szCs w:val="24"/>
        </w:rPr>
        <w:t xml:space="preserve">本合同一式肆份，甲方持有贰份，乙方持有壹份，代理机构持有贰份。</w:t>
      </w:r>
      <w:r>
        <w:rPr>
          <w:rFonts w:hint="eastAsia" w:ascii="宋体" w:hAnsi="宋体" w:eastAsia="宋体" w:cs="宋体"/>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bookmarkEnd w:id="805"/>
      <w:r>
        <w:rPr>
          <w:rFonts w:hint="eastAsia" w:ascii="宋体" w:hAnsi="宋体" w:eastAsia="宋体" w:cs="宋体"/>
          <w:sz w:val="24"/>
          <w:szCs w:val="24"/>
        </w:rPr>
        <w:t xml:space="preserve">2.未尽事宜</w:t>
      </w:r>
      <w:bookmarkEnd w:id="806"/>
      <w:r/>
      <w:bookmarkEnd w:id="807"/>
      <w:r/>
      <w:bookmarkEnd w:id="808"/>
      <w:r/>
      <w:bookmarkEnd w:id="809"/>
      <w:r>
        <w:rPr>
          <w:rFonts w:hint="eastAsia" w:ascii="宋体" w:hAnsi="宋体" w:eastAsia="宋体" w:cs="宋体"/>
          <w:sz w:val="24"/>
          <w:szCs w:val="24"/>
        </w:rPr>
        <w:t xml:space="preserve">，</w:t>
      </w:r>
      <w:r>
        <w:rPr>
          <w:rFonts w:hint="eastAsia" w:ascii="宋体" w:hAnsi="宋体" w:eastAsia="宋体" w:cs="宋体"/>
          <w:sz w:val="24"/>
          <w:szCs w:val="24"/>
        </w:rPr>
      </w:r>
      <w:r/>
    </w:p>
    <w:p>
      <w:pPr>
        <w:pStyle w:val="1118"/>
        <w:ind w:left="0" w:firstLine="480"/>
        <w:pageBreakBefore w:val="0"/>
        <w:spacing w:line="360"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本合同未尽事宜应按《中华人民共和国政府采购法》及其它有关政府采购的法律法规的规定执行。</w:t>
      </w:r>
      <w:r>
        <w:rPr>
          <w:rFonts w:hint="eastAsia" w:ascii="宋体" w:hAnsi="宋体" w:eastAsia="宋体" w:cs="宋体"/>
          <w:sz w:val="24"/>
          <w:szCs w:val="24"/>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4578"/>
        <w:gridCol w:w="4706"/>
      </w:tblGrid>
      <w:tr>
        <w:trPr>
          <w:trHeight w:val="3583"/>
        </w:trPr>
        <w:tc>
          <w:tcPr>
            <w:tcBorders>
              <w:top w:val="single" w:color="000000" w:sz="4" w:space="0"/>
              <w:left w:val="single" w:color="000000" w:sz="4" w:space="0"/>
              <w:bottom w:val="single" w:color="000000" w:sz="4" w:space="0"/>
              <w:right w:val="single" w:color="000000" w:sz="4" w:space="0"/>
            </w:tcBorders>
            <w:tcW w:w="2465" w:type="dxa"/>
            <w:vAlign w:val="top"/>
            <w:textDirection w:val="lrTb"/>
            <w:noWrap w:val="false"/>
          </w:tcPr>
          <w:p>
            <w:pPr>
              <w:pStyle w:val="1118"/>
              <w:spacing w:line="360" w:lineRule="auto"/>
              <w:rPr>
                <w:rFonts w:hint="eastAsia" w:ascii="宋体" w:hAnsi="宋体" w:cs="宋体"/>
                <w:sz w:val="24"/>
                <w:szCs w:val="24"/>
              </w:rPr>
            </w:pPr>
            <w:r>
              <w:rPr>
                <w:rFonts w:hint="eastAsia" w:ascii="宋体" w:hAnsi="宋体" w:cs="宋体"/>
                <w:b/>
                <w:bCs/>
                <w:sz w:val="24"/>
                <w:szCs w:val="24"/>
              </w:rPr>
              <w:t xml:space="preserve">甲    方</w:t>
            </w:r>
            <w:r>
              <w:rPr>
                <w:rFonts w:hint="eastAsia" w:ascii="宋体" w:hAnsi="宋体" w:cs="宋体"/>
                <w:sz w:val="24"/>
                <w:szCs w:val="24"/>
              </w:rPr>
              <w:t xml:space="preserve">：单位名称（章）：</w:t>
            </w:r>
            <w:r>
              <w:rPr>
                <w:rFonts w:hint="eastAsia" w:ascii="宋体" w:hAnsi="宋体" w:cs="宋体"/>
                <w:sz w:val="24"/>
                <w:szCs w:val="24"/>
              </w:rPr>
            </w:r>
            <w:r/>
          </w:p>
          <w:p>
            <w:pPr>
              <w:pStyle w:val="1118"/>
              <w:spacing w:line="360" w:lineRule="auto"/>
              <w:rPr>
                <w:rFonts w:hint="eastAsia" w:ascii="宋体" w:hAnsi="宋体" w:cs="宋体"/>
                <w:sz w:val="24"/>
                <w:szCs w:val="24"/>
              </w:rPr>
            </w:pPr>
            <w:r>
              <w:rPr>
                <w:rFonts w:hint="eastAsia" w:ascii="宋体" w:hAnsi="宋体" w:cs="宋体"/>
                <w:sz w:val="24"/>
                <w:szCs w:val="24"/>
              </w:rPr>
              <w:t xml:space="preserve">单位地址： </w:t>
            </w:r>
            <w:r>
              <w:rPr>
                <w:rFonts w:hint="eastAsia" w:ascii="宋体" w:hAnsi="宋体" w:cs="宋体"/>
                <w:sz w:val="24"/>
                <w:szCs w:val="24"/>
              </w:rPr>
            </w:r>
            <w:r/>
          </w:p>
          <w:p>
            <w:pPr>
              <w:pStyle w:val="1118"/>
              <w:spacing w:line="360" w:lineRule="auto"/>
              <w:rPr>
                <w:rFonts w:hint="eastAsia" w:ascii="宋体" w:hAnsi="宋体" w:cs="宋体"/>
                <w:sz w:val="24"/>
                <w:szCs w:val="24"/>
              </w:rPr>
            </w:pPr>
            <w:r>
              <w:rPr>
                <w:rFonts w:hint="eastAsia" w:ascii="宋体" w:hAnsi="宋体" w:cs="宋体"/>
                <w:sz w:val="24"/>
                <w:szCs w:val="24"/>
              </w:rPr>
              <w:t xml:space="preserve">法定代表人：      </w:t>
            </w:r>
            <w:r>
              <w:rPr>
                <w:rFonts w:hint="eastAsia" w:ascii="宋体" w:hAnsi="宋体" w:cs="宋体"/>
                <w:sz w:val="24"/>
                <w:szCs w:val="24"/>
              </w:rPr>
            </w:r>
            <w:r/>
          </w:p>
          <w:p>
            <w:pPr>
              <w:pStyle w:val="1118"/>
              <w:spacing w:line="360" w:lineRule="auto"/>
              <w:rPr>
                <w:rFonts w:hint="eastAsia" w:ascii="宋体" w:hAnsi="宋体" w:cs="宋体"/>
                <w:sz w:val="24"/>
                <w:szCs w:val="24"/>
              </w:rPr>
            </w:pPr>
            <w:r>
              <w:rPr>
                <w:rFonts w:hint="eastAsia" w:ascii="宋体" w:hAnsi="宋体" w:cs="宋体"/>
                <w:sz w:val="24"/>
                <w:szCs w:val="24"/>
              </w:rPr>
              <w:t xml:space="preserve">委托代理人：  </w:t>
            </w:r>
            <w:r>
              <w:rPr>
                <w:rFonts w:hint="eastAsia" w:ascii="宋体" w:hAnsi="宋体" w:cs="宋体"/>
                <w:sz w:val="24"/>
                <w:szCs w:val="24"/>
              </w:rPr>
            </w:r>
            <w:r/>
          </w:p>
          <w:p>
            <w:pPr>
              <w:pStyle w:val="1118"/>
              <w:spacing w:line="360" w:lineRule="auto"/>
              <w:rPr>
                <w:rFonts w:hint="eastAsia" w:ascii="宋体" w:hAnsi="宋体" w:cs="宋体"/>
                <w:sz w:val="24"/>
                <w:szCs w:val="24"/>
              </w:rPr>
            </w:pPr>
            <w:r>
              <w:rPr>
                <w:rFonts w:hint="eastAsia" w:ascii="宋体" w:hAnsi="宋体" w:cs="宋体"/>
                <w:sz w:val="24"/>
                <w:szCs w:val="24"/>
              </w:rPr>
              <w:t xml:space="preserve">纳税人识别号：                                </w:t>
            </w:r>
            <w:r>
              <w:rPr>
                <w:rFonts w:hint="eastAsia" w:ascii="宋体" w:hAnsi="宋体" w:cs="宋体"/>
                <w:sz w:val="24"/>
                <w:szCs w:val="24"/>
              </w:rPr>
            </w:r>
            <w:r/>
          </w:p>
          <w:p>
            <w:pPr>
              <w:pStyle w:val="1118"/>
              <w:spacing w:line="360" w:lineRule="auto"/>
              <w:rPr>
                <w:rFonts w:hint="eastAsia" w:ascii="宋体" w:hAnsi="宋体" w:cs="宋体"/>
                <w:sz w:val="24"/>
                <w:szCs w:val="24"/>
              </w:rPr>
            </w:pPr>
            <w:r>
              <w:rPr>
                <w:rFonts w:hint="eastAsia" w:ascii="宋体" w:hAnsi="宋体" w:cs="宋体"/>
                <w:sz w:val="24"/>
                <w:szCs w:val="24"/>
              </w:rPr>
              <w:t xml:space="preserve">开户银行：                               </w:t>
            </w:r>
            <w:r>
              <w:rPr>
                <w:rFonts w:hint="eastAsia" w:ascii="宋体" w:hAnsi="宋体" w:cs="宋体"/>
                <w:sz w:val="24"/>
                <w:szCs w:val="24"/>
              </w:rPr>
            </w:r>
            <w:r/>
          </w:p>
          <w:p>
            <w:pPr>
              <w:pStyle w:val="1118"/>
              <w:spacing w:line="360" w:lineRule="auto"/>
              <w:rPr>
                <w:rFonts w:hint="eastAsia" w:ascii="宋体" w:hAnsi="宋体" w:cs="宋体"/>
                <w:sz w:val="24"/>
                <w:szCs w:val="24"/>
              </w:rPr>
            </w:pPr>
            <w:r>
              <w:rPr>
                <w:rFonts w:hint="eastAsia" w:ascii="宋体" w:hAnsi="宋体" w:cs="宋体"/>
                <w:sz w:val="24"/>
                <w:szCs w:val="24"/>
              </w:rPr>
              <w:t xml:space="preserve">账号： </w:t>
            </w:r>
            <w:r>
              <w:rPr>
                <w:rFonts w:hint="eastAsia" w:ascii="宋体" w:hAnsi="宋体" w:cs="宋体"/>
                <w:sz w:val="24"/>
                <w:szCs w:val="24"/>
              </w:rPr>
            </w:r>
            <w:r/>
          </w:p>
          <w:p>
            <w:pPr>
              <w:pStyle w:val="1118"/>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2534" w:type="dxa"/>
            <w:vAlign w:val="top"/>
            <w:textDirection w:val="lrTb"/>
            <w:noWrap w:val="false"/>
          </w:tcPr>
          <w:p>
            <w:pPr>
              <w:pStyle w:val="1118"/>
              <w:spacing w:line="360" w:lineRule="auto"/>
              <w:rPr>
                <w:rFonts w:hint="eastAsia" w:ascii="宋体" w:hAnsi="宋体" w:cs="宋体"/>
                <w:sz w:val="24"/>
                <w:szCs w:val="24"/>
              </w:rPr>
            </w:pPr>
            <w:r>
              <w:rPr>
                <w:rFonts w:hint="eastAsia" w:ascii="宋体" w:hAnsi="宋体" w:cs="宋体"/>
                <w:b/>
                <w:bCs/>
                <w:sz w:val="24"/>
                <w:szCs w:val="24"/>
              </w:rPr>
              <w:t xml:space="preserve">乙    方</w:t>
            </w:r>
            <w:r>
              <w:rPr>
                <w:rFonts w:hint="eastAsia" w:ascii="宋体" w:hAnsi="宋体" w:cs="宋体"/>
                <w:sz w:val="24"/>
                <w:szCs w:val="24"/>
              </w:rPr>
              <w:t xml:space="preserve">：单位名称（章）： </w:t>
            </w:r>
            <w:r>
              <w:rPr>
                <w:rFonts w:hint="eastAsia" w:ascii="宋体" w:hAnsi="宋体" w:cs="宋体"/>
                <w:sz w:val="24"/>
                <w:szCs w:val="24"/>
              </w:rPr>
            </w:r>
            <w:r/>
          </w:p>
          <w:p>
            <w:pPr>
              <w:pStyle w:val="1118"/>
              <w:spacing w:line="360" w:lineRule="auto"/>
              <w:rPr>
                <w:rFonts w:hint="eastAsia" w:ascii="宋体" w:hAnsi="宋体" w:cs="宋体"/>
                <w:sz w:val="24"/>
                <w:szCs w:val="24"/>
              </w:rPr>
            </w:pPr>
            <w:r>
              <w:rPr>
                <w:rFonts w:hint="eastAsia" w:ascii="宋体" w:hAnsi="宋体" w:cs="宋体"/>
                <w:sz w:val="24"/>
                <w:szCs w:val="24"/>
              </w:rPr>
              <w:t xml:space="preserve">单位地址： </w:t>
            </w:r>
            <w:r>
              <w:rPr>
                <w:rFonts w:hint="eastAsia" w:ascii="宋体" w:hAnsi="宋体" w:cs="宋体"/>
                <w:sz w:val="24"/>
                <w:szCs w:val="24"/>
              </w:rPr>
            </w:r>
            <w:r/>
          </w:p>
          <w:p>
            <w:pPr>
              <w:pStyle w:val="1118"/>
              <w:spacing w:line="360" w:lineRule="auto"/>
              <w:rPr>
                <w:rFonts w:hint="eastAsia" w:ascii="宋体" w:hAnsi="宋体" w:cs="宋体"/>
                <w:sz w:val="24"/>
                <w:szCs w:val="24"/>
              </w:rPr>
            </w:pPr>
            <w:r>
              <w:rPr>
                <w:rFonts w:hint="eastAsia" w:ascii="宋体" w:hAnsi="宋体" w:cs="宋体"/>
                <w:sz w:val="24"/>
                <w:szCs w:val="24"/>
              </w:rPr>
              <w:t xml:space="preserve">法定代表人： </w:t>
            </w:r>
            <w:r>
              <w:rPr>
                <w:rFonts w:hint="eastAsia" w:ascii="宋体" w:hAnsi="宋体" w:cs="宋体"/>
                <w:sz w:val="24"/>
                <w:szCs w:val="24"/>
              </w:rPr>
            </w:r>
            <w:r/>
          </w:p>
          <w:p>
            <w:pPr>
              <w:pStyle w:val="1118"/>
              <w:spacing w:line="360" w:lineRule="auto"/>
              <w:rPr>
                <w:rFonts w:hint="eastAsia" w:ascii="宋体" w:hAnsi="宋体" w:cs="宋体"/>
                <w:sz w:val="24"/>
                <w:szCs w:val="24"/>
              </w:rPr>
            </w:pPr>
            <w:r>
              <w:rPr>
                <w:rFonts w:hint="eastAsia" w:ascii="宋体" w:hAnsi="宋体" w:cs="宋体"/>
                <w:sz w:val="24"/>
                <w:szCs w:val="24"/>
              </w:rPr>
              <w:t xml:space="preserve">委托代理人： </w:t>
            </w:r>
            <w:r>
              <w:rPr>
                <w:rFonts w:hint="eastAsia" w:ascii="宋体" w:hAnsi="宋体" w:cs="宋体"/>
                <w:sz w:val="24"/>
                <w:szCs w:val="24"/>
              </w:rPr>
            </w:r>
            <w:r/>
          </w:p>
          <w:p>
            <w:pPr>
              <w:pStyle w:val="1118"/>
              <w:spacing w:line="360" w:lineRule="auto"/>
              <w:rPr>
                <w:rFonts w:hint="eastAsia" w:ascii="宋体" w:hAnsi="宋体" w:cs="宋体"/>
                <w:sz w:val="24"/>
                <w:szCs w:val="24"/>
              </w:rPr>
            </w:pPr>
            <w:r>
              <w:rPr>
                <w:rFonts w:hint="eastAsia" w:ascii="宋体" w:hAnsi="宋体" w:cs="宋体"/>
                <w:sz w:val="24"/>
                <w:szCs w:val="24"/>
              </w:rPr>
              <w:t xml:space="preserve">电话：  </w:t>
            </w:r>
            <w:r>
              <w:rPr>
                <w:rFonts w:hint="eastAsia" w:ascii="宋体" w:hAnsi="宋体" w:cs="宋体"/>
                <w:sz w:val="24"/>
                <w:szCs w:val="24"/>
              </w:rPr>
            </w:r>
            <w:r/>
          </w:p>
          <w:p>
            <w:pPr>
              <w:pStyle w:val="1118"/>
              <w:spacing w:line="360" w:lineRule="auto"/>
              <w:rPr>
                <w:rFonts w:hint="eastAsia" w:ascii="宋体" w:hAnsi="宋体" w:cs="宋体"/>
                <w:sz w:val="24"/>
                <w:szCs w:val="24"/>
              </w:rPr>
            </w:pPr>
            <w:r>
              <w:rPr>
                <w:rFonts w:hint="eastAsia" w:ascii="宋体" w:hAnsi="宋体" w:cs="宋体"/>
                <w:sz w:val="24"/>
                <w:szCs w:val="24"/>
              </w:rPr>
              <w:t xml:space="preserve">开户银行： </w:t>
            </w:r>
            <w:r>
              <w:rPr>
                <w:rFonts w:hint="eastAsia" w:ascii="宋体" w:hAnsi="宋体" w:cs="宋体"/>
                <w:sz w:val="24"/>
                <w:szCs w:val="24"/>
              </w:rPr>
            </w:r>
            <w:r/>
          </w:p>
          <w:p>
            <w:pPr>
              <w:pStyle w:val="1118"/>
              <w:spacing w:line="360" w:lineRule="auto"/>
              <w:rPr>
                <w:rFonts w:hint="eastAsia" w:ascii="宋体" w:hAnsi="宋体" w:cs="宋体"/>
                <w:szCs w:val="21"/>
              </w:rPr>
            </w:pPr>
            <w:r>
              <w:rPr>
                <w:rFonts w:hint="eastAsia" w:ascii="宋体" w:hAnsi="宋体" w:cs="宋体"/>
                <w:sz w:val="24"/>
                <w:szCs w:val="24"/>
              </w:rPr>
              <w:t xml:space="preserve">帐号：</w:t>
            </w:r>
            <w:r>
              <w:rPr>
                <w:rFonts w:hint="eastAsia" w:ascii="宋体" w:hAnsi="宋体" w:cs="宋体"/>
                <w:szCs w:val="21"/>
              </w:rPr>
            </w:r>
            <w:r/>
          </w:p>
        </w:tc>
      </w:tr>
    </w:tbl>
    <w:p>
      <w:pPr>
        <w:pStyle w:val="1118"/>
        <w:jc w:val="center"/>
        <w:rPr>
          <w:rFonts w:hint="eastAsia" w:ascii="宋体" w:hAnsi="宋体"/>
          <w:b/>
          <w:bCs/>
          <w:color w:val="000000"/>
          <w:sz w:val="44"/>
          <w:szCs w:val="44"/>
          <w:highlight w:val="none"/>
        </w:rPr>
      </w:pPr>
      <w:r>
        <w:rPr>
          <w:rFonts w:hint="eastAsia" w:ascii="宋体" w:hAnsi="宋体"/>
          <w:b/>
          <w:bCs/>
          <w:color w:val="000000"/>
          <w:sz w:val="44"/>
          <w:szCs w:val="44"/>
          <w:highlight w:val="none"/>
        </w:rPr>
      </w:r>
      <w:r/>
    </w:p>
    <w:p>
      <w:pPr>
        <w:pStyle w:val="1118"/>
        <w:spacing w:line="360" w:lineRule="auto"/>
        <w:rPr>
          <w:rFonts w:hint="eastAsia" w:ascii="宋体" w:hAnsi="宋体" w:cs="宋体"/>
          <w:color w:val="000000"/>
          <w:sz w:val="24"/>
        </w:rPr>
      </w:pPr>
      <w:r>
        <w:rPr>
          <w:rFonts w:hint="eastAsia" w:ascii="宋体" w:hAnsi="宋体" w:cs="宋体"/>
          <w:color w:val="000000"/>
          <w:sz w:val="24"/>
        </w:rPr>
      </w:r>
      <w:r/>
    </w:p>
    <w:p>
      <w:pPr>
        <w:pStyle w:val="1118"/>
        <w:spacing w:line="360" w:lineRule="auto"/>
        <w:rPr>
          <w:color w:val="000000"/>
        </w:rPr>
      </w:pPr>
      <w:r>
        <w:rPr>
          <w:rFonts w:hint="eastAsia" w:ascii="宋体" w:hAnsi="宋体"/>
          <w:color w:val="000000"/>
          <w:szCs w:val="21"/>
        </w:rPr>
        <w:t xml:space="preserve">本合同内容为主要条款，采购双方可根据项目实际情况进行调整。</w:t>
      </w:r>
      <w:r>
        <w:rPr>
          <w:color w:val="000000"/>
        </w:rPr>
      </w:r>
      <w:r/>
    </w:p>
    <w:p>
      <w:pPr>
        <w:pStyle w:val="1118"/>
        <w:jc w:val="center"/>
        <w:spacing w:line="360" w:lineRule="auto"/>
        <w:rPr>
          <w:b/>
          <w:sz w:val="36"/>
          <w:szCs w:val="36"/>
        </w:rPr>
        <w:outlineLvl w:val="0"/>
      </w:pPr>
      <w:r>
        <w:rPr>
          <w:b/>
          <w:sz w:val="36"/>
          <w:szCs w:val="36"/>
        </w:rPr>
        <w:br w:type="page" w:clear="all"/>
      </w:r>
      <w:bookmarkStart w:id="810" w:name="_Toc104818930"/>
      <w:r>
        <w:rPr>
          <w:b/>
          <w:sz w:val="36"/>
          <w:szCs w:val="36"/>
        </w:rPr>
        <w:t xml:space="preserve">第六章   响应文件格式</w:t>
      </w:r>
      <w:bookmarkEnd w:id="810"/>
      <w:r>
        <w:rPr>
          <w:b/>
          <w:sz w:val="36"/>
          <w:szCs w:val="36"/>
        </w:rPr>
      </w:r>
      <w:r/>
    </w:p>
    <w:p>
      <w:pPr>
        <w:pStyle w:val="1118"/>
        <w:jc w:val="left"/>
        <w:spacing w:line="360" w:lineRule="auto"/>
        <w:widowControl/>
        <w:rPr>
          <w:b/>
          <w:sz w:val="24"/>
        </w:rPr>
      </w:pPr>
      <w:r>
        <w:rPr>
          <w:b/>
          <w:sz w:val="24"/>
        </w:rPr>
      </w:r>
      <w:r/>
    </w:p>
    <w:p>
      <w:pPr>
        <w:pStyle w:val="1118"/>
        <w:jc w:val="left"/>
        <w:spacing w:line="360" w:lineRule="auto"/>
        <w:widowControl/>
        <w:rPr>
          <w:b/>
          <w:sz w:val="24"/>
        </w:rPr>
      </w:pPr>
      <w:r>
        <w:rPr>
          <w:b/>
          <w:sz w:val="24"/>
        </w:rPr>
      </w:r>
      <w:r/>
    </w:p>
    <w:p>
      <w:pPr>
        <w:pStyle w:val="1118"/>
        <w:ind w:left="142"/>
        <w:spacing w:line="360" w:lineRule="auto"/>
        <w:tabs>
          <w:tab w:val="left" w:pos="900" w:leader="none"/>
          <w:tab w:val="left" w:pos="1980" w:leader="none"/>
        </w:tabs>
        <w:rPr>
          <w:b/>
          <w:sz w:val="24"/>
        </w:rPr>
      </w:pPr>
      <w:r>
        <w:rPr>
          <w:rFonts w:hint="eastAsia"/>
          <w:b/>
          <w:sz w:val="24"/>
        </w:rPr>
        <w:t xml:space="preserve">供应商编制文件须知</w:t>
      </w:r>
      <w:r>
        <w:rPr>
          <w:b/>
          <w:sz w:val="24"/>
        </w:rPr>
      </w:r>
      <w:r/>
    </w:p>
    <w:p>
      <w:pPr>
        <w:pStyle w:val="1118"/>
        <w:ind w:left="142"/>
        <w:spacing w:line="360" w:lineRule="auto"/>
        <w:tabs>
          <w:tab w:val="left" w:pos="900" w:leader="none"/>
          <w:tab w:val="left" w:pos="1980" w:leader="none"/>
        </w:tabs>
        <w:rPr>
          <w:sz w:val="24"/>
        </w:rPr>
      </w:pPr>
      <w:r>
        <w:rPr>
          <w:sz w:val="24"/>
        </w:rPr>
        <w:t xml:space="preserve">1、供应商按照本部分的顺序编制响应文件，编制中涉及格式资料的，应按照本部分提供的内容和格式（所有表格的格式可扩展）填写提交。</w:t>
      </w:r>
      <w:r>
        <w:rPr>
          <w:sz w:val="24"/>
        </w:rPr>
      </w:r>
      <w:r/>
    </w:p>
    <w:p>
      <w:pPr>
        <w:pStyle w:val="1118"/>
        <w:ind w:left="142"/>
        <w:spacing w:line="360" w:lineRule="auto"/>
        <w:tabs>
          <w:tab w:val="left" w:pos="900" w:leader="none"/>
          <w:tab w:val="left" w:pos="1980" w:leader="none"/>
        </w:tabs>
        <w:rPr>
          <w:sz w:val="24"/>
        </w:rPr>
      </w:pPr>
      <w:r>
        <w:rPr>
          <w:sz w:val="24"/>
        </w:rPr>
        <w:t xml:space="preserve">2、</w:t>
      </w:r>
      <w:r>
        <w:rPr>
          <w:sz w:val="24"/>
        </w:rPr>
        <w:t xml:space="preserve">对于竞争性磋商文件中标记了“实质性格式”文件的，供应商</w:t>
      </w:r>
      <w:r>
        <w:rPr>
          <w:sz w:val="24"/>
        </w:rPr>
        <w:t xml:space="preserve">不得改变格式中给定的文字所表达的含义，不得删减格式中的实质性内容，不得自行添加与格式中给定的文字内容相矛盾的内容，不得对应当填写的空格不填写或不实质性响应，</w:t>
      </w:r>
      <w:r>
        <w:rPr>
          <w:b/>
          <w:sz w:val="24"/>
        </w:rPr>
        <w:t xml:space="preserve">否则响应无效</w:t>
      </w:r>
      <w:r>
        <w:rPr>
          <w:sz w:val="24"/>
        </w:rPr>
        <w:t xml:space="preserve">。未标记“实质性格式”的文件和竞争性磋商文件未提供格式的内容，可由供应商自行编写。</w:t>
      </w:r>
      <w:r>
        <w:rPr>
          <w:sz w:val="24"/>
        </w:rPr>
      </w:r>
      <w:r/>
    </w:p>
    <w:p>
      <w:pPr>
        <w:pStyle w:val="1118"/>
        <w:ind w:left="142"/>
        <w:spacing w:line="360" w:lineRule="auto"/>
        <w:tabs>
          <w:tab w:val="left" w:pos="900" w:leader="none"/>
          <w:tab w:val="left" w:pos="1980" w:leader="none"/>
        </w:tabs>
        <w:rPr>
          <w:sz w:val="24"/>
        </w:rPr>
      </w:pPr>
      <w:r>
        <w:rPr>
          <w:sz w:val="24"/>
        </w:rPr>
        <w:t xml:space="preserve">3、全部声明和问题的回答及所附材料必须是真实的、准确的和完整的。</w:t>
      </w:r>
      <w:r>
        <w:rPr>
          <w:sz w:val="24"/>
        </w:rPr>
      </w:r>
      <w:r/>
    </w:p>
    <w:p>
      <w:pPr>
        <w:pStyle w:val="1118"/>
        <w:ind w:left="142"/>
        <w:spacing w:line="360" w:lineRule="auto"/>
        <w:tabs>
          <w:tab w:val="left" w:pos="900" w:leader="none"/>
          <w:tab w:val="left" w:pos="1980" w:leader="none"/>
        </w:tabs>
        <w:rPr>
          <w:sz w:val="24"/>
        </w:rPr>
      </w:pPr>
      <w:r>
        <w:rPr>
          <w:rFonts w:hint="eastAsia"/>
          <w:sz w:val="24"/>
        </w:rPr>
        <w:t xml:space="preserve">4、按照磋商文件要求，加盖公章、签名。</w:t>
      </w:r>
      <w:r>
        <w:rPr>
          <w:sz w:val="24"/>
        </w:rPr>
      </w:r>
      <w:r/>
    </w:p>
    <w:p>
      <w:pPr>
        <w:pStyle w:val="1118"/>
        <w:jc w:val="left"/>
        <w:widowControl/>
        <w:rPr>
          <w:sz w:val="24"/>
        </w:rPr>
      </w:pPr>
      <w:r>
        <w:rPr>
          <w:sz w:val="24"/>
        </w:rPr>
        <w:br w:type="page" w:clear="all"/>
      </w:r>
      <w:r>
        <w:rPr>
          <w:sz w:val="24"/>
        </w:rPr>
      </w:r>
      <w:r/>
    </w:p>
    <w:p>
      <w:pPr>
        <w:pStyle w:val="1118"/>
        <w:rPr>
          <w:b/>
          <w:spacing w:val="20"/>
          <w:szCs w:val="21"/>
        </w:rPr>
      </w:pPr>
      <w:r>
        <w:rPr>
          <w:b/>
          <w:spacing w:val="20"/>
          <w:szCs w:val="21"/>
        </w:rPr>
      </w:r>
      <w:r/>
    </w:p>
    <w:p>
      <w:pPr>
        <w:pStyle w:val="1118"/>
        <w:rPr>
          <w:b/>
          <w:sz w:val="24"/>
        </w:rPr>
      </w:pPr>
      <w:r>
        <w:rPr>
          <w:b/>
          <w:spacing w:val="20"/>
          <w:sz w:val="24"/>
        </w:rPr>
        <w:t xml:space="preserve">响应文件</w:t>
      </w:r>
      <w:r>
        <w:rPr>
          <w:b/>
          <w:sz w:val="24"/>
        </w:rPr>
        <w:t xml:space="preserve">封面（非实质性格式）</w:t>
      </w:r>
      <w:r>
        <w:rPr>
          <w:b/>
          <w:sz w:val="24"/>
        </w:rPr>
      </w:r>
      <w:r/>
    </w:p>
    <w:p>
      <w:pPr>
        <w:pStyle w:val="1118"/>
        <w:jc w:val="center"/>
        <w:rPr>
          <w:szCs w:val="21"/>
        </w:rPr>
      </w:pPr>
      <w:r>
        <w:rPr>
          <w:szCs w:val="21"/>
        </w:rPr>
      </w:r>
      <w:r/>
    </w:p>
    <w:p>
      <w:pPr>
        <w:pStyle w:val="1118"/>
        <w:jc w:val="center"/>
        <w:rPr>
          <w:b/>
          <w:spacing w:val="60"/>
          <w:sz w:val="84"/>
          <w:szCs w:val="84"/>
        </w:rPr>
      </w:pPr>
      <w:r>
        <w:rPr>
          <w:b/>
          <w:spacing w:val="60"/>
          <w:sz w:val="84"/>
          <w:szCs w:val="84"/>
        </w:rPr>
        <w:t xml:space="preserve">响 应 文 件</w:t>
      </w:r>
      <w:r>
        <w:rPr>
          <w:b/>
          <w:spacing w:val="60"/>
          <w:sz w:val="84"/>
          <w:szCs w:val="84"/>
        </w:rPr>
      </w:r>
      <w:r/>
    </w:p>
    <w:p>
      <w:pPr>
        <w:pStyle w:val="1118"/>
        <w:jc w:val="center"/>
        <w:rPr>
          <w:b/>
          <w:spacing w:val="60"/>
          <w:sz w:val="52"/>
          <w:szCs w:val="52"/>
        </w:rPr>
      </w:pPr>
      <w:r>
        <w:rPr>
          <w:b/>
          <w:spacing w:val="60"/>
          <w:sz w:val="52"/>
          <w:szCs w:val="52"/>
        </w:rPr>
      </w:r>
      <w:r/>
    </w:p>
    <w:p>
      <w:pPr>
        <w:pStyle w:val="1118"/>
        <w:ind w:firstLine="542"/>
        <w:rPr>
          <w:b/>
          <w:spacing w:val="20"/>
          <w:sz w:val="32"/>
          <w:szCs w:val="32"/>
        </w:rPr>
      </w:pPr>
      <w:r>
        <w:rPr>
          <w:b/>
          <w:spacing w:val="20"/>
          <w:sz w:val="32"/>
          <w:szCs w:val="32"/>
        </w:rPr>
      </w:r>
      <w:r/>
    </w:p>
    <w:p>
      <w:pPr>
        <w:pStyle w:val="1118"/>
        <w:ind w:firstLine="542"/>
        <w:rPr>
          <w:b/>
          <w:spacing w:val="20"/>
          <w:sz w:val="32"/>
          <w:szCs w:val="32"/>
        </w:rPr>
      </w:pPr>
      <w:r>
        <w:rPr>
          <w:b/>
          <w:spacing w:val="20"/>
          <w:sz w:val="32"/>
          <w:szCs w:val="32"/>
        </w:rPr>
      </w:r>
      <w:r/>
    </w:p>
    <w:p>
      <w:pPr>
        <w:pStyle w:val="1118"/>
        <w:ind w:firstLine="1084"/>
        <w:rPr>
          <w:rFonts w:ascii="宋体" w:hAnsi="宋体"/>
          <w:b/>
          <w:sz w:val="36"/>
        </w:rPr>
      </w:pPr>
      <w:r>
        <w:rPr>
          <w:rFonts w:hint="eastAsia" w:ascii="宋体" w:hAnsi="宋体"/>
          <w:b/>
          <w:sz w:val="36"/>
        </w:rPr>
        <w:t xml:space="preserve">项 目 名 称：</w:t>
      </w:r>
      <w:r>
        <w:rPr>
          <w:rFonts w:ascii="宋体" w:hAnsi="宋体"/>
          <w:b/>
          <w:sz w:val="36"/>
        </w:rPr>
      </w:r>
      <w:r/>
    </w:p>
    <w:p>
      <w:pPr>
        <w:pStyle w:val="1118"/>
        <w:ind w:firstLine="1084"/>
        <w:rPr>
          <w:rFonts w:ascii="宋体" w:hAnsi="宋体"/>
          <w:b/>
          <w:sz w:val="36"/>
          <w:u w:val="single"/>
        </w:rPr>
      </w:pPr>
      <w:r>
        <w:rPr>
          <w:rFonts w:hint="eastAsia" w:ascii="宋体" w:hAnsi="宋体"/>
          <w:b/>
          <w:sz w:val="36"/>
        </w:rPr>
        <w:t xml:space="preserve">项 目 编 号：</w:t>
      </w:r>
      <w:r>
        <w:rPr>
          <w:rFonts w:ascii="宋体" w:hAnsi="宋体"/>
          <w:b/>
          <w:sz w:val="36"/>
          <w:u w:val="single"/>
        </w:rPr>
      </w:r>
      <w:r/>
    </w:p>
    <w:p>
      <w:pPr>
        <w:pStyle w:val="1118"/>
        <w:rPr>
          <w:rFonts w:ascii="宋体" w:hAnsi="宋体"/>
          <w:b/>
          <w:sz w:val="36"/>
          <w:u w:val="single"/>
        </w:rPr>
      </w:pPr>
      <w:r>
        <w:rPr>
          <w:rFonts w:hint="eastAsia" w:ascii="宋体" w:hAnsi="宋体"/>
          <w:b/>
          <w:sz w:val="36"/>
        </w:rPr>
        <w:t xml:space="preserve">      供应商名称 ：</w:t>
      </w:r>
      <w:r>
        <w:rPr>
          <w:rFonts w:ascii="宋体" w:hAnsi="宋体"/>
          <w:b/>
          <w:sz w:val="36"/>
          <w:u w:val="single"/>
        </w:rPr>
      </w:r>
      <w:r/>
    </w:p>
    <w:p>
      <w:pPr>
        <w:pStyle w:val="1118"/>
        <w:rPr>
          <w:rFonts w:ascii="宋体" w:hAnsi="宋体"/>
          <w:b/>
          <w:sz w:val="36"/>
        </w:rPr>
      </w:pPr>
      <w:r>
        <w:rPr>
          <w:rFonts w:hint="eastAsia" w:ascii="宋体" w:hAnsi="宋体"/>
          <w:b/>
          <w:sz w:val="36"/>
        </w:rPr>
        <w:t xml:space="preserve">      日      期 ：</w:t>
      </w:r>
      <w:r>
        <w:rPr>
          <w:rFonts w:ascii="宋体" w:hAnsi="宋体"/>
          <w:b/>
          <w:sz w:val="36"/>
        </w:rPr>
      </w:r>
      <w:r/>
    </w:p>
    <w:p>
      <w:pPr>
        <w:pStyle w:val="1118"/>
        <w:jc w:val="center"/>
        <w:rPr>
          <w:b/>
          <w:sz w:val="32"/>
          <w:szCs w:val="32"/>
        </w:rPr>
      </w:pPr>
      <w:r>
        <w:rPr>
          <w:b/>
          <w:sz w:val="32"/>
          <w:szCs w:val="32"/>
        </w:rPr>
      </w:r>
      <w:r/>
    </w:p>
    <w:p>
      <w:pPr>
        <w:pStyle w:val="1118"/>
        <w:rPr>
          <w:b/>
        </w:rPr>
      </w:pPr>
      <w:r>
        <w:rPr>
          <w:b/>
          <w:spacing w:val="20"/>
          <w:sz w:val="32"/>
          <w:szCs w:val="32"/>
        </w:rPr>
        <w:br w:type="page" w:clear="all"/>
      </w:r>
      <w:r>
        <w:rPr>
          <w:b/>
        </w:rPr>
      </w:r>
      <w:r/>
    </w:p>
    <w:p>
      <w:pPr>
        <w:pStyle w:val="1118"/>
        <w:rPr>
          <w:b/>
        </w:rPr>
      </w:pPr>
      <w:r>
        <w:rPr>
          <w:b/>
        </w:rPr>
      </w:r>
      <w:r/>
    </w:p>
    <w:p>
      <w:pPr>
        <w:pStyle w:val="1118"/>
        <w:spacing w:line="360" w:lineRule="auto"/>
        <w:rPr>
          <w:color w:val="000000"/>
          <w:sz w:val="24"/>
          <w:szCs w:val="20"/>
        </w:rPr>
        <w:outlineLvl w:val="2"/>
      </w:pPr>
      <w:r>
        <w:rPr>
          <w:color w:val="000000"/>
          <w:sz w:val="24"/>
          <w:szCs w:val="20"/>
        </w:rPr>
        <w:t xml:space="preserve">1 </w:t>
      </w:r>
      <w:r>
        <w:rPr>
          <w:sz w:val="24"/>
        </w:rPr>
        <w:t xml:space="preserve">满足《中华人民共和国政府采购法》第二十二条规定及法律法规的其他规定</w:t>
      </w:r>
      <w:r>
        <w:rPr>
          <w:color w:val="000000"/>
          <w:sz w:val="24"/>
          <w:szCs w:val="20"/>
        </w:rPr>
      </w:r>
      <w:r/>
    </w:p>
    <w:p>
      <w:pPr>
        <w:pStyle w:val="1121"/>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供应商资格声明</w:t>
      </w:r>
      <w:r>
        <w:rPr>
          <w:rFonts w:hint="eastAsia" w:ascii="Times New Roman"/>
          <w:b w:val="0"/>
          <w:color w:val="000000"/>
          <w:u w:val="none"/>
        </w:rPr>
        <w:t xml:space="preserve">函</w:t>
      </w:r>
      <w:r>
        <w:rPr>
          <w:rFonts w:ascii="Times New Roman"/>
          <w:b w:val="0"/>
          <w:color w:val="000000"/>
          <w:u w:val="none"/>
        </w:rPr>
        <w:t xml:space="preserve">（实质性格式）</w:t>
      </w:r>
      <w:r>
        <w:rPr>
          <w:rFonts w:ascii="Times New Roman"/>
          <w:b w:val="0"/>
          <w:bCs/>
          <w:color w:val="000000"/>
          <w:u w:val="none"/>
        </w:rPr>
      </w:r>
      <w:r/>
    </w:p>
    <w:p>
      <w:pPr>
        <w:pStyle w:val="1118"/>
        <w:jc w:val="center"/>
        <w:spacing w:before="120" w:line="360" w:lineRule="auto"/>
        <w:widowControl/>
        <w:rPr>
          <w:rFonts w:ascii="宋体" w:hAnsi="宋体" w:cs="宋体"/>
          <w:b/>
          <w:sz w:val="28"/>
          <w:szCs w:val="28"/>
        </w:rPr>
      </w:pPr>
      <w:r>
        <w:rPr>
          <w:rFonts w:ascii="宋体" w:hAnsi="宋体" w:cs="宋体"/>
          <w:b/>
          <w:sz w:val="28"/>
          <w:szCs w:val="28"/>
        </w:rPr>
      </w:r>
      <w:r/>
    </w:p>
    <w:p>
      <w:pPr>
        <w:pStyle w:val="1118"/>
        <w:jc w:val="center"/>
        <w:spacing w:before="120" w:line="360" w:lineRule="auto"/>
        <w:widowControl/>
        <w:rPr>
          <w:rFonts w:ascii="宋体" w:hAnsi="宋体" w:cs="宋体"/>
          <w:szCs w:val="21"/>
        </w:rPr>
      </w:pPr>
      <w:r>
        <w:rPr>
          <w:rFonts w:hint="eastAsia" w:ascii="宋体" w:hAnsi="宋体" w:cs="宋体"/>
          <w:b/>
          <w:sz w:val="28"/>
          <w:szCs w:val="28"/>
        </w:rPr>
        <w:t xml:space="preserve">供应商资格声明函</w:t>
      </w:r>
      <w:r>
        <w:rPr>
          <w:rFonts w:ascii="宋体" w:hAnsi="宋体" w:cs="宋体"/>
          <w:szCs w:val="21"/>
        </w:rPr>
      </w:r>
      <w:r/>
    </w:p>
    <w:p>
      <w:pPr>
        <w:pStyle w:val="1132"/>
        <w:ind w:firstLine="480"/>
        <w:spacing w:line="460" w:lineRule="exact"/>
      </w:pPr>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致：常州正衡招投标有限公司</w:t>
      </w:r>
      <w:r/>
    </w:p>
    <w:p>
      <w:pPr>
        <w:ind w:left="0" w:right="0" w:firstLine="9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（采购人名称）</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按照《中华人民共和国政府采购法》第二十二条和磋商文件的规定，我单位郑重声明如下：</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一、我单位是按照中华人民共和国法律规定登记注册的，注册地点为</w:t>
      </w:r>
      <w:r>
        <w:rPr>
          <w:rFonts w:ascii="SimSun" w:hAnsi="SimSun" w:eastAsia="SimSun" w:cs="SimSun"/>
          <w:color w:val="000000"/>
          <w:sz w:val="24"/>
          <w:u w:val="single"/>
        </w:rPr>
        <w:t xml:space="preserve">         </w:t>
      </w:r>
      <w:r>
        <w:rPr>
          <w:rFonts w:ascii="SimSun" w:hAnsi="SimSun" w:eastAsia="SimSun" w:cs="SimSun"/>
          <w:color w:val="000000"/>
          <w:sz w:val="24"/>
        </w:rPr>
        <w:t xml:space="preserve">，全称为</w:t>
      </w:r>
      <w:r>
        <w:rPr>
          <w:rFonts w:ascii="SimSun" w:hAnsi="SimSun" w:eastAsia="SimSun" w:cs="SimSun"/>
          <w:color w:val="000000"/>
          <w:sz w:val="24"/>
          <w:u w:val="single"/>
        </w:rPr>
        <w:t xml:space="preserve">        </w:t>
      </w:r>
      <w:r>
        <w:rPr>
          <w:rFonts w:ascii="SimSun" w:hAnsi="SimSun" w:eastAsia="SimSun" w:cs="SimSun"/>
          <w:color w:val="000000"/>
          <w:sz w:val="24"/>
        </w:rPr>
        <w:t xml:space="preserve">，统一社会信用代码为</w:t>
      </w:r>
      <w:r>
        <w:rPr>
          <w:rFonts w:ascii="SimSun" w:hAnsi="SimSun" w:eastAsia="SimSun" w:cs="SimSun"/>
          <w:color w:val="000000"/>
          <w:sz w:val="24"/>
          <w:u w:val="single"/>
        </w:rPr>
        <w:t xml:space="preserve">           </w:t>
      </w:r>
      <w:r>
        <w:rPr>
          <w:rFonts w:ascii="SimSun" w:hAnsi="SimSun" w:eastAsia="SimSun" w:cs="SimSun"/>
          <w:color w:val="000000"/>
          <w:sz w:val="24"/>
        </w:rPr>
        <w:t xml:space="preserve"> ，法定代表人（单位负责人）为</w:t>
      </w:r>
      <w:r>
        <w:rPr>
          <w:rFonts w:ascii="SimSun" w:hAnsi="SimSun" w:eastAsia="SimSun" w:cs="SimSun"/>
          <w:color w:val="000000"/>
          <w:sz w:val="24"/>
          <w:u w:val="single"/>
        </w:rPr>
        <w:t xml:space="preserve">         </w:t>
      </w:r>
      <w:r>
        <w:rPr>
          <w:rFonts w:ascii="SimSun" w:hAnsi="SimSun" w:eastAsia="SimSun" w:cs="SimSun"/>
          <w:color w:val="000000"/>
          <w:sz w:val="24"/>
        </w:rPr>
        <w:t xml:space="preserve">，具有独立承担民事责任的能力</w:t>
      </w:r>
      <w:r>
        <w:rPr>
          <w:rFonts w:ascii="SimSun" w:hAnsi="SimSun" w:eastAsia="SimSun" w:cs="SimSun"/>
          <w:b/>
          <w:color w:val="000000"/>
          <w:sz w:val="24"/>
        </w:rPr>
        <w:t xml:space="preserve">（如属于分公司经总公司授权参与项目，由总公司承担民事责任的，需提供总公司项目授权书）</w:t>
      </w:r>
      <w:r>
        <w:rPr>
          <w:rFonts w:ascii="SimSun" w:hAnsi="SimSun" w:eastAsia="SimSun" w:cs="SimSun"/>
          <w:color w:val="000000"/>
          <w:sz w:val="24"/>
        </w:rPr>
        <w:t xml:space="preserve">。</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二、我单位未被“国家企业信用信息系统”列入经营异常名录或者严重违法企业名单。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三、我单位具有良好的商业信誉（指供应商经营状况良好，无本资格声明第十条情形）和健全的财务会计制度。</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四、我单位依法进行纳税和社会保险申报并实际履行了义务。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五、我单位具有履行本项目采购合同所必需的设备和专业技术能力，并具有履行合同的良好记录。为履行本项采购合同我单位具备如下主要设备和主要专业技术能力:</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七、我单位具备法律、行政法规规定的其他条件。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八、与我单位存在“单位负责人为同一人或者存在直接控股、管理关系”的其他单位信息如下（如无此情形的，填写“无”）：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1、与我单位的法定代表人（单位负责人）为同一人的其他单位如下：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2、我单位直接控股的其他单位如下：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3、与我单位存在管理关系的其他单位如下：</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九、我单位不属于为本项目提供整体设计（或参与设计）、规范编制或者项目管理、监理、检测等服务的供应商。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十、我单位无以下不良信用记录情形：</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1、在“信用中国”网站被列入失信被执行人和重大税收违法案件当事人名单；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2、在“中国政府采购网”网站被列入政府采购严重违法失信行为记录名单；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3、不符合《政府采购法》第二十二条规定的条件。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我单位保证上述声明的事项都是真实的，如有虚假，我单位愿意承担相应的法律责任，并承担因此所造成的一切损失。</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供应商：（加盖公章）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法定代表人（或单位负责人）签字或盖章：</w:t>
      </w:r>
      <w:r/>
    </w:p>
    <w:p>
      <w:pPr>
        <w:ind w:left="0" w:right="0" w:firstLine="49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说明：供应商承诺不实的，依据《政府采购法》第七十七条“提供虚假材料谋取中标、成交的”有关规定予以处理。</w:t>
      </w:r>
      <w:r/>
    </w:p>
    <w:p>
      <w:pPr>
        <w:pStyle w:val="1118"/>
        <w:spacing w:line="360" w:lineRule="auto"/>
        <w:rPr>
          <w:sz w:val="24"/>
        </w:rPr>
      </w:pPr>
      <w:r>
        <w:rPr>
          <w:sz w:val="24"/>
        </w:rPr>
      </w:r>
      <w:r/>
    </w:p>
    <w:p>
      <w:pPr>
        <w:pStyle w:val="1118"/>
        <w:spacing w:line="360" w:lineRule="auto"/>
        <w:rPr>
          <w:rFonts w:hint="eastAsia" w:eastAsia="宋体"/>
          <w:sz w:val="24"/>
          <w:lang w:val="en-US" w:eastAsia="zh-CN"/>
        </w:rPr>
        <w:outlineLvl w:val="2"/>
      </w:pPr>
      <w:r>
        <w:br w:type="page" w:clear="all"/>
      </w:r>
      <w:r>
        <w:rPr>
          <w:rFonts w:hint="eastAsia"/>
          <w:sz w:val="24"/>
        </w:rPr>
        <w:t xml:space="preserve">1-2营业执照</w:t>
      </w:r>
      <w:r>
        <w:rPr>
          <w:rFonts w:hint="eastAsia"/>
          <w:sz w:val="24"/>
          <w:lang w:val="en-US" w:eastAsia="zh-CN"/>
        </w:rPr>
        <w:t xml:space="preserve">副本</w:t>
      </w:r>
      <w:r>
        <w:rPr>
          <w:color w:val="000000"/>
          <w:sz w:val="24"/>
          <w:szCs w:val="20"/>
        </w:rPr>
        <w:t xml:space="preserve">（实质性格式）</w:t>
      </w:r>
      <w:r>
        <w:rPr>
          <w:rFonts w:hint="eastAsia" w:eastAsia="宋体"/>
          <w:sz w:val="24"/>
          <w:lang w:val="en-US" w:eastAsia="zh-CN"/>
        </w:rPr>
      </w:r>
      <w:r/>
    </w:p>
    <w:p>
      <w:pPr>
        <w:pStyle w:val="1118"/>
        <w:spacing w:line="360" w:lineRule="auto"/>
        <w:rPr>
          <w:rFonts w:hint="eastAsia" w:ascii="宋体" w:hAnsi="宋体" w:cs="宋体"/>
          <w:i/>
          <w:iCs/>
          <w:sz w:val="24"/>
          <w:highlight w:val="none"/>
          <w:u w:val="single"/>
        </w:rPr>
      </w:pPr>
      <w:r>
        <w:rPr>
          <w:rFonts w:hint="eastAsia" w:ascii="宋体" w:hAnsi="宋体" w:cs="宋体"/>
          <w:i/>
          <w:iCs/>
          <w:sz w:val="24"/>
          <w:highlight w:val="none"/>
          <w:u w:val="single"/>
        </w:rPr>
      </w:r>
      <w:r/>
    </w:p>
    <w:p>
      <w:pPr>
        <w:pStyle w:val="1118"/>
        <w:ind w:right="1560"/>
        <w:jc w:val="both"/>
        <w:spacing w:line="588" w:lineRule="exact"/>
        <w:tabs>
          <w:tab w:val="left" w:pos="4860" w:leader="none"/>
        </w:tabs>
        <w:rPr>
          <w:rFonts w:hint="eastAsia"/>
          <w:spacing w:val="6"/>
          <w:sz w:val="24"/>
        </w:rPr>
        <w:sectPr>
          <w:footnotePr/>
          <w:endnotePr/>
          <w:type w:val="nextPage"/>
          <w:pgSz w:w="11907" w:h="16840" w:orient="portrait"/>
          <w:pgMar w:top="1417" w:right="1134" w:bottom="1417" w:left="1701" w:header="851" w:footer="850" w:gutter="0"/>
          <w:cols w:num="1" w:sep="0" w:space="1701" w:equalWidth="1"/>
          <w:docGrid w:linePitch="360"/>
        </w:sectPr>
      </w:pPr>
      <w:r>
        <w:rPr>
          <w:rFonts w:hint="eastAsia"/>
          <w:spacing w:val="6"/>
          <w:sz w:val="24"/>
        </w:rPr>
      </w:r>
      <w:r/>
    </w:p>
    <w:p>
      <w:pPr>
        <w:pStyle w:val="1118"/>
        <w:jc w:val="left"/>
        <w:widowControl/>
        <w:rPr>
          <w:color w:val="000000"/>
          <w:sz w:val="24"/>
          <w:szCs w:val="20"/>
        </w:rPr>
      </w:pPr>
      <w:r>
        <w:rPr>
          <w:color w:val="000000"/>
          <w:sz w:val="24"/>
          <w:szCs w:val="20"/>
        </w:rPr>
      </w:r>
      <w:r/>
    </w:p>
    <w:p>
      <w:pPr>
        <w:pStyle w:val="1118"/>
        <w:jc w:val="left"/>
        <w:widowControl/>
        <w:rPr>
          <w:sz w:val="24"/>
        </w:rPr>
      </w:pPr>
      <w:r>
        <w:rPr>
          <w:sz w:val="24"/>
        </w:rPr>
      </w:r>
      <w:r/>
    </w:p>
    <w:p>
      <w:pPr>
        <w:pStyle w:val="1118"/>
        <w:spacing w:line="360" w:lineRule="auto"/>
        <w:rPr>
          <w:color w:val="000000"/>
          <w:sz w:val="24"/>
          <w:szCs w:val="20"/>
        </w:rPr>
        <w:outlineLvl w:val="2"/>
      </w:pPr>
      <w:r/>
      <w:bookmarkStart w:id="811" w:name="_Toc142311059"/>
      <w:r/>
      <w:bookmarkStart w:id="812" w:name="_Toc226309801"/>
      <w:r/>
      <w:bookmarkStart w:id="813" w:name="_Toc520356218"/>
      <w:r/>
      <w:bookmarkStart w:id="814" w:name="_Toc264969247"/>
      <w:r/>
      <w:bookmarkStart w:id="815" w:name="_Toc480942350"/>
      <w:r/>
      <w:bookmarkStart w:id="816" w:name="_Toc226337253"/>
      <w:r/>
      <w:bookmarkStart w:id="817" w:name="_Toc305158899"/>
      <w:r/>
      <w:bookmarkStart w:id="818" w:name="_Toc265228395"/>
      <w:r/>
      <w:bookmarkStart w:id="819" w:name="_Toc305158825"/>
      <w:r/>
      <w:bookmarkStart w:id="820" w:name="_Toc195842922"/>
      <w:r/>
      <w:bookmarkStart w:id="821" w:name="_Toc226965830"/>
      <w:r/>
      <w:bookmarkStart w:id="822" w:name="_Ref467988705"/>
      <w:r/>
      <w:bookmarkStart w:id="823" w:name="_Toc127151557"/>
      <w:r/>
      <w:bookmarkStart w:id="824" w:name="_Toc226965747"/>
      <w:r/>
      <w:bookmarkStart w:id="825" w:name="_Toc150774762"/>
      <w:r/>
      <w:bookmarkStart w:id="826" w:name="_Toc150480795"/>
      <w:r>
        <w:rPr>
          <w:rFonts w:hint="eastAsia"/>
          <w:color w:val="000000"/>
          <w:sz w:val="24"/>
          <w:lang w:val="en-US" w:eastAsia="zh-CN"/>
        </w:rPr>
        <w:t xml:space="preserve">2</w:t>
      </w:r>
      <w:r>
        <w:rPr>
          <w:color w:val="000000"/>
          <w:sz w:val="24"/>
          <w:szCs w:val="20"/>
        </w:rPr>
        <w:t xml:space="preserve"> </w:t>
      </w:r>
      <w:r>
        <w:rPr>
          <w:color w:val="000000"/>
          <w:sz w:val="24"/>
        </w:rPr>
        <w:t xml:space="preserve">响应</w:t>
      </w:r>
      <w:r>
        <w:rPr>
          <w:rFonts w:hint="eastAsia"/>
          <w:color w:val="000000"/>
          <w:sz w:val="24"/>
        </w:rPr>
        <w:t xml:space="preserve">函</w:t>
      </w:r>
      <w:r>
        <w:rPr>
          <w:color w:val="000000"/>
          <w:sz w:val="24"/>
          <w:szCs w:val="20"/>
        </w:rPr>
        <w:t xml:space="preserve">（实质性格式）</w:t>
      </w:r>
      <w:r>
        <w:rPr>
          <w:color w:val="000000"/>
          <w:sz w:val="24"/>
          <w:szCs w:val="20"/>
        </w:rPr>
      </w:r>
      <w:r/>
    </w:p>
    <w:p>
      <w:pPr>
        <w:pStyle w:val="1118"/>
        <w:spacing w:line="360" w:lineRule="auto"/>
        <w:tabs>
          <w:tab w:val="left" w:pos="5580" w:leader="none"/>
        </w:tabs>
        <w:rPr>
          <w:color w:val="000000"/>
          <w:sz w:val="24"/>
        </w:rPr>
      </w:pPr>
      <w:r>
        <w:rPr>
          <w:color w:val="000000"/>
          <w:sz w:val="24"/>
        </w:rPr>
      </w:r>
      <w:r/>
    </w:p>
    <w:p>
      <w:pPr>
        <w:pStyle w:val="1118"/>
        <w:jc w:val="center"/>
        <w:spacing w:line="360" w:lineRule="auto"/>
        <w:rPr>
          <w:b/>
          <w:color w:val="000000"/>
          <w:sz w:val="36"/>
          <w:szCs w:val="36"/>
        </w:rPr>
      </w:pPr>
      <w:r>
        <w:rPr>
          <w:rFonts w:hint="eastAsia"/>
          <w:b/>
          <w:color w:val="000000"/>
          <w:sz w:val="36"/>
          <w:szCs w:val="36"/>
        </w:rPr>
        <w:t xml:space="preserve">响应函</w:t>
      </w:r>
      <w:r>
        <w:rPr>
          <w:b/>
          <w:color w:val="000000"/>
          <w:sz w:val="36"/>
          <w:szCs w:val="36"/>
        </w:rPr>
      </w:r>
      <w:r/>
    </w:p>
    <w:p>
      <w:pPr>
        <w:pStyle w:val="1118"/>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1118"/>
        <w:spacing w:line="360" w:lineRule="auto"/>
        <w:tabs>
          <w:tab w:val="left" w:pos="5580" w:leader="none"/>
        </w:tabs>
        <w:rPr>
          <w:color w:val="000000"/>
          <w:sz w:val="24"/>
          <w:szCs w:val="20"/>
        </w:rPr>
      </w:pPr>
      <w:r>
        <w:rPr>
          <w:color w:val="000000"/>
          <w:sz w:val="24"/>
          <w:szCs w:val="20"/>
        </w:rPr>
      </w:r>
      <w:r/>
    </w:p>
    <w:p>
      <w:pPr>
        <w:pStyle w:val="1118"/>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w:t>
      </w:r>
      <w:r>
        <w:rPr>
          <w:rFonts w:hint="eastAsia"/>
          <w:color w:val="000000"/>
          <w:sz w:val="24"/>
          <w:szCs w:val="20"/>
        </w:rPr>
        <w:t xml:space="preserve">政府采购</w:t>
      </w:r>
      <w:r>
        <w:rPr>
          <w:color w:val="000000"/>
          <w:sz w:val="24"/>
          <w:szCs w:val="20"/>
        </w:rPr>
        <w:t xml:space="preserve">活动，并对此项目进行响应。</w:t>
      </w:r>
      <w:r>
        <w:rPr>
          <w:color w:val="000000"/>
          <w:sz w:val="24"/>
          <w:szCs w:val="20"/>
        </w:rPr>
      </w:r>
      <w:r/>
    </w:p>
    <w:p>
      <w:pPr>
        <w:pStyle w:val="1118"/>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已详细审查全部磋商文件</w:t>
      </w:r>
      <w:r>
        <w:rPr>
          <w:color w:val="000000"/>
          <w:sz w:val="24"/>
          <w:szCs w:val="20"/>
        </w:rPr>
        <w:t xml:space="preserve">，自愿参与响应并承诺如下：</w:t>
      </w:r>
      <w:r>
        <w:rPr>
          <w:color w:val="000000"/>
          <w:sz w:val="24"/>
          <w:szCs w:val="20"/>
        </w:rPr>
      </w:r>
      <w:r/>
    </w:p>
    <w:p>
      <w:pPr>
        <w:pStyle w:val="1118"/>
        <w:ind w:left="360" w:firstLine="72"/>
        <w:spacing w:line="360" w:lineRule="auto"/>
        <w:tabs>
          <w:tab w:val="left" w:pos="720" w:leader="none"/>
          <w:tab w:val="left" w:pos="900" w:leader="none"/>
        </w:tabs>
        <w:rPr>
          <w:color w:val="000000"/>
          <w:sz w:val="24"/>
          <w:szCs w:val="20"/>
        </w:rPr>
      </w:pPr>
      <w:r>
        <w:rPr>
          <w:color w:val="000000"/>
          <w:sz w:val="24"/>
          <w:szCs w:val="20"/>
        </w:rPr>
        <w:t xml:space="preserve">（1）本响应有效期为自提交响应文件的截止之日起</w:t>
      </w:r>
      <w:r>
        <w:rPr>
          <w:rFonts w:hint="eastAsia"/>
          <w:sz w:val="24"/>
        </w:rPr>
        <w:t xml:space="preserve">60</w:t>
      </w:r>
      <w:r>
        <w:rPr>
          <w:color w:val="000000"/>
          <w:sz w:val="24"/>
          <w:szCs w:val="20"/>
        </w:rPr>
        <w:t xml:space="preserve">个日历日。</w:t>
      </w:r>
      <w:r>
        <w:rPr>
          <w:color w:val="000000"/>
          <w:sz w:val="24"/>
          <w:szCs w:val="20"/>
        </w:rPr>
      </w:r>
      <w:r/>
    </w:p>
    <w:p>
      <w:pPr>
        <w:pStyle w:val="1118"/>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（2）除合同条款及采购需求偏离表列出的偏离外，我方响应磋商文件的全部要求。</w:t>
      </w:r>
      <w:r>
        <w:rPr>
          <w:color w:val="000000"/>
          <w:sz w:val="24"/>
          <w:szCs w:val="20"/>
        </w:rPr>
      </w:r>
      <w:r/>
    </w:p>
    <w:p>
      <w:pPr>
        <w:pStyle w:val="1118"/>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1118"/>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（4）如我方中标，我方将在法律规定的期限内与你方签订合同，按照磋商文件要求提交履约保证金，并在合同约定的期限内完成合同规定的全部义务。</w:t>
      </w:r>
      <w:r>
        <w:rPr>
          <w:color w:val="000000"/>
          <w:sz w:val="24"/>
        </w:rPr>
      </w:r>
      <w:r/>
    </w:p>
    <w:p>
      <w:pPr>
        <w:pStyle w:val="1118"/>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1118"/>
        <w:ind w:firstLine="480"/>
        <w:spacing w:line="360" w:lineRule="auto"/>
        <w:rPr>
          <w:color w:val="000000"/>
          <w:sz w:val="24"/>
        </w:rPr>
      </w:pPr>
      <w:r>
        <w:rPr>
          <w:color w:val="000000"/>
          <w:sz w:val="24"/>
        </w:rPr>
        <w:t xml:space="preserve">与本响应有关的一切正式往来信函请寄：</w:t>
      </w:r>
      <w:r>
        <w:rPr>
          <w:color w:val="000000"/>
          <w:sz w:val="24"/>
        </w:rPr>
      </w:r>
      <w:r/>
    </w:p>
    <w:p>
      <w:pPr>
        <w:pStyle w:val="1118"/>
        <w:ind w:left="420"/>
        <w:spacing w:line="360" w:lineRule="auto"/>
        <w:tabs>
          <w:tab w:val="left" w:pos="5580" w:leader="none"/>
        </w:tabs>
        <w:rPr>
          <w:color w:val="000000"/>
          <w:sz w:val="24"/>
          <w:szCs w:val="20"/>
        </w:rPr>
      </w:pPr>
      <w:r>
        <w:rPr>
          <w:color w:val="000000"/>
          <w:sz w:val="24"/>
          <w:szCs w:val="20"/>
        </w:rPr>
      </w:r>
      <w:r/>
    </w:p>
    <w:p>
      <w:pPr>
        <w:pStyle w:val="1118"/>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1118"/>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1118"/>
        <w:ind w:left="420"/>
        <w:spacing w:line="360" w:lineRule="auto"/>
        <w:tabs>
          <w:tab w:val="left" w:pos="5580" w:leader="none"/>
        </w:tabs>
        <w:rPr>
          <w:color w:val="000000"/>
          <w:sz w:val="24"/>
          <w:szCs w:val="20"/>
        </w:rPr>
      </w:pPr>
      <w:r>
        <w:rPr>
          <w:color w:val="000000"/>
          <w:sz w:val="24"/>
          <w:szCs w:val="20"/>
        </w:rPr>
      </w:r>
      <w:r/>
    </w:p>
    <w:p>
      <w:pPr>
        <w:pStyle w:val="1118"/>
        <w:ind w:left="420"/>
        <w:spacing w:line="360" w:lineRule="auto"/>
        <w:tabs>
          <w:tab w:val="left" w:pos="5580" w:leader="none"/>
        </w:tabs>
        <w:rPr>
          <w:color w:val="000000"/>
          <w:sz w:val="24"/>
          <w:szCs w:val="20"/>
        </w:rPr>
      </w:pPr>
      <w:r>
        <w:rPr>
          <w:color w:val="000000"/>
          <w:sz w:val="24"/>
          <w:szCs w:val="20"/>
        </w:rPr>
        <w:t xml:space="preserve">供应商名称（加盖公章） ___________</w:t>
      </w:r>
      <w:r>
        <w:rPr>
          <w:color w:val="000000"/>
          <w:sz w:val="24"/>
          <w:szCs w:val="20"/>
        </w:rPr>
      </w:r>
      <w:r/>
    </w:p>
    <w:p>
      <w:pPr>
        <w:pStyle w:val="1118"/>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1118"/>
        <w:ind w:left="420"/>
        <w:spacing w:line="360" w:lineRule="auto"/>
        <w:tabs>
          <w:tab w:val="left" w:pos="5580" w:leader="none"/>
        </w:tabs>
        <w:rPr>
          <w:color w:val="000000"/>
          <w:sz w:val="24"/>
          <w:szCs w:val="20"/>
          <w:u w:val="single"/>
        </w:rPr>
      </w:pPr>
      <w:r>
        <w:rPr>
          <w:color w:val="000000"/>
          <w:sz w:val="24"/>
          <w:szCs w:val="20"/>
          <w:u w:val="single"/>
        </w:rPr>
      </w:r>
      <w:r/>
    </w:p>
    <w:p>
      <w:pPr>
        <w:pStyle w:val="1118"/>
        <w:jc w:val="left"/>
        <w:widowControl/>
        <w:rPr>
          <w:color w:val="000000"/>
          <w:sz w:val="24"/>
        </w:rPr>
      </w:pPr>
      <w:r/>
      <w:bookmarkStart w:id="827" w:name="_Hlt520355938"/>
      <w:r/>
      <w:bookmarkEnd w:id="827"/>
      <w:r/>
      <w:bookmarkStart w:id="828" w:name="_Hlt520356243"/>
      <w:r/>
      <w:bookmarkEnd w:id="828"/>
      <w:r>
        <w:rPr>
          <w:color w:val="000000"/>
          <w:sz w:val="24"/>
        </w:rPr>
        <w:br w:type="page" w:clear="all"/>
      </w:r>
      <w:r>
        <w:rPr>
          <w:color w:val="000000"/>
          <w:sz w:val="24"/>
        </w:rPr>
      </w:r>
      <w:r/>
    </w:p>
    <w:p>
      <w:pPr>
        <w:pStyle w:val="1118"/>
        <w:jc w:val="left"/>
        <w:widowControl/>
        <w:rPr>
          <w:color w:val="000000"/>
          <w:sz w:val="24"/>
        </w:rPr>
      </w:pPr>
      <w:r>
        <w:rPr>
          <w:rFonts w:hint="eastAsia"/>
          <w:color w:val="000000"/>
          <w:sz w:val="24"/>
          <w:lang w:val="en-US" w:eastAsia="zh-CN"/>
        </w:rPr>
        <w:t xml:space="preserve">3</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color w:val="000000"/>
          <w:sz w:val="24"/>
        </w:rPr>
      </w:r>
      <w:r/>
    </w:p>
    <w:p>
      <w:pPr>
        <w:pStyle w:val="1118"/>
        <w:jc w:val="center"/>
        <w:spacing w:line="360" w:lineRule="auto"/>
        <w:rPr>
          <w:rFonts w:ascii="宋体" w:hAnsi="宋体"/>
          <w:b/>
          <w:sz w:val="32"/>
          <w:szCs w:val="32"/>
        </w:rPr>
      </w:pPr>
      <w:r>
        <w:rPr>
          <w:rFonts w:ascii="宋体" w:hAnsi="宋体"/>
          <w:b/>
          <w:sz w:val="32"/>
          <w:szCs w:val="32"/>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法定代表人资格证明书</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性别:       年龄:      职务: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的法定代表人。为参与</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的政府采购活动，签署、澄清确认、递交、撤回、修改上述项目的响应文件、进行合同磋商、签署合同和处理与之有关的一切事务。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120" w:after="24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人有效期内的身份证正反面电子件。</w:t>
      </w:r>
      <w:r/>
    </w:p>
    <w:tbl>
      <w:tblPr>
        <w:tblStyle w:val="97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3"/>
        <w:gridCol w:w="4536"/>
      </w:tblGrid>
      <w:tr>
        <w:trPr>
          <w:trHeight w:val="139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3"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36"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供应商：（加盖公章）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法定代表人签字或盖章：</w:t>
      </w:r>
      <w:r/>
    </w:p>
    <w:p>
      <w:pPr>
        <w:ind w:left="0" w:right="0" w:firstLine="43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1.若供应商为事业单位或其他组织或分支机构（仅当磋商文件注明允许分支机构响应的），则法定代表人处的签署人可为单位负责人。</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2.供应商为自然人的情形，可不提供本《授权委托书》。</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118"/>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1118"/>
        <w:jc w:val="both"/>
        <w:spacing w:line="240" w:lineRule="atLeast"/>
        <w:rPr>
          <w:rFonts w:hint="eastAsia" w:ascii="宋体" w:hAnsi="宋体"/>
          <w:sz w:val="24"/>
        </w:rPr>
      </w:pPr>
      <w:r>
        <w:rPr>
          <w:rFonts w:hint="eastAsia" w:ascii="宋体" w:hAnsi="宋体"/>
          <w:sz w:val="24"/>
        </w:rPr>
      </w:r>
      <w:r/>
    </w:p>
    <w:p>
      <w:pPr>
        <w:pStyle w:val="1118"/>
        <w:jc w:val="left"/>
        <w:widowControl/>
        <w:rPr>
          <w:color w:val="000000"/>
          <w:sz w:val="24"/>
        </w:rPr>
      </w:pPr>
      <w:r>
        <w:rPr>
          <w:color w:val="000000"/>
          <w:sz w:val="24"/>
        </w:rPr>
      </w:r>
      <w:r/>
    </w:p>
    <w:p>
      <w:pPr>
        <w:pStyle w:val="1118"/>
        <w:jc w:val="center"/>
        <w:spacing w:line="240" w:lineRule="atLeast"/>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授权委托书</w:t>
      </w:r>
      <w:r>
        <w:rPr>
          <w:rFonts w:hint="eastAsia" w:ascii="宋体" w:hAnsi="宋体" w:cs="宋体"/>
          <w:b/>
          <w:color w:val="000000"/>
          <w:sz w:val="32"/>
          <w:szCs w:val="32"/>
          <w:highlight w:val="none"/>
        </w:rPr>
      </w:r>
      <w:r/>
    </w:p>
    <w:p>
      <w:pPr>
        <w:pStyle w:val="1118"/>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本授权委托书声明：___________________________（投标人名称）的_______________________（法定代表人姓名、职务）代表投标人授权_______________________（被授权人的姓名、职务）为    （</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rPr>
        <w:t xml:space="preserve">   号）项目投标的合法代理人，全权负责参加本次政府采购项目的投标、签订合约以及与之相关的各项工作。本投标人对代理人的签名负全部责任。</w:t>
      </w:r>
      <w:r>
        <w:rPr>
          <w:rFonts w:hint="eastAsia" w:ascii="宋体" w:hAnsi="宋体" w:cs="宋体"/>
          <w:color w:val="000000"/>
          <w:sz w:val="24"/>
          <w:highlight w:val="none"/>
        </w:rPr>
      </w:r>
      <w:r/>
    </w:p>
    <w:p>
      <w:pPr>
        <w:pStyle w:val="1118"/>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本授权书于__________年_______月________日签字生效，特此声明。</w:t>
      </w:r>
      <w:r>
        <w:rPr>
          <w:rFonts w:hint="eastAsia" w:ascii="宋体" w:hAnsi="宋体" w:cs="宋体"/>
          <w:color w:val="000000"/>
          <w:sz w:val="24"/>
          <w:highlight w:val="none"/>
        </w:rPr>
      </w:r>
      <w:r/>
    </w:p>
    <w:p>
      <w:pPr>
        <w:pStyle w:val="1118"/>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118"/>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法定代表人签字或盖章：             日期：</w:t>
      </w:r>
      <w:r>
        <w:rPr>
          <w:rFonts w:hint="eastAsia" w:ascii="宋体" w:hAnsi="宋体" w:cs="宋体"/>
          <w:color w:val="000000"/>
          <w:sz w:val="24"/>
          <w:highlight w:val="none"/>
        </w:rPr>
      </w:r>
      <w:r/>
    </w:p>
    <w:p>
      <w:pPr>
        <w:pStyle w:val="1118"/>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职务：</w:t>
      </w:r>
      <w:r>
        <w:rPr>
          <w:rFonts w:hint="eastAsia" w:ascii="宋体" w:hAnsi="宋体" w:cs="宋体"/>
          <w:color w:val="000000"/>
          <w:sz w:val="24"/>
          <w:highlight w:val="none"/>
        </w:rPr>
      </w:r>
      <w:r/>
    </w:p>
    <w:p>
      <w:pPr>
        <w:pStyle w:val="1118"/>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rPr>
      </w:r>
      <w:r/>
    </w:p>
    <w:p>
      <w:pPr>
        <w:pStyle w:val="1118"/>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单位名称：</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地址：</w:t>
      </w:r>
      <w:r>
        <w:rPr>
          <w:rFonts w:hint="eastAsia" w:ascii="宋体" w:hAnsi="宋体" w:cs="宋体"/>
          <w:color w:val="000000"/>
          <w:sz w:val="24"/>
          <w:highlight w:val="none"/>
        </w:rPr>
      </w:r>
      <w:r/>
    </w:p>
    <w:p>
      <w:pPr>
        <w:pStyle w:val="1118"/>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身份证号码：</w:t>
      </w:r>
      <w:r>
        <w:rPr>
          <w:rFonts w:hint="eastAsia" w:ascii="宋体" w:hAnsi="宋体" w:cs="宋体"/>
          <w:color w:val="000000"/>
          <w:sz w:val="24"/>
          <w:highlight w:val="none"/>
        </w:rPr>
      </w:r>
      <w:r/>
    </w:p>
    <w:p>
      <w:pPr>
        <w:pStyle w:val="1118"/>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118"/>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委托代理人签字或盖章：             日期：</w:t>
      </w:r>
      <w:r>
        <w:rPr>
          <w:rFonts w:hint="eastAsia" w:ascii="宋体" w:hAnsi="宋体" w:cs="宋体"/>
          <w:color w:val="000000"/>
          <w:sz w:val="24"/>
          <w:highlight w:val="none"/>
        </w:rPr>
      </w:r>
      <w:r/>
    </w:p>
    <w:p>
      <w:pPr>
        <w:pStyle w:val="1118"/>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职务：</w:t>
      </w:r>
      <w:r>
        <w:rPr>
          <w:rFonts w:hint="eastAsia" w:ascii="宋体" w:hAnsi="宋体" w:cs="宋体"/>
          <w:color w:val="000000"/>
          <w:sz w:val="24"/>
          <w:highlight w:val="none"/>
        </w:rPr>
      </w:r>
      <w:r/>
    </w:p>
    <w:p>
      <w:pPr>
        <w:pStyle w:val="1118"/>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联系电话：</w:t>
      </w:r>
      <w:r>
        <w:rPr>
          <w:rFonts w:hint="eastAsia" w:ascii="宋体" w:hAnsi="宋体" w:cs="宋体"/>
          <w:color w:val="000000"/>
          <w:sz w:val="24"/>
          <w:highlight w:val="none"/>
        </w:rPr>
      </w:r>
      <w:r/>
    </w:p>
    <w:p>
      <w:pPr>
        <w:pStyle w:val="1118"/>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单位名称：</w:t>
      </w:r>
      <w:r>
        <w:rPr>
          <w:rFonts w:hint="eastAsia" w:ascii="宋体" w:hAnsi="宋体" w:cs="宋体"/>
          <w:color w:val="000000"/>
          <w:sz w:val="24"/>
          <w:highlight w:val="none"/>
        </w:rPr>
      </w:r>
      <w:r/>
    </w:p>
    <w:p>
      <w:pPr>
        <w:pStyle w:val="1118"/>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rPr>
      </w:r>
      <w:r/>
    </w:p>
    <w:p>
      <w:pPr>
        <w:pStyle w:val="1118"/>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身份证号码：</w:t>
      </w:r>
      <w:r>
        <w:rPr>
          <w:rFonts w:hint="eastAsia" w:ascii="宋体" w:hAnsi="宋体" w:cs="宋体"/>
          <w:color w:val="000000"/>
          <w:sz w:val="24"/>
          <w:highlight w:val="none"/>
        </w:rPr>
      </w:r>
      <w:r/>
    </w:p>
    <w:p>
      <w:pPr>
        <w:pStyle w:val="1118"/>
        <w:spacing w:line="56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1118"/>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投标人公章： </w:t>
      </w:r>
      <w:r>
        <w:rPr>
          <w:rFonts w:hint="eastAsia" w:ascii="宋体" w:hAnsi="宋体" w:cs="宋体"/>
          <w:color w:val="000000"/>
          <w:sz w:val="24"/>
          <w:highlight w:val="none"/>
        </w:rPr>
      </w:r>
      <w:r/>
    </w:p>
    <w:p>
      <w:pPr>
        <w:pStyle w:val="1118"/>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地址：</w:t>
      </w:r>
      <w:r>
        <w:rPr>
          <w:rFonts w:hint="eastAsia" w:ascii="宋体" w:hAnsi="宋体" w:cs="宋体"/>
          <w:color w:val="000000"/>
          <w:sz w:val="24"/>
          <w:highlight w:val="none"/>
        </w:rPr>
      </w:r>
      <w:r/>
    </w:p>
    <w:p>
      <w:pPr>
        <w:pStyle w:val="1118"/>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电话：</w:t>
      </w:r>
      <w:r>
        <w:rPr>
          <w:rFonts w:hint="eastAsia" w:ascii="宋体" w:hAnsi="宋体" w:cs="宋体"/>
          <w:color w:val="000000"/>
          <w:sz w:val="24"/>
          <w:highlight w:val="none"/>
        </w:rPr>
      </w:r>
      <w:r/>
    </w:p>
    <w:p>
      <w:pPr>
        <w:pStyle w:val="1118"/>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传真：</w:t>
      </w:r>
      <w:r>
        <w:rPr>
          <w:rFonts w:hint="eastAsia" w:ascii="宋体" w:hAnsi="宋体" w:cs="宋体"/>
          <w:color w:val="000000"/>
          <w:sz w:val="24"/>
          <w:highlight w:val="none"/>
        </w:rPr>
      </w:r>
      <w:r/>
    </w:p>
    <w:p>
      <w:pPr>
        <w:pStyle w:val="1118"/>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邮编：</w:t>
      </w:r>
      <w:r>
        <w:rPr>
          <w:rFonts w:hint="eastAsia" w:ascii="宋体" w:hAnsi="宋体" w:cs="宋体"/>
          <w:color w:val="000000"/>
          <w:sz w:val="24"/>
          <w:highlight w:val="none"/>
        </w:rPr>
      </w:r>
      <w:r/>
    </w:p>
    <w:p>
      <w:pPr>
        <w:pStyle w:val="1118"/>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开户行：</w:t>
      </w:r>
      <w:r>
        <w:rPr>
          <w:rFonts w:hint="eastAsia" w:ascii="宋体" w:hAnsi="宋体" w:cs="宋体"/>
          <w:color w:val="000000"/>
          <w:sz w:val="24"/>
          <w:highlight w:val="none"/>
        </w:rPr>
      </w:r>
      <w:r/>
    </w:p>
    <w:p>
      <w:pPr>
        <w:pStyle w:val="1118"/>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帐号：</w:t>
      </w:r>
      <w:r>
        <w:rPr>
          <w:rFonts w:hint="eastAsia" w:ascii="宋体" w:hAnsi="宋体" w:cs="宋体"/>
          <w:color w:val="000000"/>
          <w:sz w:val="24"/>
          <w:highlight w:val="none"/>
        </w:rPr>
      </w:r>
      <w:r/>
    </w:p>
    <w:p>
      <w:pPr>
        <w:pStyle w:val="1118"/>
        <w:spacing w:line="24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1150"/>
        <w:ind w:right="-46"/>
        <w:spacing w:line="583" w:lineRule="auto"/>
        <w:tabs>
          <w:tab w:val="left" w:pos="567" w:leader="none"/>
        </w:tabs>
        <w:rPr>
          <w:rFonts w:hint="eastAsia" w:cs="宋体"/>
          <w:color w:val="000000"/>
          <w:spacing w:val="-3"/>
          <w:highlight w:val="none"/>
        </w:rPr>
      </w:pPr>
      <w:r>
        <w:rPr>
          <w:rFonts w:hint="eastAsia" w:cs="宋体"/>
          <w:color w:val="000000"/>
          <w:highlight w:val="none"/>
        </w:rPr>
        <w:t xml:space="preserve">附：</w:t>
      </w:r>
      <w:r>
        <w:rPr>
          <w:rFonts w:hint="eastAsia" w:cs="宋体"/>
          <w:color w:val="000000"/>
          <w:szCs w:val="21"/>
          <w:highlight w:val="none"/>
        </w:rPr>
        <w:t xml:space="preserve">代理人</w:t>
      </w:r>
      <w:r>
        <w:rPr>
          <w:rFonts w:hint="eastAsia" w:cs="宋体"/>
          <w:color w:val="000000"/>
          <w:spacing w:val="-3"/>
          <w:highlight w:val="none"/>
        </w:rPr>
        <w:t xml:space="preserve">有效期内的身份证正反面电子件。</w:t>
      </w:r>
      <w:r>
        <w:rPr>
          <w:rFonts w:hint="eastAsia" w:cs="宋体"/>
          <w:color w:val="000000"/>
          <w:spacing w:val="-3"/>
          <w:highlight w:val="none"/>
        </w:rPr>
      </w:r>
      <w:r/>
    </w:p>
    <w:p>
      <w:pPr>
        <w:pStyle w:val="1118"/>
        <w:spacing w:line="24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1118"/>
        <w:spacing w:line="240" w:lineRule="atLeast"/>
        <w:rPr>
          <w:rFonts w:hint="eastAsia" w:ascii="宋体" w:hAnsi="宋体" w:cs="宋体"/>
          <w:color w:val="000000"/>
          <w:szCs w:val="21"/>
          <w:highlight w:val="none"/>
        </w:rPr>
      </w:pPr>
      <w:r>
        <w:rPr>
          <w:rFonts w:hint="eastAsia" w:ascii="宋体" w:hAnsi="宋体" w:cs="宋体"/>
          <w:color w:val="000000"/>
          <w:szCs w:val="21"/>
          <w:highlight w:val="none"/>
        </w:rPr>
        <w:t xml:space="preserve">（复印件）粘贴处</w:t>
      </w:r>
      <w:r>
        <w:rPr>
          <w:rFonts w:hint="eastAsia" w:ascii="宋体" w:hAnsi="宋体" w:cs="宋体"/>
          <w:color w:val="000000"/>
          <w:szCs w:val="21"/>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3500"/>
        </w:trPr>
        <w:tc>
          <w:tcPr>
            <w:tcW w:w="4673" w:type="dxa"/>
            <w:vAlign w:val="top"/>
            <w:textDirection w:val="lrTb"/>
            <w:noWrap w:val="false"/>
          </w:tcPr>
          <w:p>
            <w:pPr>
              <w:pStyle w:val="1118"/>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118"/>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118"/>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c>
          <w:tcPr>
            <w:tcW w:w="4536" w:type="dxa"/>
            <w:vAlign w:val="top"/>
            <w:textDirection w:val="lrTb"/>
            <w:noWrap w:val="false"/>
          </w:tcPr>
          <w:p>
            <w:pPr>
              <w:pStyle w:val="1118"/>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118"/>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1118"/>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bl>
    <w:p>
      <w:pPr>
        <w:pStyle w:val="1118"/>
        <w:spacing w:line="240" w:lineRule="atLeast"/>
        <w:rPr>
          <w:rFonts w:hint="eastAsia" w:ascii="宋体" w:hAnsi="宋体" w:cs="宋体"/>
          <w:color w:val="000000"/>
          <w:szCs w:val="21"/>
          <w:highlight w:val="none"/>
        </w:rPr>
      </w:pPr>
      <w:r>
        <w:rPr>
          <w:rFonts w:hint="eastAsia" w:ascii="宋体" w:hAnsi="宋体" w:cs="宋体"/>
          <w:color w:val="000000"/>
          <w:szCs w:val="21"/>
          <w:highlight w:val="none"/>
        </w:rPr>
      </w:r>
      <w:r/>
    </w:p>
    <w:p>
      <w:pPr>
        <w:pStyle w:val="1118"/>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备注：</w:t>
      </w:r>
      <w:r>
        <w:rPr>
          <w:rFonts w:hint="eastAsia" w:ascii="宋体" w:hAnsi="宋体" w:cs="宋体"/>
          <w:color w:val="000000"/>
          <w:sz w:val="24"/>
          <w:highlight w:val="none"/>
        </w:rPr>
      </w:r>
      <w:r/>
    </w:p>
    <w:p>
      <w:pPr>
        <w:pStyle w:val="1118"/>
        <w:spacing w:line="560" w:lineRule="exact"/>
        <w:rPr>
          <w:rFonts w:hint="eastAsia" w:ascii="宋体" w:hAnsi="宋体" w:cs="宋体"/>
          <w:color w:val="000000"/>
          <w:sz w:val="24"/>
          <w:highlight w:val="none"/>
        </w:rPr>
      </w:pPr>
      <w:r>
        <w:rPr>
          <w:rFonts w:hint="eastAsia" w:ascii="宋体" w:hAnsi="宋体" w:cs="宋体"/>
          <w:color w:val="000000"/>
          <w:sz w:val="24"/>
          <w:highlight w:val="none"/>
        </w:rPr>
        <w:t xml:space="preserve">1、法定代表人参加的，提供法人资格证明和本人身份证原件。</w:t>
      </w:r>
      <w:r>
        <w:rPr>
          <w:rFonts w:hint="eastAsia" w:ascii="宋体" w:hAnsi="宋体" w:cs="宋体"/>
          <w:color w:val="000000"/>
          <w:sz w:val="24"/>
          <w:highlight w:val="none"/>
        </w:rPr>
      </w:r>
      <w:r/>
    </w:p>
    <w:p>
      <w:pPr>
        <w:pStyle w:val="1118"/>
        <w:jc w:val="left"/>
        <w:widowControl/>
        <w:rPr>
          <w:rFonts w:hint="eastAsia"/>
          <w:color w:val="000000"/>
          <w:sz w:val="24"/>
          <w:highlight w:val="none"/>
        </w:rPr>
      </w:pPr>
      <w:r>
        <w:rPr>
          <w:rFonts w:hint="eastAsia" w:ascii="宋体" w:hAnsi="宋体" w:cs="宋体"/>
          <w:color w:val="000000"/>
          <w:sz w:val="24"/>
          <w:highlight w:val="none"/>
        </w:rPr>
        <w:t xml:space="preserve">2、委托代理人参加的，提供法人资格证明、授权委托书和本人身份证原件。</w:t>
      </w:r>
      <w:r>
        <w:rPr>
          <w:rFonts w:hint="eastAsia"/>
          <w:color w:val="000000"/>
          <w:sz w:val="24"/>
          <w:highlight w:val="none"/>
        </w:rPr>
      </w:r>
      <w:r/>
    </w:p>
    <w:p>
      <w:pPr>
        <w:pStyle w:val="1118"/>
        <w:jc w:val="left"/>
        <w:widowControl/>
        <w:rPr>
          <w:color w:val="000000"/>
          <w:sz w:val="24"/>
        </w:rPr>
      </w:pPr>
      <w:r>
        <w:rPr>
          <w:rFonts w:hint="eastAsia"/>
          <w:color w:val="000000"/>
          <w:sz w:val="24"/>
        </w:rPr>
        <w:br w:type="page" w:clear="all"/>
      </w:r>
      <w:r>
        <w:rPr>
          <w:color w:val="000000"/>
          <w:sz w:val="24"/>
        </w:rPr>
      </w:r>
      <w:r/>
    </w:p>
    <w:p>
      <w:pPr>
        <w:pStyle w:val="1118"/>
        <w:jc w:val="left"/>
        <w:widowControl/>
        <w:rPr>
          <w:color w:val="000000"/>
          <w:sz w:val="24"/>
        </w:rPr>
      </w:pPr>
      <w:r>
        <w:rPr>
          <w:rFonts w:hint="eastAsia"/>
          <w:color w:val="000000"/>
          <w:sz w:val="24"/>
          <w:lang w:val="en-US" w:eastAsia="zh-CN"/>
        </w:rPr>
        <w:t xml:space="preserve">4</w:t>
      </w:r>
      <w:r>
        <w:rPr>
          <w:rFonts w:hint="eastAsia"/>
          <w:color w:val="000000"/>
          <w:sz w:val="24"/>
        </w:rPr>
        <w:t xml:space="preserve">  政府采购供应商信用承诺书</w:t>
      </w:r>
      <w:r>
        <w:rPr>
          <w:color w:val="000000"/>
          <w:sz w:val="24"/>
          <w:szCs w:val="20"/>
        </w:rPr>
        <w:t xml:space="preserve">（实质性格式）</w:t>
      </w:r>
      <w:r>
        <w:rPr>
          <w:color w:val="000000"/>
          <w:sz w:val="24"/>
        </w:rPr>
      </w:r>
      <w:r/>
    </w:p>
    <w:p>
      <w:pPr>
        <w:pStyle w:val="1118"/>
        <w:ind w:firstLine="321"/>
        <w:jc w:val="center"/>
        <w:spacing w:line="560" w:lineRule="exact"/>
        <w:rPr>
          <w:rFonts w:ascii="黑体" w:hAnsi="黑体" w:eastAsia="黑体"/>
          <w:b/>
          <w:sz w:val="32"/>
          <w:szCs w:val="32"/>
        </w:rPr>
      </w:pPr>
      <w:r>
        <w:rPr>
          <w:rFonts w:ascii="黑体" w:hAnsi="黑体" w:eastAsia="黑体"/>
          <w:b/>
          <w:sz w:val="32"/>
          <w:szCs w:val="32"/>
        </w:rPr>
      </w:r>
      <w:r/>
    </w:p>
    <w:p>
      <w:pPr>
        <w:pStyle w:val="1118"/>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1118"/>
        <w:ind w:firstLine="640"/>
      </w:pPr>
      <w:r/>
      <w:r/>
    </w:p>
    <w:p>
      <w:pPr>
        <w:pStyle w:val="1118"/>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118"/>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118"/>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118"/>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118"/>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118"/>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118"/>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118"/>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118"/>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118"/>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118"/>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118"/>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70"/>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118"/>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118"/>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18"/>
        <w:spacing w:line="360" w:lineRule="auto"/>
        <w:rPr>
          <w:color w:val="000000"/>
          <w:sz w:val="24"/>
          <w:szCs w:val="20"/>
        </w:rPr>
      </w:pPr>
      <w:r>
        <w:rPr>
          <w:color w:val="000000"/>
          <w:sz w:val="24"/>
          <w:szCs w:val="20"/>
        </w:rPr>
        <w:br w:type="page" w:clear="all"/>
      </w:r>
      <w:r>
        <w:rPr>
          <w:rFonts w:hint="eastAsia"/>
          <w:color w:val="000000"/>
          <w:sz w:val="24"/>
          <w:szCs w:val="20"/>
          <w:lang w:val="en-US" w:eastAsia="zh-CN"/>
        </w:rPr>
        <w:t xml:space="preserve">5</w:t>
      </w:r>
      <w:r>
        <w:rPr>
          <w:color w:val="000000"/>
          <w:sz w:val="24"/>
          <w:szCs w:val="20"/>
        </w:rPr>
        <w:t xml:space="preserve"> 中小企业声明函</w:t>
      </w:r>
      <w:r>
        <w:rPr>
          <w:color w:val="000000"/>
          <w:sz w:val="24"/>
          <w:szCs w:val="20"/>
        </w:rPr>
      </w:r>
      <w:r/>
    </w:p>
    <w:p>
      <w:pPr>
        <w:pStyle w:val="1118"/>
        <w:spacing w:line="360" w:lineRule="auto"/>
        <w:tabs>
          <w:tab w:val="left" w:pos="5580" w:leader="none"/>
        </w:tabs>
        <w:rPr>
          <w:sz w:val="24"/>
        </w:rPr>
      </w:pPr>
      <w:r>
        <w:rPr>
          <w:rFonts w:hint="eastAsia"/>
          <w:sz w:val="24"/>
        </w:rPr>
        <w:t xml:space="preserve">说明：</w:t>
      </w:r>
      <w:r>
        <w:rPr>
          <w:sz w:val="24"/>
        </w:rPr>
      </w:r>
      <w:r/>
    </w:p>
    <w:p>
      <w:pPr>
        <w:pStyle w:val="1118"/>
        <w:spacing w:line="360" w:lineRule="auto"/>
        <w:tabs>
          <w:tab w:val="left" w:pos="5580" w:leader="none"/>
        </w:tabs>
        <w:rPr>
          <w:sz w:val="24"/>
        </w:rPr>
      </w:pPr>
      <w:r>
        <w:rPr>
          <w:rFonts w:hint="eastAsia"/>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sz w:val="24"/>
        </w:rPr>
      </w:r>
      <w:r/>
    </w:p>
    <w:p>
      <w:pPr>
        <w:pStyle w:val="1118"/>
        <w:spacing w:line="360" w:lineRule="auto"/>
        <w:tabs>
          <w:tab w:val="left" w:pos="5580" w:leader="none"/>
        </w:tabs>
        <w:rPr>
          <w:sz w:val="24"/>
        </w:rPr>
      </w:pPr>
      <w:r>
        <w:rPr>
          <w:rFonts w:hint="eastAsia"/>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sz w:val="24"/>
        </w:rPr>
      </w:r>
      <w:r/>
    </w:p>
    <w:p>
      <w:pPr>
        <w:pStyle w:val="1118"/>
        <w:spacing w:line="360" w:lineRule="auto"/>
        <w:tabs>
          <w:tab w:val="left" w:pos="5580" w:leader="none"/>
        </w:tabs>
        <w:rPr>
          <w:rFonts w:hint="eastAsia"/>
          <w:sz w:val="24"/>
        </w:rPr>
      </w:pPr>
      <w:r>
        <w:rPr>
          <w:rFonts w:hint="eastAsia"/>
          <w:sz w:val="24"/>
        </w:rPr>
        <w:t xml:space="preserve">3）对于多标的的采购项目，供应商应充分、准确地了解所投产品制造企业信息。对相关情况了解不清楚的，不建议填报本声明函。</w:t>
      </w:r>
      <w:r>
        <w:rPr>
          <w:rFonts w:hint="eastAsia"/>
          <w:sz w:val="24"/>
        </w:rPr>
      </w:r>
      <w:r/>
    </w:p>
    <w:p>
      <w:pPr>
        <w:pStyle w:val="1118"/>
        <w:spacing w:line="360" w:lineRule="auto"/>
        <w:tabs>
          <w:tab w:val="left" w:pos="5580" w:leader="none"/>
        </w:tabs>
        <w:rPr>
          <w:sz w:val="24"/>
        </w:rPr>
      </w:pPr>
      <w:r>
        <w:rPr>
          <w:rFonts w:hint="eastAsia"/>
          <w:sz w:val="24"/>
        </w:rPr>
        <w:t xml:space="preserve">4）中小企业认定标准以《关于印发中小企业划型标准规定的通知》（工信部联企业〔2011〕300号）文件规定为准。</w:t>
      </w:r>
      <w:r>
        <w:rPr>
          <w:sz w:val="24"/>
        </w:rPr>
      </w:r>
      <w:r/>
    </w:p>
    <w:p>
      <w:pPr>
        <w:pStyle w:val="1118"/>
        <w:spacing w:line="360" w:lineRule="auto"/>
        <w:tabs>
          <w:tab w:val="left" w:pos="5580" w:leader="none"/>
        </w:tabs>
        <w:rPr>
          <w:rFonts w:hint="eastAsia"/>
          <w:sz w:val="24"/>
        </w:rPr>
      </w:pPr>
      <w:r>
        <w:rPr>
          <w:rFonts w:hint="eastAsia"/>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sz w:val="24"/>
        </w:rPr>
        <w:fldChar w:fldCharType="begin"/>
      </w:r>
      <w:r>
        <w:rPr>
          <w:sz w:val="24"/>
        </w:rPr>
        <w:instrText xml:space="preserve"> HYPERLINK "http://202.106.120.146/baosong/appweb/orgScale.html" </w:instrText>
      </w:r>
      <w:r>
        <w:rPr>
          <w:sz w:val="24"/>
        </w:rPr>
        <w:fldChar w:fldCharType="separate"/>
      </w:r>
      <w:r>
        <w:rPr>
          <w:rStyle w:val="1196"/>
          <w:sz w:val="24"/>
        </w:rPr>
        <w:t xml:space="preserve">http://202.106.120.146/baosong/appweb/orgScale.html</w:t>
      </w:r>
      <w:r>
        <w:rPr>
          <w:sz w:val="24"/>
        </w:rPr>
        <w:fldChar w:fldCharType="end"/>
      </w:r>
      <w:r>
        <w:rPr>
          <w:rFonts w:hint="eastAsia"/>
          <w:sz w:val="24"/>
        </w:rPr>
        <w:t xml:space="preserve">）</w:t>
      </w:r>
      <w:r>
        <w:rPr>
          <w:rFonts w:hint="eastAsia"/>
          <w:sz w:val="24"/>
        </w:rPr>
      </w:r>
      <w:r/>
    </w:p>
    <w:p>
      <w:pPr>
        <w:pStyle w:val="1118"/>
        <w:spacing w:line="360" w:lineRule="auto"/>
        <w:tabs>
          <w:tab w:val="left" w:pos="5580" w:leader="none"/>
        </w:tabs>
        <w:rPr>
          <w:rFonts w:hint="eastAsia" w:ascii="宋体" w:hAnsi="宋体"/>
          <w:b/>
          <w:sz w:val="24"/>
        </w:rPr>
      </w:pPr>
      <w:r>
        <w:rPr>
          <w:rFonts w:hint="eastAsia"/>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118"/>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118"/>
        <w:jc w:val="center"/>
        <w:spacing w:before="240" w:after="240" w:line="360" w:lineRule="auto"/>
        <w:rPr>
          <w:b/>
          <w:bCs/>
          <w:color w:val="000000"/>
          <w:sz w:val="24"/>
        </w:rPr>
      </w:pPr>
      <w:r>
        <w:rPr>
          <w:b/>
          <w:bCs/>
          <w:color w:val="000000"/>
          <w:sz w:val="24"/>
        </w:rPr>
        <w:br w:type="page" w:clear="all"/>
      </w:r>
      <w:r>
        <w:rPr>
          <w:b/>
          <w:bCs/>
          <w:color w:val="000000"/>
          <w:sz w:val="24"/>
        </w:rPr>
      </w:r>
      <w:r/>
    </w:p>
    <w:p>
      <w:pPr>
        <w:pStyle w:val="1118"/>
        <w:jc w:val="center"/>
        <w:spacing w:before="240" w:after="240" w:line="360" w:lineRule="auto"/>
        <w:rPr>
          <w:b/>
          <w:color w:val="000000"/>
          <w:sz w:val="36"/>
          <w:szCs w:val="36"/>
        </w:rPr>
      </w:pPr>
      <w:r>
        <w:rPr>
          <w:b/>
          <w:bCs/>
          <w:color w:val="000000"/>
          <w:sz w:val="36"/>
          <w:szCs w:val="36"/>
        </w:rPr>
        <w:t xml:space="preserve">中小企业声明函（货物）格式</w:t>
      </w:r>
      <w:r>
        <w:rPr>
          <w:b/>
          <w:color w:val="000000"/>
          <w:sz w:val="36"/>
          <w:szCs w:val="36"/>
        </w:rPr>
      </w:r>
      <w:r/>
    </w:p>
    <w:p>
      <w:pPr>
        <w:pStyle w:val="1118"/>
        <w:ind w:left="220" w:right="415" w:firstLine="640"/>
        <w:jc w:val="left"/>
        <w:spacing w:line="360" w:lineRule="auto"/>
        <w:rPr>
          <w:sz w:val="24"/>
        </w:rPr>
      </w:pPr>
      <w:r>
        <w:rPr>
          <w:sz w:val="24"/>
        </w:rPr>
        <w:t xml:space="preserve">本公司（联合体）郑重声明，根据《政府采购促进中小企业发展管理办法》（财库﹝2020﹞46号）的规定，本公司（联合体）参加</w:t>
      </w:r>
      <w:r>
        <w:rPr>
          <w:i/>
          <w:sz w:val="24"/>
          <w:u w:val="single"/>
        </w:rPr>
        <w:t xml:space="preserve">（单位名称）</w:t>
      </w:r>
      <w:r>
        <w:rPr>
          <w:sz w:val="24"/>
        </w:rPr>
        <w:t xml:space="preserve">的</w:t>
      </w:r>
      <w:r>
        <w:rPr>
          <w:i/>
          <w:sz w:val="24"/>
          <w:u w:val="single"/>
        </w:rPr>
        <w:t xml:space="preserve">（项目名称）</w:t>
      </w:r>
      <w:r>
        <w:rPr>
          <w:sz w:val="24"/>
        </w:rPr>
        <w:t xml:space="preserve">采购活动，提供的货物全部由符合政策要求的中小企业制造。相关企业（含联合体中的中小企业、签订分包意向协议的中小企业）的具体情况如下：</w:t>
      </w:r>
      <w:r>
        <w:rPr>
          <w:sz w:val="24"/>
        </w:rPr>
      </w:r>
      <w:r/>
    </w:p>
    <w:p>
      <w:pPr>
        <w:pStyle w:val="1118"/>
        <w:numPr>
          <w:ilvl w:val="0"/>
          <w:numId w:val="14"/>
        </w:numPr>
        <w:ind w:right="169" w:firstLine="646"/>
        <w:jc w:val="left"/>
        <w:spacing w:line="360" w:lineRule="auto"/>
        <w:tabs>
          <w:tab w:val="left" w:pos="1183" w:leader="none"/>
          <w:tab w:val="left" w:pos="1484" w:leader="none"/>
          <w:tab w:val="left" w:pos="4662" w:leader="none"/>
          <w:tab w:val="left" w:pos="6903"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采购文件中明确的所属行业）行业</w:t>
      </w:r>
      <w:r>
        <w:rPr>
          <w:sz w:val="24"/>
        </w:rPr>
        <w:t xml:space="preserve">；制造商为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万元，属于</w:t>
      </w:r>
      <w:r>
        <w:rPr>
          <w:i/>
          <w:sz w:val="24"/>
          <w:u w:val="single"/>
        </w:rPr>
        <w:t xml:space="preserve">（中型企业、小型企业、微型企业）</w:t>
      </w:r>
      <w:r>
        <w:rPr>
          <w:sz w:val="24"/>
        </w:rPr>
        <w:t xml:space="preserve">；</w:t>
      </w:r>
      <w:r>
        <w:rPr>
          <w:sz w:val="24"/>
        </w:rPr>
      </w:r>
      <w:r/>
    </w:p>
    <w:p>
      <w:pPr>
        <w:pStyle w:val="1118"/>
        <w:numPr>
          <w:ilvl w:val="0"/>
          <w:numId w:val="14"/>
        </w:numPr>
        <w:ind w:right="169" w:firstLine="646"/>
        <w:jc w:val="left"/>
        <w:spacing w:line="360" w:lineRule="auto"/>
        <w:tabs>
          <w:tab w:val="left" w:pos="1165" w:leader="none"/>
          <w:tab w:val="left" w:pos="1183" w:leader="none"/>
          <w:tab w:val="left" w:pos="4362" w:leader="none"/>
          <w:tab w:val="left" w:pos="6577" w:leader="none"/>
        </w:tabs>
        <w:rPr>
          <w:sz w:val="24"/>
        </w:rPr>
      </w:pPr>
      <w:r>
        <w:rPr>
          <w:i/>
          <w:sz w:val="24"/>
          <w:u w:val="single"/>
        </w:rPr>
        <w:t xml:space="preserve">（标的名称）</w:t>
      </w:r>
      <w:r>
        <w:rPr>
          <w:sz w:val="24"/>
        </w:rPr>
        <w:t xml:space="preserve">，属于</w:t>
      </w:r>
      <w:r>
        <w:rPr>
          <w:i/>
          <w:sz w:val="24"/>
        </w:rPr>
        <w:t xml:space="preserve">（</w:t>
      </w:r>
      <w:r>
        <w:rPr>
          <w:i/>
          <w:sz w:val="24"/>
          <w:u w:val="single"/>
        </w:rPr>
        <w:t xml:space="preserve">采购文件中明确的所属行业）行业</w:t>
      </w:r>
      <w:r>
        <w:rPr>
          <w:sz w:val="24"/>
        </w:rPr>
        <w:t xml:space="preserve">；制造商为</w:t>
      </w:r>
      <w:r>
        <w:rPr>
          <w:i/>
          <w:sz w:val="24"/>
          <w:u w:val="single"/>
        </w:rPr>
        <w:t xml:space="preserve">（企业名称）</w:t>
      </w:r>
      <w:r>
        <w:rPr>
          <w:sz w:val="24"/>
        </w:rPr>
        <w:t xml:space="preserve">，从业人员</w:t>
      </w:r>
      <w:r>
        <w:rPr>
          <w:sz w:val="24"/>
          <w:u w:val="single"/>
        </w:rPr>
        <w:tab/>
      </w:r>
      <w:r>
        <w:rPr>
          <w:sz w:val="24"/>
        </w:rPr>
        <w:t xml:space="preserve">人，营业收入为</w:t>
      </w:r>
      <w:r>
        <w:rPr>
          <w:sz w:val="24"/>
          <w:u w:val="single"/>
        </w:rPr>
        <w:tab/>
      </w:r>
      <w:r>
        <w:rPr>
          <w:sz w:val="24"/>
        </w:rPr>
        <w:t xml:space="preserve">万元，资产总额为</w:t>
      </w:r>
      <w:r>
        <w:rPr>
          <w:sz w:val="24"/>
          <w:u w:val="single"/>
        </w:rPr>
        <w:tab/>
      </w:r>
      <w:r>
        <w:rPr>
          <w:sz w:val="24"/>
        </w:rPr>
        <w:t xml:space="preserve">万元，属于</w:t>
      </w:r>
      <w:r>
        <w:rPr>
          <w:i/>
          <w:sz w:val="24"/>
          <w:u w:val="single"/>
        </w:rPr>
        <w:t xml:space="preserve">（中型企业、小型企业、微型企业）</w:t>
      </w:r>
      <w:r>
        <w:rPr>
          <w:sz w:val="24"/>
        </w:rPr>
        <w:t xml:space="preserve">；</w:t>
      </w:r>
      <w:r>
        <w:rPr>
          <w:sz w:val="24"/>
        </w:rPr>
      </w:r>
      <w:r/>
    </w:p>
    <w:p>
      <w:pPr>
        <w:pStyle w:val="1118"/>
        <w:ind w:left="860"/>
        <w:jc w:val="left"/>
        <w:spacing w:line="360" w:lineRule="auto"/>
        <w:rPr>
          <w:sz w:val="24"/>
        </w:rPr>
      </w:pPr>
      <w:r>
        <w:rPr>
          <w:sz w:val="24"/>
        </w:rPr>
        <w:t xml:space="preserve">……</w:t>
      </w:r>
      <w:r>
        <w:rPr>
          <w:sz w:val="24"/>
        </w:rPr>
      </w:r>
      <w:r/>
    </w:p>
    <w:p>
      <w:pPr>
        <w:pStyle w:val="1118"/>
        <w:ind w:left="220" w:right="417" w:firstLine="645"/>
        <w:spacing w:line="360" w:lineRule="auto"/>
        <w:rPr>
          <w:sz w:val="24"/>
        </w:rPr>
      </w:pPr>
      <w:r>
        <w:rPr>
          <w:sz w:val="24"/>
        </w:rPr>
        <w:t xml:space="preserve">以上企业，不属于大企业的分支机构，不存在控股股东为大企业的情形，也不存在与大企业的负责人为同一人的情形。</w:t>
      </w:r>
      <w:r>
        <w:rPr>
          <w:sz w:val="24"/>
        </w:rPr>
      </w:r>
      <w:r/>
    </w:p>
    <w:p>
      <w:pPr>
        <w:pStyle w:val="1118"/>
        <w:ind w:left="220" w:right="372" w:firstLine="645"/>
        <w:jc w:val="left"/>
        <w:spacing w:line="360" w:lineRule="auto"/>
        <w:rPr>
          <w:sz w:val="24"/>
        </w:rPr>
      </w:pPr>
      <w:r>
        <w:rPr>
          <w:sz w:val="24"/>
        </w:rPr>
        <w:t xml:space="preserve">本企业对上述声明内容的真实性负责。如有虚假，将依法承担相应责任。</w:t>
      </w:r>
      <w:r>
        <w:rPr>
          <w:sz w:val="24"/>
        </w:rPr>
      </w:r>
      <w:r/>
    </w:p>
    <w:p>
      <w:pPr>
        <w:pStyle w:val="1118"/>
        <w:ind w:firstLine="504"/>
        <w:spacing w:line="360" w:lineRule="auto"/>
        <w:rPr>
          <w:spacing w:val="6"/>
          <w:sz w:val="24"/>
        </w:rPr>
      </w:pPr>
      <w:r>
        <w:rPr>
          <w:spacing w:val="6"/>
          <w:sz w:val="24"/>
        </w:rPr>
      </w:r>
      <w:r/>
    </w:p>
    <w:p>
      <w:pPr>
        <w:pStyle w:val="1118"/>
        <w:ind w:firstLine="504"/>
        <w:spacing w:line="360" w:lineRule="auto"/>
        <w:rPr>
          <w:spacing w:val="6"/>
          <w:sz w:val="24"/>
        </w:rPr>
      </w:pPr>
      <w:r>
        <w:rPr>
          <w:spacing w:val="6"/>
          <w:sz w:val="24"/>
        </w:rPr>
      </w:r>
      <w:r/>
    </w:p>
    <w:p>
      <w:pPr>
        <w:pStyle w:val="1118"/>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1118"/>
        <w:ind w:right="360" w:firstLine="480"/>
        <w:jc w:val="right"/>
        <w:spacing w:line="360" w:lineRule="auto"/>
        <w:rPr>
          <w:color w:val="000000"/>
          <w:sz w:val="24"/>
        </w:rPr>
      </w:pPr>
      <w:r>
        <w:rPr>
          <w:color w:val="000000"/>
          <w:sz w:val="24"/>
        </w:rPr>
        <w:t xml:space="preserve">日 期：________</w:t>
      </w:r>
      <w:r>
        <w:rPr>
          <w:color w:val="000000"/>
          <w:sz w:val="24"/>
        </w:rPr>
      </w:r>
      <w:r/>
    </w:p>
    <w:p>
      <w:pPr>
        <w:pStyle w:val="1118"/>
        <w:ind w:right="360" w:firstLine="480"/>
        <w:jc w:val="right"/>
        <w:spacing w:line="360" w:lineRule="auto"/>
        <w:rPr>
          <w:color w:val="000000"/>
          <w:sz w:val="24"/>
        </w:rPr>
      </w:pPr>
      <w:r>
        <w:rPr>
          <w:color w:val="000000"/>
          <w:sz w:val="24"/>
        </w:rPr>
      </w:r>
      <w:r/>
    </w:p>
    <w:p>
      <w:pPr>
        <w:pStyle w:val="1118"/>
        <w:ind w:right="360" w:firstLine="480"/>
        <w:jc w:val="right"/>
        <w:spacing w:line="360" w:lineRule="auto"/>
        <w:rPr>
          <w:color w:val="000000"/>
          <w:sz w:val="24"/>
        </w:rPr>
      </w:pPr>
      <w:r>
        <w:rPr>
          <w:color w:val="000000"/>
          <w:sz w:val="24"/>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118"/>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1118"/>
        <w:ind w:firstLine="420"/>
        <w:jc w:val="left"/>
        <w:rPr>
          <w:sz w:val="24"/>
        </w:rPr>
      </w:pPr>
      <w:r>
        <w:rPr>
          <w:sz w:val="24"/>
        </w:rPr>
      </w:r>
      <w:r/>
    </w:p>
    <w:p>
      <w:pPr>
        <w:pStyle w:val="1118"/>
        <w:ind w:right="360" w:firstLine="480"/>
        <w:jc w:val="right"/>
        <w:spacing w:line="360" w:lineRule="auto"/>
        <w:rPr>
          <w:color w:val="000000"/>
          <w:sz w:val="24"/>
        </w:rPr>
      </w:pPr>
      <w:r>
        <w:rPr>
          <w:color w:val="000000"/>
          <w:sz w:val="24"/>
        </w:rPr>
      </w:r>
      <w:r/>
    </w:p>
    <w:p>
      <w:pPr>
        <w:pStyle w:val="1118"/>
        <w:ind w:right="360" w:firstLine="480"/>
        <w:jc w:val="right"/>
        <w:spacing w:line="360" w:lineRule="auto"/>
        <w:rPr>
          <w:color w:val="000000"/>
          <w:sz w:val="24"/>
        </w:rPr>
      </w:pPr>
      <w:r>
        <w:rPr>
          <w:color w:val="000000"/>
          <w:sz w:val="24"/>
        </w:rPr>
      </w:r>
      <w:r/>
    </w:p>
    <w:p>
      <w:pPr>
        <w:pStyle w:val="1118"/>
        <w:spacing w:line="360" w:lineRule="auto"/>
        <w:rPr>
          <w:color w:val="000000"/>
          <w:sz w:val="24"/>
        </w:rPr>
      </w:pPr>
      <w:r>
        <w:rPr>
          <w:color w:val="000000"/>
          <w:sz w:val="24"/>
          <w:szCs w:val="20"/>
        </w:rPr>
        <w:br w:type="page" w:clear="all"/>
      </w:r>
      <w:r>
        <w:rPr>
          <w:color w:val="000000"/>
          <w:sz w:val="24"/>
        </w:rPr>
      </w:r>
      <w:r/>
    </w:p>
    <w:p>
      <w:pPr>
        <w:pStyle w:val="1118"/>
        <w:spacing w:before="319" w:after="319" w:line="360" w:lineRule="auto"/>
        <w:rPr>
          <w:color w:val="000000"/>
          <w:sz w:val="24"/>
        </w:rPr>
      </w:pPr>
      <w:r>
        <w:rPr>
          <w:color w:val="000000"/>
          <w:sz w:val="24"/>
        </w:rPr>
        <w:t xml:space="preserve"> </w:t>
      </w:r>
      <w:r>
        <w:rPr>
          <w:color w:val="000000"/>
          <w:sz w:val="24"/>
        </w:rPr>
      </w:r>
      <w:r/>
    </w:p>
    <w:p>
      <w:pPr>
        <w:pStyle w:val="1118"/>
        <w:jc w:val="center"/>
        <w:spacing w:before="159" w:line="360" w:lineRule="auto"/>
        <w:rPr>
          <w:rFonts w:hint="eastAsia" w:ascii="宋体" w:hAnsi="宋体" w:cs="宋体"/>
          <w:b/>
          <w:sz w:val="28"/>
          <w:szCs w:val="28"/>
        </w:rPr>
      </w:pPr>
      <w:r>
        <w:rPr>
          <w:rFonts w:hint="eastAsia" w:ascii="宋体" w:hAnsi="宋体" w:cs="宋体"/>
          <w:b/>
          <w:sz w:val="28"/>
          <w:szCs w:val="28"/>
        </w:rPr>
        <w:t xml:space="preserve">残疾人福利性单位声明函格式 </w:t>
      </w:r>
      <w:r>
        <w:rPr>
          <w:rFonts w:hint="eastAsia" w:ascii="宋体" w:hAnsi="宋体" w:cs="宋体"/>
          <w:b/>
          <w:sz w:val="28"/>
          <w:szCs w:val="28"/>
        </w:rPr>
      </w:r>
      <w:r/>
    </w:p>
    <w:p>
      <w:pPr>
        <w:pStyle w:val="1118"/>
        <w:ind w:firstLine="504"/>
        <w:spacing w:line="360" w:lineRule="auto"/>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1118"/>
        <w:ind w:firstLine="482"/>
        <w:spacing w:line="360" w:lineRule="auto"/>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1118"/>
        <w:ind w:firstLine="482"/>
        <w:spacing w:line="360" w:lineRule="auto"/>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1118"/>
        <w:ind w:firstLine="506"/>
        <w:spacing w:line="360" w:lineRule="auto"/>
        <w:rPr>
          <w:spacing w:val="6"/>
          <w:sz w:val="24"/>
        </w:rPr>
      </w:pPr>
      <w:r>
        <w:rPr>
          <w:b/>
          <w:spacing w:val="6"/>
          <w:sz w:val="24"/>
        </w:rPr>
        <w:t xml:space="preserve">本单位对上述声明的真实性负责。如有虚假，将依法承担相应责任。</w:t>
      </w:r>
      <w:r>
        <w:rPr>
          <w:spacing w:val="6"/>
          <w:sz w:val="24"/>
        </w:rPr>
      </w:r>
      <w:r/>
    </w:p>
    <w:p>
      <w:pPr>
        <w:pStyle w:val="1118"/>
        <w:ind w:firstLine="504"/>
        <w:spacing w:line="360" w:lineRule="auto"/>
        <w:rPr>
          <w:spacing w:val="6"/>
          <w:sz w:val="24"/>
        </w:rPr>
      </w:pPr>
      <w:r>
        <w:rPr>
          <w:spacing w:val="6"/>
          <w:sz w:val="24"/>
        </w:rPr>
      </w:r>
      <w:r/>
    </w:p>
    <w:p>
      <w:pPr>
        <w:pStyle w:val="1118"/>
        <w:ind w:firstLine="504"/>
        <w:spacing w:line="360" w:lineRule="auto"/>
        <w:rPr>
          <w:spacing w:val="6"/>
          <w:sz w:val="24"/>
        </w:rPr>
      </w:pPr>
      <w:r>
        <w:rPr>
          <w:spacing w:val="6"/>
          <w:sz w:val="24"/>
        </w:rPr>
      </w:r>
      <w:r/>
    </w:p>
    <w:p>
      <w:pPr>
        <w:pStyle w:val="1118"/>
        <w:ind w:right="1560" w:firstLine="504"/>
        <w:jc w:val="center"/>
        <w:spacing w:line="360" w:lineRule="auto"/>
        <w:tabs>
          <w:tab w:val="left" w:pos="4860" w:leader="none"/>
        </w:tabs>
        <w:rPr>
          <w:spacing w:val="6"/>
          <w:sz w:val="24"/>
        </w:rPr>
      </w:pPr>
      <w:r>
        <w:rPr>
          <w:spacing w:val="6"/>
          <w:sz w:val="24"/>
        </w:rPr>
        <w:t xml:space="preserve">               单位名称（加盖公章）：</w:t>
      </w:r>
      <w:r>
        <w:rPr>
          <w:spacing w:val="6"/>
          <w:sz w:val="24"/>
        </w:rPr>
      </w:r>
      <w:r/>
    </w:p>
    <w:p>
      <w:pPr>
        <w:pStyle w:val="1118"/>
        <w:ind w:right="1560" w:firstLine="504"/>
        <w:jc w:val="center"/>
        <w:spacing w:line="360" w:lineRule="auto"/>
        <w:tabs>
          <w:tab w:val="left" w:pos="4860" w:leader="none"/>
        </w:tabs>
        <w:rPr>
          <w:spacing w:val="6"/>
          <w:sz w:val="24"/>
        </w:rPr>
      </w:pPr>
      <w:r>
        <w:rPr>
          <w:spacing w:val="6"/>
          <w:sz w:val="24"/>
        </w:rPr>
        <w:t xml:space="preserve">  日  期：</w:t>
      </w:r>
      <w:r>
        <w:rPr>
          <w:spacing w:val="6"/>
          <w:sz w:val="24"/>
        </w:rPr>
      </w:r>
      <w:r/>
    </w:p>
    <w:p>
      <w:pPr>
        <w:pStyle w:val="1118"/>
        <w:spacing w:line="360" w:lineRule="auto"/>
        <w:rPr>
          <w:b/>
          <w:color w:val="000000"/>
          <w:sz w:val="24"/>
        </w:rPr>
        <w:outlineLvl w:val="2"/>
      </w:pPr>
      <w:r>
        <w:rPr>
          <w:b/>
          <w:color w:val="000000"/>
          <w:sz w:val="24"/>
        </w:rPr>
      </w:r>
      <w:r/>
    </w:p>
    <w:p>
      <w:pPr>
        <w:pStyle w:val="1118"/>
        <w:spacing w:line="360" w:lineRule="auto"/>
        <w:rPr>
          <w:color w:val="000000"/>
          <w:sz w:val="24"/>
          <w:szCs w:val="20"/>
        </w:rPr>
        <w:outlineLvl w:val="2"/>
      </w:pPr>
      <w:r>
        <w:rPr>
          <w:color w:val="000000"/>
          <w:sz w:val="24"/>
          <w:szCs w:val="20"/>
        </w:rPr>
        <w:br w:type="page" w:clear="all"/>
      </w:r>
      <w:r>
        <w:rPr>
          <w:color w:val="000000"/>
          <w:sz w:val="24"/>
          <w:szCs w:val="20"/>
        </w:rPr>
      </w:r>
      <w:r/>
    </w:p>
    <w:p>
      <w:pPr>
        <w:pStyle w:val="1118"/>
        <w:spacing w:line="360" w:lineRule="auto"/>
        <w:rPr>
          <w:color w:val="000000"/>
          <w:sz w:val="24"/>
          <w:szCs w:val="20"/>
        </w:rPr>
        <w:outlineLvl w:val="2"/>
      </w:pPr>
      <w:r>
        <w:rPr>
          <w:rFonts w:hint="eastAsia"/>
          <w:color w:val="000000"/>
          <w:sz w:val="24"/>
          <w:szCs w:val="20"/>
        </w:rPr>
        <w:t xml:space="preserve">6  </w:t>
      </w:r>
      <w:r>
        <w:rPr>
          <w:color w:val="000000"/>
          <w:sz w:val="24"/>
          <w:szCs w:val="20"/>
        </w:rPr>
        <w:t xml:space="preserve">报价一览表</w:t>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rPr>
          <w:color w:val="000000"/>
          <w:sz w:val="24"/>
          <w:szCs w:val="20"/>
        </w:rPr>
      </w:r>
      <w:r/>
    </w:p>
    <w:p>
      <w:pPr>
        <w:pStyle w:val="1118"/>
        <w:jc w:val="center"/>
        <w:rPr>
          <w:b/>
          <w:color w:val="000000"/>
          <w:sz w:val="36"/>
          <w:szCs w:val="36"/>
        </w:rPr>
      </w:pPr>
      <w:r/>
      <w:bookmarkStart w:id="829" w:name="_Toc264969248"/>
      <w:r/>
      <w:bookmarkStart w:id="830" w:name="_Toc226965748"/>
      <w:r/>
      <w:bookmarkStart w:id="831" w:name="_Toc265228396"/>
      <w:r/>
      <w:bookmarkStart w:id="832" w:name="_Toc226337254"/>
      <w:r/>
      <w:bookmarkStart w:id="833" w:name="_Toc195842923"/>
      <w:r/>
      <w:bookmarkStart w:id="834" w:name="_Toc305158900"/>
      <w:r/>
      <w:bookmarkStart w:id="835" w:name="_Toc226309802"/>
      <w:r/>
      <w:bookmarkStart w:id="836" w:name="_Toc164608672"/>
      <w:r/>
      <w:bookmarkStart w:id="837" w:name="_Toc305158826"/>
      <w:r/>
      <w:bookmarkStart w:id="838" w:name="_Toc164608827"/>
      <w:r/>
      <w:bookmarkStart w:id="839" w:name="_Toc226965831"/>
      <w:r>
        <w:rPr>
          <w:rFonts w:hint="eastAsia"/>
          <w:b/>
          <w:color w:val="000000"/>
          <w:sz w:val="36"/>
          <w:szCs w:val="36"/>
        </w:rPr>
        <w:t xml:space="preserve">报价一览表</w:t>
      </w:r>
      <w:bookmarkEnd w:id="829"/>
      <w:r/>
      <w:bookmarkEnd w:id="830"/>
      <w:r/>
      <w:bookmarkEnd w:id="831"/>
      <w:r/>
      <w:bookmarkEnd w:id="832"/>
      <w:r/>
      <w:bookmarkEnd w:id="833"/>
      <w:r/>
      <w:bookmarkEnd w:id="834"/>
      <w:r/>
      <w:bookmarkEnd w:id="835"/>
      <w:r/>
      <w:bookmarkEnd w:id="836"/>
      <w:r/>
      <w:bookmarkEnd w:id="837"/>
      <w:r/>
      <w:bookmarkEnd w:id="838"/>
      <w:r/>
      <w:bookmarkEnd w:id="839"/>
      <w:r>
        <w:rPr>
          <w:b/>
          <w:color w:val="000000"/>
          <w:sz w:val="36"/>
          <w:szCs w:val="36"/>
        </w:rPr>
      </w:r>
      <w:r/>
    </w:p>
    <w:p>
      <w:pPr>
        <w:pStyle w:val="1118"/>
        <w:jc w:val="left"/>
        <w:spacing w:line="360" w:lineRule="auto"/>
        <w:tabs>
          <w:tab w:val="left" w:pos="1800" w:leader="none"/>
          <w:tab w:val="left" w:pos="5580" w:leader="none"/>
        </w:tabs>
        <w:rPr>
          <w:color w:val="000000"/>
          <w:sz w:val="24"/>
        </w:rPr>
      </w:pPr>
      <w:r>
        <w:rPr>
          <w:color w:val="000000"/>
          <w:sz w:val="24"/>
        </w:rPr>
      </w:r>
      <w:r/>
    </w:p>
    <w:p>
      <w:pPr>
        <w:pStyle w:val="1118"/>
        <w:ind w:firstLine="240"/>
        <w:jc w:val="left"/>
        <w:spacing w:line="360" w:lineRule="auto"/>
        <w:tabs>
          <w:tab w:val="left" w:pos="1800" w:leader="none"/>
          <w:tab w:val="left" w:pos="5580" w:leader="none"/>
        </w:tabs>
        <w:rPr>
          <w:color w:val="000000"/>
          <w:sz w:val="24"/>
        </w:rPr>
      </w:pPr>
      <w:r>
        <w:rPr>
          <w:color w:val="000000"/>
          <w:sz w:val="24"/>
        </w:rPr>
        <w:t xml:space="preserve">项目编号/包号：_____________________     项目名称：_______________________</w:t>
      </w:r>
      <w:r>
        <w:rPr>
          <w:color w:val="000000"/>
          <w:sz w:val="24"/>
        </w:rPr>
      </w:r>
      <w:r/>
    </w:p>
    <w:p>
      <w:pPr>
        <w:pStyle w:val="1118"/>
        <w:ind w:firstLine="240"/>
        <w:jc w:val="left"/>
        <w:spacing w:line="360" w:lineRule="auto"/>
        <w:tabs>
          <w:tab w:val="left" w:pos="1800" w:leader="none"/>
          <w:tab w:val="left" w:pos="5580" w:leader="none"/>
        </w:tabs>
        <w:rPr>
          <w:color w:val="000000"/>
          <w:sz w:val="24"/>
        </w:rPr>
      </w:pPr>
      <w:r>
        <w:rPr>
          <w:rFonts w:hint="eastAsia"/>
          <w:color w:val="000000"/>
          <w:sz w:val="24"/>
        </w:rPr>
        <w:t xml:space="preserve">单位：元</w:t>
      </w:r>
      <w:r>
        <w:rPr>
          <w:color w:val="000000"/>
          <w:sz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12"/>
        <w:gridCol w:w="3204"/>
        <w:gridCol w:w="2025"/>
        <w:gridCol w:w="2131"/>
      </w:tblGrid>
      <w:tr>
        <w:trPr>
          <w:trHeight w:val="531"/>
        </w:trPr>
        <w:tc>
          <w:tcPr>
            <w:tcW w:w="812" w:type="dxa"/>
            <w:vAlign w:val="center"/>
            <w:vMerge w:val="restart"/>
            <w:textDirection w:val="lrTb"/>
            <w:noWrap w:val="false"/>
          </w:tcPr>
          <w:p>
            <w:pPr>
              <w:pStyle w:val="1118"/>
              <w:jc w:val="center"/>
              <w:tabs>
                <w:tab w:val="left" w:pos="5580" w:leader="none"/>
              </w:tabs>
              <w:rPr>
                <w:b/>
                <w:sz w:val="24"/>
              </w:rPr>
            </w:pPr>
            <w:r>
              <w:rPr>
                <w:rFonts w:hint="eastAsia"/>
                <w:b/>
                <w:sz w:val="24"/>
              </w:rPr>
              <w:t xml:space="preserve">序号</w:t>
            </w:r>
            <w:r>
              <w:rPr>
                <w:b/>
                <w:sz w:val="24"/>
              </w:rPr>
            </w:r>
            <w:r/>
          </w:p>
        </w:tc>
        <w:tc>
          <w:tcPr>
            <w:tcW w:w="3204" w:type="dxa"/>
            <w:vAlign w:val="center"/>
            <w:vMerge w:val="restart"/>
            <w:textDirection w:val="lrTb"/>
            <w:noWrap w:val="false"/>
          </w:tcPr>
          <w:p>
            <w:pPr>
              <w:pStyle w:val="1118"/>
              <w:jc w:val="center"/>
              <w:tabs>
                <w:tab w:val="left" w:pos="5580" w:leader="none"/>
              </w:tabs>
              <w:rPr>
                <w:b/>
                <w:sz w:val="24"/>
              </w:rPr>
            </w:pPr>
            <w:r>
              <w:rPr>
                <w:rFonts w:hint="eastAsia"/>
                <w:b/>
                <w:sz w:val="24"/>
              </w:rPr>
              <w:t xml:space="preserve">名称</w:t>
            </w:r>
            <w:r>
              <w:rPr>
                <w:b/>
                <w:sz w:val="24"/>
              </w:rPr>
            </w:r>
            <w:r/>
          </w:p>
        </w:tc>
        <w:tc>
          <w:tcPr>
            <w:gridSpan w:val="2"/>
            <w:tcW w:w="4156" w:type="dxa"/>
            <w:vAlign w:val="center"/>
            <w:textDirection w:val="lrTb"/>
            <w:noWrap w:val="false"/>
          </w:tcPr>
          <w:p>
            <w:pPr>
              <w:pStyle w:val="1118"/>
              <w:jc w:val="center"/>
              <w:tabs>
                <w:tab w:val="left" w:pos="5580" w:leader="none"/>
              </w:tabs>
              <w:rPr>
                <w:b/>
                <w:sz w:val="24"/>
              </w:rPr>
            </w:pPr>
            <w:r>
              <w:rPr>
                <w:rFonts w:hint="eastAsia"/>
                <w:b/>
                <w:sz w:val="24"/>
              </w:rPr>
              <w:t xml:space="preserve">报价</w:t>
            </w:r>
            <w:r>
              <w:rPr>
                <w:b/>
                <w:sz w:val="24"/>
              </w:rPr>
            </w:r>
            <w:r/>
          </w:p>
        </w:tc>
      </w:tr>
      <w:tr>
        <w:trPr>
          <w:trHeight w:val="674"/>
        </w:trPr>
        <w:tc>
          <w:tcPr>
            <w:tcW w:w="812" w:type="dxa"/>
            <w:vAlign w:val="center"/>
            <w:vMerge w:val="continue"/>
            <w:textDirection w:val="lrTb"/>
            <w:noWrap w:val="false"/>
          </w:tcPr>
          <w:p>
            <w:pPr>
              <w:pStyle w:val="1118"/>
              <w:jc w:val="left"/>
              <w:widowControl/>
              <w:rPr>
                <w:b/>
                <w:sz w:val="24"/>
              </w:rPr>
            </w:pPr>
            <w:r>
              <w:rPr>
                <w:b/>
                <w:sz w:val="24"/>
              </w:rPr>
            </w:r>
            <w:r/>
          </w:p>
        </w:tc>
        <w:tc>
          <w:tcPr>
            <w:tcW w:w="3204" w:type="dxa"/>
            <w:vAlign w:val="center"/>
            <w:vMerge w:val="continue"/>
            <w:textDirection w:val="lrTb"/>
            <w:noWrap w:val="false"/>
          </w:tcPr>
          <w:p>
            <w:pPr>
              <w:pStyle w:val="1118"/>
              <w:jc w:val="left"/>
              <w:widowControl/>
              <w:rPr>
                <w:b/>
                <w:sz w:val="24"/>
              </w:rPr>
            </w:pPr>
            <w:r>
              <w:rPr>
                <w:b/>
                <w:sz w:val="24"/>
              </w:rPr>
            </w:r>
            <w:r/>
          </w:p>
        </w:tc>
        <w:tc>
          <w:tcPr>
            <w:tcW w:w="2025" w:type="dxa"/>
            <w:vAlign w:val="center"/>
            <w:textDirection w:val="lrTb"/>
            <w:noWrap w:val="false"/>
          </w:tcPr>
          <w:p>
            <w:pPr>
              <w:pStyle w:val="1118"/>
              <w:jc w:val="center"/>
              <w:tabs>
                <w:tab w:val="left" w:pos="5580" w:leader="none"/>
              </w:tabs>
              <w:rPr>
                <w:b/>
                <w:sz w:val="24"/>
              </w:rPr>
            </w:pPr>
            <w:r>
              <w:rPr>
                <w:rFonts w:hint="eastAsia"/>
                <w:b/>
                <w:sz w:val="24"/>
              </w:rPr>
              <w:t xml:space="preserve">大写</w:t>
            </w:r>
            <w:r>
              <w:rPr>
                <w:b/>
                <w:sz w:val="24"/>
              </w:rPr>
            </w:r>
            <w:r/>
          </w:p>
        </w:tc>
        <w:tc>
          <w:tcPr>
            <w:tcW w:w="2131" w:type="dxa"/>
            <w:vAlign w:val="center"/>
            <w:textDirection w:val="lrTb"/>
            <w:noWrap w:val="false"/>
          </w:tcPr>
          <w:p>
            <w:pPr>
              <w:pStyle w:val="1118"/>
              <w:jc w:val="center"/>
              <w:tabs>
                <w:tab w:val="left" w:pos="5580" w:leader="none"/>
              </w:tabs>
              <w:rPr>
                <w:b/>
                <w:sz w:val="24"/>
              </w:rPr>
            </w:pPr>
            <w:r>
              <w:rPr>
                <w:rFonts w:hint="eastAsia"/>
                <w:b/>
                <w:sz w:val="24"/>
              </w:rPr>
              <w:t xml:space="preserve">小写</w:t>
            </w:r>
            <w:r>
              <w:rPr>
                <w:b/>
                <w:sz w:val="24"/>
              </w:rPr>
            </w:r>
            <w:r/>
          </w:p>
        </w:tc>
      </w:tr>
      <w:tr>
        <w:trPr>
          <w:trHeight w:val="976"/>
        </w:trPr>
        <w:tc>
          <w:tcPr>
            <w:tcW w:w="812" w:type="dxa"/>
            <w:vAlign w:val="center"/>
            <w:textDirection w:val="lrTb"/>
            <w:noWrap w:val="false"/>
          </w:tcPr>
          <w:p>
            <w:pPr>
              <w:pStyle w:val="1118"/>
              <w:jc w:val="center"/>
              <w:tabs>
                <w:tab w:val="left" w:pos="5580" w:leader="none"/>
              </w:tabs>
              <w:rPr>
                <w:sz w:val="24"/>
              </w:rPr>
            </w:pPr>
            <w:r>
              <w:rPr>
                <w:sz w:val="24"/>
              </w:rPr>
            </w:r>
            <w:r/>
          </w:p>
        </w:tc>
        <w:tc>
          <w:tcPr>
            <w:tcW w:w="3204" w:type="dxa"/>
            <w:vAlign w:val="center"/>
            <w:textDirection w:val="lrTb"/>
            <w:noWrap w:val="false"/>
          </w:tcPr>
          <w:p>
            <w:pPr>
              <w:pStyle w:val="1118"/>
              <w:jc w:val="center"/>
              <w:tabs>
                <w:tab w:val="left" w:pos="5580" w:leader="none"/>
              </w:tabs>
              <w:rPr>
                <w:sz w:val="24"/>
              </w:rPr>
            </w:pPr>
            <w:r>
              <w:rPr>
                <w:sz w:val="24"/>
              </w:rPr>
            </w:r>
            <w:r/>
          </w:p>
        </w:tc>
        <w:tc>
          <w:tcPr>
            <w:tcW w:w="2025" w:type="dxa"/>
            <w:vAlign w:val="center"/>
            <w:textDirection w:val="lrTb"/>
            <w:noWrap w:val="false"/>
          </w:tcPr>
          <w:p>
            <w:pPr>
              <w:pStyle w:val="1118"/>
              <w:jc w:val="center"/>
              <w:tabs>
                <w:tab w:val="left" w:pos="5580" w:leader="none"/>
              </w:tabs>
              <w:rPr>
                <w:sz w:val="24"/>
              </w:rPr>
            </w:pPr>
            <w:r>
              <w:rPr>
                <w:sz w:val="24"/>
              </w:rPr>
            </w:r>
            <w:r/>
          </w:p>
        </w:tc>
        <w:tc>
          <w:tcPr>
            <w:tcW w:w="2131" w:type="dxa"/>
            <w:vAlign w:val="center"/>
            <w:textDirection w:val="lrTb"/>
            <w:noWrap w:val="false"/>
          </w:tcPr>
          <w:p>
            <w:pPr>
              <w:pStyle w:val="1118"/>
              <w:jc w:val="center"/>
              <w:tabs>
                <w:tab w:val="left" w:pos="5580" w:leader="none"/>
              </w:tabs>
              <w:rPr>
                <w:sz w:val="24"/>
              </w:rPr>
            </w:pPr>
            <w:r>
              <w:rPr>
                <w:sz w:val="24"/>
              </w:rPr>
            </w:r>
            <w:r/>
          </w:p>
        </w:tc>
      </w:tr>
    </w:tbl>
    <w:p>
      <w:pPr>
        <w:pStyle w:val="1118"/>
        <w:jc w:val="left"/>
        <w:rPr>
          <w:rFonts w:hint="eastAsia" w:eastAsia="宋体"/>
          <w:color w:val="000000"/>
          <w:sz w:val="24"/>
          <w:lang w:val="en-US" w:eastAsia="zh-CN"/>
        </w:rPr>
      </w:pPr>
      <w:r>
        <w:rPr>
          <w:rFonts w:hint="eastAsia"/>
          <w:color w:val="000000"/>
          <w:sz w:val="24"/>
          <w:lang w:val="en-US" w:eastAsia="zh-CN"/>
        </w:rPr>
        <w:t xml:space="preserve"> </w:t>
      </w:r>
      <w:r>
        <w:rPr>
          <w:rFonts w:hint="eastAsia" w:eastAsia="宋体"/>
          <w:color w:val="000000"/>
          <w:sz w:val="24"/>
          <w:lang w:val="en-US" w:eastAsia="zh-CN"/>
        </w:rPr>
      </w:r>
      <w:r/>
    </w:p>
    <w:p>
      <w:pPr>
        <w:pStyle w:val="1118"/>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118"/>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：____________</w:t>
      </w:r>
      <w:r>
        <w:rPr>
          <w:color w:val="000000"/>
          <w:sz w:val="24"/>
          <w:lang w:val="zh-CN"/>
        </w:rPr>
      </w:r>
      <w:r/>
    </w:p>
    <w:p>
      <w:pPr>
        <w:pStyle w:val="1118"/>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18"/>
        <w:jc w:val="left"/>
        <w:widowControl/>
        <w:rPr>
          <w:color w:val="000000"/>
          <w:sz w:val="24"/>
          <w:szCs w:val="20"/>
        </w:rPr>
      </w:pPr>
      <w:r/>
      <w:bookmarkStart w:id="840" w:name="_Toc150774763"/>
      <w:r/>
      <w:bookmarkStart w:id="841" w:name="_Toc195842924"/>
      <w:r/>
      <w:bookmarkStart w:id="842" w:name="_Toc305158827"/>
      <w:r/>
      <w:bookmarkStart w:id="843" w:name="_Toc226965749"/>
      <w:r/>
      <w:bookmarkStart w:id="844" w:name="_Toc226337255"/>
      <w:r/>
      <w:bookmarkStart w:id="845" w:name="_Toc150480796"/>
      <w:r/>
      <w:bookmarkStart w:id="846" w:name="_Toc265228397"/>
      <w:r/>
      <w:bookmarkStart w:id="847" w:name="_Toc127151558"/>
      <w:r/>
      <w:bookmarkStart w:id="848" w:name="_Toc305158901"/>
      <w:r/>
      <w:bookmarkStart w:id="849" w:name="_Toc264969249"/>
      <w:r/>
      <w:bookmarkStart w:id="850" w:name="_Toc226965832"/>
      <w:r/>
      <w:bookmarkStart w:id="851" w:name="_Toc226309803"/>
      <w:r/>
      <w:bookmarkStart w:id="852" w:name="_Toc142311060"/>
      <w:r>
        <w:rPr>
          <w:color w:val="000000"/>
          <w:sz w:val="24"/>
          <w:szCs w:val="20"/>
        </w:rPr>
        <w:br w:type="page" w:clear="all"/>
      </w:r>
      <w:r>
        <w:rPr>
          <w:color w:val="000000"/>
          <w:sz w:val="24"/>
          <w:szCs w:val="20"/>
        </w:rPr>
      </w:r>
      <w:r/>
    </w:p>
    <w:p>
      <w:pPr>
        <w:pStyle w:val="1118"/>
        <w:ind w:firstLine="482"/>
        <w:jc w:val="left"/>
        <w:widowControl/>
        <w:rPr>
          <w:rFonts w:ascii="宋体" w:hAnsi="宋体" w:cs="宋体"/>
          <w:color w:val="000000"/>
          <w:sz w:val="24"/>
          <w:szCs w:val="20"/>
        </w:rPr>
        <w:outlineLvl w:val="2"/>
      </w:pPr>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Start w:id="853" w:name="_Toc264969252"/>
      <w:r/>
      <w:bookmarkStart w:id="854" w:name="_Toc150774765"/>
      <w:r/>
      <w:bookmarkStart w:id="855" w:name="_Toc305158904"/>
      <w:r/>
      <w:bookmarkStart w:id="856" w:name="_Toc127151562"/>
      <w:r/>
      <w:bookmarkStart w:id="857" w:name="_Toc150480798"/>
      <w:r/>
      <w:bookmarkStart w:id="858" w:name="_Toc305158830"/>
      <w:r/>
      <w:bookmarkStart w:id="859" w:name="_Toc226309806"/>
      <w:r/>
      <w:bookmarkStart w:id="860" w:name="_Toc226965835"/>
      <w:r/>
      <w:bookmarkStart w:id="861" w:name="_Toc142311062"/>
      <w:r/>
      <w:bookmarkStart w:id="862" w:name="_Toc265228400"/>
      <w:r/>
      <w:bookmarkStart w:id="863" w:name="_Toc195842927"/>
      <w:r/>
      <w:bookmarkStart w:id="864" w:name="_Toc226337258"/>
      <w:r/>
      <w:bookmarkStart w:id="865" w:name="_Toc226965752"/>
      <w:r/>
      <w:bookmarkStart w:id="866" w:name="_Toc226309805"/>
      <w:r/>
      <w:bookmarkStart w:id="867" w:name="_Toc150480797"/>
      <w:r/>
      <w:bookmarkStart w:id="868" w:name="_Toc127151561"/>
      <w:r/>
      <w:bookmarkStart w:id="869" w:name="_Toc226337257"/>
      <w:r/>
      <w:bookmarkStart w:id="870" w:name="_Toc264969251"/>
      <w:r/>
      <w:bookmarkStart w:id="871" w:name="_Toc305158829"/>
      <w:r/>
      <w:bookmarkStart w:id="872" w:name="_Toc265228399"/>
      <w:r/>
      <w:bookmarkStart w:id="873" w:name="_Toc305158903"/>
      <w:r/>
      <w:bookmarkStart w:id="874" w:name="_Toc150774764"/>
      <w:r/>
      <w:bookmarkStart w:id="875" w:name="_Toc142311061"/>
      <w:r/>
      <w:bookmarkStart w:id="876" w:name="_Toc195842926"/>
      <w:r/>
      <w:bookmarkStart w:id="877" w:name="_Toc226965834"/>
      <w:r/>
      <w:bookmarkStart w:id="878" w:name="_Toc226965751"/>
      <w:r>
        <w:rPr>
          <w:rFonts w:hint="eastAsia" w:ascii="宋体" w:hAnsi="宋体" w:cs="宋体"/>
          <w:color w:val="000000"/>
          <w:sz w:val="24"/>
          <w:szCs w:val="20"/>
          <w:lang w:val="en-US" w:eastAsia="zh-CN"/>
        </w:rPr>
        <w:t xml:space="preserve">7</w:t>
      </w:r>
      <w:r>
        <w:rPr>
          <w:rFonts w:hint="eastAsia" w:ascii="宋体" w:hAnsi="宋体" w:cs="宋体"/>
          <w:color w:val="000000"/>
          <w:sz w:val="24"/>
          <w:szCs w:val="20"/>
        </w:rPr>
        <w:t xml:space="preserve">  分项报价表（实质性格式）</w:t>
      </w:r>
      <w:r>
        <w:rPr>
          <w:rFonts w:ascii="宋体" w:hAnsi="宋体" w:cs="宋体"/>
          <w:color w:val="000000"/>
          <w:sz w:val="24"/>
          <w:szCs w:val="20"/>
        </w:rPr>
      </w:r>
      <w:r/>
    </w:p>
    <w:p>
      <w:pPr>
        <w:pStyle w:val="1118"/>
        <w:ind w:firstLine="562"/>
        <w:jc w:val="center"/>
        <w:spacing w:before="159" w:after="159" w:line="360" w:lineRule="auto"/>
        <w:widowControl/>
        <w:rPr>
          <w:rFonts w:ascii="宋体" w:hAnsi="宋体" w:cs="宋体"/>
          <w:b/>
          <w:sz w:val="28"/>
          <w:szCs w:val="28"/>
        </w:rPr>
        <w:outlineLvl w:val="3"/>
      </w:pPr>
      <w:r>
        <w:rPr>
          <w:rFonts w:hint="eastAsia" w:ascii="宋体" w:hAnsi="宋体" w:cs="宋体"/>
          <w:b/>
          <w:sz w:val="28"/>
          <w:szCs w:val="28"/>
        </w:rPr>
        <w:t xml:space="preserve">分项报价表</w:t>
      </w:r>
      <w:r>
        <w:rPr>
          <w:rFonts w:ascii="宋体" w:hAnsi="宋体" w:cs="宋体"/>
          <w:b/>
          <w:sz w:val="28"/>
          <w:szCs w:val="28"/>
        </w:rPr>
      </w:r>
      <w:r/>
    </w:p>
    <w:p>
      <w:pPr>
        <w:pStyle w:val="1118"/>
        <w:ind w:firstLine="482"/>
        <w:spacing w:line="360" w:lineRule="auto"/>
        <w:tabs>
          <w:tab w:val="left" w:pos="1800" w:leader="none"/>
          <w:tab w:val="left" w:pos="5580" w:leader="none"/>
        </w:tabs>
        <w:rPr>
          <w:color w:val="000000"/>
          <w:sz w:val="24"/>
        </w:rPr>
      </w:pPr>
      <w:r>
        <w:rPr>
          <w:color w:val="000000"/>
          <w:sz w:val="24"/>
        </w:rPr>
        <w:t xml:space="preserve">项目编号/</w:t>
      </w:r>
      <w:r>
        <w:rPr>
          <w:rFonts w:hint="eastAsia" w:ascii="宋体" w:hAnsi="宋体" w:cs="宋体"/>
          <w:color w:val="000000"/>
          <w:sz w:val="24"/>
          <w:szCs w:val="20"/>
        </w:rPr>
        <w:t xml:space="preserve">采购包</w:t>
      </w:r>
      <w:r>
        <w:rPr>
          <w:color w:val="000000"/>
          <w:sz w:val="24"/>
        </w:rPr>
        <w:t xml:space="preserve">：___________ 项目名称：__________报价单位：人民币元</w:t>
      </w:r>
      <w:r>
        <w:rPr>
          <w:color w:val="000000"/>
          <w:sz w:val="24"/>
        </w:rPr>
      </w:r>
      <w:r/>
    </w:p>
    <w:tbl>
      <w:tblPr>
        <w:tblW w:w="921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350"/>
        <w:gridCol w:w="1227"/>
        <w:gridCol w:w="1241"/>
        <w:gridCol w:w="1378"/>
        <w:gridCol w:w="613"/>
        <w:gridCol w:w="618"/>
        <w:gridCol w:w="919"/>
        <w:gridCol w:w="1072"/>
      </w:tblGrid>
      <w:tr>
        <w:trPr>
          <w:cantSplit/>
          <w:trHeight w:val="285"/>
        </w:trPr>
        <w:tc>
          <w:tcPr>
            <w:tcW w:w="800" w:type="dxa"/>
            <w:vAlign w:val="center"/>
            <w:vMerge w:val="restart"/>
            <w:textDirection w:val="lrTb"/>
            <w:noWrap w:val="false"/>
          </w:tcPr>
          <w:p>
            <w:pPr>
              <w:pStyle w:val="1118"/>
              <w:jc w:val="center"/>
              <w:spacing w:line="360" w:lineRule="auto"/>
              <w:widowControl/>
              <w:rPr>
                <w:rFonts w:ascii="宋体" w:hAnsi="宋体" w:cs="Arial"/>
                <w:sz w:val="24"/>
              </w:rPr>
            </w:pPr>
            <w:r>
              <w:rPr>
                <w:rFonts w:hint="eastAsia" w:ascii="宋体" w:hAnsi="宋体" w:cs="Arial"/>
                <w:sz w:val="24"/>
              </w:rPr>
              <w:t xml:space="preserve">序号</w:t>
            </w:r>
            <w:r>
              <w:rPr>
                <w:rFonts w:ascii="宋体" w:hAnsi="宋体" w:cs="Arial"/>
                <w:sz w:val="24"/>
              </w:rPr>
            </w:r>
            <w:r/>
          </w:p>
        </w:tc>
        <w:tc>
          <w:tcPr>
            <w:tcW w:w="1350" w:type="dxa"/>
            <w:vAlign w:val="center"/>
            <w:vMerge w:val="restart"/>
            <w:textDirection w:val="lrTb"/>
            <w:noWrap w:val="false"/>
          </w:tcPr>
          <w:p>
            <w:pPr>
              <w:pStyle w:val="1118"/>
              <w:jc w:val="center"/>
              <w:spacing w:line="360" w:lineRule="auto"/>
              <w:widowControl/>
              <w:rPr>
                <w:rFonts w:ascii="宋体" w:hAnsi="宋体" w:cs="Arial"/>
                <w:sz w:val="24"/>
              </w:rPr>
            </w:pPr>
            <w:r>
              <w:rPr>
                <w:rFonts w:hint="eastAsia" w:ascii="宋体" w:hAnsi="宋体" w:cs="Arial"/>
                <w:sz w:val="24"/>
              </w:rPr>
              <w:t xml:space="preserve">分项</w:t>
            </w:r>
            <w:r>
              <w:rPr>
                <w:rFonts w:ascii="宋体" w:hAnsi="宋体" w:cs="Arial"/>
                <w:sz w:val="24"/>
              </w:rPr>
            </w:r>
            <w:r/>
          </w:p>
          <w:p>
            <w:pPr>
              <w:pStyle w:val="1118"/>
              <w:jc w:val="center"/>
              <w:spacing w:line="360" w:lineRule="auto"/>
              <w:widowControl/>
              <w:rPr>
                <w:rFonts w:ascii="宋体" w:hAnsi="宋体" w:cs="Arial"/>
                <w:sz w:val="24"/>
              </w:rPr>
            </w:pPr>
            <w:r>
              <w:rPr>
                <w:rFonts w:hint="eastAsia" w:ascii="宋体" w:hAnsi="宋体" w:cs="Arial"/>
                <w:sz w:val="24"/>
              </w:rPr>
              <w:t xml:space="preserve">名称</w:t>
            </w:r>
            <w:r>
              <w:rPr>
                <w:rFonts w:ascii="宋体" w:hAnsi="宋体" w:cs="Arial"/>
                <w:sz w:val="24"/>
              </w:rPr>
            </w:r>
            <w:r/>
          </w:p>
        </w:tc>
        <w:tc>
          <w:tcPr>
            <w:tcW w:w="1227" w:type="dxa"/>
            <w:vAlign w:val="center"/>
            <w:vMerge w:val="restart"/>
            <w:textDirection w:val="lrTb"/>
            <w:noWrap w:val="false"/>
          </w:tcPr>
          <w:p>
            <w:pPr>
              <w:pStyle w:val="1118"/>
              <w:jc w:val="center"/>
              <w:spacing w:line="360" w:lineRule="auto"/>
              <w:widowControl/>
              <w:rPr>
                <w:rFonts w:ascii="宋体" w:hAnsi="宋体" w:cs="Arial"/>
                <w:sz w:val="24"/>
              </w:rPr>
            </w:pPr>
            <w:r>
              <w:rPr>
                <w:rFonts w:hint="eastAsia" w:ascii="宋体" w:hAnsi="宋体" w:cs="Arial"/>
                <w:sz w:val="24"/>
              </w:rPr>
              <w:t xml:space="preserve">品牌商标</w:t>
            </w:r>
            <w:r>
              <w:rPr>
                <w:rFonts w:ascii="宋体" w:hAnsi="宋体" w:cs="Arial"/>
                <w:sz w:val="24"/>
              </w:rPr>
            </w:r>
            <w:r/>
          </w:p>
        </w:tc>
        <w:tc>
          <w:tcPr>
            <w:tcW w:w="1241" w:type="dxa"/>
            <w:vAlign w:val="center"/>
            <w:vMerge w:val="restart"/>
            <w:textDirection w:val="lrTb"/>
            <w:noWrap w:val="false"/>
          </w:tcPr>
          <w:p>
            <w:pPr>
              <w:pStyle w:val="1118"/>
              <w:jc w:val="center"/>
              <w:spacing w:line="360" w:lineRule="auto"/>
              <w:widowControl/>
              <w:rPr>
                <w:rFonts w:ascii="宋体" w:hAnsi="宋体" w:cs="Arial"/>
                <w:sz w:val="24"/>
              </w:rPr>
            </w:pPr>
            <w:r>
              <w:rPr>
                <w:rFonts w:hint="eastAsia" w:ascii="宋体" w:hAnsi="宋体" w:cs="Arial"/>
                <w:sz w:val="24"/>
              </w:rPr>
              <w:t xml:space="preserve">规格型号</w:t>
            </w:r>
            <w:r>
              <w:rPr>
                <w:rFonts w:ascii="宋体" w:hAnsi="宋体" w:cs="Arial"/>
                <w:sz w:val="24"/>
              </w:rPr>
            </w:r>
            <w:r/>
          </w:p>
        </w:tc>
        <w:tc>
          <w:tcPr>
            <w:tcW w:w="1378" w:type="dxa"/>
            <w:vAlign w:val="center"/>
            <w:vMerge w:val="restart"/>
            <w:textDirection w:val="lrTb"/>
            <w:noWrap w:val="false"/>
          </w:tcPr>
          <w:p>
            <w:pPr>
              <w:pStyle w:val="1118"/>
              <w:jc w:val="center"/>
              <w:spacing w:line="360" w:lineRule="auto"/>
              <w:widowControl/>
              <w:rPr>
                <w:rFonts w:ascii="宋体" w:hAnsi="宋体" w:cs="Arial"/>
                <w:sz w:val="24"/>
              </w:rPr>
            </w:pPr>
            <w:r>
              <w:rPr>
                <w:rFonts w:hint="eastAsia" w:ascii="宋体" w:hAnsi="宋体" w:cs="Arial"/>
                <w:sz w:val="24"/>
              </w:rPr>
              <w:t xml:space="preserve">技术参数</w:t>
            </w:r>
            <w:r>
              <w:rPr>
                <w:rFonts w:ascii="宋体" w:hAnsi="宋体" w:cs="Arial"/>
                <w:sz w:val="24"/>
              </w:rPr>
            </w:r>
            <w:r/>
          </w:p>
        </w:tc>
        <w:tc>
          <w:tcPr>
            <w:tcW w:w="613" w:type="dxa"/>
            <w:vAlign w:val="center"/>
            <w:vMerge w:val="restart"/>
            <w:textDirection w:val="lrTb"/>
            <w:noWrap w:val="false"/>
          </w:tcPr>
          <w:p>
            <w:pPr>
              <w:pStyle w:val="1118"/>
              <w:jc w:val="center"/>
              <w:spacing w:line="360" w:lineRule="auto"/>
              <w:widowControl/>
              <w:rPr>
                <w:rFonts w:ascii="宋体" w:hAnsi="宋体" w:cs="Arial"/>
                <w:sz w:val="24"/>
              </w:rPr>
            </w:pPr>
            <w:r>
              <w:rPr>
                <w:rFonts w:hint="eastAsia" w:ascii="宋体" w:hAnsi="宋体" w:cs="Arial"/>
                <w:sz w:val="24"/>
              </w:rPr>
              <w:t xml:space="preserve">数量</w:t>
            </w:r>
            <w:r>
              <w:rPr>
                <w:rFonts w:ascii="宋体" w:hAnsi="宋体" w:cs="Arial"/>
                <w:sz w:val="24"/>
              </w:rPr>
            </w:r>
            <w:r/>
          </w:p>
        </w:tc>
        <w:tc>
          <w:tcPr>
            <w:tcW w:w="618" w:type="dxa"/>
            <w:vAlign w:val="center"/>
            <w:vMerge w:val="restart"/>
            <w:textDirection w:val="lrTb"/>
            <w:noWrap w:val="false"/>
          </w:tcPr>
          <w:p>
            <w:pPr>
              <w:pStyle w:val="1118"/>
              <w:jc w:val="center"/>
              <w:spacing w:line="360" w:lineRule="auto"/>
              <w:widowControl/>
              <w:rPr>
                <w:rFonts w:ascii="宋体" w:hAnsi="宋体" w:cs="Arial"/>
                <w:sz w:val="24"/>
              </w:rPr>
            </w:pPr>
            <w:r>
              <w:rPr>
                <w:rFonts w:hint="eastAsia" w:ascii="宋体" w:hAnsi="宋体" w:cs="Arial"/>
                <w:sz w:val="24"/>
              </w:rPr>
              <w:t xml:space="preserve">单位</w:t>
            </w:r>
            <w:r>
              <w:rPr>
                <w:rFonts w:ascii="宋体" w:hAnsi="宋体" w:cs="Arial"/>
                <w:sz w:val="24"/>
              </w:rPr>
            </w:r>
            <w:r/>
          </w:p>
        </w:tc>
        <w:tc>
          <w:tcPr>
            <w:gridSpan w:val="2"/>
            <w:tcW w:w="1991" w:type="dxa"/>
            <w:vAlign w:val="center"/>
            <w:textDirection w:val="lrTb"/>
            <w:noWrap w:val="false"/>
          </w:tcPr>
          <w:p>
            <w:pPr>
              <w:pStyle w:val="1118"/>
              <w:jc w:val="center"/>
              <w:spacing w:line="360" w:lineRule="auto"/>
              <w:widowControl/>
              <w:rPr>
                <w:rFonts w:ascii="宋体" w:hAnsi="宋体" w:cs="Arial"/>
                <w:sz w:val="24"/>
              </w:rPr>
            </w:pPr>
            <w:r>
              <w:rPr>
                <w:rFonts w:hint="eastAsia" w:ascii="宋体" w:hAnsi="宋体" w:cs="Arial"/>
                <w:sz w:val="24"/>
              </w:rPr>
              <w:t xml:space="preserve">投标价格</w:t>
            </w:r>
            <w:r>
              <w:rPr>
                <w:rFonts w:ascii="宋体" w:hAnsi="宋体" w:cs="Arial"/>
                <w:sz w:val="24"/>
              </w:rPr>
            </w:r>
            <w:r/>
          </w:p>
        </w:tc>
      </w:tr>
      <w:tr>
        <w:trPr>
          <w:cantSplit/>
          <w:trHeight w:val="285"/>
        </w:trPr>
        <w:tc>
          <w:tcPr>
            <w:tcW w:w="800" w:type="dxa"/>
            <w:vAlign w:val="center"/>
            <w:vMerge w:val="continue"/>
            <w:textDirection w:val="lrTb"/>
            <w:noWrap w:val="false"/>
          </w:tcPr>
          <w:p>
            <w:pPr>
              <w:pStyle w:val="1118"/>
              <w:ind w:firstLine="482"/>
              <w:jc w:val="center"/>
              <w:widowControl/>
              <w:rPr>
                <w:rFonts w:ascii="宋体" w:hAnsi="宋体" w:cs="Arial"/>
                <w:sz w:val="24"/>
              </w:rPr>
            </w:pPr>
            <w:r>
              <w:rPr>
                <w:rFonts w:ascii="宋体" w:hAnsi="宋体" w:cs="Arial"/>
                <w:sz w:val="24"/>
              </w:rPr>
            </w:r>
            <w:r/>
          </w:p>
        </w:tc>
        <w:tc>
          <w:tcPr>
            <w:tcW w:w="1350" w:type="dxa"/>
            <w:vAlign w:val="center"/>
            <w:vMerge w:val="continue"/>
            <w:textDirection w:val="lrTb"/>
            <w:noWrap w:val="false"/>
          </w:tcPr>
          <w:p>
            <w:pPr>
              <w:pStyle w:val="1118"/>
              <w:ind w:firstLine="482"/>
              <w:jc w:val="center"/>
              <w:widowControl/>
              <w:rPr>
                <w:rFonts w:ascii="宋体" w:hAnsi="宋体" w:cs="Arial"/>
                <w:sz w:val="24"/>
              </w:rPr>
            </w:pPr>
            <w:r>
              <w:rPr>
                <w:rFonts w:ascii="宋体" w:hAnsi="宋体" w:cs="Arial"/>
                <w:sz w:val="24"/>
              </w:rPr>
            </w:r>
            <w:r/>
          </w:p>
        </w:tc>
        <w:tc>
          <w:tcPr>
            <w:tcW w:w="1227" w:type="dxa"/>
            <w:vAlign w:val="center"/>
            <w:vMerge w:val="continue"/>
            <w:textDirection w:val="lrTb"/>
            <w:noWrap w:val="false"/>
          </w:tcPr>
          <w:p>
            <w:pPr>
              <w:pStyle w:val="1118"/>
              <w:ind w:firstLine="482"/>
              <w:jc w:val="center"/>
              <w:widowControl/>
              <w:rPr>
                <w:rFonts w:ascii="宋体" w:hAnsi="宋体" w:cs="Arial"/>
                <w:sz w:val="24"/>
              </w:rPr>
            </w:pPr>
            <w:r>
              <w:rPr>
                <w:rFonts w:ascii="宋体" w:hAnsi="宋体" w:cs="Arial"/>
                <w:sz w:val="24"/>
              </w:rPr>
            </w:r>
            <w:r/>
          </w:p>
        </w:tc>
        <w:tc>
          <w:tcPr>
            <w:tcW w:w="1241" w:type="dxa"/>
            <w:vAlign w:val="center"/>
            <w:vMerge w:val="continue"/>
            <w:textDirection w:val="lrTb"/>
            <w:noWrap w:val="false"/>
          </w:tcPr>
          <w:p>
            <w:pPr>
              <w:pStyle w:val="1118"/>
              <w:ind w:firstLine="482"/>
              <w:jc w:val="center"/>
              <w:widowControl/>
              <w:rPr>
                <w:rFonts w:ascii="宋体" w:hAnsi="宋体" w:cs="Arial"/>
                <w:sz w:val="24"/>
              </w:rPr>
            </w:pPr>
            <w:r>
              <w:rPr>
                <w:rFonts w:ascii="宋体" w:hAnsi="宋体" w:cs="Arial"/>
                <w:sz w:val="24"/>
              </w:rPr>
            </w:r>
            <w:r/>
          </w:p>
        </w:tc>
        <w:tc>
          <w:tcPr>
            <w:tcW w:w="1378" w:type="dxa"/>
            <w:vAlign w:val="center"/>
            <w:vMerge w:val="continue"/>
            <w:textDirection w:val="lrTb"/>
            <w:noWrap w:val="false"/>
          </w:tcPr>
          <w:p>
            <w:pPr>
              <w:pStyle w:val="1118"/>
              <w:ind w:firstLine="482"/>
              <w:jc w:val="center"/>
              <w:widowControl/>
              <w:rPr>
                <w:rFonts w:ascii="宋体" w:hAnsi="宋体" w:cs="Arial"/>
                <w:sz w:val="24"/>
              </w:rPr>
            </w:pPr>
            <w:r>
              <w:rPr>
                <w:rFonts w:ascii="宋体" w:hAnsi="宋体" w:cs="Arial"/>
                <w:sz w:val="24"/>
              </w:rPr>
            </w:r>
            <w:r/>
          </w:p>
        </w:tc>
        <w:tc>
          <w:tcPr>
            <w:tcW w:w="613" w:type="dxa"/>
            <w:vAlign w:val="center"/>
            <w:vMerge w:val="continue"/>
            <w:textDirection w:val="lrTb"/>
            <w:noWrap w:val="false"/>
          </w:tcPr>
          <w:p>
            <w:pPr>
              <w:pStyle w:val="1118"/>
              <w:ind w:firstLine="482"/>
              <w:jc w:val="center"/>
              <w:widowControl/>
              <w:rPr>
                <w:rFonts w:ascii="宋体" w:hAnsi="宋体" w:cs="Arial"/>
                <w:sz w:val="24"/>
              </w:rPr>
            </w:pPr>
            <w:r>
              <w:rPr>
                <w:rFonts w:ascii="宋体" w:hAnsi="宋体" w:cs="Arial"/>
                <w:sz w:val="24"/>
              </w:rPr>
            </w:r>
            <w:r/>
          </w:p>
        </w:tc>
        <w:tc>
          <w:tcPr>
            <w:tcW w:w="618" w:type="dxa"/>
            <w:vAlign w:val="center"/>
            <w:vMerge w:val="continue"/>
            <w:textDirection w:val="lrTb"/>
            <w:noWrap w:val="false"/>
          </w:tcPr>
          <w:p>
            <w:pPr>
              <w:pStyle w:val="1118"/>
              <w:ind w:firstLine="482"/>
              <w:jc w:val="center"/>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118"/>
              <w:jc w:val="center"/>
              <w:spacing w:line="360" w:lineRule="auto"/>
              <w:widowControl/>
              <w:rPr>
                <w:rFonts w:ascii="宋体" w:hAnsi="宋体" w:cs="Arial"/>
                <w:sz w:val="24"/>
              </w:rPr>
            </w:pPr>
            <w:r>
              <w:rPr>
                <w:rFonts w:hint="eastAsia" w:ascii="宋体" w:hAnsi="宋体" w:cs="Arial"/>
                <w:sz w:val="24"/>
              </w:rPr>
              <w:t xml:space="preserve">单价</w:t>
            </w:r>
            <w:r>
              <w:rPr>
                <w:rFonts w:ascii="宋体" w:hAnsi="宋体" w:cs="Arial"/>
                <w:sz w:val="24"/>
              </w:rPr>
            </w:r>
            <w:r/>
          </w:p>
        </w:tc>
        <w:tc>
          <w:tcPr>
            <w:tcW w:w="1072" w:type="dxa"/>
            <w:vAlign w:val="center"/>
            <w:textDirection w:val="lrTb"/>
            <w:noWrap w:val="false"/>
          </w:tcPr>
          <w:p>
            <w:pPr>
              <w:pStyle w:val="1118"/>
              <w:jc w:val="center"/>
              <w:spacing w:line="360" w:lineRule="auto"/>
              <w:widowControl/>
              <w:rPr>
                <w:rFonts w:ascii="宋体" w:hAnsi="宋体" w:cs="Arial"/>
                <w:sz w:val="24"/>
              </w:rPr>
            </w:pPr>
            <w:r>
              <w:rPr>
                <w:rFonts w:hint="eastAsia" w:ascii="宋体" w:hAnsi="宋体" w:cs="Arial"/>
                <w:sz w:val="24"/>
              </w:rPr>
              <w:t xml:space="preserve">合价</w:t>
            </w:r>
            <w:r>
              <w:rPr>
                <w:rFonts w:ascii="宋体" w:hAnsi="宋体" w:cs="Arial"/>
                <w:sz w:val="24"/>
              </w:rPr>
            </w:r>
            <w:r/>
          </w:p>
        </w:tc>
      </w:tr>
      <w:tr>
        <w:trPr>
          <w:trHeight w:val="480"/>
        </w:trPr>
        <w:tc>
          <w:tcPr>
            <w:tcW w:w="800" w:type="dxa"/>
            <w:vAlign w:val="center"/>
            <w:textDirection w:val="lrTb"/>
            <w:noWrap w:val="false"/>
          </w:tcPr>
          <w:p>
            <w:pPr>
              <w:pStyle w:val="1118"/>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1350" w:type="dxa"/>
            <w:vAlign w:val="center"/>
            <w:textDirection w:val="lrTb"/>
            <w:noWrap w:val="false"/>
          </w:tcPr>
          <w:p>
            <w:pPr>
              <w:pStyle w:val="1118"/>
              <w:jc w:val="center"/>
              <w:spacing w:line="360" w:lineRule="auto"/>
              <w:widowControl/>
              <w:rPr>
                <w:rFonts w:ascii="宋体" w:hAnsi="宋体" w:cs="Arial"/>
                <w:sz w:val="24"/>
              </w:rPr>
            </w:pPr>
            <w:r>
              <w:rPr>
                <w:rFonts w:ascii="宋体" w:hAnsi="宋体" w:cs="Arial"/>
                <w:sz w:val="24"/>
              </w:rPr>
            </w:r>
            <w:r/>
          </w:p>
        </w:tc>
        <w:tc>
          <w:tcPr>
            <w:tcW w:w="1227"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c>
          <w:tcPr>
            <w:tcW w:w="1241"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c>
          <w:tcPr>
            <w:tcW w:w="1378"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118"/>
              <w:ind w:firstLine="482"/>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618" w:type="dxa"/>
            <w:vAlign w:val="center"/>
            <w:textDirection w:val="lrTb"/>
            <w:noWrap w:val="false"/>
          </w:tcPr>
          <w:p>
            <w:pPr>
              <w:pStyle w:val="1118"/>
              <w:ind w:firstLine="482"/>
              <w:jc w:val="center"/>
              <w:spacing w:line="360" w:lineRule="auto"/>
              <w:widowControl/>
              <w:rPr>
                <w:rFonts w:ascii="宋体" w:hAnsi="宋体" w:cs="Arial"/>
                <w:sz w:val="24"/>
              </w:rPr>
            </w:pPr>
            <w:r>
              <w:rPr>
                <w:rFonts w:hint="eastAsia" w:ascii="宋体" w:hAnsi="宋体" w:cs="Arial"/>
                <w:sz w:val="24"/>
              </w:rPr>
              <w:t xml:space="preserve">台</w:t>
            </w:r>
            <w:r>
              <w:rPr>
                <w:rFonts w:ascii="宋体" w:hAnsi="宋体" w:cs="Arial"/>
                <w:sz w:val="24"/>
              </w:rPr>
            </w:r>
            <w:r/>
          </w:p>
        </w:tc>
        <w:tc>
          <w:tcPr>
            <w:tcW w:w="919"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r>
      <w:tr>
        <w:trPr>
          <w:trHeight w:val="480"/>
        </w:trPr>
        <w:tc>
          <w:tcPr>
            <w:tcW w:w="800" w:type="dxa"/>
            <w:vAlign w:val="center"/>
            <w:textDirection w:val="lrTb"/>
            <w:noWrap w:val="false"/>
          </w:tcPr>
          <w:p>
            <w:pPr>
              <w:pStyle w:val="1118"/>
              <w:jc w:val="center"/>
              <w:spacing w:line="360" w:lineRule="auto"/>
              <w:widowControl/>
              <w:rPr>
                <w:rFonts w:ascii="宋体" w:hAnsi="宋体" w:cs="Arial"/>
                <w:sz w:val="24"/>
              </w:rPr>
            </w:pPr>
            <w:r>
              <w:rPr>
                <w:rFonts w:hint="eastAsia" w:ascii="宋体" w:hAnsi="宋体" w:cs="Arial"/>
                <w:sz w:val="24"/>
              </w:rPr>
              <w:t xml:space="preserve">2</w:t>
            </w:r>
            <w:r>
              <w:rPr>
                <w:rFonts w:ascii="宋体" w:hAnsi="宋体" w:cs="Arial"/>
                <w:sz w:val="24"/>
              </w:rPr>
            </w:r>
            <w:r/>
          </w:p>
        </w:tc>
        <w:tc>
          <w:tcPr>
            <w:tcW w:w="1350" w:type="dxa"/>
            <w:vAlign w:val="center"/>
            <w:textDirection w:val="lrTb"/>
            <w:noWrap w:val="false"/>
          </w:tcPr>
          <w:p>
            <w:pPr>
              <w:pStyle w:val="1118"/>
              <w:jc w:val="center"/>
              <w:spacing w:line="360" w:lineRule="auto"/>
              <w:widowControl/>
              <w:rPr>
                <w:rFonts w:ascii="宋体" w:hAnsi="宋体" w:cs="Arial"/>
                <w:sz w:val="24"/>
              </w:rPr>
            </w:pPr>
            <w:r>
              <w:rPr>
                <w:rFonts w:ascii="宋体" w:hAnsi="宋体" w:cs="Arial"/>
                <w:sz w:val="24"/>
              </w:rPr>
            </w:r>
            <w:r/>
          </w:p>
        </w:tc>
        <w:tc>
          <w:tcPr>
            <w:tcW w:w="1227"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c>
          <w:tcPr>
            <w:tcW w:w="1241"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c>
          <w:tcPr>
            <w:tcW w:w="1378"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118"/>
              <w:ind w:firstLine="482"/>
              <w:jc w:val="center"/>
              <w:spacing w:line="360" w:lineRule="auto"/>
              <w:widowControl/>
              <w:rPr>
                <w:rFonts w:ascii="宋体" w:hAnsi="宋体" w:cs="Arial"/>
                <w:sz w:val="24"/>
              </w:rPr>
            </w:pPr>
            <w:r>
              <w:rPr>
                <w:rFonts w:hint="eastAsia" w:ascii="宋体" w:hAnsi="宋体" w:cs="Arial"/>
                <w:sz w:val="24"/>
              </w:rPr>
              <w:t xml:space="preserve">1</w:t>
            </w:r>
            <w:r>
              <w:rPr>
                <w:rFonts w:ascii="宋体" w:hAnsi="宋体" w:cs="Arial"/>
                <w:sz w:val="24"/>
              </w:rPr>
            </w:r>
            <w:r/>
          </w:p>
        </w:tc>
        <w:tc>
          <w:tcPr>
            <w:tcW w:w="618" w:type="dxa"/>
            <w:vAlign w:val="center"/>
            <w:textDirection w:val="lrTb"/>
            <w:noWrap w:val="false"/>
          </w:tcPr>
          <w:p>
            <w:pPr>
              <w:pStyle w:val="1118"/>
              <w:ind w:firstLine="482"/>
              <w:jc w:val="center"/>
              <w:spacing w:line="360" w:lineRule="auto"/>
              <w:widowControl/>
              <w:rPr>
                <w:rFonts w:ascii="宋体" w:hAnsi="宋体" w:cs="Arial"/>
                <w:sz w:val="24"/>
              </w:rPr>
            </w:pPr>
            <w:r>
              <w:rPr>
                <w:rFonts w:hint="eastAsia" w:ascii="宋体" w:hAnsi="宋体" w:cs="Arial"/>
                <w:sz w:val="24"/>
              </w:rPr>
              <w:t xml:space="preserve">台</w:t>
            </w:r>
            <w:r>
              <w:rPr>
                <w:rFonts w:ascii="宋体" w:hAnsi="宋体" w:cs="Arial"/>
                <w:sz w:val="24"/>
              </w:rPr>
            </w:r>
            <w:r/>
          </w:p>
        </w:tc>
        <w:tc>
          <w:tcPr>
            <w:tcW w:w="919"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r>
      <w:tr>
        <w:trPr>
          <w:trHeight w:val="480"/>
        </w:trPr>
        <w:tc>
          <w:tcPr>
            <w:tcW w:w="800" w:type="dxa"/>
            <w:vAlign w:val="center"/>
            <w:textDirection w:val="lrTb"/>
            <w:noWrap w:val="false"/>
          </w:tcPr>
          <w:p>
            <w:pPr>
              <w:pStyle w:val="1118"/>
              <w:jc w:val="center"/>
              <w:spacing w:line="360" w:lineRule="auto"/>
              <w:widowControl/>
              <w:rPr>
                <w:rFonts w:ascii="宋体" w:hAnsi="宋体" w:cs="Arial"/>
                <w:sz w:val="24"/>
              </w:rPr>
            </w:pPr>
            <w:r>
              <w:rPr>
                <w:rFonts w:hint="eastAsia" w:ascii="宋体" w:hAnsi="宋体" w:cs="Arial"/>
                <w:sz w:val="24"/>
              </w:rPr>
              <w:t xml:space="preserve">3</w:t>
            </w:r>
            <w:r>
              <w:rPr>
                <w:rFonts w:ascii="宋体" w:hAnsi="宋体" w:cs="Arial"/>
                <w:sz w:val="24"/>
              </w:rPr>
            </w:r>
            <w:r/>
          </w:p>
        </w:tc>
        <w:tc>
          <w:tcPr>
            <w:tcW w:w="1350" w:type="dxa"/>
            <w:vAlign w:val="center"/>
            <w:textDirection w:val="lrTb"/>
            <w:noWrap w:val="false"/>
          </w:tcPr>
          <w:p>
            <w:pPr>
              <w:pStyle w:val="1118"/>
              <w:ind w:firstLine="480"/>
              <w:jc w:val="center"/>
              <w:spacing w:line="360" w:lineRule="auto"/>
              <w:widowControl/>
              <w:rPr>
                <w:rFonts w:ascii="宋体" w:hAnsi="宋体" w:cs="Arial"/>
                <w:b/>
                <w:bCs/>
                <w:sz w:val="24"/>
              </w:rPr>
            </w:pPr>
            <w:r>
              <w:rPr>
                <w:rFonts w:ascii="宋体" w:hAnsi="宋体" w:cs="Arial"/>
                <w:b/>
                <w:bCs/>
                <w:sz w:val="24"/>
              </w:rPr>
            </w:r>
            <w:r/>
          </w:p>
        </w:tc>
        <w:tc>
          <w:tcPr>
            <w:tcW w:w="1227"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c>
          <w:tcPr>
            <w:tcW w:w="1241"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c>
          <w:tcPr>
            <w:tcW w:w="1378"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r>
      <w:tr>
        <w:trPr>
          <w:trHeight w:val="480"/>
        </w:trPr>
        <w:tc>
          <w:tcPr>
            <w:tcW w:w="800" w:type="dxa"/>
            <w:vAlign w:val="center"/>
            <w:textDirection w:val="lrTb"/>
            <w:noWrap w:val="false"/>
          </w:tcPr>
          <w:p>
            <w:pPr>
              <w:pStyle w:val="1118"/>
              <w:jc w:val="center"/>
              <w:spacing w:line="360" w:lineRule="auto"/>
              <w:widowControl/>
              <w:rPr>
                <w:rFonts w:ascii="宋体" w:hAnsi="宋体" w:cs="Arial"/>
                <w:sz w:val="24"/>
              </w:rPr>
            </w:pPr>
            <w:r>
              <w:rPr>
                <w:rFonts w:hint="eastAsia" w:ascii="宋体" w:hAnsi="宋体" w:cs="Arial"/>
                <w:sz w:val="24"/>
              </w:rPr>
              <w:t xml:space="preserve">4</w:t>
            </w:r>
            <w:r>
              <w:rPr>
                <w:rFonts w:ascii="宋体" w:hAnsi="宋体" w:cs="Arial"/>
                <w:sz w:val="24"/>
              </w:rPr>
            </w:r>
            <w:r/>
          </w:p>
        </w:tc>
        <w:tc>
          <w:tcPr>
            <w:tcW w:w="1350" w:type="dxa"/>
            <w:vAlign w:val="center"/>
            <w:textDirection w:val="lrTb"/>
            <w:noWrap w:val="false"/>
          </w:tcPr>
          <w:p>
            <w:pPr>
              <w:pStyle w:val="1118"/>
              <w:ind w:firstLine="480"/>
              <w:jc w:val="center"/>
              <w:spacing w:line="360" w:lineRule="auto"/>
              <w:widowControl/>
              <w:rPr>
                <w:rFonts w:ascii="宋体" w:hAnsi="宋体" w:cs="Arial"/>
                <w:b/>
                <w:bCs/>
                <w:sz w:val="24"/>
              </w:rPr>
            </w:pPr>
            <w:r>
              <w:rPr>
                <w:rFonts w:ascii="宋体" w:hAnsi="宋体" w:cs="Arial"/>
                <w:b/>
                <w:bCs/>
                <w:sz w:val="24"/>
              </w:rPr>
            </w:r>
            <w:r/>
          </w:p>
        </w:tc>
        <w:tc>
          <w:tcPr>
            <w:tcW w:w="1227"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c>
          <w:tcPr>
            <w:tcW w:w="1241"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c>
          <w:tcPr>
            <w:tcW w:w="1378"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r>
      <w:tr>
        <w:trPr>
          <w:trHeight w:val="480"/>
        </w:trPr>
        <w:tc>
          <w:tcPr>
            <w:tcW w:w="800" w:type="dxa"/>
            <w:vAlign w:val="center"/>
            <w:textDirection w:val="lrTb"/>
            <w:noWrap w:val="false"/>
          </w:tcPr>
          <w:p>
            <w:pPr>
              <w:pStyle w:val="1118"/>
              <w:jc w:val="center"/>
              <w:spacing w:line="360" w:lineRule="auto"/>
              <w:widowControl/>
              <w:rPr>
                <w:rFonts w:ascii="宋体" w:hAnsi="宋体" w:cs="Arial"/>
                <w:sz w:val="24"/>
              </w:rPr>
            </w:pPr>
            <w:r>
              <w:rPr>
                <w:rFonts w:hint="eastAsia" w:ascii="宋体" w:hAnsi="宋体" w:cs="Arial"/>
                <w:sz w:val="24"/>
              </w:rPr>
              <w:t xml:space="preserve">5</w:t>
            </w:r>
            <w:r>
              <w:rPr>
                <w:rFonts w:ascii="宋体" w:hAnsi="宋体" w:cs="Arial"/>
                <w:sz w:val="24"/>
              </w:rPr>
            </w:r>
            <w:r/>
          </w:p>
        </w:tc>
        <w:tc>
          <w:tcPr>
            <w:tcW w:w="1350" w:type="dxa"/>
            <w:vAlign w:val="center"/>
            <w:textDirection w:val="lrTb"/>
            <w:noWrap w:val="false"/>
          </w:tcPr>
          <w:p>
            <w:pPr>
              <w:pStyle w:val="1118"/>
              <w:ind w:firstLine="480"/>
              <w:jc w:val="center"/>
              <w:spacing w:line="360" w:lineRule="auto"/>
              <w:widowControl/>
              <w:rPr>
                <w:rFonts w:ascii="宋体" w:hAnsi="宋体" w:cs="Arial"/>
                <w:b/>
                <w:bCs/>
                <w:sz w:val="24"/>
              </w:rPr>
            </w:pPr>
            <w:r>
              <w:rPr>
                <w:rFonts w:ascii="宋体" w:hAnsi="宋体" w:cs="Arial"/>
                <w:b/>
                <w:bCs/>
                <w:sz w:val="24"/>
              </w:rPr>
            </w:r>
            <w:r/>
          </w:p>
        </w:tc>
        <w:tc>
          <w:tcPr>
            <w:tcW w:w="1227"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c>
          <w:tcPr>
            <w:tcW w:w="1241"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c>
          <w:tcPr>
            <w:tcW w:w="1378"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r>
      <w:tr>
        <w:trPr>
          <w:trHeight w:val="480"/>
        </w:trPr>
        <w:tc>
          <w:tcPr>
            <w:tcW w:w="800"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c>
          <w:tcPr>
            <w:tcW w:w="1350" w:type="dxa"/>
            <w:vAlign w:val="center"/>
            <w:textDirection w:val="lrTb"/>
            <w:noWrap w:val="false"/>
          </w:tcPr>
          <w:p>
            <w:pPr>
              <w:pStyle w:val="1118"/>
              <w:ind w:firstLine="480"/>
              <w:jc w:val="center"/>
              <w:spacing w:line="360" w:lineRule="auto"/>
              <w:widowControl/>
              <w:rPr>
                <w:rFonts w:ascii="宋体" w:hAnsi="宋体" w:cs="Arial"/>
                <w:b/>
                <w:bCs/>
                <w:sz w:val="24"/>
              </w:rPr>
            </w:pPr>
            <w:r>
              <w:rPr>
                <w:rFonts w:ascii="宋体" w:hAnsi="宋体" w:cs="Arial"/>
                <w:b/>
                <w:bCs/>
                <w:sz w:val="24"/>
              </w:rPr>
            </w:r>
            <w:r/>
          </w:p>
        </w:tc>
        <w:tc>
          <w:tcPr>
            <w:tcW w:w="1227"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c>
          <w:tcPr>
            <w:tcW w:w="1241"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c>
          <w:tcPr>
            <w:tcW w:w="1378"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r>
      <w:tr>
        <w:trPr>
          <w:trHeight w:val="480"/>
        </w:trPr>
        <w:tc>
          <w:tcPr>
            <w:tcW w:w="800" w:type="dxa"/>
            <w:vAlign w:val="center"/>
            <w:textDirection w:val="lrTb"/>
            <w:noWrap w:val="false"/>
          </w:tcPr>
          <w:p>
            <w:pPr>
              <w:pStyle w:val="1118"/>
              <w:spacing w:line="360" w:lineRule="auto"/>
              <w:widowControl/>
              <w:rPr>
                <w:rFonts w:ascii="宋体" w:hAnsi="宋体" w:cs="Arial"/>
                <w:sz w:val="24"/>
              </w:rPr>
            </w:pPr>
            <w:r>
              <w:rPr>
                <w:rFonts w:hint="eastAsia" w:ascii="宋体" w:hAnsi="宋体" w:cs="Arial"/>
                <w:sz w:val="24"/>
              </w:rPr>
              <w:t xml:space="preserve">……</w:t>
            </w:r>
            <w:r>
              <w:rPr>
                <w:rFonts w:ascii="宋体" w:hAnsi="宋体" w:cs="Arial"/>
                <w:sz w:val="24"/>
              </w:rPr>
            </w:r>
            <w:r/>
          </w:p>
        </w:tc>
        <w:tc>
          <w:tcPr>
            <w:tcW w:w="1350" w:type="dxa"/>
            <w:vAlign w:val="center"/>
            <w:textDirection w:val="lrTb"/>
            <w:noWrap w:val="false"/>
          </w:tcPr>
          <w:p>
            <w:pPr>
              <w:pStyle w:val="1118"/>
              <w:ind w:firstLine="480"/>
              <w:jc w:val="center"/>
              <w:spacing w:line="360" w:lineRule="auto"/>
              <w:widowControl/>
              <w:rPr>
                <w:rFonts w:ascii="宋体" w:hAnsi="宋体" w:cs="Arial"/>
                <w:b/>
                <w:bCs/>
                <w:sz w:val="24"/>
              </w:rPr>
            </w:pPr>
            <w:r>
              <w:rPr>
                <w:rFonts w:ascii="宋体" w:hAnsi="宋体" w:cs="Arial"/>
                <w:b/>
                <w:bCs/>
                <w:sz w:val="24"/>
              </w:rPr>
            </w:r>
            <w:r/>
          </w:p>
        </w:tc>
        <w:tc>
          <w:tcPr>
            <w:tcW w:w="1227"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c>
          <w:tcPr>
            <w:tcW w:w="1241"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c>
          <w:tcPr>
            <w:tcW w:w="1378"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c>
          <w:tcPr>
            <w:tcW w:w="613"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c>
          <w:tcPr>
            <w:tcW w:w="618"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c>
          <w:tcPr>
            <w:tcW w:w="919"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r>
      <w:tr>
        <w:trPr>
          <w:trHeight w:val="480"/>
        </w:trPr>
        <w:tc>
          <w:tcPr>
            <w:gridSpan w:val="7"/>
            <w:tcW w:w="7227" w:type="dxa"/>
            <w:vAlign w:val="center"/>
            <w:textDirection w:val="lrTb"/>
            <w:noWrap w:val="false"/>
          </w:tcPr>
          <w:p>
            <w:pPr>
              <w:pStyle w:val="1118"/>
              <w:ind w:firstLine="482"/>
              <w:jc w:val="center"/>
              <w:spacing w:line="360" w:lineRule="auto"/>
              <w:widowControl/>
              <w:rPr>
                <w:rFonts w:ascii="宋体" w:hAnsi="宋体" w:cs="Arial"/>
                <w:sz w:val="24"/>
              </w:rPr>
            </w:pPr>
            <w:r>
              <w:rPr>
                <w:rFonts w:hint="eastAsia" w:ascii="宋体" w:hAnsi="宋体" w:cs="Arial"/>
                <w:sz w:val="24"/>
              </w:rPr>
              <w:t xml:space="preserve">合     计</w:t>
            </w:r>
            <w:r>
              <w:rPr>
                <w:rFonts w:ascii="宋体" w:hAnsi="宋体" w:cs="Arial"/>
                <w:sz w:val="24"/>
              </w:rPr>
            </w:r>
            <w:r/>
          </w:p>
        </w:tc>
        <w:tc>
          <w:tcPr>
            <w:tcW w:w="919"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c>
          <w:tcPr>
            <w:tcW w:w="1072" w:type="dxa"/>
            <w:vAlign w:val="center"/>
            <w:textDirection w:val="lrTb"/>
            <w:noWrap w:val="false"/>
          </w:tcPr>
          <w:p>
            <w:pPr>
              <w:pStyle w:val="1118"/>
              <w:ind w:firstLine="482"/>
              <w:jc w:val="center"/>
              <w:spacing w:line="360" w:lineRule="auto"/>
              <w:widowControl/>
              <w:rPr>
                <w:rFonts w:ascii="宋体" w:hAnsi="宋体" w:cs="Arial"/>
                <w:sz w:val="24"/>
              </w:rPr>
            </w:pPr>
            <w:r>
              <w:rPr>
                <w:rFonts w:ascii="宋体" w:hAnsi="宋体" w:cs="Arial"/>
                <w:sz w:val="24"/>
              </w:rPr>
            </w:r>
            <w:r/>
          </w:p>
        </w:tc>
      </w:tr>
      <w:tr>
        <w:trPr>
          <w:trHeight w:val="480"/>
        </w:trPr>
        <w:tc>
          <w:tcPr>
            <w:gridSpan w:val="9"/>
            <w:tcW w:w="9218" w:type="dxa"/>
            <w:vAlign w:val="center"/>
            <w:textDirection w:val="lrTb"/>
            <w:noWrap w:val="false"/>
          </w:tcPr>
          <w:p>
            <w:pPr>
              <w:pStyle w:val="1118"/>
              <w:ind w:firstLine="482"/>
              <w:jc w:val="center"/>
              <w:spacing w:line="360" w:lineRule="auto"/>
              <w:widowControl/>
              <w:rPr>
                <w:rFonts w:ascii="宋体" w:hAnsi="宋体" w:cs="Arial"/>
                <w:sz w:val="24"/>
              </w:rPr>
            </w:pPr>
            <w:r>
              <w:rPr>
                <w:rFonts w:hint="eastAsia" w:ascii="宋体" w:hAnsi="宋体" w:cs="Arial"/>
                <w:sz w:val="24"/>
                <w:highlight w:val="none"/>
              </w:rPr>
              <w:t xml:space="preserve">本采购包中提供的符合本国产品标准的产品成本之和占该采购包提供的全部产品成本之和的比例为</w:t>
            </w:r>
            <w:r>
              <w:rPr>
                <w:rFonts w:hint="eastAsia" w:ascii="宋体" w:hAnsi="宋体" w:cs="Arial"/>
                <w:sz w:val="24"/>
                <w:highlight w:val="none"/>
                <w:u w:val="single"/>
              </w:rPr>
              <w:t xml:space="preserve">    </w:t>
            </w:r>
            <w:r>
              <w:rPr>
                <w:rFonts w:hint="eastAsia" w:ascii="宋体" w:hAnsi="宋体" w:cs="Arial"/>
                <w:sz w:val="24"/>
                <w:highlight w:val="none"/>
              </w:rPr>
              <w:t xml:space="preserve">%。</w:t>
            </w:r>
            <w:r>
              <w:rPr>
                <w:rFonts w:ascii="宋体" w:hAnsi="宋体" w:cs="Arial"/>
                <w:sz w:val="24"/>
              </w:rPr>
            </w:r>
            <w:r/>
          </w:p>
        </w:tc>
      </w:tr>
    </w:tbl>
    <w:p>
      <w:pPr>
        <w:pStyle w:val="1118"/>
        <w:ind w:firstLine="482"/>
        <w:jc w:val="left"/>
        <w:tabs>
          <w:tab w:val="left" w:pos="1800" w:leader="none"/>
          <w:tab w:val="left" w:pos="5580" w:leader="none"/>
        </w:tabs>
        <w:rPr>
          <w:color w:val="000000"/>
          <w:sz w:val="24"/>
        </w:rPr>
      </w:pPr>
      <w:r>
        <w:rPr>
          <w:color w:val="000000"/>
          <w:sz w:val="24"/>
        </w:rPr>
      </w:r>
      <w:r/>
    </w:p>
    <w:p>
      <w:pPr>
        <w:pStyle w:val="1118"/>
        <w:ind w:firstLine="482"/>
        <w:jc w:val="left"/>
        <w:tabs>
          <w:tab w:val="left" w:pos="1800" w:leader="none"/>
          <w:tab w:val="left" w:pos="5580" w:leader="none"/>
        </w:tabs>
        <w:rPr>
          <w:color w:val="000000"/>
          <w:sz w:val="24"/>
        </w:rPr>
      </w:pPr>
      <w:r>
        <w:rPr>
          <w:color w:val="000000"/>
          <w:sz w:val="24"/>
        </w:rPr>
      </w:r>
      <w:r/>
    </w:p>
    <w:p>
      <w:pPr>
        <w:pStyle w:val="1118"/>
        <w:ind w:firstLine="482"/>
        <w:jc w:val="left"/>
        <w:spacing w:line="360" w:lineRule="auto"/>
        <w:tabs>
          <w:tab w:val="left" w:pos="1800" w:leader="none"/>
          <w:tab w:val="left" w:pos="5580" w:leader="none"/>
        </w:tabs>
        <w:rPr>
          <w:color w:val="000000"/>
          <w:sz w:val="24"/>
        </w:rPr>
      </w:pPr>
      <w:r>
        <w:rPr>
          <w:color w:val="000000"/>
          <w:sz w:val="24"/>
        </w:rPr>
        <w:t xml:space="preserve">注：</w:t>
      </w:r>
      <w:r>
        <w:rPr>
          <w:color w:val="000000"/>
          <w:sz w:val="24"/>
        </w:rPr>
      </w:r>
      <w:r/>
    </w:p>
    <w:p>
      <w:pPr>
        <w:pStyle w:val="1118"/>
        <w:ind w:firstLine="480"/>
        <w:jc w:val="left"/>
        <w:spacing w:line="360" w:lineRule="auto"/>
        <w:tabs>
          <w:tab w:val="left" w:pos="1800" w:leader="none"/>
          <w:tab w:val="left" w:pos="5580" w:leader="none"/>
        </w:tabs>
        <w:rPr>
          <w:color w:val="000000"/>
          <w:sz w:val="24"/>
        </w:rPr>
      </w:pPr>
      <w:r>
        <w:rPr>
          <w:rFonts w:hint="eastAsia"/>
          <w:color w:val="000000"/>
          <w:sz w:val="24"/>
        </w:rPr>
        <w:t xml:space="preserve">1</w:t>
      </w:r>
      <w:r>
        <w:rPr>
          <w:color w:val="000000"/>
          <w:sz w:val="24"/>
        </w:rPr>
        <w:t xml:space="preserve">.如果不提供分项报价将视为没有实质性响应</w:t>
      </w:r>
      <w:r>
        <w:rPr>
          <w:rFonts w:hint="eastAsia"/>
          <w:color w:val="000000"/>
          <w:sz w:val="24"/>
          <w:lang w:val="en-US" w:eastAsia="zh-CN"/>
        </w:rPr>
        <w:t xml:space="preserve">采购</w:t>
      </w:r>
      <w:r>
        <w:rPr>
          <w:color w:val="000000"/>
          <w:sz w:val="24"/>
        </w:rPr>
        <w:t xml:space="preserve">文件。</w:t>
      </w:r>
      <w:r>
        <w:rPr>
          <w:color w:val="000000"/>
          <w:sz w:val="24"/>
        </w:rPr>
      </w:r>
      <w:r/>
    </w:p>
    <w:p>
      <w:pPr>
        <w:pStyle w:val="1118"/>
        <w:ind w:firstLine="480"/>
        <w:jc w:val="left"/>
        <w:spacing w:line="360" w:lineRule="auto"/>
        <w:tabs>
          <w:tab w:val="left" w:pos="1800" w:leader="none"/>
          <w:tab w:val="left" w:pos="5580" w:leader="none"/>
        </w:tabs>
        <w:rPr>
          <w:color w:val="000000"/>
          <w:sz w:val="24"/>
        </w:rPr>
      </w:pPr>
      <w:r>
        <w:rPr>
          <w:rFonts w:hint="eastAsia"/>
          <w:color w:val="000000"/>
          <w:sz w:val="24"/>
        </w:rPr>
        <w:t xml:space="preserve">2</w:t>
      </w:r>
      <w:r>
        <w:rPr>
          <w:color w:val="000000"/>
          <w:sz w:val="24"/>
        </w:rPr>
        <w:t xml:space="preserve">.</w:t>
      </w:r>
      <w:r>
        <w:rPr>
          <w:rFonts w:hint="eastAsia"/>
          <w:color w:val="000000"/>
          <w:sz w:val="24"/>
        </w:rPr>
        <w:t xml:space="preserve">本表行数可以按照项目分项情况增加。</w:t>
      </w:r>
      <w:r>
        <w:rPr>
          <w:color w:val="000000"/>
          <w:sz w:val="24"/>
        </w:rPr>
      </w:r>
      <w:r/>
    </w:p>
    <w:p>
      <w:pPr>
        <w:pStyle w:val="1118"/>
        <w:ind w:firstLine="480"/>
        <w:jc w:val="left"/>
        <w:spacing w:line="360" w:lineRule="auto"/>
        <w:tabs>
          <w:tab w:val="left" w:pos="1800" w:leader="none"/>
          <w:tab w:val="left" w:pos="5580" w:leader="none"/>
        </w:tabs>
        <w:rPr>
          <w:color w:val="000000"/>
          <w:sz w:val="24"/>
        </w:rPr>
      </w:pPr>
      <w:r>
        <w:rPr>
          <w:rFonts w:hint="eastAsia"/>
          <w:color w:val="000000"/>
          <w:sz w:val="24"/>
        </w:rPr>
        <w:t xml:space="preserve">3.</w:t>
      </w:r>
      <w:r>
        <w:rPr>
          <w:color w:val="000000"/>
          <w:sz w:val="24"/>
        </w:rPr>
        <w:t xml:space="preserve">上述各项的详细规格</w:t>
      </w:r>
      <w:r>
        <w:rPr>
          <w:rFonts w:hint="eastAsia"/>
          <w:color w:val="000000"/>
          <w:sz w:val="24"/>
        </w:rPr>
        <w:t xml:space="preserve">、技术参数如表格中填写不下的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rPr>
          <w:color w:val="000000"/>
          <w:sz w:val="24"/>
        </w:rPr>
      </w:r>
      <w:r/>
    </w:p>
    <w:p>
      <w:pPr>
        <w:pStyle w:val="1118"/>
        <w:ind w:firstLine="241"/>
        <w:spacing w:before="25" w:after="25" w:line="360" w:lineRule="auto"/>
        <w:rPr>
          <w:color w:val="000000"/>
          <w:sz w:val="24"/>
          <w:lang w:val="zh-CN"/>
        </w:rPr>
      </w:pPr>
      <w:r>
        <w:rPr>
          <w:b/>
          <w:bCs/>
          <w:color w:val="000000"/>
          <w:sz w:val="24"/>
          <w:lang w:val="zh-CN"/>
        </w:rPr>
        <w:t xml:space="preserve"> </w:t>
      </w:r>
      <w:r>
        <w:rPr>
          <w:rFonts w:hint="eastAsia"/>
          <w:b/>
          <w:bCs/>
          <w:color w:val="000000"/>
          <w:sz w:val="24"/>
        </w:rPr>
        <w:t xml:space="preserve"> </w:t>
      </w:r>
      <w:r>
        <w:rPr>
          <w:color w:val="000000"/>
          <w:sz w:val="24"/>
          <w:lang w:val="zh-CN"/>
        </w:rPr>
        <w:t xml:space="preserve">         </w:t>
      </w:r>
      <w:r>
        <w:rPr>
          <w:color w:val="000000"/>
          <w:sz w:val="24"/>
          <w:lang w:val="zh-CN"/>
        </w:rPr>
      </w:r>
      <w:r/>
    </w:p>
    <w:p>
      <w:pPr>
        <w:pStyle w:val="1118"/>
        <w:ind w:firstLine="482"/>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1118"/>
        <w:ind w:firstLine="48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18"/>
        <w:jc w:val="left"/>
        <w:spacing w:before="240" w:after="240"/>
        <w:rPr>
          <w:rFonts w:hint="eastAsia"/>
          <w:color w:val="000000"/>
          <w:sz w:val="24"/>
          <w:szCs w:val="20"/>
        </w:rPr>
      </w:pPr>
      <w:r>
        <w:rPr>
          <w:rFonts w:hint="eastAsia"/>
          <w:color w:val="000000"/>
          <w:sz w:val="24"/>
          <w:szCs w:val="20"/>
        </w:rPr>
      </w:r>
      <w:r/>
    </w:p>
    <w:p>
      <w:pPr>
        <w:pStyle w:val="1118"/>
        <w:jc w:val="left"/>
        <w:spacing w:before="240" w:after="240"/>
        <w:rPr>
          <w:rFonts w:hint="eastAsia"/>
          <w:color w:val="000000"/>
          <w:sz w:val="24"/>
          <w:szCs w:val="20"/>
        </w:rPr>
      </w:pPr>
      <w:r>
        <w:rPr>
          <w:rFonts w:hint="eastAsia"/>
          <w:color w:val="000000"/>
          <w:sz w:val="24"/>
          <w:szCs w:val="20"/>
        </w:rPr>
        <w:br w:type="page" w:clear="all"/>
      </w:r>
      <w:r>
        <w:rPr>
          <w:rFonts w:hint="eastAsia"/>
          <w:color w:val="000000"/>
          <w:sz w:val="24"/>
          <w:szCs w:val="20"/>
        </w:rPr>
      </w:r>
      <w:r/>
    </w:p>
    <w:p>
      <w:pPr>
        <w:pStyle w:val="1118"/>
        <w:jc w:val="left"/>
        <w:spacing w:before="240" w:after="240"/>
        <w:rPr>
          <w:color w:val="000000"/>
          <w:sz w:val="24"/>
          <w:szCs w:val="20"/>
        </w:rPr>
      </w:pPr>
      <w:r>
        <w:rPr>
          <w:rFonts w:hint="eastAsia"/>
          <w:color w:val="000000"/>
          <w:sz w:val="24"/>
          <w:szCs w:val="20"/>
          <w:lang w:val="en-US" w:eastAsia="zh-CN"/>
        </w:rPr>
        <w:t xml:space="preserve">8 </w:t>
      </w:r>
      <w:r>
        <w:rPr>
          <w:color w:val="000000"/>
          <w:sz w:val="24"/>
          <w:szCs w:val="20"/>
        </w:rPr>
        <w:t xml:space="preserve">合同条款偏离表</w:t>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rPr>
          <w:color w:val="000000"/>
          <w:sz w:val="24"/>
          <w:szCs w:val="20"/>
        </w:rPr>
      </w:r>
      <w:r/>
    </w:p>
    <w:p>
      <w:pPr>
        <w:pStyle w:val="1118"/>
        <w:spacing w:line="360" w:lineRule="auto"/>
        <w:rPr>
          <w:color w:val="000000"/>
          <w:sz w:val="24"/>
          <w:szCs w:val="20"/>
        </w:rPr>
      </w:pPr>
      <w:r>
        <w:rPr>
          <w:color w:val="000000"/>
          <w:sz w:val="24"/>
          <w:szCs w:val="20"/>
        </w:rPr>
      </w:r>
      <w:r/>
    </w:p>
    <w:p>
      <w:pPr>
        <w:pStyle w:val="1118"/>
        <w:jc w:val="center"/>
        <w:rPr>
          <w:b/>
          <w:color w:val="000000"/>
          <w:sz w:val="36"/>
          <w:szCs w:val="36"/>
        </w:rPr>
      </w:pPr>
      <w:r>
        <w:rPr>
          <w:rFonts w:hint="eastAsia"/>
          <w:b/>
          <w:color w:val="000000"/>
          <w:sz w:val="36"/>
          <w:szCs w:val="36"/>
        </w:rPr>
        <w:t xml:space="preserve">合同条款偏离表</w:t>
      </w:r>
      <w:r>
        <w:rPr>
          <w:b/>
          <w:color w:val="000000"/>
          <w:sz w:val="36"/>
          <w:szCs w:val="36"/>
        </w:rPr>
      </w:r>
      <w:r/>
    </w:p>
    <w:p>
      <w:pPr>
        <w:pStyle w:val="1118"/>
        <w:jc w:val="center"/>
        <w:rPr>
          <w:color w:val="000000"/>
          <w:sz w:val="36"/>
          <w:szCs w:val="36"/>
        </w:rPr>
      </w:pPr>
      <w:r>
        <w:rPr>
          <w:color w:val="000000"/>
          <w:sz w:val="36"/>
          <w:szCs w:val="36"/>
        </w:rPr>
      </w:r>
      <w:r/>
    </w:p>
    <w:p>
      <w:pPr>
        <w:pStyle w:val="1118"/>
        <w:spacing w:line="360" w:lineRule="auto"/>
        <w:rPr>
          <w:color w:val="000000"/>
          <w:sz w:val="24"/>
          <w:szCs w:val="20"/>
        </w:rPr>
      </w:pPr>
      <w:r>
        <w:rPr>
          <w:color w:val="000000"/>
          <w:sz w:val="24"/>
          <w:szCs w:val="20"/>
        </w:rPr>
      </w:r>
      <w:r/>
    </w:p>
    <w:p>
      <w:pPr>
        <w:pStyle w:val="1118"/>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     项目名称：_____________________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trHeight w:val="930"/>
        </w:trPr>
        <w:tc>
          <w:tcPr>
            <w:gridSpan w:val="6"/>
            <w:tcW w:w="9288" w:type="dxa"/>
            <w:vAlign w:val="center"/>
            <w:textDirection w:val="lrTb"/>
            <w:noWrap w:val="false"/>
          </w:tcPr>
          <w:p>
            <w:pPr>
              <w:pStyle w:val="1118"/>
              <w:jc w:val="left"/>
              <w:rPr>
                <w:b/>
                <w:color w:val="000000"/>
                <w:sz w:val="24"/>
              </w:rPr>
            </w:pPr>
            <w:r>
              <w:rPr>
                <w:rFonts w:hint="eastAsia"/>
                <w:b/>
                <w:color w:val="000000"/>
                <w:sz w:val="24"/>
              </w:rPr>
              <w:t xml:space="preserve">对本项目合同条款的偏离情况（请进行勾选）：</w:t>
            </w:r>
            <w:r>
              <w:rPr>
                <w:b/>
                <w:color w:val="000000"/>
                <w:sz w:val="24"/>
              </w:rPr>
            </w:r>
            <w:r/>
          </w:p>
          <w:p>
            <w:pPr>
              <w:pStyle w:val="1118"/>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1118"/>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如有负偏离，</w:t>
            </w:r>
            <w:r>
              <w:rPr>
                <w:color w:val="000000"/>
                <w:sz w:val="24"/>
              </w:rPr>
              <w:t xml:space="preserve">则须在本表中对负偏离项逐一列明）</w:t>
            </w:r>
            <w:r>
              <w:rPr>
                <w:color w:val="000000"/>
                <w:sz w:val="24"/>
              </w:rPr>
            </w:r>
            <w:r/>
          </w:p>
        </w:tc>
      </w:tr>
      <w:tr>
        <w:trPr>
          <w:trHeight w:val="930"/>
        </w:trPr>
        <w:tc>
          <w:tcPr>
            <w:tcW w:w="828" w:type="dxa"/>
            <w:vAlign w:val="center"/>
            <w:textDirection w:val="lrTb"/>
            <w:noWrap w:val="false"/>
          </w:tcPr>
          <w:p>
            <w:pPr>
              <w:pStyle w:val="1118"/>
              <w:jc w:val="center"/>
              <w:rPr>
                <w:color w:val="000000"/>
                <w:sz w:val="24"/>
              </w:rPr>
            </w:pPr>
            <w:r>
              <w:rPr>
                <w:color w:val="000000"/>
                <w:sz w:val="24"/>
              </w:rPr>
              <w:t xml:space="preserve">序号</w:t>
            </w:r>
            <w:r>
              <w:rPr>
                <w:color w:val="000000"/>
                <w:sz w:val="24"/>
              </w:rPr>
            </w:r>
            <w:r/>
          </w:p>
        </w:tc>
        <w:tc>
          <w:tcPr>
            <w:tcW w:w="1290" w:type="dxa"/>
            <w:vAlign w:val="center"/>
            <w:textDirection w:val="lrTb"/>
            <w:noWrap w:val="false"/>
          </w:tcPr>
          <w:p>
            <w:pPr>
              <w:pStyle w:val="1118"/>
              <w:jc w:val="center"/>
              <w:rPr>
                <w:color w:val="000000"/>
                <w:sz w:val="24"/>
              </w:rPr>
            </w:pPr>
            <w:r>
              <w:rPr>
                <w:color w:val="000000"/>
                <w:sz w:val="24"/>
                <w:szCs w:val="21"/>
              </w:rPr>
              <w:t xml:space="preserve">磋商文件</w:t>
            </w:r>
            <w:r>
              <w:rPr>
                <w:color w:val="000000"/>
                <w:sz w:val="24"/>
              </w:rPr>
              <w:t xml:space="preserve">条目号（页码）</w:t>
            </w:r>
            <w:r>
              <w:rPr>
                <w:color w:val="000000"/>
                <w:sz w:val="24"/>
              </w:rPr>
            </w:r>
            <w:r/>
          </w:p>
        </w:tc>
        <w:tc>
          <w:tcPr>
            <w:tcW w:w="1980" w:type="dxa"/>
            <w:vAlign w:val="center"/>
            <w:textDirection w:val="lrTb"/>
            <w:noWrap w:val="false"/>
          </w:tcPr>
          <w:p>
            <w:pPr>
              <w:pStyle w:val="1118"/>
              <w:jc w:val="center"/>
              <w:rPr>
                <w:color w:val="000000"/>
                <w:sz w:val="24"/>
              </w:rPr>
            </w:pPr>
            <w:r>
              <w:rPr>
                <w:color w:val="000000"/>
                <w:sz w:val="24"/>
                <w:szCs w:val="21"/>
              </w:rPr>
              <w:t xml:space="preserve">磋商文件</w:t>
            </w:r>
            <w:r>
              <w:rPr>
                <w:color w:val="000000"/>
                <w:sz w:val="24"/>
              </w:rPr>
              <w:t xml:space="preserve">要求</w:t>
            </w:r>
            <w:r>
              <w:rPr>
                <w:color w:val="000000"/>
                <w:sz w:val="24"/>
              </w:rPr>
            </w:r>
            <w:r/>
          </w:p>
        </w:tc>
        <w:tc>
          <w:tcPr>
            <w:tcW w:w="1981" w:type="dxa"/>
            <w:vAlign w:val="center"/>
            <w:textDirection w:val="lrTb"/>
            <w:noWrap w:val="false"/>
          </w:tcPr>
          <w:p>
            <w:pPr>
              <w:pStyle w:val="1118"/>
              <w:jc w:val="center"/>
              <w:rPr>
                <w:color w:val="000000"/>
                <w:sz w:val="24"/>
              </w:rPr>
            </w:pPr>
            <w:r>
              <w:rPr>
                <w:color w:val="000000"/>
                <w:sz w:val="24"/>
              </w:rPr>
              <w:t xml:space="preserve">响应文件内容</w:t>
            </w:r>
            <w:r>
              <w:rPr>
                <w:color w:val="000000"/>
                <w:sz w:val="24"/>
              </w:rPr>
            </w:r>
            <w:r/>
          </w:p>
        </w:tc>
        <w:tc>
          <w:tcPr>
            <w:tcW w:w="2427" w:type="dxa"/>
            <w:vAlign w:val="center"/>
            <w:textDirection w:val="lrTb"/>
            <w:noWrap w:val="false"/>
          </w:tcPr>
          <w:p>
            <w:pPr>
              <w:pStyle w:val="1118"/>
              <w:jc w:val="center"/>
              <w:rPr>
                <w:color w:val="000000"/>
                <w:sz w:val="24"/>
              </w:rPr>
            </w:pPr>
            <w:r>
              <w:rPr>
                <w:color w:val="000000"/>
                <w:sz w:val="24"/>
              </w:rPr>
              <w:t xml:space="preserve">偏离情况</w:t>
            </w:r>
            <w:r>
              <w:rPr>
                <w:color w:val="000000"/>
                <w:sz w:val="24"/>
              </w:rPr>
            </w:r>
            <w:r/>
          </w:p>
          <w:p>
            <w:pPr>
              <w:pStyle w:val="1118"/>
              <w:jc w:val="center"/>
              <w:rPr>
                <w:color w:val="000000"/>
                <w:sz w:val="24"/>
              </w:rPr>
            </w:pPr>
            <w:r>
              <w:rPr>
                <w:color w:val="000000"/>
                <w:sz w:val="24"/>
              </w:rPr>
              <w:t xml:space="preserve">（据实填写）</w:t>
            </w:r>
            <w:r>
              <w:rPr>
                <w:color w:val="000000"/>
                <w:sz w:val="24"/>
              </w:rPr>
            </w:r>
            <w:r/>
          </w:p>
        </w:tc>
        <w:tc>
          <w:tcPr>
            <w:tcW w:w="782" w:type="dxa"/>
            <w:vAlign w:val="center"/>
            <w:textDirection w:val="lrTb"/>
            <w:noWrap w:val="false"/>
          </w:tcPr>
          <w:p>
            <w:pPr>
              <w:pStyle w:val="1118"/>
              <w:jc w:val="center"/>
              <w:rPr>
                <w:color w:val="000000"/>
                <w:sz w:val="24"/>
              </w:rPr>
            </w:pPr>
            <w:r>
              <w:rPr>
                <w:color w:val="000000"/>
                <w:sz w:val="24"/>
              </w:rPr>
              <w:t xml:space="preserve">说明</w:t>
            </w:r>
            <w:r>
              <w:rPr>
                <w:color w:val="000000"/>
                <w:sz w:val="24"/>
              </w:rPr>
            </w:r>
            <w:r/>
          </w:p>
        </w:tc>
      </w:tr>
      <w:tr>
        <w:trPr>
          <w:trHeight w:val="930"/>
        </w:trPr>
        <w:tc>
          <w:tcPr>
            <w:tcW w:w="828" w:type="dxa"/>
            <w:vAlign w:val="center"/>
            <w:textDirection w:val="lrTb"/>
            <w:noWrap w:val="false"/>
          </w:tcPr>
          <w:p>
            <w:pPr>
              <w:pStyle w:val="1118"/>
              <w:jc w:val="center"/>
              <w:rPr>
                <w:color w:val="000000"/>
                <w:sz w:val="24"/>
              </w:rPr>
            </w:pPr>
            <w:r>
              <w:rPr>
                <w:color w:val="000000"/>
                <w:sz w:val="24"/>
              </w:rPr>
            </w:r>
            <w:r/>
          </w:p>
        </w:tc>
        <w:tc>
          <w:tcPr>
            <w:tcW w:w="1290" w:type="dxa"/>
            <w:vAlign w:val="center"/>
            <w:textDirection w:val="lrTb"/>
            <w:noWrap w:val="false"/>
          </w:tcPr>
          <w:p>
            <w:pPr>
              <w:pStyle w:val="1118"/>
              <w:jc w:val="center"/>
              <w:rPr>
                <w:color w:val="000000"/>
                <w:sz w:val="24"/>
              </w:rPr>
            </w:pPr>
            <w:r>
              <w:rPr>
                <w:color w:val="000000"/>
                <w:sz w:val="24"/>
              </w:rPr>
            </w:r>
            <w:r/>
          </w:p>
        </w:tc>
        <w:tc>
          <w:tcPr>
            <w:tcW w:w="1980" w:type="dxa"/>
            <w:vAlign w:val="center"/>
            <w:textDirection w:val="lrTb"/>
            <w:noWrap w:val="false"/>
          </w:tcPr>
          <w:p>
            <w:pPr>
              <w:pStyle w:val="1118"/>
              <w:jc w:val="center"/>
              <w:rPr>
                <w:color w:val="000000"/>
                <w:sz w:val="24"/>
              </w:rPr>
            </w:pPr>
            <w:r>
              <w:rPr>
                <w:color w:val="000000"/>
                <w:sz w:val="24"/>
              </w:rPr>
            </w:r>
            <w:r/>
          </w:p>
        </w:tc>
        <w:tc>
          <w:tcPr>
            <w:tcW w:w="1981" w:type="dxa"/>
            <w:vAlign w:val="center"/>
            <w:textDirection w:val="lrTb"/>
            <w:noWrap w:val="false"/>
          </w:tcPr>
          <w:p>
            <w:pPr>
              <w:pStyle w:val="1118"/>
              <w:jc w:val="center"/>
              <w:rPr>
                <w:color w:val="000000"/>
                <w:sz w:val="24"/>
              </w:rPr>
            </w:pPr>
            <w:r>
              <w:rPr>
                <w:color w:val="000000"/>
                <w:sz w:val="24"/>
              </w:rPr>
            </w:r>
            <w:r/>
          </w:p>
        </w:tc>
        <w:tc>
          <w:tcPr>
            <w:tcW w:w="2427" w:type="dxa"/>
            <w:vAlign w:val="center"/>
            <w:textDirection w:val="lrTb"/>
            <w:noWrap w:val="false"/>
          </w:tcPr>
          <w:p>
            <w:pPr>
              <w:pStyle w:val="1118"/>
              <w:jc w:val="center"/>
              <w:rPr>
                <w:color w:val="000000"/>
                <w:sz w:val="24"/>
              </w:rPr>
            </w:pPr>
            <w:r>
              <w:rPr>
                <w:color w:val="000000"/>
                <w:sz w:val="24"/>
              </w:rPr>
            </w:r>
            <w:r/>
          </w:p>
        </w:tc>
        <w:tc>
          <w:tcPr>
            <w:tcW w:w="782" w:type="dxa"/>
            <w:vAlign w:val="center"/>
            <w:textDirection w:val="lrTb"/>
            <w:noWrap w:val="false"/>
          </w:tcPr>
          <w:p>
            <w:pPr>
              <w:pStyle w:val="1118"/>
              <w:jc w:val="center"/>
              <w:rPr>
                <w:color w:val="000000"/>
                <w:sz w:val="24"/>
              </w:rPr>
            </w:pPr>
            <w:r>
              <w:rPr>
                <w:color w:val="000000"/>
                <w:sz w:val="24"/>
              </w:rPr>
            </w:r>
            <w:r/>
          </w:p>
        </w:tc>
      </w:tr>
      <w:tr>
        <w:trPr>
          <w:trHeight w:val="930"/>
        </w:trPr>
        <w:tc>
          <w:tcPr>
            <w:tcW w:w="828" w:type="dxa"/>
            <w:vAlign w:val="center"/>
            <w:textDirection w:val="lrTb"/>
            <w:noWrap w:val="false"/>
          </w:tcPr>
          <w:p>
            <w:pPr>
              <w:pStyle w:val="1118"/>
              <w:jc w:val="center"/>
              <w:rPr>
                <w:color w:val="000000"/>
                <w:sz w:val="24"/>
              </w:rPr>
            </w:pPr>
            <w:r>
              <w:rPr>
                <w:color w:val="000000"/>
                <w:sz w:val="24"/>
              </w:rPr>
            </w:r>
            <w:r/>
          </w:p>
        </w:tc>
        <w:tc>
          <w:tcPr>
            <w:tcW w:w="1290" w:type="dxa"/>
            <w:vAlign w:val="center"/>
            <w:textDirection w:val="lrTb"/>
            <w:noWrap w:val="false"/>
          </w:tcPr>
          <w:p>
            <w:pPr>
              <w:pStyle w:val="1118"/>
              <w:jc w:val="center"/>
              <w:rPr>
                <w:color w:val="000000"/>
                <w:sz w:val="24"/>
              </w:rPr>
            </w:pPr>
            <w:r>
              <w:rPr>
                <w:color w:val="000000"/>
                <w:sz w:val="24"/>
              </w:rPr>
            </w:r>
            <w:r/>
          </w:p>
        </w:tc>
        <w:tc>
          <w:tcPr>
            <w:tcW w:w="1980" w:type="dxa"/>
            <w:vAlign w:val="center"/>
            <w:textDirection w:val="lrTb"/>
            <w:noWrap w:val="false"/>
          </w:tcPr>
          <w:p>
            <w:pPr>
              <w:pStyle w:val="1118"/>
              <w:jc w:val="center"/>
              <w:rPr>
                <w:color w:val="000000"/>
                <w:sz w:val="24"/>
              </w:rPr>
            </w:pPr>
            <w:r>
              <w:rPr>
                <w:color w:val="000000"/>
                <w:sz w:val="24"/>
              </w:rPr>
            </w:r>
            <w:r/>
          </w:p>
        </w:tc>
        <w:tc>
          <w:tcPr>
            <w:tcW w:w="1981" w:type="dxa"/>
            <w:vAlign w:val="center"/>
            <w:textDirection w:val="lrTb"/>
            <w:noWrap w:val="false"/>
          </w:tcPr>
          <w:p>
            <w:pPr>
              <w:pStyle w:val="1118"/>
              <w:jc w:val="center"/>
              <w:rPr>
                <w:color w:val="000000"/>
                <w:sz w:val="24"/>
              </w:rPr>
            </w:pPr>
            <w:r>
              <w:rPr>
                <w:color w:val="000000"/>
                <w:sz w:val="24"/>
              </w:rPr>
            </w:r>
            <w:r/>
          </w:p>
        </w:tc>
        <w:tc>
          <w:tcPr>
            <w:tcW w:w="2427" w:type="dxa"/>
            <w:vAlign w:val="center"/>
            <w:textDirection w:val="lrTb"/>
            <w:noWrap w:val="false"/>
          </w:tcPr>
          <w:p>
            <w:pPr>
              <w:pStyle w:val="1118"/>
              <w:jc w:val="center"/>
              <w:rPr>
                <w:color w:val="000000"/>
                <w:sz w:val="24"/>
              </w:rPr>
            </w:pPr>
            <w:r>
              <w:rPr>
                <w:color w:val="000000"/>
                <w:sz w:val="24"/>
              </w:rPr>
            </w:r>
            <w:r/>
          </w:p>
        </w:tc>
        <w:tc>
          <w:tcPr>
            <w:tcW w:w="782" w:type="dxa"/>
            <w:vAlign w:val="center"/>
            <w:textDirection w:val="lrTb"/>
            <w:noWrap w:val="false"/>
          </w:tcPr>
          <w:p>
            <w:pPr>
              <w:pStyle w:val="1118"/>
              <w:jc w:val="center"/>
              <w:rPr>
                <w:color w:val="000000"/>
                <w:sz w:val="24"/>
              </w:rPr>
            </w:pPr>
            <w:r>
              <w:rPr>
                <w:color w:val="000000"/>
                <w:sz w:val="24"/>
              </w:rPr>
            </w:r>
            <w:r/>
          </w:p>
        </w:tc>
      </w:tr>
      <w:tr>
        <w:trPr>
          <w:trHeight w:val="930"/>
        </w:trPr>
        <w:tc>
          <w:tcPr>
            <w:tcW w:w="828" w:type="dxa"/>
            <w:vAlign w:val="center"/>
            <w:textDirection w:val="lrTb"/>
            <w:noWrap w:val="false"/>
          </w:tcPr>
          <w:p>
            <w:pPr>
              <w:pStyle w:val="1118"/>
              <w:jc w:val="center"/>
              <w:rPr>
                <w:color w:val="000000"/>
                <w:sz w:val="24"/>
              </w:rPr>
            </w:pPr>
            <w:r>
              <w:rPr>
                <w:color w:val="000000"/>
                <w:sz w:val="24"/>
              </w:rPr>
            </w:r>
            <w:r/>
          </w:p>
        </w:tc>
        <w:tc>
          <w:tcPr>
            <w:tcW w:w="1290" w:type="dxa"/>
            <w:vAlign w:val="center"/>
            <w:textDirection w:val="lrTb"/>
            <w:noWrap w:val="false"/>
          </w:tcPr>
          <w:p>
            <w:pPr>
              <w:pStyle w:val="1118"/>
              <w:jc w:val="center"/>
              <w:rPr>
                <w:color w:val="000000"/>
                <w:sz w:val="24"/>
              </w:rPr>
            </w:pPr>
            <w:r>
              <w:rPr>
                <w:color w:val="000000"/>
                <w:sz w:val="24"/>
              </w:rPr>
            </w:r>
            <w:r/>
          </w:p>
        </w:tc>
        <w:tc>
          <w:tcPr>
            <w:tcW w:w="1980" w:type="dxa"/>
            <w:vAlign w:val="center"/>
            <w:textDirection w:val="lrTb"/>
            <w:noWrap w:val="false"/>
          </w:tcPr>
          <w:p>
            <w:pPr>
              <w:pStyle w:val="1118"/>
              <w:jc w:val="center"/>
              <w:rPr>
                <w:color w:val="000000"/>
                <w:sz w:val="24"/>
              </w:rPr>
            </w:pPr>
            <w:r>
              <w:rPr>
                <w:color w:val="000000"/>
                <w:sz w:val="24"/>
              </w:rPr>
            </w:r>
            <w:r/>
          </w:p>
        </w:tc>
        <w:tc>
          <w:tcPr>
            <w:tcW w:w="1981" w:type="dxa"/>
            <w:vAlign w:val="center"/>
            <w:textDirection w:val="lrTb"/>
            <w:noWrap w:val="false"/>
          </w:tcPr>
          <w:p>
            <w:pPr>
              <w:pStyle w:val="1118"/>
              <w:jc w:val="center"/>
              <w:rPr>
                <w:color w:val="000000"/>
                <w:sz w:val="24"/>
              </w:rPr>
            </w:pPr>
            <w:r>
              <w:rPr>
                <w:color w:val="000000"/>
                <w:sz w:val="24"/>
              </w:rPr>
            </w:r>
            <w:r/>
          </w:p>
        </w:tc>
        <w:tc>
          <w:tcPr>
            <w:tcW w:w="2427" w:type="dxa"/>
            <w:vAlign w:val="center"/>
            <w:textDirection w:val="lrTb"/>
            <w:noWrap w:val="false"/>
          </w:tcPr>
          <w:p>
            <w:pPr>
              <w:pStyle w:val="1118"/>
              <w:jc w:val="center"/>
              <w:rPr>
                <w:color w:val="000000"/>
                <w:sz w:val="24"/>
              </w:rPr>
            </w:pPr>
            <w:r>
              <w:rPr>
                <w:color w:val="000000"/>
                <w:sz w:val="24"/>
              </w:rPr>
            </w:r>
            <w:r/>
          </w:p>
        </w:tc>
        <w:tc>
          <w:tcPr>
            <w:tcW w:w="782" w:type="dxa"/>
            <w:vAlign w:val="center"/>
            <w:textDirection w:val="lrTb"/>
            <w:noWrap w:val="false"/>
          </w:tcPr>
          <w:p>
            <w:pPr>
              <w:pStyle w:val="1118"/>
              <w:jc w:val="center"/>
              <w:rPr>
                <w:color w:val="000000"/>
                <w:sz w:val="24"/>
              </w:rPr>
            </w:pPr>
            <w:r>
              <w:rPr>
                <w:color w:val="000000"/>
                <w:sz w:val="24"/>
              </w:rPr>
            </w:r>
            <w:r/>
          </w:p>
        </w:tc>
      </w:tr>
      <w:tr>
        <w:trPr>
          <w:trHeight w:val="930"/>
        </w:trPr>
        <w:tc>
          <w:tcPr>
            <w:tcW w:w="828" w:type="dxa"/>
            <w:vAlign w:val="center"/>
            <w:textDirection w:val="lrTb"/>
            <w:noWrap w:val="false"/>
          </w:tcPr>
          <w:p>
            <w:pPr>
              <w:pStyle w:val="1118"/>
              <w:jc w:val="center"/>
              <w:rPr>
                <w:color w:val="000000"/>
                <w:sz w:val="24"/>
              </w:rPr>
            </w:pPr>
            <w:r>
              <w:rPr>
                <w:color w:val="000000"/>
                <w:sz w:val="24"/>
              </w:rPr>
            </w:r>
            <w:r/>
          </w:p>
        </w:tc>
        <w:tc>
          <w:tcPr>
            <w:tcW w:w="1290" w:type="dxa"/>
            <w:vAlign w:val="center"/>
            <w:textDirection w:val="lrTb"/>
            <w:noWrap w:val="false"/>
          </w:tcPr>
          <w:p>
            <w:pPr>
              <w:pStyle w:val="1118"/>
              <w:jc w:val="center"/>
              <w:rPr>
                <w:color w:val="000000"/>
                <w:sz w:val="24"/>
              </w:rPr>
            </w:pPr>
            <w:r>
              <w:rPr>
                <w:color w:val="000000"/>
                <w:sz w:val="24"/>
              </w:rPr>
            </w:r>
            <w:r/>
          </w:p>
        </w:tc>
        <w:tc>
          <w:tcPr>
            <w:tcW w:w="1980" w:type="dxa"/>
            <w:vAlign w:val="center"/>
            <w:textDirection w:val="lrTb"/>
            <w:noWrap w:val="false"/>
          </w:tcPr>
          <w:p>
            <w:pPr>
              <w:pStyle w:val="1118"/>
              <w:jc w:val="center"/>
              <w:rPr>
                <w:color w:val="000000"/>
                <w:sz w:val="24"/>
              </w:rPr>
            </w:pPr>
            <w:r>
              <w:rPr>
                <w:color w:val="000000"/>
                <w:sz w:val="24"/>
              </w:rPr>
            </w:r>
            <w:r/>
          </w:p>
        </w:tc>
        <w:tc>
          <w:tcPr>
            <w:tcW w:w="1981" w:type="dxa"/>
            <w:vAlign w:val="center"/>
            <w:textDirection w:val="lrTb"/>
            <w:noWrap w:val="false"/>
          </w:tcPr>
          <w:p>
            <w:pPr>
              <w:pStyle w:val="1118"/>
              <w:jc w:val="center"/>
              <w:rPr>
                <w:color w:val="000000"/>
                <w:sz w:val="24"/>
              </w:rPr>
            </w:pPr>
            <w:r>
              <w:rPr>
                <w:color w:val="000000"/>
                <w:sz w:val="24"/>
              </w:rPr>
            </w:r>
            <w:r/>
          </w:p>
        </w:tc>
        <w:tc>
          <w:tcPr>
            <w:tcW w:w="2427" w:type="dxa"/>
            <w:vAlign w:val="center"/>
            <w:textDirection w:val="lrTb"/>
            <w:noWrap w:val="false"/>
          </w:tcPr>
          <w:p>
            <w:pPr>
              <w:pStyle w:val="1118"/>
              <w:jc w:val="center"/>
              <w:rPr>
                <w:color w:val="000000"/>
                <w:sz w:val="24"/>
              </w:rPr>
            </w:pPr>
            <w:r>
              <w:rPr>
                <w:color w:val="000000"/>
                <w:sz w:val="24"/>
              </w:rPr>
            </w:r>
            <w:r/>
          </w:p>
        </w:tc>
        <w:tc>
          <w:tcPr>
            <w:tcW w:w="782" w:type="dxa"/>
            <w:vAlign w:val="center"/>
            <w:textDirection w:val="lrTb"/>
            <w:noWrap w:val="false"/>
          </w:tcPr>
          <w:p>
            <w:pPr>
              <w:pStyle w:val="1118"/>
              <w:jc w:val="center"/>
              <w:rPr>
                <w:color w:val="000000"/>
                <w:sz w:val="24"/>
              </w:rPr>
            </w:pPr>
            <w:r>
              <w:rPr>
                <w:color w:val="000000"/>
                <w:sz w:val="24"/>
              </w:rPr>
            </w:r>
            <w:r/>
          </w:p>
        </w:tc>
      </w:tr>
    </w:tbl>
    <w:p>
      <w:pPr>
        <w:pStyle w:val="1118"/>
        <w:jc w:val="left"/>
        <w:tabs>
          <w:tab w:val="left" w:pos="1800" w:leader="none"/>
          <w:tab w:val="left" w:pos="5580" w:leader="none"/>
        </w:tabs>
        <w:rPr>
          <w:color w:val="000000"/>
          <w:sz w:val="24"/>
        </w:rPr>
      </w:pPr>
      <w:r>
        <w:rPr>
          <w:color w:val="000000"/>
          <w:sz w:val="24"/>
        </w:rPr>
      </w:r>
      <w:r/>
    </w:p>
    <w:p>
      <w:pPr>
        <w:pStyle w:val="1118"/>
        <w:jc w:val="left"/>
        <w:tabs>
          <w:tab w:val="left" w:pos="1800" w:leader="none"/>
          <w:tab w:val="left" w:pos="5580" w:leader="none"/>
        </w:tabs>
        <w:rPr>
          <w:color w:val="000000"/>
          <w:sz w:val="24"/>
        </w:rPr>
      </w:pPr>
      <w:r>
        <w:rPr>
          <w:rFonts w:hint="eastAsia"/>
          <w:color w:val="000000"/>
          <w:sz w:val="24"/>
        </w:rPr>
        <w:t xml:space="preserve">注：</w:t>
      </w:r>
      <w:r>
        <w:rPr>
          <w:color w:val="000000"/>
          <w:sz w:val="24"/>
        </w:rPr>
      </w:r>
      <w:r/>
    </w:p>
    <w:p>
      <w:pPr>
        <w:pStyle w:val="1118"/>
        <w:jc w:val="left"/>
        <w:tabs>
          <w:tab w:val="left" w:pos="1800" w:leader="none"/>
          <w:tab w:val="left" w:pos="5580" w:leader="none"/>
        </w:tabs>
        <w:rPr>
          <w:sz w:val="24"/>
        </w:rPr>
      </w:pPr>
      <w:r>
        <w:rPr>
          <w:color w:val="000000"/>
          <w:sz w:val="24"/>
        </w:rPr>
        <w:t xml:space="preserve">1. </w:t>
      </w:r>
      <w:r>
        <w:rPr>
          <w:rFonts w:hint="eastAsia"/>
          <w:sz w:val="24"/>
        </w:rPr>
        <w:t xml:space="preserve">对合同条款中的所有要求，除本表所列明的所有偏离外，均视作供应商已对之理解和响应。</w:t>
      </w:r>
      <w:r>
        <w:rPr>
          <w:sz w:val="24"/>
        </w:rPr>
      </w:r>
      <w:r/>
    </w:p>
    <w:p>
      <w:pPr>
        <w:pStyle w:val="1118"/>
        <w:jc w:val="left"/>
        <w:tabs>
          <w:tab w:val="left" w:pos="1800" w:leader="none"/>
          <w:tab w:val="left" w:pos="5580" w:leader="none"/>
        </w:tabs>
        <w:rPr>
          <w:color w:val="000000"/>
          <w:sz w:val="24"/>
        </w:rPr>
      </w:pPr>
      <w:r>
        <w:rPr>
          <w:sz w:val="24"/>
        </w:rPr>
        <w:t xml:space="preserve">2. </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w:t>
      </w:r>
      <w:r>
        <w:rPr>
          <w:color w:val="000000"/>
          <w:sz w:val="24"/>
        </w:rPr>
      </w:r>
      <w:r/>
    </w:p>
    <w:p>
      <w:pPr>
        <w:pStyle w:val="1118"/>
        <w:spacing w:line="360" w:lineRule="auto"/>
        <w:rPr>
          <w:color w:val="000000"/>
          <w:sz w:val="24"/>
          <w:szCs w:val="20"/>
        </w:rPr>
      </w:pPr>
      <w:r>
        <w:rPr>
          <w:color w:val="000000"/>
          <w:sz w:val="24"/>
          <w:szCs w:val="20"/>
        </w:rPr>
      </w:r>
      <w:r/>
    </w:p>
    <w:p>
      <w:pPr>
        <w:pStyle w:val="1118"/>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118"/>
        <w:spacing w:before="25" w:after="25" w:line="360" w:lineRule="auto"/>
        <w:rPr>
          <w:color w:val="000000"/>
          <w:sz w:val="24"/>
          <w:lang w:val="zh-CN"/>
        </w:rPr>
      </w:pPr>
      <w:r>
        <w:rPr>
          <w:color w:val="000000"/>
          <w:sz w:val="24"/>
        </w:rPr>
        <w:t xml:space="preserve">供应商名称（加盖公章）</w:t>
      </w:r>
      <w:r>
        <w:rPr>
          <w:rFonts w:hint="eastAsia"/>
          <w:color w:val="000000"/>
          <w:sz w:val="24"/>
        </w:rPr>
        <w:t xml:space="preserve">：</w:t>
      </w:r>
      <w:r>
        <w:rPr>
          <w:color w:val="000000"/>
          <w:sz w:val="24"/>
          <w:lang w:val="zh-CN"/>
        </w:rPr>
        <w:t xml:space="preserve">____________</w:t>
      </w:r>
      <w:r>
        <w:rPr>
          <w:color w:val="000000"/>
          <w:sz w:val="24"/>
          <w:lang w:val="zh-CN"/>
        </w:rPr>
      </w:r>
      <w:r/>
    </w:p>
    <w:p>
      <w:pPr>
        <w:pStyle w:val="1118"/>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18"/>
        <w:spacing w:line="360" w:lineRule="auto"/>
        <w:rPr>
          <w:color w:val="000000"/>
          <w:sz w:val="24"/>
          <w:szCs w:val="20"/>
        </w:rPr>
        <w:outlineLvl w:val="2"/>
      </w:pPr>
      <w:r>
        <w:rPr>
          <w:color w:val="000000"/>
          <w:sz w:val="24"/>
          <w:szCs w:val="20"/>
        </w:rPr>
        <w:br w:type="page" w:clear="all"/>
      </w:r>
      <w:r>
        <w:rPr>
          <w:color w:val="000000"/>
          <w:sz w:val="24"/>
          <w:szCs w:val="20"/>
        </w:rPr>
      </w:r>
      <w:r/>
    </w:p>
    <w:p>
      <w:pPr>
        <w:pStyle w:val="1118"/>
        <w:spacing w:line="360" w:lineRule="auto"/>
        <w:rPr>
          <w:color w:val="000000"/>
          <w:sz w:val="24"/>
          <w:szCs w:val="20"/>
        </w:rPr>
        <w:outlineLvl w:val="2"/>
      </w:pPr>
      <w:r>
        <w:rPr>
          <w:rFonts w:hint="eastAsia"/>
          <w:color w:val="000000"/>
          <w:sz w:val="24"/>
          <w:szCs w:val="20"/>
          <w:lang w:val="en-US" w:eastAsia="zh-CN"/>
        </w:rPr>
        <w:t xml:space="preserve">9</w:t>
      </w:r>
      <w:r>
        <w:rPr>
          <w:color w:val="000000"/>
          <w:sz w:val="24"/>
          <w:szCs w:val="20"/>
        </w:rPr>
        <w:t xml:space="preserve">  </w:t>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rPr>
          <w:color w:val="000000"/>
          <w:sz w:val="24"/>
          <w:szCs w:val="20"/>
        </w:rPr>
        <w:t xml:space="preserve">采购需求偏离表</w:t>
      </w:r>
      <w:r>
        <w:rPr>
          <w:color w:val="000000"/>
          <w:sz w:val="24"/>
          <w:szCs w:val="20"/>
        </w:rPr>
      </w:r>
      <w:r/>
    </w:p>
    <w:p>
      <w:pPr>
        <w:pStyle w:val="1118"/>
        <w:jc w:val="center"/>
        <w:rPr>
          <w:b/>
          <w:color w:val="000000"/>
          <w:sz w:val="36"/>
          <w:szCs w:val="36"/>
        </w:rPr>
      </w:pPr>
      <w:r>
        <w:rPr>
          <w:rFonts w:hint="eastAsia"/>
          <w:b/>
          <w:color w:val="000000"/>
          <w:sz w:val="36"/>
          <w:szCs w:val="36"/>
        </w:rPr>
        <w:t xml:space="preserve">采购需求偏离表</w:t>
      </w:r>
      <w:r>
        <w:rPr>
          <w:b/>
          <w:color w:val="000000"/>
          <w:sz w:val="36"/>
          <w:szCs w:val="36"/>
        </w:rPr>
      </w:r>
      <w:r/>
    </w:p>
    <w:p>
      <w:pPr>
        <w:pStyle w:val="1118"/>
        <w:jc w:val="center"/>
        <w:rPr>
          <w:color w:val="000000"/>
          <w:sz w:val="36"/>
          <w:szCs w:val="36"/>
        </w:rPr>
      </w:pPr>
      <w:r>
        <w:rPr>
          <w:color w:val="000000"/>
          <w:sz w:val="36"/>
          <w:szCs w:val="36"/>
        </w:rPr>
      </w:r>
      <w:r/>
    </w:p>
    <w:p>
      <w:pPr>
        <w:pStyle w:val="1118"/>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项目名称：_______________________</w:t>
      </w:r>
      <w:r>
        <w:rPr>
          <w:color w:val="000000"/>
          <w:sz w:val="24"/>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118"/>
              <w:jc w:val="center"/>
              <w:rPr>
                <w:color w:val="000000"/>
                <w:sz w:val="24"/>
              </w:rPr>
            </w:pPr>
            <w:r>
              <w:rPr>
                <w:color w:val="000000"/>
                <w:sz w:val="24"/>
              </w:rPr>
              <w:t xml:space="preserve">序号</w:t>
            </w:r>
            <w:r>
              <w:rPr>
                <w:color w:val="000000"/>
                <w:sz w:val="24"/>
              </w:rPr>
            </w:r>
            <w:r/>
          </w:p>
        </w:tc>
        <w:tc>
          <w:tcPr>
            <w:tcW w:w="1482" w:type="dxa"/>
            <w:vAlign w:val="center"/>
            <w:textDirection w:val="lrTb"/>
            <w:noWrap w:val="false"/>
          </w:tcPr>
          <w:p>
            <w:pPr>
              <w:pStyle w:val="1118"/>
              <w:jc w:val="center"/>
              <w:rPr>
                <w:color w:val="000000"/>
                <w:sz w:val="24"/>
              </w:rPr>
            </w:pPr>
            <w:r>
              <w:rPr>
                <w:color w:val="000000"/>
                <w:sz w:val="24"/>
              </w:rPr>
              <w:t xml:space="preserve">磋商文件条目号(页码)</w:t>
            </w:r>
            <w:r>
              <w:rPr>
                <w:color w:val="000000"/>
                <w:sz w:val="24"/>
              </w:rPr>
            </w:r>
            <w:r/>
          </w:p>
        </w:tc>
        <w:tc>
          <w:tcPr>
            <w:tcW w:w="2384" w:type="dxa"/>
            <w:vAlign w:val="center"/>
            <w:textDirection w:val="lrTb"/>
            <w:noWrap w:val="false"/>
          </w:tcPr>
          <w:p>
            <w:pPr>
              <w:pStyle w:val="1118"/>
              <w:jc w:val="center"/>
              <w:rPr>
                <w:color w:val="000000"/>
                <w:sz w:val="24"/>
              </w:rPr>
            </w:pPr>
            <w:r>
              <w:rPr>
                <w:color w:val="000000"/>
                <w:sz w:val="24"/>
              </w:rPr>
              <w:t xml:space="preserve">磋商文件要求</w:t>
            </w:r>
            <w:r>
              <w:rPr>
                <w:color w:val="000000"/>
                <w:sz w:val="24"/>
              </w:rPr>
            </w:r>
            <w:r/>
          </w:p>
        </w:tc>
        <w:tc>
          <w:tcPr>
            <w:tcW w:w="2126" w:type="dxa"/>
            <w:vAlign w:val="center"/>
            <w:textDirection w:val="lrTb"/>
            <w:noWrap w:val="false"/>
          </w:tcPr>
          <w:p>
            <w:pPr>
              <w:pStyle w:val="1118"/>
              <w:jc w:val="center"/>
              <w:rPr>
                <w:color w:val="000000"/>
                <w:sz w:val="24"/>
              </w:rPr>
            </w:pPr>
            <w:r>
              <w:rPr>
                <w:color w:val="000000"/>
                <w:sz w:val="24"/>
              </w:rPr>
              <w:t xml:space="preserve">响应内容</w:t>
            </w:r>
            <w:r>
              <w:rPr>
                <w:color w:val="000000"/>
                <w:sz w:val="24"/>
              </w:rPr>
            </w:r>
            <w:r/>
          </w:p>
        </w:tc>
        <w:tc>
          <w:tcPr>
            <w:tcW w:w="1875" w:type="dxa"/>
            <w:vAlign w:val="center"/>
            <w:textDirection w:val="lrTb"/>
            <w:noWrap w:val="false"/>
          </w:tcPr>
          <w:p>
            <w:pPr>
              <w:pStyle w:val="1118"/>
              <w:jc w:val="center"/>
              <w:rPr>
                <w:color w:val="000000"/>
                <w:sz w:val="24"/>
              </w:rPr>
            </w:pPr>
            <w:r>
              <w:rPr>
                <w:color w:val="000000"/>
                <w:sz w:val="24"/>
              </w:rPr>
              <w:t xml:space="preserve">偏离情况</w:t>
            </w:r>
            <w:r>
              <w:rPr>
                <w:color w:val="000000"/>
                <w:sz w:val="24"/>
              </w:rPr>
            </w:r>
            <w:r/>
          </w:p>
          <w:p>
            <w:pPr>
              <w:pStyle w:val="1118"/>
              <w:jc w:val="center"/>
              <w:rPr>
                <w:color w:val="000000"/>
                <w:sz w:val="24"/>
              </w:rPr>
            </w:pPr>
            <w:r>
              <w:rPr>
                <w:color w:val="000000"/>
                <w:sz w:val="24"/>
                <w:szCs w:val="21"/>
              </w:rPr>
              <w:t xml:space="preserve">（据实填写）</w:t>
            </w:r>
            <w:r>
              <w:rPr>
                <w:color w:val="000000"/>
                <w:sz w:val="24"/>
              </w:rPr>
            </w:r>
            <w:r/>
          </w:p>
        </w:tc>
        <w:tc>
          <w:tcPr>
            <w:tcW w:w="1009" w:type="dxa"/>
            <w:vAlign w:val="center"/>
            <w:textDirection w:val="lrTb"/>
            <w:noWrap w:val="false"/>
          </w:tcPr>
          <w:p>
            <w:pPr>
              <w:pStyle w:val="1118"/>
              <w:jc w:val="center"/>
              <w:rPr>
                <w:color w:val="000000"/>
                <w:sz w:val="24"/>
              </w:rPr>
            </w:pPr>
            <w:r>
              <w:rPr>
                <w:color w:val="000000"/>
                <w:sz w:val="24"/>
              </w:rPr>
              <w:t xml:space="preserve">说明</w:t>
            </w:r>
            <w:r>
              <w:rPr>
                <w:color w:val="000000"/>
                <w:sz w:val="24"/>
              </w:rPr>
            </w:r>
            <w:r/>
          </w:p>
        </w:tc>
      </w:tr>
      <w:tr>
        <w:trPr>
          <w:trHeight w:val="930"/>
        </w:trPr>
        <w:tc>
          <w:tcPr>
            <w:tcW w:w="775" w:type="dxa"/>
            <w:vAlign w:val="center"/>
            <w:textDirection w:val="lrTb"/>
            <w:noWrap w:val="false"/>
          </w:tcPr>
          <w:p>
            <w:pPr>
              <w:pStyle w:val="1118"/>
              <w:jc w:val="center"/>
              <w:rPr>
                <w:color w:val="000000"/>
                <w:sz w:val="24"/>
              </w:rPr>
            </w:pPr>
            <w:r>
              <w:rPr>
                <w:color w:val="000000"/>
                <w:sz w:val="24"/>
              </w:rPr>
            </w:r>
            <w:r/>
          </w:p>
        </w:tc>
        <w:tc>
          <w:tcPr>
            <w:tcW w:w="1482" w:type="dxa"/>
            <w:vAlign w:val="center"/>
            <w:textDirection w:val="lrTb"/>
            <w:noWrap w:val="false"/>
          </w:tcPr>
          <w:p>
            <w:pPr>
              <w:pStyle w:val="1118"/>
              <w:jc w:val="center"/>
              <w:rPr>
                <w:color w:val="000000"/>
                <w:sz w:val="24"/>
              </w:rPr>
            </w:pPr>
            <w:r>
              <w:rPr>
                <w:color w:val="000000"/>
                <w:sz w:val="24"/>
              </w:rPr>
            </w:r>
            <w:r/>
          </w:p>
        </w:tc>
        <w:tc>
          <w:tcPr>
            <w:tcW w:w="2384" w:type="dxa"/>
            <w:vAlign w:val="center"/>
            <w:textDirection w:val="lrTb"/>
            <w:noWrap w:val="false"/>
          </w:tcPr>
          <w:p>
            <w:pPr>
              <w:pStyle w:val="1118"/>
              <w:jc w:val="center"/>
              <w:rPr>
                <w:color w:val="000000"/>
                <w:sz w:val="24"/>
              </w:rPr>
            </w:pPr>
            <w:r>
              <w:rPr>
                <w:color w:val="000000"/>
                <w:sz w:val="24"/>
              </w:rPr>
            </w:r>
            <w:r/>
          </w:p>
        </w:tc>
        <w:tc>
          <w:tcPr>
            <w:tcW w:w="2126" w:type="dxa"/>
            <w:vAlign w:val="center"/>
            <w:textDirection w:val="lrTb"/>
            <w:noWrap w:val="false"/>
          </w:tcPr>
          <w:p>
            <w:pPr>
              <w:pStyle w:val="1118"/>
              <w:jc w:val="center"/>
              <w:rPr>
                <w:color w:val="000000"/>
                <w:sz w:val="24"/>
              </w:rPr>
            </w:pPr>
            <w:r>
              <w:rPr>
                <w:color w:val="000000"/>
                <w:sz w:val="24"/>
              </w:rPr>
            </w:r>
            <w:r/>
          </w:p>
        </w:tc>
        <w:tc>
          <w:tcPr>
            <w:tcW w:w="1875" w:type="dxa"/>
            <w:vAlign w:val="center"/>
            <w:textDirection w:val="lrTb"/>
            <w:noWrap w:val="false"/>
          </w:tcPr>
          <w:p>
            <w:pPr>
              <w:pStyle w:val="1118"/>
              <w:jc w:val="center"/>
              <w:rPr>
                <w:color w:val="000000"/>
                <w:sz w:val="24"/>
              </w:rPr>
            </w:pPr>
            <w:r>
              <w:rPr>
                <w:color w:val="000000"/>
                <w:sz w:val="24"/>
              </w:rPr>
            </w:r>
            <w:r/>
          </w:p>
        </w:tc>
        <w:tc>
          <w:tcPr>
            <w:tcW w:w="1009" w:type="dxa"/>
            <w:vAlign w:val="center"/>
            <w:textDirection w:val="lrTb"/>
            <w:noWrap w:val="false"/>
          </w:tcPr>
          <w:p>
            <w:pPr>
              <w:pStyle w:val="1118"/>
              <w:jc w:val="center"/>
              <w:rPr>
                <w:color w:val="000000"/>
                <w:sz w:val="24"/>
              </w:rPr>
            </w:pPr>
            <w:r>
              <w:rPr>
                <w:color w:val="000000"/>
                <w:sz w:val="24"/>
              </w:rPr>
            </w:r>
            <w:r/>
          </w:p>
        </w:tc>
      </w:tr>
      <w:tr>
        <w:trPr>
          <w:trHeight w:val="930"/>
        </w:trPr>
        <w:tc>
          <w:tcPr>
            <w:tcW w:w="775" w:type="dxa"/>
            <w:vAlign w:val="center"/>
            <w:textDirection w:val="lrTb"/>
            <w:noWrap w:val="false"/>
          </w:tcPr>
          <w:p>
            <w:pPr>
              <w:pStyle w:val="1118"/>
              <w:jc w:val="center"/>
              <w:rPr>
                <w:color w:val="000000"/>
                <w:sz w:val="24"/>
              </w:rPr>
            </w:pPr>
            <w:r>
              <w:rPr>
                <w:color w:val="000000"/>
                <w:sz w:val="24"/>
              </w:rPr>
            </w:r>
            <w:r/>
          </w:p>
        </w:tc>
        <w:tc>
          <w:tcPr>
            <w:tcW w:w="1482" w:type="dxa"/>
            <w:vAlign w:val="center"/>
            <w:textDirection w:val="lrTb"/>
            <w:noWrap w:val="false"/>
          </w:tcPr>
          <w:p>
            <w:pPr>
              <w:pStyle w:val="1118"/>
              <w:jc w:val="center"/>
              <w:rPr>
                <w:color w:val="000000"/>
                <w:sz w:val="24"/>
              </w:rPr>
            </w:pPr>
            <w:r>
              <w:rPr>
                <w:color w:val="000000"/>
                <w:sz w:val="24"/>
              </w:rPr>
            </w:r>
            <w:r/>
          </w:p>
        </w:tc>
        <w:tc>
          <w:tcPr>
            <w:tcW w:w="2384" w:type="dxa"/>
            <w:vAlign w:val="center"/>
            <w:textDirection w:val="lrTb"/>
            <w:noWrap w:val="false"/>
          </w:tcPr>
          <w:p>
            <w:pPr>
              <w:pStyle w:val="1118"/>
              <w:jc w:val="center"/>
              <w:rPr>
                <w:color w:val="000000"/>
                <w:sz w:val="24"/>
              </w:rPr>
            </w:pPr>
            <w:r>
              <w:rPr>
                <w:color w:val="000000"/>
                <w:sz w:val="24"/>
              </w:rPr>
            </w:r>
            <w:r/>
          </w:p>
        </w:tc>
        <w:tc>
          <w:tcPr>
            <w:tcW w:w="2126" w:type="dxa"/>
            <w:vAlign w:val="center"/>
            <w:textDirection w:val="lrTb"/>
            <w:noWrap w:val="false"/>
          </w:tcPr>
          <w:p>
            <w:pPr>
              <w:pStyle w:val="1118"/>
              <w:jc w:val="center"/>
              <w:rPr>
                <w:color w:val="000000"/>
                <w:sz w:val="24"/>
              </w:rPr>
            </w:pPr>
            <w:r>
              <w:rPr>
                <w:color w:val="000000"/>
                <w:sz w:val="24"/>
              </w:rPr>
            </w:r>
            <w:r/>
          </w:p>
        </w:tc>
        <w:tc>
          <w:tcPr>
            <w:tcW w:w="1875" w:type="dxa"/>
            <w:vAlign w:val="center"/>
            <w:textDirection w:val="lrTb"/>
            <w:noWrap w:val="false"/>
          </w:tcPr>
          <w:p>
            <w:pPr>
              <w:pStyle w:val="1118"/>
              <w:jc w:val="center"/>
              <w:rPr>
                <w:color w:val="000000"/>
                <w:sz w:val="24"/>
              </w:rPr>
            </w:pPr>
            <w:r>
              <w:rPr>
                <w:color w:val="000000"/>
                <w:sz w:val="24"/>
              </w:rPr>
            </w:r>
            <w:r/>
          </w:p>
        </w:tc>
        <w:tc>
          <w:tcPr>
            <w:tcW w:w="1009" w:type="dxa"/>
            <w:vAlign w:val="center"/>
            <w:textDirection w:val="lrTb"/>
            <w:noWrap w:val="false"/>
          </w:tcPr>
          <w:p>
            <w:pPr>
              <w:pStyle w:val="1118"/>
              <w:jc w:val="center"/>
              <w:rPr>
                <w:color w:val="000000"/>
                <w:sz w:val="24"/>
              </w:rPr>
            </w:pPr>
            <w:r>
              <w:rPr>
                <w:color w:val="000000"/>
                <w:sz w:val="24"/>
              </w:rPr>
            </w:r>
            <w:r/>
          </w:p>
        </w:tc>
      </w:tr>
      <w:tr>
        <w:trPr>
          <w:trHeight w:val="930"/>
        </w:trPr>
        <w:tc>
          <w:tcPr>
            <w:tcW w:w="775" w:type="dxa"/>
            <w:vAlign w:val="center"/>
            <w:textDirection w:val="lrTb"/>
            <w:noWrap w:val="false"/>
          </w:tcPr>
          <w:p>
            <w:pPr>
              <w:pStyle w:val="1118"/>
              <w:jc w:val="center"/>
              <w:rPr>
                <w:color w:val="000000"/>
                <w:sz w:val="24"/>
              </w:rPr>
            </w:pPr>
            <w:r>
              <w:rPr>
                <w:color w:val="000000"/>
                <w:sz w:val="24"/>
              </w:rPr>
            </w:r>
            <w:r/>
          </w:p>
        </w:tc>
        <w:tc>
          <w:tcPr>
            <w:tcW w:w="1482" w:type="dxa"/>
            <w:vAlign w:val="center"/>
            <w:textDirection w:val="lrTb"/>
            <w:noWrap w:val="false"/>
          </w:tcPr>
          <w:p>
            <w:pPr>
              <w:pStyle w:val="1118"/>
              <w:jc w:val="center"/>
              <w:rPr>
                <w:color w:val="000000"/>
                <w:sz w:val="24"/>
              </w:rPr>
            </w:pPr>
            <w:r>
              <w:rPr>
                <w:color w:val="000000"/>
                <w:sz w:val="24"/>
              </w:rPr>
            </w:r>
            <w:r/>
          </w:p>
        </w:tc>
        <w:tc>
          <w:tcPr>
            <w:tcW w:w="2384" w:type="dxa"/>
            <w:vAlign w:val="center"/>
            <w:textDirection w:val="lrTb"/>
            <w:noWrap w:val="false"/>
          </w:tcPr>
          <w:p>
            <w:pPr>
              <w:pStyle w:val="1118"/>
              <w:jc w:val="center"/>
              <w:rPr>
                <w:color w:val="000000"/>
                <w:sz w:val="24"/>
              </w:rPr>
            </w:pPr>
            <w:r>
              <w:rPr>
                <w:color w:val="000000"/>
                <w:sz w:val="24"/>
              </w:rPr>
            </w:r>
            <w:r/>
          </w:p>
        </w:tc>
        <w:tc>
          <w:tcPr>
            <w:tcW w:w="2126" w:type="dxa"/>
            <w:vAlign w:val="center"/>
            <w:textDirection w:val="lrTb"/>
            <w:noWrap w:val="false"/>
          </w:tcPr>
          <w:p>
            <w:pPr>
              <w:pStyle w:val="1118"/>
              <w:jc w:val="center"/>
              <w:rPr>
                <w:color w:val="000000"/>
                <w:sz w:val="24"/>
              </w:rPr>
            </w:pPr>
            <w:r>
              <w:rPr>
                <w:color w:val="000000"/>
                <w:sz w:val="24"/>
              </w:rPr>
            </w:r>
            <w:r/>
          </w:p>
        </w:tc>
        <w:tc>
          <w:tcPr>
            <w:tcW w:w="1875" w:type="dxa"/>
            <w:vAlign w:val="center"/>
            <w:textDirection w:val="lrTb"/>
            <w:noWrap w:val="false"/>
          </w:tcPr>
          <w:p>
            <w:pPr>
              <w:pStyle w:val="1118"/>
              <w:jc w:val="center"/>
              <w:rPr>
                <w:color w:val="000000"/>
                <w:sz w:val="24"/>
              </w:rPr>
            </w:pPr>
            <w:r>
              <w:rPr>
                <w:color w:val="000000"/>
                <w:sz w:val="24"/>
              </w:rPr>
            </w:r>
            <w:r/>
          </w:p>
        </w:tc>
        <w:tc>
          <w:tcPr>
            <w:tcW w:w="1009" w:type="dxa"/>
            <w:vAlign w:val="center"/>
            <w:textDirection w:val="lrTb"/>
            <w:noWrap w:val="false"/>
          </w:tcPr>
          <w:p>
            <w:pPr>
              <w:pStyle w:val="1118"/>
              <w:jc w:val="center"/>
              <w:rPr>
                <w:color w:val="000000"/>
                <w:sz w:val="24"/>
              </w:rPr>
            </w:pPr>
            <w:r>
              <w:rPr>
                <w:color w:val="000000"/>
                <w:sz w:val="24"/>
              </w:rPr>
            </w:r>
            <w:r/>
          </w:p>
        </w:tc>
      </w:tr>
      <w:tr>
        <w:trPr>
          <w:trHeight w:val="930"/>
        </w:trPr>
        <w:tc>
          <w:tcPr>
            <w:tcW w:w="775" w:type="dxa"/>
            <w:vAlign w:val="center"/>
            <w:textDirection w:val="lrTb"/>
            <w:noWrap w:val="false"/>
          </w:tcPr>
          <w:p>
            <w:pPr>
              <w:pStyle w:val="1118"/>
              <w:jc w:val="center"/>
              <w:rPr>
                <w:color w:val="000000"/>
                <w:sz w:val="24"/>
              </w:rPr>
            </w:pPr>
            <w:r>
              <w:rPr>
                <w:color w:val="000000"/>
                <w:sz w:val="24"/>
              </w:rPr>
            </w:r>
            <w:r/>
          </w:p>
        </w:tc>
        <w:tc>
          <w:tcPr>
            <w:tcW w:w="1482" w:type="dxa"/>
            <w:vAlign w:val="center"/>
            <w:textDirection w:val="lrTb"/>
            <w:noWrap w:val="false"/>
          </w:tcPr>
          <w:p>
            <w:pPr>
              <w:pStyle w:val="1118"/>
              <w:jc w:val="center"/>
              <w:rPr>
                <w:color w:val="000000"/>
                <w:sz w:val="24"/>
              </w:rPr>
            </w:pPr>
            <w:r>
              <w:rPr>
                <w:color w:val="000000"/>
                <w:sz w:val="24"/>
              </w:rPr>
            </w:r>
            <w:r/>
          </w:p>
        </w:tc>
        <w:tc>
          <w:tcPr>
            <w:tcW w:w="2384" w:type="dxa"/>
            <w:vAlign w:val="center"/>
            <w:textDirection w:val="lrTb"/>
            <w:noWrap w:val="false"/>
          </w:tcPr>
          <w:p>
            <w:pPr>
              <w:pStyle w:val="1118"/>
              <w:jc w:val="center"/>
              <w:rPr>
                <w:color w:val="000000"/>
                <w:sz w:val="24"/>
              </w:rPr>
            </w:pPr>
            <w:r>
              <w:rPr>
                <w:color w:val="000000"/>
                <w:sz w:val="24"/>
              </w:rPr>
            </w:r>
            <w:r/>
          </w:p>
        </w:tc>
        <w:tc>
          <w:tcPr>
            <w:tcW w:w="2126" w:type="dxa"/>
            <w:vAlign w:val="center"/>
            <w:textDirection w:val="lrTb"/>
            <w:noWrap w:val="false"/>
          </w:tcPr>
          <w:p>
            <w:pPr>
              <w:pStyle w:val="1118"/>
              <w:jc w:val="center"/>
              <w:rPr>
                <w:color w:val="000000"/>
                <w:sz w:val="24"/>
              </w:rPr>
            </w:pPr>
            <w:r>
              <w:rPr>
                <w:color w:val="000000"/>
                <w:sz w:val="24"/>
              </w:rPr>
            </w:r>
            <w:r/>
          </w:p>
        </w:tc>
        <w:tc>
          <w:tcPr>
            <w:tcW w:w="1875" w:type="dxa"/>
            <w:vAlign w:val="center"/>
            <w:textDirection w:val="lrTb"/>
            <w:noWrap w:val="false"/>
          </w:tcPr>
          <w:p>
            <w:pPr>
              <w:pStyle w:val="1118"/>
              <w:jc w:val="center"/>
              <w:rPr>
                <w:color w:val="000000"/>
                <w:sz w:val="24"/>
              </w:rPr>
            </w:pPr>
            <w:r>
              <w:rPr>
                <w:color w:val="000000"/>
                <w:sz w:val="24"/>
              </w:rPr>
            </w:r>
            <w:r/>
          </w:p>
        </w:tc>
        <w:tc>
          <w:tcPr>
            <w:tcW w:w="1009" w:type="dxa"/>
            <w:vAlign w:val="center"/>
            <w:textDirection w:val="lrTb"/>
            <w:noWrap w:val="false"/>
          </w:tcPr>
          <w:p>
            <w:pPr>
              <w:pStyle w:val="1118"/>
              <w:jc w:val="center"/>
              <w:rPr>
                <w:color w:val="000000"/>
                <w:sz w:val="24"/>
              </w:rPr>
            </w:pPr>
            <w:r>
              <w:rPr>
                <w:color w:val="000000"/>
                <w:sz w:val="24"/>
              </w:rPr>
            </w:r>
            <w:r/>
          </w:p>
        </w:tc>
      </w:tr>
      <w:tr>
        <w:trPr>
          <w:trHeight w:val="930"/>
        </w:trPr>
        <w:tc>
          <w:tcPr>
            <w:tcW w:w="775" w:type="dxa"/>
            <w:vAlign w:val="center"/>
            <w:textDirection w:val="lrTb"/>
            <w:noWrap w:val="false"/>
          </w:tcPr>
          <w:p>
            <w:pPr>
              <w:pStyle w:val="1118"/>
              <w:jc w:val="center"/>
              <w:rPr>
                <w:color w:val="000000"/>
                <w:sz w:val="24"/>
              </w:rPr>
            </w:pPr>
            <w:r>
              <w:rPr>
                <w:color w:val="000000"/>
                <w:sz w:val="24"/>
              </w:rPr>
            </w:r>
            <w:r/>
          </w:p>
        </w:tc>
        <w:tc>
          <w:tcPr>
            <w:tcW w:w="1482" w:type="dxa"/>
            <w:vAlign w:val="center"/>
            <w:textDirection w:val="lrTb"/>
            <w:noWrap w:val="false"/>
          </w:tcPr>
          <w:p>
            <w:pPr>
              <w:pStyle w:val="1118"/>
              <w:jc w:val="center"/>
              <w:rPr>
                <w:color w:val="000000"/>
                <w:sz w:val="24"/>
              </w:rPr>
            </w:pPr>
            <w:r>
              <w:rPr>
                <w:color w:val="000000"/>
                <w:sz w:val="24"/>
              </w:rPr>
            </w:r>
            <w:r/>
          </w:p>
        </w:tc>
        <w:tc>
          <w:tcPr>
            <w:tcW w:w="2384" w:type="dxa"/>
            <w:vAlign w:val="center"/>
            <w:textDirection w:val="lrTb"/>
            <w:noWrap w:val="false"/>
          </w:tcPr>
          <w:p>
            <w:pPr>
              <w:pStyle w:val="1118"/>
              <w:jc w:val="center"/>
              <w:rPr>
                <w:color w:val="000000"/>
                <w:sz w:val="24"/>
              </w:rPr>
            </w:pPr>
            <w:r>
              <w:rPr>
                <w:color w:val="000000"/>
                <w:sz w:val="24"/>
              </w:rPr>
            </w:r>
            <w:r/>
          </w:p>
        </w:tc>
        <w:tc>
          <w:tcPr>
            <w:tcW w:w="2126" w:type="dxa"/>
            <w:vAlign w:val="center"/>
            <w:textDirection w:val="lrTb"/>
            <w:noWrap w:val="false"/>
          </w:tcPr>
          <w:p>
            <w:pPr>
              <w:pStyle w:val="1118"/>
              <w:jc w:val="center"/>
              <w:rPr>
                <w:color w:val="000000"/>
                <w:sz w:val="24"/>
              </w:rPr>
            </w:pPr>
            <w:r>
              <w:rPr>
                <w:color w:val="000000"/>
                <w:sz w:val="24"/>
              </w:rPr>
            </w:r>
            <w:r/>
          </w:p>
        </w:tc>
        <w:tc>
          <w:tcPr>
            <w:tcW w:w="1875" w:type="dxa"/>
            <w:vAlign w:val="center"/>
            <w:textDirection w:val="lrTb"/>
            <w:noWrap w:val="false"/>
          </w:tcPr>
          <w:p>
            <w:pPr>
              <w:pStyle w:val="1118"/>
              <w:jc w:val="center"/>
              <w:rPr>
                <w:color w:val="000000"/>
                <w:sz w:val="24"/>
              </w:rPr>
            </w:pPr>
            <w:r>
              <w:rPr>
                <w:color w:val="000000"/>
                <w:sz w:val="24"/>
              </w:rPr>
            </w:r>
            <w:r/>
          </w:p>
        </w:tc>
        <w:tc>
          <w:tcPr>
            <w:tcW w:w="1009" w:type="dxa"/>
            <w:vAlign w:val="center"/>
            <w:textDirection w:val="lrTb"/>
            <w:noWrap w:val="false"/>
          </w:tcPr>
          <w:p>
            <w:pPr>
              <w:pStyle w:val="1118"/>
              <w:jc w:val="center"/>
              <w:rPr>
                <w:color w:val="000000"/>
                <w:sz w:val="24"/>
              </w:rPr>
            </w:pPr>
            <w:r>
              <w:rPr>
                <w:color w:val="000000"/>
                <w:sz w:val="24"/>
              </w:rPr>
            </w:r>
            <w:r/>
          </w:p>
        </w:tc>
      </w:tr>
      <w:tr>
        <w:trPr>
          <w:trHeight w:val="930"/>
        </w:trPr>
        <w:tc>
          <w:tcPr>
            <w:tcW w:w="775" w:type="dxa"/>
            <w:vAlign w:val="center"/>
            <w:textDirection w:val="lrTb"/>
            <w:noWrap w:val="false"/>
          </w:tcPr>
          <w:p>
            <w:pPr>
              <w:pStyle w:val="1118"/>
              <w:jc w:val="center"/>
              <w:rPr>
                <w:color w:val="000000"/>
                <w:sz w:val="24"/>
              </w:rPr>
            </w:pPr>
            <w:r>
              <w:rPr>
                <w:color w:val="000000"/>
                <w:sz w:val="24"/>
              </w:rPr>
            </w:r>
            <w:r/>
          </w:p>
        </w:tc>
        <w:tc>
          <w:tcPr>
            <w:tcW w:w="1482" w:type="dxa"/>
            <w:vAlign w:val="center"/>
            <w:textDirection w:val="lrTb"/>
            <w:noWrap w:val="false"/>
          </w:tcPr>
          <w:p>
            <w:pPr>
              <w:pStyle w:val="1118"/>
              <w:jc w:val="center"/>
              <w:rPr>
                <w:color w:val="000000"/>
                <w:sz w:val="24"/>
              </w:rPr>
            </w:pPr>
            <w:r>
              <w:rPr>
                <w:color w:val="000000"/>
                <w:sz w:val="24"/>
              </w:rPr>
            </w:r>
            <w:r/>
          </w:p>
        </w:tc>
        <w:tc>
          <w:tcPr>
            <w:tcW w:w="2384" w:type="dxa"/>
            <w:vAlign w:val="center"/>
            <w:textDirection w:val="lrTb"/>
            <w:noWrap w:val="false"/>
          </w:tcPr>
          <w:p>
            <w:pPr>
              <w:pStyle w:val="1118"/>
              <w:jc w:val="center"/>
              <w:rPr>
                <w:color w:val="000000"/>
                <w:sz w:val="24"/>
              </w:rPr>
            </w:pPr>
            <w:r>
              <w:rPr>
                <w:color w:val="000000"/>
                <w:sz w:val="24"/>
              </w:rPr>
            </w:r>
            <w:r/>
          </w:p>
        </w:tc>
        <w:tc>
          <w:tcPr>
            <w:tcW w:w="2126" w:type="dxa"/>
            <w:vAlign w:val="center"/>
            <w:textDirection w:val="lrTb"/>
            <w:noWrap w:val="false"/>
          </w:tcPr>
          <w:p>
            <w:pPr>
              <w:pStyle w:val="1118"/>
              <w:jc w:val="center"/>
              <w:rPr>
                <w:color w:val="000000"/>
                <w:sz w:val="24"/>
              </w:rPr>
            </w:pPr>
            <w:r>
              <w:rPr>
                <w:color w:val="000000"/>
                <w:sz w:val="24"/>
              </w:rPr>
            </w:r>
            <w:r/>
          </w:p>
        </w:tc>
        <w:tc>
          <w:tcPr>
            <w:tcW w:w="1875" w:type="dxa"/>
            <w:vAlign w:val="center"/>
            <w:textDirection w:val="lrTb"/>
            <w:noWrap w:val="false"/>
          </w:tcPr>
          <w:p>
            <w:pPr>
              <w:pStyle w:val="1118"/>
              <w:jc w:val="center"/>
              <w:rPr>
                <w:color w:val="000000"/>
                <w:sz w:val="24"/>
              </w:rPr>
            </w:pPr>
            <w:r>
              <w:rPr>
                <w:color w:val="000000"/>
                <w:sz w:val="24"/>
              </w:rPr>
            </w:r>
            <w:r/>
          </w:p>
        </w:tc>
        <w:tc>
          <w:tcPr>
            <w:tcW w:w="1009" w:type="dxa"/>
            <w:vAlign w:val="center"/>
            <w:textDirection w:val="lrTb"/>
            <w:noWrap w:val="false"/>
          </w:tcPr>
          <w:p>
            <w:pPr>
              <w:pStyle w:val="1118"/>
              <w:jc w:val="center"/>
              <w:rPr>
                <w:color w:val="000000"/>
                <w:sz w:val="24"/>
              </w:rPr>
            </w:pPr>
            <w:r>
              <w:rPr>
                <w:color w:val="000000"/>
                <w:sz w:val="24"/>
              </w:rPr>
            </w:r>
            <w:r/>
          </w:p>
        </w:tc>
      </w:tr>
    </w:tbl>
    <w:p>
      <w:pPr>
        <w:pStyle w:val="1118"/>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118"/>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1118"/>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1118"/>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对磋商文件中的所有商务、技术要求，除本表所列明的所有偏离外，均视作供应商已对之理解和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rPr>
          <w:sz w:val="24"/>
        </w:rPr>
      </w:r>
      <w:r/>
    </w:p>
    <w:p>
      <w:pPr>
        <w:pStyle w:val="1118"/>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rFonts w:hint="eastAsia"/>
          <w:color w:val="000000"/>
          <w:sz w:val="24"/>
        </w:rPr>
        <w:t xml:space="preserve">据实</w:t>
      </w:r>
      <w:r>
        <w:rPr>
          <w:rFonts w:hint="eastAsia"/>
          <w:sz w:val="24"/>
        </w:rPr>
        <w:t xml:space="preserve">填写“正偏离”或“负偏离”。</w:t>
      </w:r>
      <w:r>
        <w:rPr>
          <w:color w:val="000000"/>
          <w:sz w:val="24"/>
        </w:rPr>
      </w:r>
      <w:r/>
    </w:p>
    <w:p>
      <w:pPr>
        <w:pStyle w:val="1118"/>
        <w:jc w:val="left"/>
        <w:tabs>
          <w:tab w:val="left" w:pos="1800" w:leader="none"/>
          <w:tab w:val="left" w:pos="5580" w:leader="none"/>
        </w:tabs>
        <w:rPr>
          <w:color w:val="000000"/>
          <w:sz w:val="24"/>
        </w:rPr>
      </w:pPr>
      <w:r>
        <w:rPr>
          <w:color w:val="000000"/>
          <w:sz w:val="24"/>
        </w:rPr>
      </w:r>
      <w:r/>
    </w:p>
    <w:p>
      <w:pPr>
        <w:pStyle w:val="1118"/>
        <w:rPr>
          <w:color w:val="000000"/>
          <w:sz w:val="24"/>
          <w:szCs w:val="20"/>
        </w:rPr>
      </w:pPr>
      <w:r>
        <w:rPr>
          <w:color w:val="000000"/>
          <w:sz w:val="24"/>
          <w:szCs w:val="20"/>
        </w:rPr>
      </w:r>
      <w:r/>
    </w:p>
    <w:p>
      <w:pPr>
        <w:pStyle w:val="1118"/>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1118"/>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118"/>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18"/>
        <w:spacing w:line="360" w:lineRule="auto"/>
        <w:rPr>
          <w:color w:val="000000"/>
          <w:sz w:val="24"/>
          <w:szCs w:val="20"/>
        </w:rPr>
        <w:outlineLvl w:val="2"/>
      </w:pPr>
      <w:r>
        <w:rPr>
          <w:color w:val="000000"/>
          <w:sz w:val="24"/>
          <w:szCs w:val="20"/>
        </w:rPr>
        <w:br w:type="page" w:clear="all"/>
      </w:r>
      <w:r>
        <w:rPr>
          <w:color w:val="000000"/>
          <w:sz w:val="24"/>
          <w:szCs w:val="20"/>
        </w:rPr>
      </w:r>
      <w:r/>
    </w:p>
    <w:p>
      <w:pPr>
        <w:pStyle w:val="1118"/>
        <w:rPr>
          <w:color w:val="000000"/>
          <w:sz w:val="24"/>
          <w:szCs w:val="20"/>
        </w:rPr>
      </w:pPr>
      <w:r>
        <w:rPr>
          <w:color w:val="000000"/>
          <w:sz w:val="24"/>
          <w:szCs w:val="20"/>
        </w:rPr>
      </w:r>
      <w:r/>
    </w:p>
    <w:p>
      <w:pPr>
        <w:pStyle w:val="1118"/>
        <w:rPr>
          <w:color w:val="000000"/>
          <w:sz w:val="24"/>
          <w:szCs w:val="20"/>
        </w:rPr>
      </w:pPr>
      <w:r>
        <w:rPr>
          <w:color w:val="000000"/>
          <w:sz w:val="24"/>
          <w:szCs w:val="20"/>
        </w:rPr>
      </w:r>
      <w:r/>
    </w:p>
    <w:p>
      <w:pPr>
        <w:pStyle w:val="1118"/>
        <w:keepLines w:val="0"/>
        <w:keepNext w:val="0"/>
        <w:pageBreakBefore w:val="0"/>
        <w:spacing w:line="360" w:lineRule="auto"/>
        <w:widowControl w:val="off"/>
        <w:rPr>
          <w:rFonts w:hint="eastAsia"/>
          <w:color w:val="000000"/>
          <w:sz w:val="24"/>
          <w:szCs w:val="20"/>
        </w:rPr>
      </w:pPr>
      <w:r>
        <w:rPr>
          <w:rFonts w:hint="eastAsia"/>
          <w:color w:val="000000"/>
          <w:sz w:val="24"/>
          <w:szCs w:val="20"/>
          <w:lang w:val="en-US" w:eastAsia="zh-CN"/>
        </w:rPr>
        <w:t xml:space="preserve">10 </w:t>
      </w:r>
      <w:r>
        <w:rPr>
          <w:rFonts w:hint="eastAsia"/>
          <w:color w:val="000000"/>
          <w:sz w:val="24"/>
          <w:szCs w:val="20"/>
        </w:rPr>
        <w:t xml:space="preserve">项目服务方案等</w:t>
      </w:r>
      <w:r>
        <w:rPr>
          <w:rFonts w:hint="eastAsia"/>
          <w:color w:val="000000"/>
          <w:sz w:val="24"/>
          <w:szCs w:val="20"/>
        </w:rPr>
      </w:r>
      <w:r/>
    </w:p>
    <w:p>
      <w:pPr>
        <w:pStyle w:val="1150"/>
        <w:tabs>
          <w:tab w:val="left" w:pos="567" w:leader="none"/>
        </w:tabs>
        <w:rPr>
          <w:rFonts w:eastAsia="宋体"/>
          <w:lang w:val="en-US" w:eastAsia="zh-CN"/>
        </w:rPr>
      </w:pPr>
      <w:r>
        <w:rPr>
          <w:rFonts w:hint="eastAsia"/>
          <w:color w:val="000000"/>
          <w:sz w:val="24"/>
          <w:szCs w:val="20"/>
          <w:lang w:val="en-US" w:eastAsia="zh-CN"/>
        </w:rPr>
        <w:t xml:space="preserve">可以根据评分标准方案内容填写</w:t>
      </w:r>
      <w:r>
        <w:rPr>
          <w:rFonts w:eastAsia="宋体"/>
          <w:lang w:val="en-US" w:eastAsia="zh-CN"/>
        </w:rPr>
      </w:r>
      <w:r/>
    </w:p>
    <w:p>
      <w:pPr>
        <w:pStyle w:val="1118"/>
        <w:keepLines w:val="0"/>
        <w:keepNext w:val="0"/>
        <w:pageBreakBefore w:val="0"/>
        <w:spacing w:line="360" w:lineRule="auto"/>
        <w:widowControl w:val="off"/>
        <w:rPr>
          <w:color w:val="000000"/>
          <w:sz w:val="24"/>
          <w:szCs w:val="20"/>
        </w:rPr>
        <w:outlineLvl w:val="2"/>
      </w:pPr>
      <w:r>
        <w:rPr>
          <w:color w:val="000000"/>
          <w:sz w:val="24"/>
          <w:szCs w:val="20"/>
        </w:rPr>
      </w:r>
      <w:r/>
    </w:p>
    <w:p>
      <w:pPr>
        <w:pStyle w:val="1118"/>
        <w:spacing w:line="360" w:lineRule="auto"/>
        <w:rPr>
          <w:color w:val="000000"/>
          <w:sz w:val="24"/>
          <w:szCs w:val="20"/>
        </w:rPr>
        <w:outlineLvl w:val="2"/>
      </w:pPr>
      <w:r>
        <w:rPr>
          <w:color w:val="000000"/>
          <w:sz w:val="24"/>
          <w:szCs w:val="20"/>
        </w:rPr>
      </w:r>
      <w:r/>
    </w:p>
    <w:p>
      <w:pPr>
        <w:pStyle w:val="1118"/>
        <w:spacing w:line="360" w:lineRule="auto"/>
        <w:rPr>
          <w:color w:val="000000"/>
          <w:sz w:val="24"/>
          <w:szCs w:val="20"/>
        </w:rPr>
        <w:outlineLvl w:val="2"/>
      </w:pPr>
      <w:r>
        <w:rPr>
          <w:color w:val="000000"/>
          <w:sz w:val="24"/>
          <w:szCs w:val="20"/>
        </w:rPr>
      </w:r>
      <w:r/>
    </w:p>
    <w:p>
      <w:pPr>
        <w:pStyle w:val="1118"/>
        <w:spacing w:line="360" w:lineRule="auto"/>
        <w:rPr>
          <w:color w:val="000000"/>
          <w:sz w:val="24"/>
          <w:szCs w:val="20"/>
        </w:rPr>
        <w:outlineLvl w:val="2"/>
      </w:pPr>
      <w:r>
        <w:rPr>
          <w:color w:val="000000"/>
          <w:sz w:val="24"/>
          <w:szCs w:val="20"/>
        </w:rPr>
      </w:r>
      <w:r/>
    </w:p>
    <w:p>
      <w:pPr>
        <w:pStyle w:val="1118"/>
        <w:spacing w:line="360" w:lineRule="auto"/>
        <w:rPr>
          <w:color w:val="000000"/>
          <w:sz w:val="24"/>
          <w:szCs w:val="20"/>
        </w:rPr>
        <w:outlineLvl w:val="2"/>
      </w:pPr>
      <w:r>
        <w:rPr>
          <w:color w:val="000000"/>
          <w:sz w:val="24"/>
          <w:szCs w:val="20"/>
        </w:rPr>
      </w:r>
      <w:r/>
    </w:p>
    <w:p>
      <w:pPr>
        <w:pStyle w:val="1118"/>
        <w:spacing w:line="360" w:lineRule="auto"/>
        <w:rPr>
          <w:color w:val="000000"/>
          <w:sz w:val="24"/>
          <w:szCs w:val="20"/>
        </w:rPr>
        <w:outlineLvl w:val="2"/>
      </w:pPr>
      <w:r>
        <w:rPr>
          <w:color w:val="000000"/>
          <w:sz w:val="24"/>
          <w:szCs w:val="20"/>
        </w:rPr>
      </w:r>
      <w:r/>
    </w:p>
    <w:p>
      <w:pPr>
        <w:pStyle w:val="1118"/>
        <w:spacing w:line="360" w:lineRule="auto"/>
        <w:rPr>
          <w:color w:val="000000"/>
          <w:sz w:val="24"/>
          <w:szCs w:val="20"/>
        </w:rPr>
        <w:outlineLvl w:val="2"/>
      </w:pPr>
      <w:r>
        <w:rPr>
          <w:color w:val="000000"/>
          <w:sz w:val="24"/>
          <w:szCs w:val="20"/>
        </w:rPr>
      </w:r>
      <w:r/>
    </w:p>
    <w:p>
      <w:pPr>
        <w:pStyle w:val="1118"/>
        <w:spacing w:line="360" w:lineRule="auto"/>
        <w:rPr>
          <w:color w:val="000000"/>
          <w:sz w:val="24"/>
          <w:szCs w:val="20"/>
        </w:rPr>
        <w:outlineLvl w:val="2"/>
      </w:pPr>
      <w:r>
        <w:rPr>
          <w:color w:val="000000"/>
          <w:sz w:val="24"/>
          <w:szCs w:val="20"/>
        </w:rPr>
      </w:r>
      <w:r/>
    </w:p>
    <w:p>
      <w:pPr>
        <w:pStyle w:val="1118"/>
        <w:spacing w:line="360" w:lineRule="auto"/>
        <w:rPr>
          <w:color w:val="000000"/>
          <w:sz w:val="24"/>
          <w:szCs w:val="20"/>
        </w:rPr>
        <w:outlineLvl w:val="2"/>
      </w:pPr>
      <w:r>
        <w:rPr>
          <w:color w:val="000000"/>
          <w:sz w:val="24"/>
          <w:szCs w:val="20"/>
        </w:rPr>
      </w:r>
      <w:r/>
    </w:p>
    <w:p>
      <w:pPr>
        <w:pStyle w:val="1118"/>
        <w:spacing w:line="360" w:lineRule="auto"/>
        <w:rPr>
          <w:color w:val="000000"/>
          <w:sz w:val="24"/>
          <w:szCs w:val="20"/>
        </w:rPr>
        <w:outlineLvl w:val="2"/>
      </w:pPr>
      <w:r>
        <w:rPr>
          <w:color w:val="000000"/>
          <w:sz w:val="24"/>
          <w:szCs w:val="20"/>
        </w:rPr>
      </w:r>
      <w:r/>
    </w:p>
    <w:p>
      <w:pPr>
        <w:pStyle w:val="1118"/>
        <w:spacing w:line="360" w:lineRule="auto"/>
        <w:rPr>
          <w:color w:val="000000"/>
          <w:sz w:val="24"/>
          <w:szCs w:val="20"/>
        </w:rPr>
        <w:outlineLvl w:val="2"/>
      </w:pPr>
      <w:r>
        <w:rPr>
          <w:color w:val="000000"/>
          <w:sz w:val="24"/>
          <w:szCs w:val="20"/>
        </w:rPr>
      </w:r>
      <w:r/>
    </w:p>
    <w:p>
      <w:pPr>
        <w:pStyle w:val="1118"/>
        <w:spacing w:line="360" w:lineRule="auto"/>
        <w:rPr>
          <w:color w:val="000000"/>
          <w:sz w:val="24"/>
          <w:szCs w:val="20"/>
        </w:rPr>
        <w:outlineLvl w:val="2"/>
      </w:pPr>
      <w:r>
        <w:rPr>
          <w:color w:val="000000"/>
          <w:sz w:val="24"/>
          <w:szCs w:val="20"/>
        </w:rPr>
      </w:r>
      <w:r/>
    </w:p>
    <w:p>
      <w:pPr>
        <w:pStyle w:val="1118"/>
        <w:spacing w:line="360" w:lineRule="auto"/>
        <w:rPr>
          <w:color w:val="000000"/>
          <w:sz w:val="24"/>
          <w:szCs w:val="20"/>
        </w:rPr>
        <w:outlineLvl w:val="2"/>
      </w:pPr>
      <w:r>
        <w:rPr>
          <w:color w:val="000000"/>
          <w:sz w:val="24"/>
          <w:szCs w:val="20"/>
        </w:rPr>
      </w:r>
      <w:r/>
    </w:p>
    <w:p>
      <w:pPr>
        <w:pStyle w:val="1118"/>
        <w:spacing w:line="360" w:lineRule="auto"/>
        <w:rPr>
          <w:color w:val="000000"/>
          <w:sz w:val="24"/>
          <w:szCs w:val="20"/>
        </w:rPr>
        <w:outlineLvl w:val="2"/>
      </w:pPr>
      <w:r>
        <w:rPr>
          <w:color w:val="000000"/>
          <w:sz w:val="24"/>
          <w:szCs w:val="20"/>
        </w:rPr>
      </w:r>
      <w:r/>
    </w:p>
    <w:p>
      <w:pPr>
        <w:pStyle w:val="1118"/>
        <w:spacing w:line="360" w:lineRule="auto"/>
        <w:rPr>
          <w:color w:val="000000"/>
          <w:sz w:val="24"/>
          <w:szCs w:val="20"/>
        </w:rPr>
        <w:outlineLvl w:val="2"/>
      </w:pPr>
      <w:r>
        <w:rPr>
          <w:color w:val="000000"/>
          <w:sz w:val="24"/>
          <w:szCs w:val="20"/>
        </w:rPr>
      </w:r>
      <w:r/>
    </w:p>
    <w:p>
      <w:pPr>
        <w:pStyle w:val="1118"/>
        <w:spacing w:line="360" w:lineRule="auto"/>
        <w:rPr>
          <w:color w:val="000000"/>
          <w:sz w:val="24"/>
          <w:szCs w:val="20"/>
        </w:rPr>
        <w:outlineLvl w:val="2"/>
      </w:pPr>
      <w:r>
        <w:rPr>
          <w:color w:val="000000"/>
          <w:sz w:val="24"/>
          <w:szCs w:val="20"/>
        </w:rPr>
      </w:r>
      <w:r/>
    </w:p>
    <w:p>
      <w:pPr>
        <w:pStyle w:val="1118"/>
        <w:spacing w:line="360" w:lineRule="auto"/>
        <w:rPr>
          <w:color w:val="000000"/>
          <w:sz w:val="24"/>
          <w:szCs w:val="20"/>
        </w:rPr>
        <w:outlineLvl w:val="2"/>
      </w:pPr>
      <w:r>
        <w:rPr>
          <w:color w:val="000000"/>
          <w:sz w:val="24"/>
          <w:szCs w:val="20"/>
        </w:rPr>
      </w:r>
      <w:r/>
    </w:p>
    <w:p>
      <w:pPr>
        <w:pStyle w:val="1118"/>
        <w:spacing w:line="360" w:lineRule="auto"/>
        <w:rPr>
          <w:color w:val="000000"/>
          <w:sz w:val="24"/>
          <w:szCs w:val="20"/>
        </w:rPr>
        <w:outlineLvl w:val="2"/>
      </w:pPr>
      <w:r>
        <w:rPr>
          <w:color w:val="000000"/>
          <w:sz w:val="24"/>
          <w:szCs w:val="20"/>
        </w:rPr>
      </w:r>
      <w:r/>
    </w:p>
    <w:p>
      <w:pPr>
        <w:pStyle w:val="1118"/>
        <w:spacing w:line="360" w:lineRule="auto"/>
        <w:rPr>
          <w:color w:val="000000"/>
          <w:sz w:val="24"/>
          <w:szCs w:val="20"/>
        </w:rPr>
        <w:outlineLvl w:val="2"/>
      </w:pPr>
      <w:r>
        <w:rPr>
          <w:color w:val="000000"/>
          <w:sz w:val="24"/>
          <w:szCs w:val="20"/>
        </w:rPr>
      </w:r>
      <w:r/>
    </w:p>
    <w:p>
      <w:pPr>
        <w:pStyle w:val="1118"/>
        <w:spacing w:line="360" w:lineRule="auto"/>
        <w:rPr>
          <w:color w:val="000000"/>
          <w:sz w:val="24"/>
          <w:szCs w:val="20"/>
        </w:rPr>
        <w:outlineLvl w:val="2"/>
      </w:pPr>
      <w:r>
        <w:rPr>
          <w:color w:val="000000"/>
          <w:sz w:val="24"/>
          <w:szCs w:val="20"/>
        </w:rPr>
      </w:r>
      <w:r/>
    </w:p>
    <w:p>
      <w:pPr>
        <w:pStyle w:val="1118"/>
        <w:spacing w:line="360" w:lineRule="auto"/>
        <w:rPr>
          <w:color w:val="000000"/>
          <w:sz w:val="24"/>
          <w:szCs w:val="20"/>
        </w:rPr>
        <w:outlineLvl w:val="2"/>
      </w:pPr>
      <w:r>
        <w:rPr>
          <w:color w:val="000000"/>
          <w:sz w:val="24"/>
          <w:szCs w:val="20"/>
        </w:rPr>
      </w:r>
      <w:r/>
    </w:p>
    <w:p>
      <w:pPr>
        <w:pStyle w:val="1150"/>
        <w:tabs>
          <w:tab w:val="left" w:pos="567" w:leader="none"/>
        </w:tabs>
        <w:rPr>
          <w:color w:val="000000"/>
          <w:sz w:val="24"/>
          <w:szCs w:val="20"/>
        </w:rPr>
      </w:pPr>
      <w:r>
        <w:rPr>
          <w:color w:val="000000"/>
          <w:sz w:val="24"/>
          <w:szCs w:val="20"/>
        </w:rPr>
      </w:r>
      <w:r/>
    </w:p>
    <w:p>
      <w:pPr>
        <w:pStyle w:val="1118"/>
        <w:rPr>
          <w:color w:val="000000"/>
          <w:sz w:val="24"/>
          <w:szCs w:val="20"/>
        </w:rPr>
      </w:pPr>
      <w:r>
        <w:rPr>
          <w:color w:val="000000"/>
          <w:sz w:val="24"/>
          <w:szCs w:val="20"/>
        </w:rPr>
      </w:r>
      <w:r/>
    </w:p>
    <w:p>
      <w:pPr>
        <w:pStyle w:val="1150"/>
        <w:tabs>
          <w:tab w:val="left" w:pos="567" w:leader="none"/>
        </w:tabs>
        <w:rPr>
          <w:color w:val="000000"/>
          <w:sz w:val="24"/>
          <w:szCs w:val="20"/>
        </w:rPr>
      </w:pPr>
      <w:r>
        <w:rPr>
          <w:color w:val="000000"/>
          <w:sz w:val="24"/>
          <w:szCs w:val="20"/>
        </w:rPr>
      </w:r>
      <w:r/>
    </w:p>
    <w:p>
      <w:pPr>
        <w:pStyle w:val="1118"/>
        <w:rPr>
          <w:color w:val="000000"/>
          <w:sz w:val="24"/>
          <w:szCs w:val="20"/>
        </w:rPr>
      </w:pPr>
      <w:r>
        <w:rPr>
          <w:color w:val="000000"/>
          <w:sz w:val="24"/>
          <w:szCs w:val="20"/>
        </w:rPr>
      </w:r>
      <w:r/>
    </w:p>
    <w:p>
      <w:pPr>
        <w:pStyle w:val="1150"/>
        <w:tabs>
          <w:tab w:val="left" w:pos="567" w:leader="none"/>
        </w:tabs>
      </w:pPr>
      <w:r/>
      <w:r/>
    </w:p>
    <w:p>
      <w:pPr>
        <w:pStyle w:val="1118"/>
        <w:spacing w:line="360" w:lineRule="auto"/>
        <w:rPr>
          <w:color w:val="000000"/>
          <w:sz w:val="24"/>
          <w:szCs w:val="20"/>
        </w:rPr>
        <w:outlineLvl w:val="2"/>
      </w:pPr>
      <w:r>
        <w:rPr>
          <w:color w:val="000000"/>
          <w:sz w:val="24"/>
          <w:szCs w:val="20"/>
        </w:rPr>
      </w:r>
      <w:r/>
    </w:p>
    <w:p>
      <w:pPr>
        <w:spacing w:line="360" w:lineRule="auto"/>
        <w:rPr>
          <w:color w:val="000000"/>
          <w:sz w:val="24"/>
          <w:szCs w:val="24"/>
        </w:rPr>
        <w:outlineLvl w:val="2"/>
      </w:pPr>
      <w:r>
        <w:rPr>
          <w:color w:val="000000"/>
          <w:sz w:val="24"/>
          <w:szCs w:val="20"/>
        </w:rPr>
      </w:r>
      <w:r>
        <w:rPr>
          <w:color w:val="000000"/>
          <w:sz w:val="24"/>
          <w:szCs w:val="20"/>
        </w:rPr>
      </w:r>
      <w:r/>
    </w:p>
    <w:p>
      <w:pPr>
        <w:spacing w:line="360" w:lineRule="auto"/>
        <w:rPr>
          <w:color w:val="000000"/>
          <w:sz w:val="24"/>
          <w:szCs w:val="24"/>
        </w:rPr>
        <w:outlineLvl w:val="2"/>
      </w:pPr>
      <w:r>
        <w:rPr>
          <w:color w:val="000000"/>
          <w:sz w:val="24"/>
          <w:szCs w:val="24"/>
        </w:rPr>
      </w:r>
      <w:r>
        <w:rPr>
          <w:color w:val="000000"/>
          <w:sz w:val="24"/>
          <w:szCs w:val="24"/>
        </w:rPr>
      </w:r>
      <w:r/>
    </w:p>
    <w:p>
      <w:pPr>
        <w:pStyle w:val="1118"/>
        <w:spacing w:line="360" w:lineRule="auto"/>
        <w:rPr>
          <w:color w:val="000000"/>
          <w:sz w:val="24"/>
          <w:szCs w:val="24"/>
        </w:rPr>
        <w:outlineLvl w:val="2"/>
      </w:pPr>
      <w:r>
        <w:rPr>
          <w:color w:val="000000"/>
          <w:sz w:val="24"/>
          <w:szCs w:val="20"/>
        </w:rPr>
      </w:r>
      <w:r/>
    </w:p>
    <w:p>
      <w:pPr>
        <w:pStyle w:val="1118"/>
        <w:spacing w:line="360" w:lineRule="auto"/>
        <w:rPr>
          <w:color w:val="000000"/>
          <w:sz w:val="24"/>
          <w:szCs w:val="20"/>
        </w:rPr>
        <w:outlineLvl w:val="2"/>
      </w:pPr>
      <w:r>
        <w:rPr>
          <w:color w:val="000000"/>
          <w:sz w:val="24"/>
          <w:szCs w:val="20"/>
        </w:rPr>
      </w:r>
      <w:r/>
    </w:p>
    <w:p>
      <w:pPr>
        <w:pStyle w:val="1118"/>
        <w:rPr>
          <w:color w:val="000000"/>
          <w:sz w:val="24"/>
          <w:szCs w:val="20"/>
        </w:rPr>
      </w:pPr>
      <w:r>
        <w:rPr>
          <w:rFonts w:hint="eastAsia"/>
          <w:color w:val="000000"/>
          <w:sz w:val="24"/>
          <w:szCs w:val="20"/>
          <w:lang w:val="en-US" w:eastAsia="zh-CN"/>
        </w:rPr>
        <w:t xml:space="preserve">11</w:t>
      </w:r>
      <w:r>
        <w:rPr>
          <w:rFonts w:hint="eastAsia"/>
          <w:color w:val="000000"/>
          <w:sz w:val="24"/>
          <w:szCs w:val="20"/>
        </w:rPr>
        <w:t xml:space="preserve"> 参加本项目人员一览表</w:t>
      </w:r>
      <w:r>
        <w:rPr>
          <w:color w:val="000000"/>
          <w:sz w:val="24"/>
          <w:szCs w:val="20"/>
        </w:rPr>
      </w:r>
      <w:r/>
    </w:p>
    <w:p>
      <w:pPr>
        <w:pStyle w:val="1118"/>
        <w:jc w:val="center"/>
        <w:spacing w:line="360" w:lineRule="auto"/>
        <w:rPr>
          <w:rFonts w:ascii="宋体" w:hAnsi="宋体"/>
          <w:b/>
          <w:sz w:val="32"/>
          <w:szCs w:val="32"/>
        </w:rPr>
      </w:pPr>
      <w:r>
        <w:rPr>
          <w:rFonts w:ascii="宋体" w:hAnsi="宋体"/>
          <w:b/>
          <w:sz w:val="32"/>
          <w:szCs w:val="32"/>
        </w:rPr>
      </w:r>
      <w:r/>
    </w:p>
    <w:p>
      <w:pPr>
        <w:pStyle w:val="1118"/>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118"/>
        <w:spacing w:line="360" w:lineRule="auto"/>
        <w:rPr>
          <w:rFonts w:ascii="宋体" w:hAnsi="宋体"/>
          <w:sz w:val="22"/>
        </w:rPr>
      </w:pPr>
      <w:r>
        <w:rPr>
          <w:rFonts w:ascii="宋体" w:hAnsi="宋体"/>
          <w:sz w:val="22"/>
        </w:rPr>
      </w:r>
      <w:r/>
    </w:p>
    <w:p>
      <w:pPr>
        <w:pStyle w:val="1118"/>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0" w:type="auto"/>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18"/>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18"/>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18"/>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18"/>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18"/>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18"/>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18"/>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18"/>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18"/>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118"/>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118"/>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118"/>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118"/>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118"/>
        <w:tabs>
          <w:tab w:val="left" w:pos="9765" w:leader="none"/>
        </w:tabs>
        <w:rPr>
          <w:rFonts w:ascii="宋体" w:hAnsi="宋体" w:cs="宋体"/>
          <w:b/>
          <w:sz w:val="24"/>
          <w:lang w:val="zh-CN"/>
        </w:rPr>
      </w:pPr>
      <w:r>
        <w:rPr>
          <w:rFonts w:ascii="宋体" w:hAnsi="宋体" w:cs="宋体"/>
          <w:b/>
          <w:sz w:val="24"/>
          <w:lang w:val="zh-CN"/>
        </w:rPr>
      </w:r>
      <w:r/>
    </w:p>
    <w:p>
      <w:pPr>
        <w:pStyle w:val="1118"/>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注：参加本项目人员须是供应商正式职工。</w:t>
      </w:r>
      <w:r>
        <w:rPr>
          <w:rFonts w:ascii="宋体" w:hAnsi="宋体" w:cs="宋体"/>
          <w:b/>
          <w:sz w:val="24"/>
        </w:rPr>
      </w:r>
      <w:r/>
    </w:p>
    <w:p>
      <w:pPr>
        <w:pStyle w:val="1118"/>
        <w:spacing w:line="360" w:lineRule="auto"/>
        <w:rPr>
          <w:rFonts w:ascii="宋体" w:hAnsi="宋体"/>
          <w:sz w:val="24"/>
        </w:rPr>
      </w:pPr>
      <w:r>
        <w:rPr>
          <w:rFonts w:ascii="宋体" w:hAnsi="宋体"/>
          <w:sz w:val="24"/>
        </w:rPr>
      </w:r>
      <w:r/>
    </w:p>
    <w:p>
      <w:pPr>
        <w:pStyle w:val="1118"/>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118"/>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18"/>
        <w:rPr>
          <w:sz w:val="22"/>
        </w:rPr>
      </w:pPr>
      <w:r>
        <w:rPr>
          <w:sz w:val="22"/>
        </w:rPr>
        <w:br w:type="page" w:clear="all"/>
      </w:r>
      <w:bookmarkStart w:id="879" w:name="_Toc288738397"/>
      <w:r/>
      <w:bookmarkStart w:id="880" w:name="_Toc288738839"/>
      <w:r>
        <w:rPr>
          <w:sz w:val="22"/>
        </w:rPr>
      </w:r>
      <w:r/>
    </w:p>
    <w:p>
      <w:pPr>
        <w:pStyle w:val="1118"/>
        <w:rPr>
          <w:color w:val="000000"/>
          <w:sz w:val="24"/>
          <w:szCs w:val="20"/>
        </w:rPr>
      </w:pPr>
      <w:r>
        <w:rPr>
          <w:rFonts w:hint="eastAsia"/>
          <w:color w:val="000000"/>
          <w:sz w:val="24"/>
          <w:szCs w:val="20"/>
          <w:lang w:val="en-US" w:eastAsia="zh-CN"/>
        </w:rPr>
        <w:t xml:space="preserve">12 </w:t>
      </w:r>
      <w:r>
        <w:rPr>
          <w:rFonts w:hint="eastAsia"/>
          <w:color w:val="000000"/>
          <w:sz w:val="24"/>
          <w:szCs w:val="20"/>
        </w:rPr>
        <w:t xml:space="preserve">相关业绩案例一览表</w:t>
      </w:r>
      <w:r>
        <w:rPr>
          <w:color w:val="000000"/>
          <w:sz w:val="24"/>
          <w:szCs w:val="20"/>
        </w:rPr>
      </w:r>
      <w:r/>
    </w:p>
    <w:p>
      <w:pPr>
        <w:pStyle w:val="1118"/>
        <w:rPr>
          <w:color w:val="000000"/>
          <w:sz w:val="24"/>
          <w:szCs w:val="20"/>
        </w:rPr>
      </w:pPr>
      <w:r>
        <w:rPr>
          <w:color w:val="000000"/>
          <w:sz w:val="24"/>
          <w:szCs w:val="20"/>
        </w:rPr>
      </w:r>
      <w:r/>
    </w:p>
    <w:p>
      <w:pPr>
        <w:pStyle w:val="1118"/>
        <w:jc w:val="center"/>
        <w:rPr>
          <w:rFonts w:ascii="宋体" w:hAnsi="宋体"/>
          <w:b/>
          <w:sz w:val="32"/>
          <w:szCs w:val="32"/>
        </w:rPr>
      </w:pPr>
      <w:r>
        <w:rPr>
          <w:rFonts w:hint="eastAsia" w:ascii="宋体" w:hAnsi="宋体"/>
          <w:b/>
          <w:sz w:val="32"/>
          <w:szCs w:val="32"/>
        </w:rPr>
        <w:t xml:space="preserve">相关业绩案例一览表</w:t>
      </w:r>
      <w:bookmarkEnd w:id="879"/>
      <w:r/>
      <w:bookmarkEnd w:id="880"/>
      <w:r>
        <w:rPr>
          <w:rFonts w:ascii="宋体" w:hAnsi="宋体"/>
          <w:b/>
          <w:sz w:val="32"/>
          <w:szCs w:val="32"/>
        </w:rPr>
      </w:r>
      <w:r/>
    </w:p>
    <w:p>
      <w:pPr>
        <w:pStyle w:val="1118"/>
        <w:jc w:val="center"/>
        <w:spacing w:line="360" w:lineRule="auto"/>
        <w:rPr>
          <w:rFonts w:ascii="宋体" w:hAnsi="宋体"/>
          <w:b/>
          <w:sz w:val="28"/>
          <w:szCs w:val="30"/>
        </w:rPr>
      </w:pPr>
      <w:r>
        <w:rPr>
          <w:rFonts w:ascii="宋体" w:hAnsi="宋体"/>
          <w:b/>
          <w:sz w:val="28"/>
          <w:szCs w:val="30"/>
        </w:rPr>
      </w:r>
      <w:r/>
    </w:p>
    <w:p>
      <w:pPr>
        <w:pStyle w:val="1118"/>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1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1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1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1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1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18"/>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11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11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11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118"/>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118"/>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118"/>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118"/>
              <w:spacing w:line="360" w:lineRule="auto"/>
              <w:tabs>
                <w:tab w:val="left" w:pos="9765" w:leader="none"/>
              </w:tabs>
              <w:rPr>
                <w:rFonts w:ascii="宋体" w:hAnsi="宋体" w:cs="宋体"/>
                <w:sz w:val="24"/>
              </w:rPr>
            </w:pPr>
            <w:r>
              <w:rPr>
                <w:rFonts w:ascii="宋体" w:hAnsi="宋体" w:cs="宋体"/>
                <w:sz w:val="24"/>
              </w:rPr>
            </w:r>
            <w:r/>
          </w:p>
        </w:tc>
      </w:tr>
    </w:tbl>
    <w:p>
      <w:pPr>
        <w:pStyle w:val="1118"/>
        <w:tabs>
          <w:tab w:val="left" w:pos="9765" w:leader="none"/>
        </w:tabs>
        <w:rPr>
          <w:rFonts w:ascii="宋体" w:hAnsi="宋体" w:cs="宋体"/>
          <w:sz w:val="24"/>
          <w:lang w:val="zh-CN"/>
        </w:rPr>
      </w:pPr>
      <w:r>
        <w:rPr>
          <w:rFonts w:ascii="宋体" w:hAnsi="宋体" w:cs="宋体"/>
          <w:sz w:val="24"/>
          <w:lang w:val="zh-CN"/>
        </w:rPr>
      </w:r>
      <w:r/>
    </w:p>
    <w:p>
      <w:pPr>
        <w:pStyle w:val="1118"/>
        <w:spacing w:line="360" w:lineRule="auto"/>
        <w:rPr>
          <w:rFonts w:ascii="宋体" w:hAnsi="宋体" w:cs="宋体"/>
          <w:sz w:val="24"/>
        </w:rPr>
      </w:pPr>
      <w:r>
        <w:rPr>
          <w:rFonts w:ascii="宋体" w:hAnsi="宋体" w:cs="宋体"/>
          <w:sz w:val="24"/>
        </w:rPr>
      </w:r>
      <w:r/>
    </w:p>
    <w:p>
      <w:pPr>
        <w:pStyle w:val="1118"/>
        <w:spacing w:before="25" w:after="25" w:line="360" w:lineRule="auto"/>
        <w:rPr>
          <w:color w:val="000000"/>
          <w:sz w:val="24"/>
          <w:lang w:val="zh-CN"/>
        </w:rPr>
      </w:pPr>
      <w:r>
        <w:rPr>
          <w:color w:val="000000"/>
          <w:sz w:val="24"/>
        </w:rPr>
        <w:t xml:space="preserve">供应商名称（加盖公章）</w:t>
      </w:r>
      <w:r>
        <w:rPr>
          <w:color w:val="000000"/>
          <w:sz w:val="24"/>
          <w:lang w:val="zh-CN"/>
        </w:rPr>
        <w:t xml:space="preserve">：    ____________</w:t>
      </w:r>
      <w:r>
        <w:rPr>
          <w:color w:val="000000"/>
          <w:sz w:val="24"/>
          <w:lang w:val="zh-CN"/>
        </w:rPr>
      </w:r>
      <w:r/>
    </w:p>
    <w:p>
      <w:pPr>
        <w:pStyle w:val="1118"/>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1118"/>
        <w:spacing w:line="360" w:lineRule="auto"/>
        <w:rPr>
          <w:color w:val="000000"/>
          <w:sz w:val="24"/>
          <w:szCs w:val="20"/>
        </w:rPr>
        <w:sectPr>
          <w:footnotePr/>
          <w:endnotePr/>
          <w:type w:val="nextPage"/>
          <w:pgSz w:w="11907" w:h="16840" w:orient="portrait"/>
          <w:pgMar w:top="1417" w:right="1134" w:bottom="1417" w:left="1701" w:header="851" w:footer="850" w:gutter="0"/>
          <w:cols w:num="1" w:sep="0" w:space="1701" w:equalWidth="1"/>
          <w:docGrid w:linePitch="360"/>
        </w:sectPr>
        <w:outlineLvl w:val="2"/>
      </w:pPr>
      <w:r>
        <w:rPr>
          <w:color w:val="000000"/>
          <w:sz w:val="24"/>
          <w:szCs w:val="20"/>
        </w:rPr>
      </w:r>
      <w:r/>
    </w:p>
    <w:p>
      <w:pPr>
        <w:pStyle w:val="1118"/>
      </w:pPr>
      <w:r/>
      <w:r/>
    </w:p>
    <w:p>
      <w:pPr>
        <w:pStyle w:val="1118"/>
        <w:ind w:firstLine="506"/>
        <w:spacing w:line="360" w:lineRule="auto"/>
        <w:rPr>
          <w:spacing w:val="6"/>
          <w:sz w:val="24"/>
        </w:rPr>
      </w:pPr>
      <w:r>
        <w:rPr>
          <w:color w:val="000000"/>
          <w:sz w:val="24"/>
          <w:szCs w:val="20"/>
        </w:rPr>
        <w:t xml:space="preserve">1</w:t>
      </w:r>
      <w:r>
        <w:rPr>
          <w:rFonts w:hint="eastAsia"/>
          <w:color w:val="000000"/>
          <w:sz w:val="24"/>
          <w:szCs w:val="20"/>
          <w:lang w:val="en-US" w:eastAsia="zh-CN"/>
        </w:rPr>
        <w:t xml:space="preserve">3 </w:t>
      </w:r>
      <w:r>
        <w:rPr>
          <w:rFonts w:hint="eastAsia"/>
          <w:spacing w:val="6"/>
          <w:sz w:val="24"/>
        </w:rPr>
        <w:t xml:space="preserve">关于符合本国产品标准的声明函（采购包号：   ）</w:t>
      </w:r>
      <w:r>
        <w:rPr>
          <w:spacing w:val="6"/>
          <w:sz w:val="24"/>
        </w:rPr>
      </w:r>
      <w:r/>
    </w:p>
    <w:p>
      <w:pPr>
        <w:pStyle w:val="1118"/>
        <w:ind w:firstLine="506"/>
        <w:jc w:val="center"/>
        <w:spacing w:line="360" w:lineRule="auto"/>
        <w:rPr>
          <w:spacing w:val="6"/>
          <w:sz w:val="24"/>
        </w:rPr>
      </w:pPr>
      <w:r>
        <w:rPr>
          <w:spacing w:val="6"/>
          <w:sz w:val="24"/>
        </w:rPr>
      </w:r>
      <w:r/>
    </w:p>
    <w:p>
      <w:pPr>
        <w:pStyle w:val="1118"/>
        <w:ind w:firstLine="506"/>
        <w:jc w:val="center"/>
        <w:spacing w:line="360" w:lineRule="auto"/>
        <w:rPr>
          <w:spacing w:val="6"/>
          <w:sz w:val="24"/>
        </w:rPr>
      </w:pPr>
      <w:r>
        <w:rPr>
          <w:rFonts w:hint="eastAsia"/>
          <w:spacing w:val="6"/>
          <w:sz w:val="24"/>
        </w:rPr>
        <w:t xml:space="preserve">关于符合本国产品标准的声明函</w:t>
      </w:r>
      <w:r>
        <w:rPr>
          <w:spacing w:val="6"/>
          <w:sz w:val="24"/>
        </w:rPr>
      </w:r>
      <w:r/>
    </w:p>
    <w:p>
      <w:pPr>
        <w:pStyle w:val="1118"/>
        <w:ind w:firstLine="506"/>
        <w:spacing w:line="360" w:lineRule="auto"/>
        <w:rPr>
          <w:spacing w:val="6"/>
          <w:sz w:val="24"/>
        </w:rPr>
      </w:pPr>
      <w:r>
        <w:rPr>
          <w:rFonts w:hint="eastAsia"/>
          <w:spacing w:val="6"/>
          <w:sz w:val="24"/>
        </w:rPr>
        <w:t xml:space="preserve">本公司（单位）郑重声明，根据《国务院办公厅关于在政府采购中实施本国产品标准及相关政策的通知》（国办发〔2025〕34号）的规定，本公司（单位）提供的以下产品属于本国产品。具体情况如下：</w:t>
      </w:r>
      <w:r>
        <w:rPr>
          <w:spacing w:val="6"/>
          <w:sz w:val="24"/>
        </w:rPr>
      </w:r>
      <w:r/>
    </w:p>
    <w:p>
      <w:pPr>
        <w:pStyle w:val="1183"/>
        <w:ind w:firstLine="420"/>
        <w:spacing w:before="30" w:beforeAutospacing="0" w:after="30" w:afterAutospacing="0" w:line="0" w:lineRule="atLeast"/>
        <w:rPr>
          <w:color w:val="000000"/>
        </w:rPr>
      </w:pPr>
      <w:r>
        <w:rPr>
          <w:rFonts w:hint="eastAsia"/>
          <w:color w:val="000000"/>
          <w:shd w:val="clear" w:color="auto" w:fill="ffffff"/>
        </w:rPr>
        <w:t xml:space="preserve">1.</w:t>
      </w:r>
      <w:r>
        <w:rPr>
          <w:rStyle w:val="1195"/>
          <w:rFonts w:hint="eastAsia"/>
          <w:color w:val="000000"/>
          <w:u w:val="single"/>
          <w:shd w:val="clear" w:color="auto" w:fill="ffffff"/>
        </w:rPr>
        <w:t xml:space="preserve">（产品名称1）</w:t>
      </w:r>
      <w:r>
        <w:rPr>
          <w:rStyle w:val="1195"/>
          <w:rFonts w:hint="eastAsia"/>
          <w:color w:val="000000"/>
          <w:shd w:val="clear" w:color="auto" w:fill="ffffff"/>
          <w:vertAlign w:val="superscript"/>
        </w:rPr>
        <w:t xml:space="preserve">1</w:t>
      </w:r>
      <w:r>
        <w:rPr>
          <w:rFonts w:hint="eastAsia"/>
          <w:color w:val="000000"/>
          <w:shd w:val="clear" w:color="auto" w:fill="ffffff"/>
        </w:rPr>
        <w:t xml:space="preserve">，生产厂为</w:t>
      </w:r>
      <w:r>
        <w:rPr>
          <w:rStyle w:val="1195"/>
          <w:rFonts w:hint="eastAsia"/>
          <w:color w:val="000000"/>
          <w:u w:val="single"/>
          <w:shd w:val="clear" w:color="auto" w:fill="ffffff"/>
        </w:rPr>
        <w:t xml:space="preserve">（厂名）</w:t>
      </w:r>
      <w:r>
        <w:rPr>
          <w:rStyle w:val="1195"/>
          <w:rFonts w:hint="eastAsia"/>
          <w:color w:val="000000"/>
          <w:shd w:val="clear" w:color="auto" w:fill="ffffff"/>
          <w:vertAlign w:val="superscript"/>
        </w:rPr>
        <w:t xml:space="preserve">2</w:t>
      </w:r>
      <w:r>
        <w:rPr>
          <w:rFonts w:hint="eastAsia"/>
          <w:color w:val="000000"/>
          <w:shd w:val="clear" w:color="auto" w:fill="ffffff"/>
        </w:rPr>
        <w:t xml:space="preserve">，厂址为</w:t>
      </w:r>
      <w:r>
        <w:rPr>
          <w:rStyle w:val="1195"/>
          <w:rFonts w:hint="eastAsia"/>
          <w:color w:val="000000"/>
          <w:u w:val="single"/>
          <w:shd w:val="clear" w:color="auto" w:fill="ffffff"/>
        </w:rPr>
        <w:t xml:space="preserve">（生产厂址）</w:t>
      </w:r>
      <w:r>
        <w:rPr>
          <w:rFonts w:hint="eastAsia"/>
          <w:color w:val="000000"/>
          <w:shd w:val="clear" w:color="auto" w:fill="ffffff"/>
        </w:rPr>
        <w:t xml:space="preserve">。</w:t>
      </w:r>
      <w:r>
        <w:rPr>
          <w:rFonts w:hint="eastAsia"/>
          <w:color w:val="000000"/>
          <w:u w:val="single"/>
          <w:shd w:val="clear" w:color="auto" w:fill="ffffff"/>
        </w:rPr>
        <w:t xml:space="preserve"> </w:t>
      </w:r>
      <w:r>
        <w:rPr>
          <w:rStyle w:val="1195"/>
          <w:rFonts w:hint="eastAsia"/>
          <w:color w:val="000000"/>
          <w:u w:val="single"/>
          <w:shd w:val="clear" w:color="auto" w:fill="ffffff"/>
        </w:rPr>
        <w:t xml:space="preserve">（</w:t>
      </w:r>
      <w:r>
        <w:rPr>
          <w:rStyle w:val="1195"/>
          <w:rFonts w:hint="eastAsia"/>
          <w:strike/>
          <w:color w:val="000000"/>
          <w:u w:val="single"/>
          <w:shd w:val="clear" w:color="auto" w:fill="ffffff"/>
        </w:rPr>
        <w:t xml:space="preserve">产品名称1</w:t>
      </w:r>
      <w:r>
        <w:rPr>
          <w:rStyle w:val="1195"/>
          <w:rFonts w:hint="eastAsia"/>
          <w:color w:val="000000"/>
          <w:u w:val="single"/>
          <w:shd w:val="clear" w:color="auto" w:fill="ffffff"/>
        </w:rPr>
        <w:t xml:space="preserve">） </w:t>
      </w:r>
      <w:r>
        <w:rPr>
          <w:rFonts w:hint="eastAsia"/>
          <w:color w:val="000000"/>
          <w:shd w:val="clear" w:color="auto" w:fill="ffffff"/>
        </w:rPr>
        <w:t xml:space="preserve">的中国境内生产的组件成本占比≥</w:t>
      </w:r>
      <w:r>
        <w:rPr>
          <w:rStyle w:val="1195"/>
          <w:rFonts w:hint="eastAsia"/>
          <w:color w:val="000000"/>
          <w:u w:val="single"/>
          <w:shd w:val="clear" w:color="auto" w:fill="ffffff"/>
        </w:rPr>
        <w:t xml:space="preserve">（</w:t>
      </w:r>
      <w:r>
        <w:rPr>
          <w:rStyle w:val="1195"/>
          <w:rFonts w:hint="eastAsia"/>
          <w:strike/>
          <w:color w:val="000000"/>
          <w:u w:val="single"/>
          <w:shd w:val="clear" w:color="auto" w:fill="ffffff"/>
        </w:rPr>
        <w:t xml:space="preserve">规定比例</w:t>
      </w:r>
      <w:r>
        <w:rPr>
          <w:rStyle w:val="1195"/>
          <w:rFonts w:hint="eastAsia"/>
          <w:color w:val="000000"/>
          <w:u w:val="single"/>
          <w:shd w:val="clear" w:color="auto" w:fill="ffffff"/>
        </w:rPr>
        <w:t xml:space="preserve">）</w:t>
      </w:r>
      <w:r>
        <w:rPr>
          <w:rStyle w:val="1195"/>
          <w:rFonts w:hint="eastAsia"/>
          <w:color w:val="000000"/>
          <w:shd w:val="clear" w:color="auto" w:fill="ffffff"/>
          <w:vertAlign w:val="superscript"/>
        </w:rPr>
        <w:t xml:space="preserve">3</w:t>
      </w:r>
      <w:r>
        <w:rPr>
          <w:rFonts w:hint="eastAsia"/>
          <w:color w:val="000000"/>
          <w:shd w:val="clear" w:color="auto" w:fill="ffffff"/>
        </w:rPr>
        <w:t xml:space="preserve">。</w:t>
      </w:r>
      <w:r>
        <w:rPr>
          <w:rStyle w:val="1195"/>
          <w:rFonts w:hint="eastAsia"/>
          <w:color w:val="000000"/>
          <w:u w:val="single"/>
          <w:shd w:val="clear" w:color="auto" w:fill="ffffff"/>
        </w:rPr>
        <w:t xml:space="preserve">（</w:t>
      </w:r>
      <w:r>
        <w:rPr>
          <w:rStyle w:val="1195"/>
          <w:rFonts w:hint="eastAsia"/>
          <w:strike/>
          <w:color w:val="000000"/>
          <w:u w:val="single"/>
          <w:shd w:val="clear" w:color="auto" w:fill="ffffff"/>
        </w:rPr>
        <w:t xml:space="preserve">产品名称1</w:t>
      </w:r>
      <w:r>
        <w:rPr>
          <w:rStyle w:val="1195"/>
          <w:rFonts w:hint="eastAsia"/>
          <w:color w:val="000000"/>
          <w:u w:val="single"/>
          <w:shd w:val="clear" w:color="auto" w:fill="ffffff"/>
        </w:rPr>
        <w:t xml:space="preserve">）</w:t>
      </w:r>
      <w:r>
        <w:rPr>
          <w:rFonts w:hint="eastAsia"/>
          <w:color w:val="000000"/>
          <w:shd w:val="clear" w:color="auto" w:fill="ffffff"/>
        </w:rPr>
        <w:t xml:space="preserve">的</w:t>
      </w:r>
      <w:r>
        <w:rPr>
          <w:rStyle w:val="1195"/>
          <w:rFonts w:hint="eastAsia"/>
          <w:color w:val="000000"/>
          <w:u w:val="single"/>
          <w:shd w:val="clear" w:color="auto" w:fill="ffffff"/>
        </w:rPr>
        <w:t xml:space="preserve">（</w:t>
      </w:r>
      <w:r>
        <w:rPr>
          <w:rStyle w:val="1195"/>
          <w:rFonts w:hint="eastAsia"/>
          <w:strike/>
          <w:color w:val="000000"/>
          <w:u w:val="single"/>
          <w:shd w:val="clear" w:color="auto" w:fill="ffffff"/>
        </w:rPr>
        <w:t xml:space="preserve">关键组件</w:t>
      </w:r>
      <w:r>
        <w:rPr>
          <w:rStyle w:val="1195"/>
          <w:rFonts w:hint="eastAsia"/>
          <w:color w:val="000000"/>
          <w:u w:val="single"/>
          <w:shd w:val="clear" w:color="auto" w:fill="ffffff"/>
        </w:rPr>
        <w:t xml:space="preserve">）</w:t>
      </w:r>
      <w:r>
        <w:rPr>
          <w:rStyle w:val="1195"/>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Style w:val="1195"/>
          <w:rFonts w:hint="eastAsia"/>
          <w:color w:val="000000"/>
          <w:u w:val="single"/>
          <w:shd w:val="clear" w:color="auto" w:fill="ffffff"/>
        </w:rPr>
        <w:t xml:space="preserve">（</w:t>
      </w:r>
      <w:r>
        <w:rPr>
          <w:rStyle w:val="1195"/>
          <w:rFonts w:hint="eastAsia"/>
          <w:strike/>
          <w:color w:val="000000"/>
          <w:u w:val="single"/>
          <w:shd w:val="clear" w:color="auto" w:fill="ffffff"/>
        </w:rPr>
        <w:t xml:space="preserve">产品名称1</w:t>
      </w:r>
      <w:r>
        <w:rPr>
          <w:rStyle w:val="1195"/>
          <w:rFonts w:hint="eastAsia"/>
          <w:color w:val="000000"/>
          <w:u w:val="single"/>
          <w:shd w:val="clear" w:color="auto" w:fill="ffffff"/>
        </w:rPr>
        <w:t xml:space="preserve">）</w:t>
      </w:r>
      <w:r>
        <w:rPr>
          <w:rFonts w:hint="eastAsia"/>
          <w:color w:val="000000"/>
          <w:shd w:val="clear" w:color="auto" w:fill="ffffff"/>
        </w:rPr>
        <w:t xml:space="preserve">的</w:t>
      </w:r>
      <w:r>
        <w:rPr>
          <w:rStyle w:val="1195"/>
          <w:rFonts w:hint="eastAsia"/>
          <w:color w:val="000000"/>
          <w:u w:val="single"/>
          <w:shd w:val="clear" w:color="auto" w:fill="ffffff"/>
        </w:rPr>
        <w:t xml:space="preserve">（</w:t>
      </w:r>
      <w:r>
        <w:rPr>
          <w:rStyle w:val="1195"/>
          <w:rFonts w:hint="eastAsia"/>
          <w:strike/>
          <w:color w:val="000000"/>
          <w:u w:val="single"/>
          <w:shd w:val="clear" w:color="auto" w:fill="ffffff"/>
        </w:rPr>
        <w:t xml:space="preserve">关键工序</w:t>
      </w:r>
      <w:r>
        <w:rPr>
          <w:rStyle w:val="1195"/>
          <w:rFonts w:hint="eastAsia"/>
          <w:color w:val="000000"/>
          <w:u w:val="single"/>
          <w:shd w:val="clear" w:color="auto" w:fill="ffffff"/>
        </w:rPr>
        <w:t xml:space="preserve">）</w:t>
      </w:r>
      <w:r>
        <w:rPr>
          <w:rStyle w:val="1195"/>
          <w:rFonts w:hint="eastAsia"/>
          <w:color w:val="000000"/>
          <w:shd w:val="clear" w:color="auto" w:fill="ffffff"/>
          <w:vertAlign w:val="superscript"/>
        </w:rPr>
        <w:t xml:space="preserve">5</w:t>
      </w:r>
      <w:r>
        <w:rPr>
          <w:rFonts w:hint="eastAsia"/>
          <w:color w:val="000000"/>
          <w:shd w:val="clear" w:color="auto" w:fill="ffffff"/>
        </w:rPr>
        <w:t xml:space="preserve">在中国境内完成。</w:t>
      </w:r>
      <w:r>
        <w:rPr>
          <w:color w:val="000000"/>
        </w:rPr>
      </w:r>
      <w:r/>
    </w:p>
    <w:p>
      <w:pPr>
        <w:pStyle w:val="1183"/>
        <w:ind w:firstLine="420"/>
        <w:spacing w:before="30" w:beforeAutospacing="0" w:after="30" w:afterAutospacing="0" w:line="0" w:lineRule="atLeast"/>
        <w:rPr>
          <w:color w:val="000000"/>
        </w:rPr>
      </w:pPr>
      <w:r>
        <w:rPr>
          <w:rFonts w:hint="eastAsia"/>
          <w:color w:val="000000"/>
          <w:shd w:val="clear" w:color="auto" w:fill="ffffff"/>
        </w:rPr>
        <w:t xml:space="preserve">2.</w:t>
      </w:r>
      <w:r>
        <w:rPr>
          <w:rStyle w:val="1195"/>
          <w:rFonts w:hint="eastAsia"/>
          <w:color w:val="000000"/>
          <w:u w:val="single"/>
          <w:shd w:val="clear" w:color="auto" w:fill="ffffff"/>
        </w:rPr>
        <w:t xml:space="preserve">（产品名称2）</w:t>
      </w:r>
      <w:r>
        <w:rPr>
          <w:rFonts w:hint="eastAsia"/>
          <w:color w:val="000000"/>
          <w:shd w:val="clear" w:color="auto" w:fill="ffffff"/>
        </w:rPr>
        <w:t xml:space="preserve">，生产厂为</w:t>
      </w:r>
      <w:r>
        <w:rPr>
          <w:rStyle w:val="1195"/>
          <w:rFonts w:hint="eastAsia"/>
          <w:color w:val="000000"/>
          <w:u w:val="single"/>
          <w:shd w:val="clear" w:color="auto" w:fill="ffffff"/>
        </w:rPr>
        <w:t xml:space="preserve">（厂名）</w:t>
      </w:r>
      <w:r>
        <w:rPr>
          <w:rFonts w:hint="eastAsia"/>
          <w:color w:val="000000"/>
          <w:shd w:val="clear" w:color="auto" w:fill="ffffff"/>
        </w:rPr>
        <w:t xml:space="preserve">，厂址为</w:t>
      </w:r>
      <w:r>
        <w:rPr>
          <w:rStyle w:val="1195"/>
          <w:rFonts w:hint="eastAsia"/>
          <w:color w:val="000000"/>
          <w:u w:val="single"/>
          <w:shd w:val="clear" w:color="auto" w:fill="ffffff"/>
        </w:rPr>
        <w:t xml:space="preserve">（生产厂址）</w:t>
      </w:r>
      <w:r>
        <w:rPr>
          <w:rFonts w:hint="eastAsia"/>
          <w:color w:val="000000"/>
          <w:shd w:val="clear" w:color="auto" w:fill="ffffff"/>
        </w:rPr>
        <w:t xml:space="preserve">。</w:t>
      </w:r>
      <w:r>
        <w:rPr>
          <w:rStyle w:val="1195"/>
          <w:rFonts w:hint="eastAsia"/>
          <w:color w:val="000000"/>
          <w:u w:val="single"/>
          <w:shd w:val="clear" w:color="auto" w:fill="ffffff"/>
        </w:rPr>
        <w:t xml:space="preserve">（</w:t>
      </w:r>
      <w:r>
        <w:rPr>
          <w:rStyle w:val="1195"/>
          <w:rFonts w:hint="eastAsia"/>
          <w:strike/>
          <w:color w:val="000000"/>
          <w:u w:val="single"/>
          <w:shd w:val="clear" w:color="auto" w:fill="ffffff"/>
        </w:rPr>
        <w:t xml:space="preserve">产品名称2</w:t>
      </w:r>
      <w:r>
        <w:rPr>
          <w:rStyle w:val="1195"/>
          <w:rFonts w:hint="eastAsia"/>
          <w:color w:val="000000"/>
          <w:u w:val="single"/>
          <w:shd w:val="clear" w:color="auto" w:fill="ffffff"/>
        </w:rPr>
        <w:t xml:space="preserve">）</w:t>
      </w:r>
      <w:r>
        <w:rPr>
          <w:rFonts w:hint="eastAsia"/>
          <w:color w:val="000000"/>
          <w:shd w:val="clear" w:color="auto" w:fill="ffffff"/>
        </w:rPr>
        <w:t xml:space="preserve">的中国境内生产的组件成本占比≥</w:t>
      </w:r>
      <w:r>
        <w:rPr>
          <w:rStyle w:val="1195"/>
          <w:rFonts w:hint="eastAsia"/>
          <w:color w:val="000000"/>
          <w:u w:val="single"/>
          <w:shd w:val="clear" w:color="auto" w:fill="ffffff"/>
        </w:rPr>
        <w:t xml:space="preserve">（</w:t>
      </w:r>
      <w:r>
        <w:rPr>
          <w:rStyle w:val="1195"/>
          <w:rFonts w:hint="eastAsia"/>
          <w:strike/>
          <w:color w:val="000000"/>
          <w:u w:val="single"/>
          <w:shd w:val="clear" w:color="auto" w:fill="ffffff"/>
        </w:rPr>
        <w:t xml:space="preserve">规定比例</w:t>
      </w:r>
      <w:r>
        <w:rPr>
          <w:rStyle w:val="1195"/>
          <w:rFonts w:hint="eastAsia"/>
          <w:color w:val="000000"/>
          <w:u w:val="single"/>
          <w:shd w:val="clear" w:color="auto" w:fill="ffffff"/>
        </w:rPr>
        <w:t xml:space="preserve">）</w:t>
      </w:r>
      <w:r>
        <w:rPr>
          <w:rFonts w:hint="eastAsia"/>
          <w:color w:val="000000"/>
          <w:shd w:val="clear" w:color="auto" w:fill="ffffff"/>
        </w:rPr>
        <w:t xml:space="preserve">。</w:t>
      </w:r>
      <w:r>
        <w:rPr>
          <w:rStyle w:val="1195"/>
          <w:rFonts w:hint="eastAsia"/>
          <w:strike/>
          <w:color w:val="000000"/>
          <w:u w:val="single"/>
          <w:shd w:val="clear" w:color="auto" w:fill="ffffff"/>
        </w:rPr>
        <w:t xml:space="preserve">（产品名称2）</w:t>
      </w:r>
      <w:r>
        <w:rPr>
          <w:rFonts w:hint="eastAsia"/>
          <w:color w:val="000000"/>
          <w:shd w:val="clear" w:color="auto" w:fill="ffffff"/>
        </w:rPr>
        <w:t xml:space="preserve">的</w:t>
      </w:r>
      <w:r>
        <w:rPr>
          <w:rStyle w:val="1195"/>
          <w:rFonts w:hint="eastAsia"/>
          <w:color w:val="000000"/>
          <w:u w:val="single"/>
          <w:shd w:val="clear" w:color="auto" w:fill="ffffff"/>
        </w:rPr>
        <w:t xml:space="preserve">（</w:t>
      </w:r>
      <w:r>
        <w:rPr>
          <w:rStyle w:val="1195"/>
          <w:rFonts w:hint="eastAsia"/>
          <w:strike/>
          <w:color w:val="000000"/>
          <w:u w:val="single"/>
          <w:shd w:val="clear" w:color="auto" w:fill="ffffff"/>
        </w:rPr>
        <w:t xml:space="preserve">关键组件</w:t>
      </w:r>
      <w:r>
        <w:rPr>
          <w:rStyle w:val="1195"/>
          <w:rFonts w:hint="eastAsia"/>
          <w:color w:val="000000"/>
          <w:u w:val="single"/>
          <w:shd w:val="clear" w:color="auto" w:fill="ffffff"/>
        </w:rPr>
        <w:t xml:space="preserve">）</w:t>
      </w:r>
      <w:r>
        <w:rPr>
          <w:rFonts w:hint="eastAsia"/>
          <w:color w:val="000000"/>
          <w:shd w:val="clear" w:color="auto" w:fill="ffffff"/>
        </w:rPr>
        <w:t xml:space="preserve">在中国境内生产。</w:t>
      </w:r>
      <w:r>
        <w:rPr>
          <w:rStyle w:val="1195"/>
          <w:rFonts w:hint="eastAsia"/>
          <w:color w:val="000000"/>
          <w:u w:val="single"/>
          <w:shd w:val="clear" w:color="auto" w:fill="ffffff"/>
        </w:rPr>
        <w:t xml:space="preserve">（</w:t>
      </w:r>
      <w:r>
        <w:rPr>
          <w:rStyle w:val="1195"/>
          <w:rFonts w:hint="eastAsia"/>
          <w:strike/>
          <w:color w:val="000000"/>
          <w:u w:val="single"/>
          <w:shd w:val="clear" w:color="auto" w:fill="ffffff"/>
        </w:rPr>
        <w:t xml:space="preserve">产品名称</w:t>
      </w:r>
      <w:r>
        <w:rPr>
          <w:rStyle w:val="1195"/>
          <w:rFonts w:hint="eastAsia"/>
          <w:strike/>
          <w:color w:val="000000"/>
          <w:u w:val="single"/>
          <w:shd w:val="clear" w:color="auto" w:fill="ffffff"/>
          <w:lang w:val="en-US" w:eastAsia="zh-CN"/>
        </w:rPr>
        <w:t xml:space="preserve">2</w:t>
      </w:r>
      <w:r>
        <w:rPr>
          <w:rStyle w:val="1195"/>
          <w:rFonts w:hint="eastAsia"/>
          <w:color w:val="000000"/>
          <w:u w:val="single"/>
          <w:shd w:val="clear" w:color="auto" w:fill="ffffff"/>
        </w:rPr>
        <w:t xml:space="preserve">）</w:t>
      </w:r>
      <w:r>
        <w:rPr>
          <w:rFonts w:hint="eastAsia"/>
          <w:color w:val="000000"/>
          <w:shd w:val="clear" w:color="auto" w:fill="ffffff"/>
        </w:rPr>
        <w:t xml:space="preserve">的</w:t>
      </w:r>
      <w:r>
        <w:rPr>
          <w:rStyle w:val="1195"/>
          <w:rFonts w:hint="eastAsia"/>
          <w:color w:val="000000"/>
          <w:u w:val="single"/>
          <w:shd w:val="clear" w:color="auto" w:fill="ffffff"/>
        </w:rPr>
        <w:t xml:space="preserve">（</w:t>
      </w:r>
      <w:r>
        <w:rPr>
          <w:rStyle w:val="1195"/>
          <w:rFonts w:hint="eastAsia"/>
          <w:strike/>
          <w:color w:val="000000"/>
          <w:u w:val="single"/>
          <w:shd w:val="clear" w:color="auto" w:fill="ffffff"/>
        </w:rPr>
        <w:t xml:space="preserve">关键工序</w:t>
      </w:r>
      <w:r>
        <w:rPr>
          <w:rStyle w:val="1195"/>
          <w:rFonts w:hint="eastAsia"/>
          <w:color w:val="000000"/>
          <w:u w:val="single"/>
          <w:shd w:val="clear" w:color="auto" w:fill="ffffff"/>
        </w:rPr>
        <w:t xml:space="preserve">）</w:t>
      </w:r>
      <w:r>
        <w:rPr>
          <w:rFonts w:hint="eastAsia"/>
          <w:color w:val="000000"/>
          <w:shd w:val="clear" w:color="auto" w:fill="ffffff"/>
        </w:rPr>
        <w:t xml:space="preserve">在中国境内完成。</w:t>
      </w:r>
      <w:r>
        <w:rPr>
          <w:color w:val="000000"/>
        </w:rPr>
      </w:r>
      <w:r/>
    </w:p>
    <w:p>
      <w:pPr>
        <w:pStyle w:val="1118"/>
        <w:ind w:firstLine="506"/>
        <w:spacing w:line="360" w:lineRule="auto"/>
        <w:rPr>
          <w:rFonts w:ascii="宋体" w:hAnsi="宋体" w:cs="宋体"/>
          <w:color w:val="000000"/>
          <w:spacing w:val="6"/>
          <w:sz w:val="24"/>
        </w:rPr>
      </w:pPr>
      <w:r>
        <w:rPr>
          <w:rFonts w:hint="eastAsia" w:ascii="宋体" w:hAnsi="宋体" w:cs="宋体"/>
          <w:color w:val="000000"/>
          <w:spacing w:val="6"/>
          <w:sz w:val="24"/>
        </w:rPr>
        <w:t xml:space="preserve">……</w:t>
      </w:r>
      <w:r>
        <w:rPr>
          <w:rFonts w:ascii="宋体" w:hAnsi="宋体" w:cs="宋体"/>
          <w:color w:val="000000"/>
          <w:spacing w:val="6"/>
          <w:sz w:val="24"/>
        </w:rPr>
      </w:r>
      <w:r/>
    </w:p>
    <w:p>
      <w:pPr>
        <w:pStyle w:val="1118"/>
        <w:ind w:firstLine="506"/>
        <w:spacing w:line="360" w:lineRule="auto"/>
        <w:rPr>
          <w:spacing w:val="6"/>
          <w:sz w:val="24"/>
        </w:rPr>
      </w:pPr>
      <w:r>
        <w:rPr>
          <w:rFonts w:hint="eastAsia"/>
          <w:spacing w:val="6"/>
          <w:sz w:val="24"/>
        </w:rPr>
        <w:t xml:space="preserve">本公司（单位）对上述声明内容的真实性负责。如有虚假，愿承担相应法律责任。</w:t>
      </w:r>
      <w:r>
        <w:rPr>
          <w:spacing w:val="6"/>
          <w:sz w:val="24"/>
        </w:rPr>
      </w:r>
      <w:r/>
    </w:p>
    <w:p>
      <w:pPr>
        <w:pStyle w:val="1118"/>
        <w:ind w:firstLine="506"/>
        <w:spacing w:line="360" w:lineRule="auto"/>
        <w:rPr>
          <w:spacing w:val="6"/>
          <w:sz w:val="24"/>
        </w:rPr>
      </w:pPr>
      <w:r>
        <w:rPr>
          <w:spacing w:val="6"/>
          <w:sz w:val="24"/>
        </w:rPr>
      </w:r>
      <w:r/>
    </w:p>
    <w:p>
      <w:pPr>
        <w:pStyle w:val="1118"/>
        <w:ind w:firstLine="506"/>
        <w:spacing w:line="360" w:lineRule="auto"/>
        <w:rPr>
          <w:spacing w:val="6"/>
          <w:sz w:val="24"/>
        </w:rPr>
      </w:pPr>
      <w:r>
        <w:rPr>
          <w:rFonts w:hint="eastAsia"/>
          <w:spacing w:val="6"/>
          <w:sz w:val="24"/>
        </w:rPr>
        <w:t xml:space="preserve">公司（单位）名称（盖章）：　        </w:t>
      </w:r>
      <w:r>
        <w:rPr>
          <w:spacing w:val="6"/>
          <w:sz w:val="24"/>
        </w:rPr>
      </w:r>
      <w:r/>
    </w:p>
    <w:p>
      <w:pPr>
        <w:pStyle w:val="1118"/>
        <w:ind w:firstLine="506"/>
        <w:spacing w:line="360" w:lineRule="auto"/>
        <w:rPr>
          <w:spacing w:val="6"/>
          <w:sz w:val="24"/>
        </w:rPr>
      </w:pPr>
      <w:r>
        <w:rPr>
          <w:rFonts w:hint="eastAsia"/>
          <w:spacing w:val="6"/>
          <w:sz w:val="24"/>
        </w:rPr>
        <w:t xml:space="preserve">                    </w:t>
      </w:r>
      <w:r>
        <w:rPr>
          <w:spacing w:val="6"/>
          <w:sz w:val="24"/>
        </w:rPr>
        <w:t xml:space="preserve">            </w:t>
      </w:r>
      <w:r>
        <w:rPr>
          <w:rFonts w:hint="eastAsia"/>
          <w:spacing w:val="6"/>
          <w:sz w:val="24"/>
        </w:rPr>
        <w:t xml:space="preserve">日期：　   年　  月　  日         </w:t>
      </w:r>
      <w:r>
        <w:rPr>
          <w:spacing w:val="6"/>
          <w:sz w:val="24"/>
        </w:rPr>
      </w:r>
      <w:r/>
    </w:p>
    <w:p>
      <w:pPr>
        <w:pStyle w:val="1118"/>
        <w:ind w:firstLine="506"/>
        <w:spacing w:line="360" w:lineRule="auto"/>
        <w:rPr>
          <w:spacing w:val="6"/>
          <w:sz w:val="24"/>
        </w:rPr>
      </w:pPr>
      <w:r>
        <w:rPr>
          <w:rFonts w:hint="eastAsia"/>
          <w:spacing w:val="6"/>
          <w:sz w:val="24"/>
        </w:rPr>
        <w:t xml:space="preserve">__________________</w:t>
      </w:r>
      <w:r>
        <w:rPr>
          <w:spacing w:val="6"/>
          <w:sz w:val="24"/>
        </w:rPr>
      </w:r>
      <w:r/>
    </w:p>
    <w:p>
      <w:pPr>
        <w:pStyle w:val="1118"/>
        <w:ind w:firstLine="506"/>
        <w:spacing w:line="360" w:lineRule="auto"/>
        <w:rPr>
          <w:spacing w:val="6"/>
          <w:sz w:val="24"/>
        </w:rPr>
      </w:pPr>
      <w:r>
        <w:rPr>
          <w:rFonts w:hint="eastAsia"/>
          <w:spacing w:val="6"/>
          <w:sz w:val="24"/>
        </w:rPr>
        <w:t xml:space="preserve">1.产品如有型号，请在“产品名称”栏一并填写。</w:t>
      </w:r>
      <w:r>
        <w:rPr>
          <w:spacing w:val="6"/>
          <w:sz w:val="24"/>
        </w:rPr>
      </w:r>
      <w:r/>
    </w:p>
    <w:p>
      <w:pPr>
        <w:pStyle w:val="1118"/>
        <w:ind w:firstLine="506"/>
        <w:spacing w:line="360" w:lineRule="auto"/>
        <w:rPr>
          <w:spacing w:val="6"/>
          <w:sz w:val="24"/>
        </w:rPr>
      </w:pPr>
      <w:r>
        <w:rPr>
          <w:rFonts w:hint="eastAsia"/>
          <w:spacing w:val="6"/>
          <w:sz w:val="24"/>
        </w:rPr>
        <w:t xml:space="preserve">2.生产厂名与厂址应与生产厂营业执照载明的相关信息保持一致。</w:t>
      </w:r>
      <w:r>
        <w:rPr>
          <w:spacing w:val="6"/>
          <w:sz w:val="24"/>
        </w:rPr>
      </w:r>
      <w:r/>
    </w:p>
    <w:p>
      <w:pPr>
        <w:pStyle w:val="1118"/>
        <w:ind w:firstLine="506"/>
        <w:spacing w:line="360" w:lineRule="auto"/>
        <w:rPr>
          <w:spacing w:val="6"/>
          <w:sz w:val="24"/>
        </w:rPr>
      </w:pPr>
      <w:r>
        <w:rPr>
          <w:rFonts w:hint="eastAsia"/>
          <w:spacing w:val="6"/>
          <w:sz w:val="24"/>
        </w:rPr>
        <w:t xml:space="preserve">3.该产品的中国境内生产的组件成本占比相关要求实施前，“规定比例”栏可不填，下同。</w:t>
      </w:r>
      <w:r>
        <w:rPr>
          <w:spacing w:val="6"/>
          <w:sz w:val="24"/>
        </w:rPr>
      </w:r>
      <w:r/>
    </w:p>
    <w:p>
      <w:pPr>
        <w:pStyle w:val="1118"/>
        <w:ind w:firstLine="506"/>
        <w:spacing w:line="360" w:lineRule="auto"/>
        <w:rPr>
          <w:spacing w:val="6"/>
          <w:sz w:val="24"/>
        </w:rPr>
      </w:pPr>
      <w:r>
        <w:rPr>
          <w:rFonts w:hint="eastAsia"/>
          <w:spacing w:val="6"/>
          <w:sz w:val="24"/>
        </w:rPr>
        <w:t xml:space="preserve">4.该产品的关键组件要求实施前，“关键组件”栏可不填，下同。</w:t>
      </w:r>
      <w:r>
        <w:rPr>
          <w:spacing w:val="6"/>
          <w:sz w:val="24"/>
        </w:rPr>
      </w:r>
      <w:r/>
    </w:p>
    <w:p>
      <w:pPr>
        <w:pStyle w:val="1118"/>
        <w:ind w:firstLine="506"/>
        <w:spacing w:line="360" w:lineRule="auto"/>
        <w:rPr>
          <w:spacing w:val="6"/>
          <w:sz w:val="24"/>
        </w:rPr>
      </w:pPr>
      <w:r>
        <w:rPr>
          <w:rFonts w:hint="eastAsia"/>
          <w:spacing w:val="6"/>
          <w:sz w:val="24"/>
        </w:rPr>
        <w:t xml:space="preserve">5.该产品的关键工序要求实施前，“关键工序”栏可不填，下同。</w:t>
      </w:r>
      <w:r>
        <w:rPr>
          <w:spacing w:val="6"/>
          <w:sz w:val="24"/>
        </w:rPr>
      </w:r>
      <w:r/>
    </w:p>
    <w:p>
      <w:pPr>
        <w:pStyle w:val="1118"/>
        <w:ind w:firstLine="506"/>
        <w:spacing w:line="360" w:lineRule="auto"/>
        <w:rPr>
          <w:spacing w:val="6"/>
          <w:sz w:val="24"/>
        </w:rPr>
      </w:pPr>
      <w:r>
        <w:rPr>
          <w:rFonts w:hint="eastAsia"/>
          <w:spacing w:val="6"/>
          <w:sz w:val="24"/>
        </w:rPr>
        <w:t xml:space="preserve">6.用斜线划除的地方无需填写。</w:t>
      </w:r>
      <w:r>
        <w:rPr>
          <w:spacing w:val="6"/>
          <w:sz w:val="24"/>
        </w:rPr>
      </w:r>
      <w:r/>
    </w:p>
    <w:p>
      <w:pPr>
        <w:pStyle w:val="1118"/>
        <w:rPr>
          <w:b/>
          <w:color w:val="000000"/>
          <w:sz w:val="24"/>
        </w:rPr>
      </w:pPr>
      <w:r>
        <w:rPr>
          <w:b/>
          <w:color w:val="000000"/>
          <w:sz w:val="24"/>
        </w:rPr>
        <w:br w:type="page" w:clear="all"/>
      </w:r>
      <w:r>
        <w:rPr>
          <w:b/>
          <w:color w:val="000000"/>
          <w:sz w:val="24"/>
        </w:rPr>
      </w:r>
      <w:r/>
    </w:p>
    <w:p>
      <w:pPr>
        <w:pStyle w:val="1118"/>
        <w:spacing w:line="360" w:lineRule="auto"/>
        <w:rPr>
          <w:color w:val="000000"/>
          <w:sz w:val="24"/>
          <w:szCs w:val="20"/>
          <w:lang w:val="en-US" w:eastAsia="zh-CN"/>
        </w:rPr>
        <w:outlineLvl w:val="2"/>
      </w:pPr>
      <w:r>
        <w:rPr>
          <w:color w:val="000000"/>
          <w:sz w:val="24"/>
          <w:szCs w:val="20"/>
          <w:lang w:val="en-US" w:eastAsia="zh-CN"/>
        </w:rPr>
      </w:r>
      <w:r/>
    </w:p>
    <w:p>
      <w:pPr>
        <w:pStyle w:val="1118"/>
        <w:spacing w:line="360" w:lineRule="auto"/>
        <w:rPr>
          <w:b/>
          <w:sz w:val="36"/>
          <w:szCs w:val="36"/>
        </w:rPr>
        <w:outlineLvl w:val="2"/>
      </w:pPr>
      <w:r>
        <w:rPr>
          <w:rFonts w:hint="eastAsia"/>
          <w:color w:val="000000"/>
          <w:sz w:val="24"/>
          <w:szCs w:val="20"/>
          <w:lang w:val="en-US" w:eastAsia="zh-CN"/>
        </w:rPr>
        <w:t xml:space="preserve">14 </w:t>
      </w:r>
      <w:r>
        <w:rPr>
          <w:color w:val="000000"/>
          <w:sz w:val="24"/>
          <w:szCs w:val="20"/>
        </w:rPr>
        <w:t xml:space="preserve">磋商文件要求提供或供应商认为应附的其他材</w:t>
      </w:r>
      <w:r>
        <w:rPr>
          <w:rFonts w:hint="eastAsia"/>
          <w:color w:val="000000"/>
          <w:sz w:val="24"/>
          <w:szCs w:val="20"/>
        </w:rPr>
        <w:t xml:space="preserve">料</w:t>
      </w:r>
      <w:r>
        <w:rPr>
          <w:b/>
          <w:sz w:val="36"/>
          <w:szCs w:val="36"/>
        </w:rPr>
      </w:r>
      <w:r/>
    </w:p>
    <w:p>
      <w:pPr>
        <w:pStyle w:val="1118"/>
        <w:jc w:val="left"/>
        <w:widowControl/>
        <w:rPr>
          <w:b/>
          <w:sz w:val="36"/>
          <w:szCs w:val="36"/>
        </w:rPr>
      </w:pPr>
      <w:r>
        <w:rPr>
          <w:b/>
          <w:sz w:val="36"/>
          <w:szCs w:val="36"/>
        </w:rPr>
      </w:r>
      <w:r/>
    </w:p>
    <w:p>
      <w:pPr>
        <w:pStyle w:val="1118"/>
        <w:jc w:val="left"/>
        <w:widowControl/>
        <w:rPr>
          <w:rFonts w:hint="eastAsia" w:ascii="宋体" w:hAnsi="宋体" w:cs="宋体"/>
          <w:b/>
          <w:sz w:val="24"/>
        </w:rPr>
      </w:pPr>
      <w:r>
        <w:rPr>
          <w:rFonts w:hint="eastAsia" w:ascii="宋体" w:hAnsi="宋体" w:cs="宋体"/>
          <w:b/>
          <w:sz w:val="24"/>
        </w:rPr>
      </w:r>
      <w:r/>
    </w:p>
    <w:p>
      <w:pPr>
        <w:pStyle w:val="1118"/>
        <w:jc w:val="left"/>
        <w:widowControl/>
        <w:rPr>
          <w:b/>
          <w:sz w:val="36"/>
          <w:szCs w:val="36"/>
        </w:rPr>
      </w:pPr>
      <w:r>
        <w:rPr>
          <w:b/>
          <w:sz w:val="36"/>
          <w:szCs w:val="36"/>
        </w:rPr>
      </w:r>
      <w:r/>
    </w:p>
    <w:p>
      <w:pPr>
        <w:pStyle w:val="1118"/>
        <w:jc w:val="left"/>
        <w:widowControl/>
        <w:rPr>
          <w:b/>
          <w:sz w:val="36"/>
          <w:szCs w:val="36"/>
        </w:rPr>
      </w:pPr>
      <w:r>
        <w:rPr>
          <w:b/>
          <w:sz w:val="36"/>
          <w:szCs w:val="36"/>
        </w:rPr>
      </w:r>
      <w:r/>
    </w:p>
    <w:sectPr>
      <w:headerReference w:type="even" r:id="rId12"/>
      <w:headerReference w:type="first" r:id="rId13"/>
      <w:footerReference w:type="even" r:id="rId21"/>
      <w:footerReference w:type="first" r:id="rId22"/>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SimSun">
    <w:panose1 w:val="02010600030101010101"/>
  </w:font>
  <w:font w:name="Segoe UI">
    <w:panose1 w:val="020B0502040204020203"/>
  </w:font>
  <w:font w:name="CESI黑体-GB2312">
    <w:panose1 w:val="020B0503020202020204"/>
  </w:font>
  <w:font w:name="仿宋">
    <w:panose1 w:val="02010609060101010101"/>
  </w:font>
  <w:font w:name="Wingdings">
    <w:panose1 w:val="05000000000000000000"/>
  </w:font>
  <w:font w:name="Cambria Math">
    <w:panose1 w:val="02040503050406030204"/>
  </w:font>
  <w:font w:name="MS Gothic">
    <w:panose1 w:val="020B0609070205080204"/>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方正小标宋简体">
    <w:panose1 w:val="020B0503020202020204"/>
  </w:font>
  <w:font w:name="Courier New">
    <w:panose1 w:val="02070309020205020404"/>
  </w:font>
  <w:font w:name="Verdana">
    <w:panose1 w:val="020B0604030504040204"/>
  </w:font>
  <w:font w:name="华文中宋">
    <w:panose1 w:val="02010600040101010101"/>
  </w:font>
  <w:font w:name="仿宋_GB2312">
    <w:panose1 w:val="02010609060101010101"/>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jc w:val="center"/>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tabs>
        <w:tab w:val="center" w:pos="4153" w:leader="none"/>
        <w:tab w:val="right" w:pos="8306" w:leader="none"/>
      </w:tabs>
      <w:rPr>
        <w:rStyle w:val="1193"/>
      </w:rPr>
      <w:framePr w:wrap="around" w:vAnchor="text" w:hAnchor="margin" w:xAlign="center" w:y="1"/>
    </w:pPr>
    <w:r>
      <w:fldChar w:fldCharType="begin"/>
    </w:r>
    <w:r>
      <w:rPr>
        <w:rStyle w:val="1193"/>
      </w:rPr>
      <w:instrText xml:space="preserve">PAGE  </w:instrText>
    </w:r>
    <w:r>
      <w:fldChar w:fldCharType="end"/>
    </w:r>
    <w:r>
      <w:rPr>
        <w:rStyle w:val="1193"/>
      </w:rPr>
    </w:r>
    <w:r/>
  </w:p>
  <w:p>
    <w:pPr>
      <w:pStyle w:val="1169"/>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jc w:val="center"/>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18"/>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18"/>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18"/>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18"/>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jc w:val="both"/>
      <w:tabs>
        <w:tab w:val="center" w:pos="4153" w:leader="none"/>
        <w:tab w:val="right" w:pos="8306" w:leader="none"/>
      </w:tabs>
      <w:rPr>
        <w:rFonts w:ascii="Times New Roman"/>
      </w:rPr>
    </w:pPr>
    <w:r>
      <w:rPr>
        <w:rFonts w:ascii="Times New Roman"/>
      </w:rPr>
    </w:r>
    <w:r/>
  </w:p>
  <w:p>
    <w:pPr>
      <w:pStyle w:val="1169"/>
      <w:jc w:val="both"/>
      <w:tabs>
        <w:tab w:val="center" w:pos="4153" w:leader="none"/>
        <w:tab w:val="right" w:pos="8306" w:leader="none"/>
      </w:tabs>
      <w:rPr>
        <w:rFonts w:ascii="Times New Roman"/>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9"/>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1118"/>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9"/>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1118"/>
                    </w:pPr>
                    <w:r/>
                    <w:r/>
                  </w:p>
                </w:txbxContent>
              </v:textbox>
            </v:shape>
          </w:pict>
        </mc:Fallback>
      </mc:AlternateContent>
    </w:r>
    <w:r>
      <w:rPr>
        <w:rFonts w:ascii="Times New Roman"/>
      </w:rPr>
    </w:r>
    <w:r/>
  </w:p>
  <w:p>
    <w:pPr>
      <w:pStyle w:val="1169"/>
      <w:jc w:val="both"/>
      <w:tabs>
        <w:tab w:val="center" w:pos="4153" w:leader="none"/>
        <w:tab w:val="right" w:pos="8306" w:leader="none"/>
      </w:tabs>
      <w:rPr>
        <w:rFonts w:ascii="Times New Roman"/>
      </w:rPr>
    </w:pPr>
    <w:r>
      <w:rPr>
        <w:rFonts w:ascii="Times New Roman"/>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tabs>
        <w:tab w:val="center" w:pos="4153" w:leader="none"/>
        <w:tab w:val="right" w:pos="8306" w:leader="none"/>
      </w:tabs>
      <w:rPr>
        <w:rStyle w:val="1193"/>
      </w:rPr>
      <w:framePr w:wrap="around" w:vAnchor="text" w:hAnchor="margin" w:xAlign="center" w:y="1"/>
    </w:pPr>
    <w:r>
      <w:rPr>
        <w:rStyle w:val="1193"/>
      </w:rPr>
      <w:fldChar w:fldCharType="begin"/>
    </w:r>
    <w:r>
      <w:rPr>
        <w:rStyle w:val="1193"/>
      </w:rPr>
      <w:instrText xml:space="preserve">PAGE  </w:instrText>
    </w:r>
    <w:r>
      <w:rPr>
        <w:rStyle w:val="1193"/>
      </w:rPr>
      <w:fldChar w:fldCharType="end"/>
    </w:r>
    <w:r>
      <w:rPr>
        <w:rStyle w:val="1193"/>
      </w:rPr>
    </w:r>
    <w:r/>
  </w:p>
  <w:p>
    <w:pPr>
      <w:pStyle w:val="1169"/>
      <w:ind w:right="360"/>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tabs>
        <w:tab w:val="center" w:pos="4153" w:leader="none"/>
        <w:tab w:val="right" w:pos="8306" w:leader="none"/>
      </w:tabs>
      <w:rPr>
        <w:rStyle w:val="1193"/>
      </w:rPr>
      <w:framePr w:wrap="around" w:vAnchor="text" w:hAnchor="margin" w:xAlign="right" w:y="1"/>
    </w:pPr>
    <w:r>
      <w:rPr>
        <w:rStyle w:val="1193"/>
      </w:rPr>
      <w:fldChar w:fldCharType="begin"/>
    </w:r>
    <w:r>
      <w:rPr>
        <w:rStyle w:val="1193"/>
      </w:rPr>
      <w:instrText xml:space="preserve">PAGE  </w:instrText>
    </w:r>
    <w:r>
      <w:rPr>
        <w:rStyle w:val="1193"/>
      </w:rPr>
      <w:fldChar w:fldCharType="end"/>
    </w:r>
    <w:r>
      <w:rPr>
        <w:rStyle w:val="1193"/>
      </w:rPr>
    </w:r>
    <w:r/>
  </w:p>
  <w:p>
    <w:pPr>
      <w:pStyle w:val="1169"/>
      <w:ind w:right="360"/>
      <w:tabs>
        <w:tab w:val="center" w:pos="4153" w:leader="none"/>
        <w:tab w:val="right" w:pos="8306" w:leader="none"/>
      </w:tabs>
    </w:pPr>
    <w:r/>
    <w:r/>
  </w:p>
  <w:p>
    <w:pPr>
      <w:pStyle w:val="1118"/>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jc w:val="right"/>
      <w:tabs>
        <w:tab w:val="center" w:pos="4153" w:leader="none"/>
        <w:tab w:val="right" w:pos="8306" w:leader="none"/>
      </w:tabs>
    </w:pPr>
    <w:r>
      <w:rPr>
        <w:rFonts w:hint="eastAsia"/>
      </w:rPr>
      <w:t xml:space="preserve">常州正衡招投标有限公司竞争性磋商文件</w:t>
    </w:r>
    <w:r/>
  </w:p>
  <w:p>
    <w:pPr>
      <w:pStyle w:val="1172"/>
      <w:jc w:val="right"/>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jc w:val="right"/>
      <w:tabs>
        <w:tab w:val="center" w:pos="4153" w:leader="none"/>
        <w:tab w:val="right" w:pos="8306" w:leader="none"/>
      </w:tabs>
      <w:pBdr>
        <w:bottom w:val="none" w:color="000000" w:sz="0" w:space="1"/>
      </w:pBdr>
    </w:pPr>
    <w:r>
      <w:rPr>
        <w:rFonts w:hint="eastAsia"/>
      </w:rPr>
      <w:t xml:space="preserve">常州正衡招投标有限公司竞争性磋商文件</w:t>
    </w:r>
    <w:r/>
  </w:p>
  <w:p>
    <w:pPr>
      <w:pStyle w:val="1172"/>
      <w:jc w:val="left"/>
      <w:tabs>
        <w:tab w:val="center" w:pos="4153" w:leader="none"/>
        <w:tab w:val="left" w:pos="5565" w:leader="none"/>
        <w:tab w:val="right" w:pos="8306" w:leader="none"/>
      </w:tabs>
      <w:rPr>
        <w:rFonts w:hint="eastAsia"/>
      </w:rPr>
      <w:pBdr>
        <w:bottom w:val="none" w:color="000000" w:sz="0" w:space="1"/>
      </w:pBdr>
    </w:pPr>
    <w:r>
      <w:rPr>
        <w:rFonts w:hint="eastAsia"/>
      </w:rPr>
      <w:tab/>
    </w:r>
    <w:r>
      <w:rPr>
        <w:rFonts w:hint="eastAsia"/>
      </w:rPr>
      <w:tab/>
    </w:r>
    <w:r>
      <w:rPr>
        <w:rFonts w:hint="eastAsia"/>
      </w:rPr>
      <w:tab/>
    </w: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jc w:val="right"/>
      <w:tabs>
        <w:tab w:val="center" w:pos="4153" w:leader="none"/>
        <w:tab w:val="right" w:pos="8306" w:leader="none"/>
      </w:tabs>
    </w:pPr>
    <w:r>
      <w:rPr>
        <w:rFonts w:hint="eastAsia"/>
      </w:rPr>
      <w:t xml:space="preserve">常州正衡招投标有限公司竞争性磋商文件</w:t>
    </w:r>
    <w:r/>
  </w:p>
  <w:p>
    <w:pPr>
      <w:pStyle w:val="1172"/>
      <w:jc w:val="right"/>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tabs>
        <w:tab w:val="center" w:pos="4153" w:leader="none"/>
        <w:tab w:val="right" w:pos="8306" w:leader="none"/>
      </w:tabs>
    </w:pPr>
    <w:r/>
    <w:r/>
  </w:p>
  <w:p>
    <w:pPr>
      <w:pStyle w:val="1118"/>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11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118"/>
        <w:ind w:left="4941" w:hanging="1140"/>
        <w:tabs>
          <w:tab w:val="num" w:pos="4941" w:leader="none"/>
        </w:tabs>
      </w:pPr>
      <w:rPr>
        <w:rFonts w:hint="eastAsia"/>
      </w:rPr>
    </w:lvl>
    <w:lvl w:ilvl="1">
      <w:start w:val="1"/>
      <w:numFmt w:val="lowerLetter"/>
      <w:isLgl w:val="false"/>
      <w:suff w:val="tab"/>
      <w:lvlText w:val="%2)"/>
      <w:lvlJc w:val="left"/>
      <w:pPr>
        <w:pStyle w:val="1118"/>
        <w:ind w:left="4641" w:hanging="420"/>
        <w:tabs>
          <w:tab w:val="num" w:pos="4641" w:leader="none"/>
        </w:tabs>
      </w:pPr>
    </w:lvl>
    <w:lvl w:ilvl="2">
      <w:start w:val="1"/>
      <w:numFmt w:val="lowerRoman"/>
      <w:isLgl w:val="false"/>
      <w:suff w:val="tab"/>
      <w:lvlText w:val="%3."/>
      <w:lvlJc w:val="right"/>
      <w:pPr>
        <w:pStyle w:val="1118"/>
        <w:ind w:left="5061" w:hanging="420"/>
        <w:tabs>
          <w:tab w:val="num" w:pos="5061" w:leader="none"/>
        </w:tabs>
      </w:pPr>
    </w:lvl>
    <w:lvl w:ilvl="3">
      <w:start w:val="1"/>
      <w:numFmt w:val="decimal"/>
      <w:isLgl w:val="false"/>
      <w:suff w:val="tab"/>
      <w:lvlText w:val="%4."/>
      <w:lvlJc w:val="left"/>
      <w:pPr>
        <w:pStyle w:val="1118"/>
        <w:ind w:left="5481" w:hanging="420"/>
        <w:tabs>
          <w:tab w:val="num" w:pos="5481" w:leader="none"/>
        </w:tabs>
      </w:pPr>
    </w:lvl>
    <w:lvl w:ilvl="4">
      <w:start w:val="1"/>
      <w:numFmt w:val="lowerLetter"/>
      <w:isLgl w:val="false"/>
      <w:suff w:val="tab"/>
      <w:lvlText w:val="%5)"/>
      <w:lvlJc w:val="left"/>
      <w:pPr>
        <w:pStyle w:val="1118"/>
        <w:ind w:left="5901" w:hanging="420"/>
        <w:tabs>
          <w:tab w:val="num" w:pos="5901" w:leader="none"/>
        </w:tabs>
      </w:pPr>
    </w:lvl>
    <w:lvl w:ilvl="5">
      <w:start w:val="1"/>
      <w:numFmt w:val="lowerRoman"/>
      <w:isLgl w:val="false"/>
      <w:suff w:val="tab"/>
      <w:lvlText w:val="%6."/>
      <w:lvlJc w:val="right"/>
      <w:pPr>
        <w:pStyle w:val="1118"/>
        <w:ind w:left="6321" w:hanging="420"/>
        <w:tabs>
          <w:tab w:val="num" w:pos="6321" w:leader="none"/>
        </w:tabs>
      </w:pPr>
    </w:lvl>
    <w:lvl w:ilvl="6">
      <w:start w:val="1"/>
      <w:numFmt w:val="decimal"/>
      <w:isLgl w:val="false"/>
      <w:suff w:val="tab"/>
      <w:lvlText w:val="%7."/>
      <w:lvlJc w:val="left"/>
      <w:pPr>
        <w:pStyle w:val="1118"/>
        <w:ind w:left="6741" w:hanging="420"/>
        <w:tabs>
          <w:tab w:val="num" w:pos="6741" w:leader="none"/>
        </w:tabs>
      </w:pPr>
    </w:lvl>
    <w:lvl w:ilvl="7">
      <w:start w:val="1"/>
      <w:numFmt w:val="lowerLetter"/>
      <w:isLgl w:val="false"/>
      <w:suff w:val="tab"/>
      <w:lvlText w:val="%8)"/>
      <w:lvlJc w:val="left"/>
      <w:pPr>
        <w:pStyle w:val="1118"/>
        <w:ind w:left="7161" w:hanging="420"/>
        <w:tabs>
          <w:tab w:val="num" w:pos="7161" w:leader="none"/>
        </w:tabs>
      </w:pPr>
    </w:lvl>
    <w:lvl w:ilvl="8">
      <w:start w:val="1"/>
      <w:numFmt w:val="lowerRoman"/>
      <w:isLgl w:val="false"/>
      <w:suff w:val="tab"/>
      <w:lvlText w:val="%9."/>
      <w:lvlJc w:val="right"/>
      <w:pPr>
        <w:pStyle w:val="1118"/>
        <w:ind w:left="7581" w:hanging="420"/>
        <w:tabs>
          <w:tab w:val="num" w:pos="7581" w:leader="none"/>
        </w:tabs>
      </w:pPr>
    </w:lvl>
  </w:abstractNum>
  <w:abstractNum w:abstractNumId="2">
    <w:multiLevelType w:val="hybridMultilevel"/>
    <w:lvl w:ilvl="0">
      <w:start w:val="1"/>
      <w:numFmt w:val="decimal"/>
      <w:pStyle w:val="1232"/>
      <w:isLgl w:val="false"/>
      <w:suff w:val="tab"/>
      <w:lvlText w:val="%1."/>
      <w:lvlJc w:val="left"/>
      <w:pPr>
        <w:pStyle w:val="1118"/>
        <w:ind w:left="420" w:hanging="420"/>
      </w:pPr>
    </w:lvl>
    <w:lvl w:ilvl="1">
      <w:start w:val="1"/>
      <w:numFmt w:val="decimal"/>
      <w:isLgl w:val="false"/>
      <w:suff w:val="tab"/>
      <w:lvlText w:val="（%2）"/>
      <w:lvlJc w:val="left"/>
      <w:pPr>
        <w:pStyle w:val="1118"/>
        <w:ind w:left="1140" w:hanging="720"/>
        <w:tabs>
          <w:tab w:val="num" w:pos="1140" w:leader="none"/>
        </w:tabs>
      </w:pPr>
      <w:rPr>
        <w:rFonts w:hint="eastAsia"/>
      </w:rPr>
    </w:lvl>
    <w:lvl w:ilvl="2">
      <w:start w:val="1"/>
      <w:numFmt w:val="lowerRoman"/>
      <w:isLgl w:val="false"/>
      <w:suff w:val="tab"/>
      <w:lvlText w:val="%3."/>
      <w:lvlJc w:val="right"/>
      <w:pPr>
        <w:pStyle w:val="1118"/>
        <w:ind w:left="1260" w:hanging="420"/>
      </w:pPr>
    </w:lvl>
    <w:lvl w:ilvl="3">
      <w:start w:val="1"/>
      <w:numFmt w:val="decimal"/>
      <w:isLgl w:val="false"/>
      <w:suff w:val="tab"/>
      <w:lvlText w:val="%4."/>
      <w:lvlJc w:val="left"/>
      <w:pPr>
        <w:pStyle w:val="1118"/>
        <w:ind w:left="1680" w:hanging="420"/>
      </w:pPr>
    </w:lvl>
    <w:lvl w:ilvl="4">
      <w:start w:val="1"/>
      <w:numFmt w:val="lowerLetter"/>
      <w:isLgl w:val="false"/>
      <w:suff w:val="tab"/>
      <w:lvlText w:val="%5)"/>
      <w:lvlJc w:val="left"/>
      <w:pPr>
        <w:pStyle w:val="1118"/>
        <w:ind w:left="2100" w:hanging="420"/>
      </w:pPr>
    </w:lvl>
    <w:lvl w:ilvl="5">
      <w:start w:val="1"/>
      <w:numFmt w:val="lowerRoman"/>
      <w:isLgl w:val="false"/>
      <w:suff w:val="tab"/>
      <w:lvlText w:val="%6."/>
      <w:lvlJc w:val="right"/>
      <w:pPr>
        <w:pStyle w:val="1118"/>
        <w:ind w:left="2520" w:hanging="420"/>
      </w:pPr>
    </w:lvl>
    <w:lvl w:ilvl="6">
      <w:start w:val="1"/>
      <w:numFmt w:val="decimal"/>
      <w:isLgl w:val="false"/>
      <w:suff w:val="tab"/>
      <w:lvlText w:val="%7."/>
      <w:lvlJc w:val="left"/>
      <w:pPr>
        <w:pStyle w:val="1118"/>
        <w:ind w:left="2940" w:hanging="420"/>
      </w:pPr>
    </w:lvl>
    <w:lvl w:ilvl="7">
      <w:start w:val="1"/>
      <w:numFmt w:val="lowerLetter"/>
      <w:isLgl w:val="false"/>
      <w:suff w:val="tab"/>
      <w:lvlText w:val="%8)"/>
      <w:lvlJc w:val="left"/>
      <w:pPr>
        <w:pStyle w:val="1118"/>
        <w:ind w:left="3360" w:hanging="420"/>
      </w:pPr>
    </w:lvl>
    <w:lvl w:ilvl="8">
      <w:start w:val="1"/>
      <w:numFmt w:val="lowerRoman"/>
      <w:isLgl w:val="false"/>
      <w:suff w:val="tab"/>
      <w:lvlText w:val="%9."/>
      <w:lvlJc w:val="right"/>
      <w:pPr>
        <w:pStyle w:val="1118"/>
        <w:ind w:left="3780" w:hanging="420"/>
      </w:pPr>
    </w:lvl>
  </w:abstractNum>
  <w:abstractNum w:abstractNumId="3">
    <w:multiLevelType w:val="hybridMultilevel"/>
    <w:lvl w:ilvl="0">
      <w:start w:val="1"/>
      <w:numFmt w:val="lowerLetter"/>
      <w:pStyle w:val="1306"/>
      <w:isLgl w:val="false"/>
      <w:suff w:val="tab"/>
      <w:lvlText w:val="%1)"/>
      <w:lvlJc w:val="left"/>
      <w:pPr>
        <w:pStyle w:val="1118"/>
        <w:ind w:left="902" w:hanging="420"/>
      </w:pPr>
      <w:rPr>
        <w:color w:val="000000"/>
      </w:rPr>
    </w:lvl>
    <w:lvl w:ilvl="1">
      <w:start w:val="1"/>
      <w:numFmt w:val="lowerLetter"/>
      <w:isLgl w:val="false"/>
      <w:suff w:val="tab"/>
      <w:lvlText w:val="%2)"/>
      <w:lvlJc w:val="left"/>
      <w:pPr>
        <w:pStyle w:val="1118"/>
        <w:ind w:left="1322" w:hanging="420"/>
      </w:pPr>
    </w:lvl>
    <w:lvl w:ilvl="2">
      <w:start w:val="1"/>
      <w:numFmt w:val="lowerRoman"/>
      <w:isLgl w:val="false"/>
      <w:suff w:val="tab"/>
      <w:lvlText w:val="%3."/>
      <w:lvlJc w:val="right"/>
      <w:pPr>
        <w:pStyle w:val="1118"/>
        <w:ind w:left="1742" w:hanging="420"/>
      </w:pPr>
    </w:lvl>
    <w:lvl w:ilvl="3">
      <w:start w:val="1"/>
      <w:numFmt w:val="decimal"/>
      <w:isLgl w:val="false"/>
      <w:suff w:val="tab"/>
      <w:lvlText w:val="%4."/>
      <w:lvlJc w:val="left"/>
      <w:pPr>
        <w:pStyle w:val="1118"/>
        <w:ind w:left="2162" w:hanging="420"/>
      </w:pPr>
    </w:lvl>
    <w:lvl w:ilvl="4">
      <w:start w:val="1"/>
      <w:numFmt w:val="lowerLetter"/>
      <w:isLgl w:val="false"/>
      <w:suff w:val="tab"/>
      <w:lvlText w:val="%5)"/>
      <w:lvlJc w:val="left"/>
      <w:pPr>
        <w:pStyle w:val="1118"/>
        <w:ind w:left="2582" w:hanging="420"/>
      </w:pPr>
    </w:lvl>
    <w:lvl w:ilvl="5">
      <w:start w:val="1"/>
      <w:numFmt w:val="lowerRoman"/>
      <w:isLgl w:val="false"/>
      <w:suff w:val="tab"/>
      <w:lvlText w:val="%6."/>
      <w:lvlJc w:val="right"/>
      <w:pPr>
        <w:pStyle w:val="1118"/>
        <w:ind w:left="3002" w:hanging="420"/>
      </w:pPr>
    </w:lvl>
    <w:lvl w:ilvl="6">
      <w:start w:val="1"/>
      <w:numFmt w:val="decimal"/>
      <w:isLgl w:val="false"/>
      <w:suff w:val="tab"/>
      <w:lvlText w:val="%7."/>
      <w:lvlJc w:val="left"/>
      <w:pPr>
        <w:pStyle w:val="1118"/>
        <w:ind w:left="3422" w:hanging="420"/>
      </w:pPr>
    </w:lvl>
    <w:lvl w:ilvl="7">
      <w:start w:val="1"/>
      <w:numFmt w:val="lowerLetter"/>
      <w:isLgl w:val="false"/>
      <w:suff w:val="tab"/>
      <w:lvlText w:val="%8)"/>
      <w:lvlJc w:val="left"/>
      <w:pPr>
        <w:pStyle w:val="1118"/>
        <w:ind w:left="3842" w:hanging="420"/>
      </w:pPr>
    </w:lvl>
    <w:lvl w:ilvl="8">
      <w:start w:val="1"/>
      <w:numFmt w:val="lowerRoman"/>
      <w:isLgl w:val="false"/>
      <w:suff w:val="tab"/>
      <w:lvlText w:val="%9."/>
      <w:lvlJc w:val="right"/>
      <w:pPr>
        <w:pStyle w:val="1118"/>
        <w:ind w:left="4262" w:hanging="420"/>
      </w:pPr>
    </w:lvl>
  </w:abstractNum>
  <w:abstractNum w:abstractNumId="4">
    <w:multiLevelType w:val="hybridMultilevel"/>
    <w:lvl w:ilvl="0">
      <w:start w:val="1"/>
      <w:numFmt w:val="decimal"/>
      <w:pStyle w:val="1277"/>
      <w:isLgl w:val="false"/>
      <w:suff w:val="tab"/>
      <w:lvlText w:val="%1."/>
      <w:lvlJc w:val="left"/>
      <w:pPr>
        <w:pStyle w:val="1118"/>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26"/>
      <w:isLgl w:val="false"/>
      <w:suff w:val="nothing"/>
      <w:lvlText w:val="%1　"/>
      <w:lvlJc w:val="left"/>
      <w:pPr>
        <w:pStyle w:val="1118"/>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118"/>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118"/>
        <w:ind w:left="-25" w:firstLine="0"/>
      </w:pPr>
      <w:rPr>
        <w:rFonts w:ascii="Times New Roman" w:hAnsi="Times New Roman" w:eastAsia="黑体"/>
        <w:b/>
        <w:i w:val="0"/>
        <w:sz w:val="28"/>
      </w:rPr>
    </w:lvl>
    <w:lvl w:ilvl="3">
      <w:start w:val="1"/>
      <w:numFmt w:val="decimal"/>
      <w:pStyle w:val="1262"/>
      <w:isLgl w:val="false"/>
      <w:suff w:val="nothing"/>
      <w:lvlText w:val="%1.%2.%3.%4　"/>
      <w:lvlJc w:val="left"/>
      <w:pPr>
        <w:pStyle w:val="1118"/>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118"/>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118"/>
        <w:ind w:left="-25" w:firstLine="0"/>
      </w:pPr>
      <w:rPr>
        <w:rFonts w:ascii="Times New Roman" w:hAnsi="Times New Roman" w:eastAsia="宋体"/>
        <w:b/>
        <w:i w:val="0"/>
        <w:sz w:val="28"/>
      </w:rPr>
    </w:lvl>
    <w:lvl w:ilvl="6">
      <w:start w:val="1"/>
      <w:numFmt w:val="lowerLetter"/>
      <w:pStyle w:val="1283"/>
      <w:isLgl w:val="false"/>
      <w:suff w:val="tab"/>
      <w:lvlText w:val="%7) "/>
      <w:lvlJc w:val="left"/>
      <w:pPr>
        <w:pStyle w:val="1118"/>
        <w:ind w:left="-125" w:firstLine="400"/>
        <w:tabs>
          <w:tab w:val="num" w:pos="635" w:leader="none"/>
        </w:tabs>
      </w:pPr>
      <w:rPr>
        <w:rFonts w:ascii="Times New Roman" w:hAnsi="Times New Roman" w:eastAsia="宋体"/>
        <w:b/>
        <w:i w:val="0"/>
        <w:color w:val="000000"/>
        <w:sz w:val="28"/>
        <w:u w:val="none"/>
      </w:rPr>
    </w:lvl>
    <w:lvl w:ilvl="7">
      <w:start w:val="1"/>
      <w:numFmt w:val="decimal"/>
      <w:pStyle w:val="1246"/>
      <w:isLgl w:val="false"/>
      <w:suff w:val="tab"/>
      <w:lvlText w:val="%8) "/>
      <w:lvlJc w:val="left"/>
      <w:pPr>
        <w:pStyle w:val="1118"/>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118"/>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118"/>
        <w:ind w:left="768" w:hanging="360"/>
        <w:tabs>
          <w:tab w:val="num" w:pos="768" w:leader="none"/>
        </w:tabs>
      </w:pPr>
      <w:rPr>
        <w:rFonts w:hint="eastAsia"/>
      </w:rPr>
    </w:lvl>
    <w:lvl w:ilvl="1">
      <w:start w:val="1"/>
      <w:numFmt w:val="decimal"/>
      <w:pStyle w:val="1264"/>
      <w:isLgl w:val="false"/>
      <w:suff w:val="tab"/>
      <w:lvlText w:val="%2、"/>
      <w:lvlJc w:val="left"/>
      <w:pPr>
        <w:pStyle w:val="1118"/>
        <w:ind w:left="1188" w:hanging="360"/>
        <w:tabs>
          <w:tab w:val="num" w:pos="1188" w:leader="none"/>
        </w:tabs>
      </w:pPr>
      <w:rPr>
        <w:rFonts w:hint="eastAsia"/>
      </w:rPr>
    </w:lvl>
    <w:lvl w:ilvl="2">
      <w:start w:val="1"/>
      <w:numFmt w:val="decimal"/>
      <w:isLgl w:val="false"/>
      <w:suff w:val="tab"/>
      <w:lvlText w:val="（%3）"/>
      <w:lvlJc w:val="left"/>
      <w:pPr>
        <w:pStyle w:val="1118"/>
        <w:ind w:left="1968" w:hanging="720"/>
        <w:tabs>
          <w:tab w:val="num" w:pos="1968" w:leader="none"/>
        </w:tabs>
      </w:pPr>
      <w:rPr>
        <w:rFonts w:hint="eastAsia"/>
        <w:u w:val="none"/>
      </w:rPr>
    </w:lvl>
    <w:lvl w:ilvl="3">
      <w:start w:val="1"/>
      <w:numFmt w:val="decimal"/>
      <w:isLgl w:val="false"/>
      <w:suff w:val="tab"/>
      <w:lvlText w:val="%4."/>
      <w:lvlJc w:val="left"/>
      <w:pPr>
        <w:pStyle w:val="1118"/>
        <w:ind w:left="2088" w:hanging="420"/>
        <w:tabs>
          <w:tab w:val="num" w:pos="2088" w:leader="none"/>
        </w:tabs>
      </w:pPr>
    </w:lvl>
    <w:lvl w:ilvl="4">
      <w:start w:val="1"/>
      <w:numFmt w:val="lowerLetter"/>
      <w:isLgl w:val="false"/>
      <w:suff w:val="tab"/>
      <w:lvlText w:val="%5)"/>
      <w:lvlJc w:val="left"/>
      <w:pPr>
        <w:pStyle w:val="1118"/>
        <w:ind w:left="2508" w:hanging="420"/>
        <w:tabs>
          <w:tab w:val="num" w:pos="2508" w:leader="none"/>
        </w:tabs>
      </w:pPr>
    </w:lvl>
    <w:lvl w:ilvl="5">
      <w:start w:val="1"/>
      <w:numFmt w:val="lowerRoman"/>
      <w:isLgl w:val="false"/>
      <w:suff w:val="tab"/>
      <w:lvlText w:val="%6."/>
      <w:lvlJc w:val="right"/>
      <w:pPr>
        <w:pStyle w:val="1118"/>
        <w:ind w:left="2928" w:hanging="420"/>
        <w:tabs>
          <w:tab w:val="num" w:pos="2928" w:leader="none"/>
        </w:tabs>
      </w:pPr>
    </w:lvl>
    <w:lvl w:ilvl="6">
      <w:start w:val="1"/>
      <w:numFmt w:val="decimal"/>
      <w:isLgl w:val="false"/>
      <w:suff w:val="tab"/>
      <w:lvlText w:val="%7."/>
      <w:lvlJc w:val="left"/>
      <w:pPr>
        <w:pStyle w:val="1118"/>
        <w:ind w:left="3348" w:hanging="420"/>
        <w:tabs>
          <w:tab w:val="num" w:pos="3348" w:leader="none"/>
        </w:tabs>
      </w:pPr>
    </w:lvl>
    <w:lvl w:ilvl="7">
      <w:start w:val="1"/>
      <w:numFmt w:val="lowerLetter"/>
      <w:isLgl w:val="false"/>
      <w:suff w:val="tab"/>
      <w:lvlText w:val="%8)"/>
      <w:lvlJc w:val="left"/>
      <w:pPr>
        <w:pStyle w:val="1118"/>
        <w:ind w:left="3768" w:hanging="420"/>
        <w:tabs>
          <w:tab w:val="num" w:pos="3768" w:leader="none"/>
        </w:tabs>
      </w:pPr>
    </w:lvl>
    <w:lvl w:ilvl="8">
      <w:start w:val="1"/>
      <w:numFmt w:val="lowerRoman"/>
      <w:isLgl w:val="false"/>
      <w:suff w:val="tab"/>
      <w:lvlText w:val="%9."/>
      <w:lvlJc w:val="right"/>
      <w:pPr>
        <w:pStyle w:val="1118"/>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118"/>
        <w:ind w:left="900" w:hanging="900"/>
        <w:tabs>
          <w:tab w:val="num" w:pos="900" w:leader="none"/>
        </w:tabs>
      </w:pPr>
      <w:rPr>
        <w:rFonts w:hint="eastAsia"/>
      </w:rPr>
    </w:lvl>
    <w:lvl w:ilvl="1">
      <w:start w:val="1"/>
      <w:numFmt w:val="decimal"/>
      <w:isLgl w:val="false"/>
      <w:suff w:val="tab"/>
      <w:lvlText w:val="%1.%2"/>
      <w:lvlJc w:val="left"/>
      <w:pPr>
        <w:pStyle w:val="111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18"/>
        <w:ind w:left="1980" w:hanging="900"/>
        <w:tabs>
          <w:tab w:val="num" w:pos="1980" w:leader="none"/>
        </w:tabs>
      </w:pPr>
      <w:rPr>
        <w:rFonts w:hint="eastAsia"/>
      </w:rPr>
    </w:lvl>
    <w:lvl w:ilvl="3">
      <w:start w:val="1"/>
      <w:numFmt w:val="decimal"/>
      <w:isLgl w:val="false"/>
      <w:suff w:val="tab"/>
      <w:lvlText w:val="%1.%2.%3.%4"/>
      <w:lvlJc w:val="left"/>
      <w:pPr>
        <w:pStyle w:val="1118"/>
        <w:ind w:left="900" w:hanging="900"/>
        <w:tabs>
          <w:tab w:val="num" w:pos="900" w:leader="none"/>
        </w:tabs>
      </w:pPr>
      <w:rPr>
        <w:rFonts w:hint="eastAsia"/>
      </w:rPr>
    </w:lvl>
    <w:lvl w:ilvl="4">
      <w:start w:val="1"/>
      <w:numFmt w:val="decimal"/>
      <w:isLgl w:val="false"/>
      <w:suff w:val="tab"/>
      <w:lvlText w:val="%1.%2.%3.%4.%5"/>
      <w:lvlJc w:val="left"/>
      <w:pPr>
        <w:pStyle w:val="1118"/>
        <w:ind w:left="900" w:hanging="900"/>
        <w:tabs>
          <w:tab w:val="num" w:pos="900" w:leader="none"/>
        </w:tabs>
      </w:pPr>
      <w:rPr>
        <w:rFonts w:hint="eastAsia"/>
      </w:rPr>
    </w:lvl>
    <w:lvl w:ilvl="5">
      <w:start w:val="1"/>
      <w:numFmt w:val="decimal"/>
      <w:isLgl w:val="false"/>
      <w:suff w:val="tab"/>
      <w:lvlText w:val="%1.%2.%3.%4.%5.%6"/>
      <w:lvlJc w:val="left"/>
      <w:pPr>
        <w:pStyle w:val="1118"/>
        <w:ind w:left="900" w:hanging="900"/>
        <w:tabs>
          <w:tab w:val="num" w:pos="900" w:leader="none"/>
        </w:tabs>
      </w:pPr>
      <w:rPr>
        <w:rFonts w:hint="eastAsia"/>
      </w:rPr>
    </w:lvl>
    <w:lvl w:ilvl="6">
      <w:start w:val="1"/>
      <w:numFmt w:val="decimal"/>
      <w:isLgl w:val="false"/>
      <w:suff w:val="tab"/>
      <w:lvlText w:val="%1.%2.%3.%4.%5.%6.%7"/>
      <w:lvlJc w:val="left"/>
      <w:pPr>
        <w:pStyle w:val="1118"/>
        <w:ind w:left="900" w:hanging="900"/>
        <w:tabs>
          <w:tab w:val="num" w:pos="900" w:leader="none"/>
        </w:tabs>
      </w:pPr>
      <w:rPr>
        <w:rFonts w:hint="eastAsia"/>
      </w:rPr>
    </w:lvl>
    <w:lvl w:ilvl="7">
      <w:start w:val="1"/>
      <w:numFmt w:val="decimal"/>
      <w:isLgl w:val="false"/>
      <w:suff w:val="tab"/>
      <w:lvlText w:val="%1.%2.%3.%4.%5.%6.%7.%8"/>
      <w:lvlJc w:val="left"/>
      <w:pPr>
        <w:pStyle w:val="1118"/>
        <w:ind w:left="900" w:hanging="900"/>
        <w:tabs>
          <w:tab w:val="num" w:pos="900" w:leader="none"/>
        </w:tabs>
      </w:pPr>
      <w:rPr>
        <w:rFonts w:hint="eastAsia"/>
      </w:rPr>
    </w:lvl>
    <w:lvl w:ilvl="8">
      <w:start w:val="1"/>
      <w:numFmt w:val="decimal"/>
      <w:isLgl w:val="false"/>
      <w:suff w:val="tab"/>
      <w:lvlText w:val="%1.%2.%3.%4.%5.%6.%7.%8.%9"/>
      <w:lvlJc w:val="left"/>
      <w:pPr>
        <w:pStyle w:val="1118"/>
        <w:ind w:left="900" w:hanging="900"/>
        <w:tabs>
          <w:tab w:val="num" w:pos="900" w:leader="none"/>
        </w:tabs>
      </w:pPr>
      <w:rPr>
        <w:rFonts w:hint="eastAsia"/>
      </w:rPr>
    </w:lvl>
  </w:abstractNum>
  <w:abstractNum w:abstractNumId="8">
    <w:multiLevelType w:val="hybridMultilevel"/>
    <w:lvl w:ilvl="0">
      <w:start w:val="1"/>
      <w:numFmt w:val="decimal"/>
      <w:pStyle w:val="1231"/>
      <w:isLgl w:val="false"/>
      <w:suff w:val="tab"/>
      <w:lvlText w:val="%1)"/>
      <w:lvlJc w:val="left"/>
      <w:pPr>
        <w:pStyle w:val="1118"/>
        <w:ind w:left="420" w:hanging="420"/>
      </w:pPr>
    </w:lvl>
    <w:lvl w:ilvl="1">
      <w:start w:val="1"/>
      <w:numFmt w:val="lowerLetter"/>
      <w:isLgl w:val="false"/>
      <w:suff w:val="tab"/>
      <w:lvlText w:val="%2)"/>
      <w:lvlJc w:val="left"/>
      <w:pPr>
        <w:pStyle w:val="1118"/>
        <w:ind w:left="840" w:hanging="420"/>
      </w:pPr>
    </w:lvl>
    <w:lvl w:ilvl="2">
      <w:start w:val="1"/>
      <w:numFmt w:val="lowerRoman"/>
      <w:isLgl w:val="false"/>
      <w:suff w:val="tab"/>
      <w:lvlText w:val="%3."/>
      <w:lvlJc w:val="right"/>
      <w:pPr>
        <w:pStyle w:val="1118"/>
        <w:ind w:left="1260" w:hanging="420"/>
      </w:pPr>
    </w:lvl>
    <w:lvl w:ilvl="3">
      <w:start w:val="1"/>
      <w:numFmt w:val="decimal"/>
      <w:isLgl w:val="false"/>
      <w:suff w:val="tab"/>
      <w:lvlText w:val="%4."/>
      <w:lvlJc w:val="left"/>
      <w:pPr>
        <w:pStyle w:val="1118"/>
        <w:ind w:left="1680" w:hanging="420"/>
      </w:pPr>
    </w:lvl>
    <w:lvl w:ilvl="4">
      <w:start w:val="1"/>
      <w:numFmt w:val="lowerLetter"/>
      <w:isLgl w:val="false"/>
      <w:suff w:val="tab"/>
      <w:lvlText w:val="%5)"/>
      <w:lvlJc w:val="left"/>
      <w:pPr>
        <w:pStyle w:val="1118"/>
        <w:ind w:left="2100" w:hanging="420"/>
      </w:pPr>
    </w:lvl>
    <w:lvl w:ilvl="5">
      <w:start w:val="1"/>
      <w:numFmt w:val="lowerRoman"/>
      <w:isLgl w:val="false"/>
      <w:suff w:val="tab"/>
      <w:lvlText w:val="%6."/>
      <w:lvlJc w:val="right"/>
      <w:pPr>
        <w:pStyle w:val="1118"/>
        <w:ind w:left="2520" w:hanging="420"/>
      </w:pPr>
    </w:lvl>
    <w:lvl w:ilvl="6">
      <w:start w:val="1"/>
      <w:numFmt w:val="decimal"/>
      <w:isLgl w:val="false"/>
      <w:suff w:val="tab"/>
      <w:lvlText w:val="%7."/>
      <w:lvlJc w:val="left"/>
      <w:pPr>
        <w:pStyle w:val="1118"/>
        <w:ind w:left="2940" w:hanging="420"/>
      </w:pPr>
    </w:lvl>
    <w:lvl w:ilvl="7">
      <w:start w:val="1"/>
      <w:numFmt w:val="lowerLetter"/>
      <w:isLgl w:val="false"/>
      <w:suff w:val="tab"/>
      <w:lvlText w:val="%8)"/>
      <w:lvlJc w:val="left"/>
      <w:pPr>
        <w:pStyle w:val="1118"/>
        <w:ind w:left="3360" w:hanging="420"/>
      </w:pPr>
    </w:lvl>
    <w:lvl w:ilvl="8">
      <w:start w:val="1"/>
      <w:numFmt w:val="lowerRoman"/>
      <w:isLgl w:val="false"/>
      <w:suff w:val="tab"/>
      <w:lvlText w:val="%9."/>
      <w:lvlJc w:val="right"/>
      <w:pPr>
        <w:pStyle w:val="1118"/>
        <w:ind w:left="3780" w:hanging="420"/>
      </w:pPr>
    </w:lvl>
  </w:abstractNum>
  <w:abstractNum w:abstractNumId="9">
    <w:multiLevelType w:val="hybridMultilevel"/>
    <w:lvl w:ilvl="0">
      <w:start w:val="1"/>
      <w:numFmt w:val="decimal"/>
      <w:pStyle w:val="1331"/>
      <w:isLgl w:val="false"/>
      <w:suff w:val="tab"/>
      <w:lvlText w:val="%1"/>
      <w:lvlJc w:val="left"/>
      <w:pPr>
        <w:pStyle w:val="1118"/>
        <w:ind w:left="680" w:hanging="680"/>
      </w:pPr>
      <w:rPr>
        <w:rFonts w:hint="eastAsia" w:ascii="宋体" w:hAnsi="宋体" w:eastAsia="宋体"/>
      </w:rPr>
    </w:lvl>
    <w:lvl w:ilvl="1">
      <w:start w:val="1"/>
      <w:numFmt w:val="decimal"/>
      <w:pStyle w:val="1332"/>
      <w:isLgl w:val="false"/>
      <w:suff w:val="tab"/>
      <w:lvlText w:val="%1.%2"/>
      <w:lvlJc w:val="left"/>
      <w:pPr>
        <w:pStyle w:val="1118"/>
        <w:ind w:left="851" w:hanging="851"/>
      </w:pPr>
      <w:rPr>
        <w:rFonts w:hint="eastAsia" w:ascii="宋体" w:hAnsi="宋体" w:eastAsia="宋体"/>
        <w:color w:val="000000"/>
      </w:rPr>
    </w:lvl>
    <w:lvl w:ilvl="2">
      <w:start w:val="1"/>
      <w:numFmt w:val="decimal"/>
      <w:pStyle w:val="1333"/>
      <w:isLgl w:val="false"/>
      <w:suff w:val="tab"/>
      <w:lvlText w:val="%1.%2.%3"/>
      <w:lvlJc w:val="left"/>
      <w:pPr>
        <w:pStyle w:val="1118"/>
        <w:ind w:left="851" w:hanging="851"/>
      </w:pPr>
      <w:rPr>
        <w:rFonts w:hint="eastAsia"/>
      </w:rPr>
    </w:lvl>
    <w:lvl w:ilvl="3">
      <w:start w:val="1"/>
      <w:numFmt w:val="decimal"/>
      <w:isLgl w:val="false"/>
      <w:suff w:val="tab"/>
      <w:lvlText w:val="%1.%2.%3.%4"/>
      <w:lvlJc w:val="left"/>
      <w:pPr>
        <w:pStyle w:val="1118"/>
        <w:ind w:left="680" w:hanging="680"/>
      </w:pPr>
      <w:rPr>
        <w:rFonts w:hint="eastAsia"/>
      </w:rPr>
    </w:lvl>
    <w:lvl w:ilvl="4">
      <w:start w:val="1"/>
      <w:numFmt w:val="decimal"/>
      <w:isLgl w:val="false"/>
      <w:suff w:val="tab"/>
      <w:lvlText w:val="%1.%2.%3.%4.%5"/>
      <w:lvlJc w:val="left"/>
      <w:pPr>
        <w:pStyle w:val="1118"/>
        <w:ind w:left="680" w:hanging="680"/>
      </w:pPr>
      <w:rPr>
        <w:rFonts w:hint="eastAsia"/>
      </w:rPr>
    </w:lvl>
    <w:lvl w:ilvl="5">
      <w:start w:val="1"/>
      <w:numFmt w:val="decimal"/>
      <w:isLgl w:val="false"/>
      <w:suff w:val="tab"/>
      <w:lvlText w:val="%1.%2.%3.%4.%5.%6"/>
      <w:lvlJc w:val="left"/>
      <w:pPr>
        <w:pStyle w:val="1118"/>
        <w:ind w:left="680" w:hanging="680"/>
      </w:pPr>
      <w:rPr>
        <w:rFonts w:hint="eastAsia"/>
      </w:rPr>
    </w:lvl>
    <w:lvl w:ilvl="6">
      <w:start w:val="1"/>
      <w:numFmt w:val="decimal"/>
      <w:isLgl w:val="false"/>
      <w:suff w:val="tab"/>
      <w:lvlText w:val="%1.%2.%3.%4.%5.%6.%7"/>
      <w:lvlJc w:val="left"/>
      <w:pPr>
        <w:pStyle w:val="1118"/>
        <w:ind w:left="680" w:hanging="680"/>
      </w:pPr>
      <w:rPr>
        <w:rFonts w:hint="eastAsia"/>
      </w:rPr>
    </w:lvl>
    <w:lvl w:ilvl="7">
      <w:start w:val="1"/>
      <w:numFmt w:val="decimal"/>
      <w:isLgl w:val="false"/>
      <w:suff w:val="tab"/>
      <w:lvlText w:val="%1.%2.%3.%4.%5.%6.%7.%8"/>
      <w:lvlJc w:val="left"/>
      <w:pPr>
        <w:pStyle w:val="1118"/>
        <w:ind w:left="680" w:hanging="680"/>
      </w:pPr>
      <w:rPr>
        <w:rFonts w:hint="eastAsia"/>
      </w:rPr>
    </w:lvl>
    <w:lvl w:ilvl="8">
      <w:start w:val="1"/>
      <w:numFmt w:val="decimal"/>
      <w:isLgl w:val="false"/>
      <w:suff w:val="tab"/>
      <w:lvlText w:val="%1.%2.%3.%4.%5.%6.%7.%8.%9"/>
      <w:lvlJc w:val="left"/>
      <w:pPr>
        <w:pStyle w:val="1118"/>
        <w:ind w:left="680" w:hanging="680"/>
      </w:pPr>
      <w:rPr>
        <w:rFonts w:hint="eastAsia"/>
      </w:rPr>
    </w:lvl>
  </w:abstractNum>
  <w:abstractNum w:abstractNumId="10">
    <w:multiLevelType w:val="hybridMultilevel"/>
    <w:lvl w:ilvl="0">
      <w:start w:val="1"/>
      <w:numFmt w:val="decimal"/>
      <w:isLgl w:val="false"/>
      <w:suff w:val="tab"/>
      <w:lvlText w:val="%1"/>
      <w:lvlJc w:val="left"/>
      <w:pPr>
        <w:pStyle w:val="1118"/>
        <w:ind w:left="900" w:hanging="900"/>
        <w:tabs>
          <w:tab w:val="num" w:pos="900" w:leader="none"/>
        </w:tabs>
      </w:pPr>
      <w:rPr>
        <w:rFonts w:hint="eastAsia"/>
      </w:rPr>
    </w:lvl>
    <w:lvl w:ilvl="1">
      <w:start w:val="1"/>
      <w:numFmt w:val="decimal"/>
      <w:isLgl w:val="false"/>
      <w:suff w:val="tab"/>
      <w:lvlText w:val="%1.%2"/>
      <w:lvlJc w:val="left"/>
      <w:pPr>
        <w:pStyle w:val="1118"/>
        <w:ind w:left="1741"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1118"/>
        <w:ind w:left="1980" w:hanging="900"/>
        <w:tabs>
          <w:tab w:val="num" w:pos="1980" w:leader="none"/>
        </w:tabs>
      </w:pPr>
      <w:rPr>
        <w:rFonts w:hint="eastAsia"/>
      </w:rPr>
    </w:lvl>
    <w:lvl w:ilvl="3">
      <w:start w:val="1"/>
      <w:numFmt w:val="decimal"/>
      <w:isLgl w:val="false"/>
      <w:suff w:val="tab"/>
      <w:lvlText w:val="%1.%2.%3.%4"/>
      <w:lvlJc w:val="left"/>
      <w:pPr>
        <w:pStyle w:val="1118"/>
        <w:ind w:left="900" w:hanging="900"/>
        <w:tabs>
          <w:tab w:val="num" w:pos="900" w:leader="none"/>
        </w:tabs>
      </w:pPr>
      <w:rPr>
        <w:rFonts w:hint="eastAsia"/>
      </w:rPr>
    </w:lvl>
    <w:lvl w:ilvl="4">
      <w:start w:val="1"/>
      <w:numFmt w:val="decimal"/>
      <w:isLgl w:val="false"/>
      <w:suff w:val="tab"/>
      <w:lvlText w:val="%1.%2.%3.%4.%5"/>
      <w:lvlJc w:val="left"/>
      <w:pPr>
        <w:pStyle w:val="1118"/>
        <w:ind w:left="900" w:hanging="900"/>
        <w:tabs>
          <w:tab w:val="num" w:pos="900" w:leader="none"/>
        </w:tabs>
      </w:pPr>
      <w:rPr>
        <w:rFonts w:hint="eastAsia"/>
      </w:rPr>
    </w:lvl>
    <w:lvl w:ilvl="5">
      <w:start w:val="1"/>
      <w:numFmt w:val="decimal"/>
      <w:isLgl w:val="false"/>
      <w:suff w:val="tab"/>
      <w:lvlText w:val="%1.%2.%3.%4.%5.%6"/>
      <w:lvlJc w:val="left"/>
      <w:pPr>
        <w:pStyle w:val="1118"/>
        <w:ind w:left="900" w:hanging="900"/>
        <w:tabs>
          <w:tab w:val="num" w:pos="900" w:leader="none"/>
        </w:tabs>
      </w:pPr>
      <w:rPr>
        <w:rFonts w:hint="eastAsia"/>
      </w:rPr>
    </w:lvl>
    <w:lvl w:ilvl="6">
      <w:start w:val="1"/>
      <w:numFmt w:val="decimal"/>
      <w:isLgl w:val="false"/>
      <w:suff w:val="tab"/>
      <w:lvlText w:val="%1.%2.%3.%4.%5.%6.%7"/>
      <w:lvlJc w:val="left"/>
      <w:pPr>
        <w:pStyle w:val="1118"/>
        <w:ind w:left="900" w:hanging="900"/>
        <w:tabs>
          <w:tab w:val="num" w:pos="900" w:leader="none"/>
        </w:tabs>
      </w:pPr>
      <w:rPr>
        <w:rFonts w:hint="eastAsia"/>
      </w:rPr>
    </w:lvl>
    <w:lvl w:ilvl="7">
      <w:start w:val="1"/>
      <w:numFmt w:val="decimal"/>
      <w:isLgl w:val="false"/>
      <w:suff w:val="tab"/>
      <w:lvlText w:val="%1.%2.%3.%4.%5.%6.%7.%8"/>
      <w:lvlJc w:val="left"/>
      <w:pPr>
        <w:pStyle w:val="1118"/>
        <w:ind w:left="900" w:hanging="900"/>
        <w:tabs>
          <w:tab w:val="num" w:pos="900" w:leader="none"/>
        </w:tabs>
      </w:pPr>
      <w:rPr>
        <w:rFonts w:hint="eastAsia"/>
      </w:rPr>
    </w:lvl>
    <w:lvl w:ilvl="8">
      <w:start w:val="1"/>
      <w:numFmt w:val="decimal"/>
      <w:isLgl w:val="false"/>
      <w:suff w:val="tab"/>
      <w:lvlText w:val="%1.%2.%3.%4.%5.%6.%7.%8.%9"/>
      <w:lvlJc w:val="left"/>
      <w:pPr>
        <w:pStyle w:val="1118"/>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118"/>
        <w:ind w:left="900" w:hanging="900"/>
        <w:tabs>
          <w:tab w:val="num" w:pos="900" w:leader="none"/>
        </w:tabs>
      </w:pPr>
      <w:rPr>
        <w:rFonts w:hint="eastAsia"/>
      </w:rPr>
    </w:lvl>
    <w:lvl w:ilvl="1">
      <w:start w:val="1"/>
      <w:numFmt w:val="decimal"/>
      <w:isLgl w:val="false"/>
      <w:suff w:val="tab"/>
      <w:lvlText w:val="%1.%2"/>
      <w:lvlJc w:val="left"/>
      <w:pPr>
        <w:pStyle w:val="1118"/>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118"/>
        <w:ind w:left="1980" w:hanging="900"/>
        <w:tabs>
          <w:tab w:val="num" w:pos="1980" w:leader="none"/>
        </w:tabs>
      </w:pPr>
      <w:rPr>
        <w:rFonts w:hint="eastAsia"/>
      </w:rPr>
    </w:lvl>
    <w:lvl w:ilvl="3">
      <w:start w:val="1"/>
      <w:numFmt w:val="decimal"/>
      <w:isLgl w:val="false"/>
      <w:suff w:val="tab"/>
      <w:lvlText w:val="%1.%2.%3.%4"/>
      <w:lvlJc w:val="left"/>
      <w:pPr>
        <w:pStyle w:val="1118"/>
        <w:ind w:left="900" w:hanging="900"/>
        <w:tabs>
          <w:tab w:val="num" w:pos="900" w:leader="none"/>
        </w:tabs>
      </w:pPr>
      <w:rPr>
        <w:rFonts w:hint="eastAsia"/>
      </w:rPr>
    </w:lvl>
    <w:lvl w:ilvl="4">
      <w:start w:val="1"/>
      <w:numFmt w:val="decimal"/>
      <w:isLgl w:val="false"/>
      <w:suff w:val="tab"/>
      <w:lvlText w:val="%1.%2.%3.%4.%5"/>
      <w:lvlJc w:val="left"/>
      <w:pPr>
        <w:pStyle w:val="1118"/>
        <w:ind w:left="900" w:hanging="900"/>
        <w:tabs>
          <w:tab w:val="num" w:pos="900" w:leader="none"/>
        </w:tabs>
      </w:pPr>
      <w:rPr>
        <w:rFonts w:hint="eastAsia"/>
      </w:rPr>
    </w:lvl>
    <w:lvl w:ilvl="5">
      <w:start w:val="1"/>
      <w:numFmt w:val="decimal"/>
      <w:isLgl w:val="false"/>
      <w:suff w:val="tab"/>
      <w:lvlText w:val="%1.%2.%3.%4.%5.%6"/>
      <w:lvlJc w:val="left"/>
      <w:pPr>
        <w:pStyle w:val="1118"/>
        <w:ind w:left="900" w:hanging="900"/>
        <w:tabs>
          <w:tab w:val="num" w:pos="900" w:leader="none"/>
        </w:tabs>
      </w:pPr>
      <w:rPr>
        <w:rFonts w:hint="eastAsia"/>
      </w:rPr>
    </w:lvl>
    <w:lvl w:ilvl="6">
      <w:start w:val="1"/>
      <w:numFmt w:val="decimal"/>
      <w:isLgl w:val="false"/>
      <w:suff w:val="tab"/>
      <w:lvlText w:val="%1.%2.%3.%4.%5.%6.%7"/>
      <w:lvlJc w:val="left"/>
      <w:pPr>
        <w:pStyle w:val="1118"/>
        <w:ind w:left="900" w:hanging="900"/>
        <w:tabs>
          <w:tab w:val="num" w:pos="900" w:leader="none"/>
        </w:tabs>
      </w:pPr>
      <w:rPr>
        <w:rFonts w:hint="eastAsia"/>
      </w:rPr>
    </w:lvl>
    <w:lvl w:ilvl="7">
      <w:start w:val="1"/>
      <w:numFmt w:val="decimal"/>
      <w:isLgl w:val="false"/>
      <w:suff w:val="tab"/>
      <w:lvlText w:val="%1.%2.%3.%4.%5.%6.%7.%8"/>
      <w:lvlJc w:val="left"/>
      <w:pPr>
        <w:pStyle w:val="1118"/>
        <w:ind w:left="900" w:hanging="900"/>
        <w:tabs>
          <w:tab w:val="num" w:pos="900" w:leader="none"/>
        </w:tabs>
      </w:pPr>
      <w:rPr>
        <w:rFonts w:hint="eastAsia"/>
      </w:rPr>
    </w:lvl>
    <w:lvl w:ilvl="8">
      <w:start w:val="1"/>
      <w:numFmt w:val="decimal"/>
      <w:isLgl w:val="false"/>
      <w:suff w:val="tab"/>
      <w:lvlText w:val="%1.%2.%3.%4.%5.%6.%7.%8.%9"/>
      <w:lvlJc w:val="left"/>
      <w:pPr>
        <w:pStyle w:val="1118"/>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118"/>
        <w:ind w:left="205" w:hanging="322"/>
      </w:pPr>
      <w:rPr>
        <w:rFonts w:ascii="仿宋" w:hAnsi="仿宋" w:eastAsia="仿宋" w:cs="仿宋"/>
        <w:spacing w:val="-46"/>
        <w:sz w:val="30"/>
        <w:szCs w:val="30"/>
      </w:rPr>
    </w:lvl>
    <w:lvl w:ilvl="1">
      <w:start w:val="1"/>
      <w:numFmt w:val="lowerLetter"/>
      <w:isLgl w:val="false"/>
      <w:suff w:val="tab"/>
      <w:lvlText w:val="%2)"/>
      <w:lvlJc w:val="left"/>
      <w:pPr>
        <w:pStyle w:val="1118"/>
        <w:ind w:left="840" w:hanging="420"/>
      </w:pPr>
    </w:lvl>
    <w:lvl w:ilvl="2">
      <w:start w:val="1"/>
      <w:numFmt w:val="lowerRoman"/>
      <w:isLgl w:val="false"/>
      <w:suff w:val="tab"/>
      <w:lvlText w:val="%3."/>
      <w:lvlJc w:val="right"/>
      <w:pPr>
        <w:pStyle w:val="1118"/>
        <w:ind w:left="1260" w:hanging="420"/>
      </w:pPr>
    </w:lvl>
    <w:lvl w:ilvl="3">
      <w:start w:val="1"/>
      <w:numFmt w:val="decimal"/>
      <w:isLgl w:val="false"/>
      <w:suff w:val="tab"/>
      <w:lvlText w:val="%4."/>
      <w:lvlJc w:val="left"/>
      <w:pPr>
        <w:pStyle w:val="1118"/>
        <w:ind w:left="1680" w:hanging="420"/>
      </w:pPr>
    </w:lvl>
    <w:lvl w:ilvl="4">
      <w:start w:val="1"/>
      <w:numFmt w:val="lowerLetter"/>
      <w:isLgl w:val="false"/>
      <w:suff w:val="tab"/>
      <w:lvlText w:val="%5)"/>
      <w:lvlJc w:val="left"/>
      <w:pPr>
        <w:pStyle w:val="1118"/>
        <w:ind w:left="2100" w:hanging="420"/>
      </w:pPr>
    </w:lvl>
    <w:lvl w:ilvl="5">
      <w:start w:val="1"/>
      <w:numFmt w:val="lowerRoman"/>
      <w:isLgl w:val="false"/>
      <w:suff w:val="tab"/>
      <w:lvlText w:val="%6."/>
      <w:lvlJc w:val="right"/>
      <w:pPr>
        <w:pStyle w:val="1118"/>
        <w:ind w:left="2520" w:hanging="420"/>
      </w:pPr>
    </w:lvl>
    <w:lvl w:ilvl="6">
      <w:start w:val="1"/>
      <w:numFmt w:val="decimal"/>
      <w:isLgl w:val="false"/>
      <w:suff w:val="tab"/>
      <w:lvlText w:val="%7."/>
      <w:lvlJc w:val="left"/>
      <w:pPr>
        <w:pStyle w:val="1118"/>
        <w:ind w:left="2940" w:hanging="420"/>
      </w:pPr>
    </w:lvl>
    <w:lvl w:ilvl="7">
      <w:start w:val="1"/>
      <w:numFmt w:val="lowerLetter"/>
      <w:isLgl w:val="false"/>
      <w:suff w:val="tab"/>
      <w:lvlText w:val="%8)"/>
      <w:lvlJc w:val="left"/>
      <w:pPr>
        <w:pStyle w:val="1118"/>
        <w:ind w:left="3360" w:hanging="420"/>
      </w:pPr>
    </w:lvl>
    <w:lvl w:ilvl="8">
      <w:start w:val="1"/>
      <w:numFmt w:val="lowerRoman"/>
      <w:isLgl w:val="false"/>
      <w:suff w:val="tab"/>
      <w:lvlText w:val="%9."/>
      <w:lvlJc w:val="right"/>
      <w:pPr>
        <w:pStyle w:val="1118"/>
        <w:ind w:left="3780" w:hanging="420"/>
      </w:pPr>
    </w:lvl>
  </w:abstractNum>
  <w:abstractNum w:abstractNumId="13">
    <w:multiLevelType w:val="hybridMultilevel"/>
    <w:lvl w:ilvl="0">
      <w:start w:val="1"/>
      <w:numFmt w:val="decimal"/>
      <w:isLgl w:val="false"/>
      <w:suff w:val="tab"/>
      <w:lvlText w:val="%1."/>
      <w:lvlJc w:val="left"/>
      <w:pPr>
        <w:pStyle w:val="1118"/>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9"/>
  </w:num>
  <w:num w:numId="8">
    <w:abstractNumId w:val="7"/>
  </w:num>
  <w:num w:numId="9">
    <w:abstractNumId w:val="11"/>
  </w:num>
  <w:num w:numId="10">
    <w:abstractNumId w:val="1"/>
  </w:num>
  <w:num w:numId="11">
    <w:abstractNumId w:val="10"/>
  </w:num>
  <w:num w:numId="12">
    <w:abstractNumId w:val="13"/>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0">
    <w:name w:val="Heading 1"/>
    <w:basedOn w:val="1118"/>
    <w:next w:val="1118"/>
    <w:link w:val="941"/>
    <w:uiPriority w:val="9"/>
    <w:qFormat/>
    <w:pPr>
      <w:keepLines/>
      <w:keepNext/>
      <w:spacing w:before="480" w:after="200"/>
      <w:outlineLvl w:val="0"/>
    </w:pPr>
    <w:rPr>
      <w:rFonts w:ascii="Arial" w:hAnsi="Arial" w:eastAsia="Arial" w:cs="Arial"/>
      <w:sz w:val="40"/>
      <w:szCs w:val="40"/>
    </w:rPr>
  </w:style>
  <w:style w:type="character" w:styleId="941">
    <w:name w:val="Heading 1 Char"/>
    <w:link w:val="940"/>
    <w:uiPriority w:val="9"/>
    <w:rPr>
      <w:rFonts w:ascii="Arial" w:hAnsi="Arial" w:eastAsia="Arial" w:cs="Arial"/>
      <w:sz w:val="40"/>
      <w:szCs w:val="40"/>
    </w:rPr>
  </w:style>
  <w:style w:type="paragraph" w:styleId="942">
    <w:name w:val="Heading 2"/>
    <w:basedOn w:val="1118"/>
    <w:next w:val="1118"/>
    <w:link w:val="943"/>
    <w:uiPriority w:val="9"/>
    <w:unhideWhenUsed/>
    <w:qFormat/>
    <w:pPr>
      <w:keepLines/>
      <w:keepNext/>
      <w:spacing w:before="360" w:after="200"/>
      <w:outlineLvl w:val="1"/>
    </w:pPr>
    <w:rPr>
      <w:rFonts w:ascii="Arial" w:hAnsi="Arial" w:eastAsia="Arial" w:cs="Arial"/>
      <w:sz w:val="34"/>
    </w:rPr>
  </w:style>
  <w:style w:type="character" w:styleId="943">
    <w:name w:val="Heading 2 Char"/>
    <w:link w:val="942"/>
    <w:uiPriority w:val="9"/>
    <w:rPr>
      <w:rFonts w:ascii="Arial" w:hAnsi="Arial" w:eastAsia="Arial" w:cs="Arial"/>
      <w:sz w:val="34"/>
    </w:rPr>
  </w:style>
  <w:style w:type="paragraph" w:styleId="944">
    <w:name w:val="Heading 3"/>
    <w:basedOn w:val="1118"/>
    <w:next w:val="1118"/>
    <w:link w:val="945"/>
    <w:uiPriority w:val="9"/>
    <w:unhideWhenUsed/>
    <w:qFormat/>
    <w:pPr>
      <w:keepLines/>
      <w:keepNext/>
      <w:spacing w:before="320" w:after="200"/>
      <w:outlineLvl w:val="2"/>
    </w:pPr>
    <w:rPr>
      <w:rFonts w:ascii="Arial" w:hAnsi="Arial" w:eastAsia="Arial" w:cs="Arial"/>
      <w:sz w:val="30"/>
      <w:szCs w:val="30"/>
    </w:rPr>
  </w:style>
  <w:style w:type="character" w:styleId="945">
    <w:name w:val="Heading 3 Char"/>
    <w:link w:val="944"/>
    <w:uiPriority w:val="9"/>
    <w:rPr>
      <w:rFonts w:ascii="Arial" w:hAnsi="Arial" w:eastAsia="Arial" w:cs="Arial"/>
      <w:sz w:val="30"/>
      <w:szCs w:val="30"/>
    </w:rPr>
  </w:style>
  <w:style w:type="paragraph" w:styleId="946">
    <w:name w:val="Heading 4"/>
    <w:basedOn w:val="1118"/>
    <w:next w:val="1118"/>
    <w:link w:val="947"/>
    <w:uiPriority w:val="9"/>
    <w:unhideWhenUsed/>
    <w:qFormat/>
    <w:pPr>
      <w:keepLines/>
      <w:keepNext/>
      <w:spacing w:before="320" w:after="200"/>
      <w:outlineLvl w:val="3"/>
    </w:pPr>
    <w:rPr>
      <w:rFonts w:ascii="Arial" w:hAnsi="Arial" w:eastAsia="Arial" w:cs="Arial"/>
      <w:b/>
      <w:bCs/>
      <w:sz w:val="26"/>
      <w:szCs w:val="26"/>
    </w:rPr>
  </w:style>
  <w:style w:type="character" w:styleId="947">
    <w:name w:val="Heading 4 Char"/>
    <w:link w:val="946"/>
    <w:uiPriority w:val="9"/>
    <w:rPr>
      <w:rFonts w:ascii="Arial" w:hAnsi="Arial" w:eastAsia="Arial" w:cs="Arial"/>
      <w:b/>
      <w:bCs/>
      <w:sz w:val="26"/>
      <w:szCs w:val="26"/>
    </w:rPr>
  </w:style>
  <w:style w:type="paragraph" w:styleId="948">
    <w:name w:val="Heading 5"/>
    <w:basedOn w:val="1118"/>
    <w:next w:val="1118"/>
    <w:link w:val="949"/>
    <w:uiPriority w:val="9"/>
    <w:unhideWhenUsed/>
    <w:qFormat/>
    <w:pPr>
      <w:keepLines/>
      <w:keepNext/>
      <w:spacing w:before="320" w:after="200"/>
      <w:outlineLvl w:val="4"/>
    </w:pPr>
    <w:rPr>
      <w:rFonts w:ascii="Arial" w:hAnsi="Arial" w:eastAsia="Arial" w:cs="Arial"/>
      <w:b/>
      <w:bCs/>
      <w:sz w:val="24"/>
      <w:szCs w:val="24"/>
    </w:rPr>
  </w:style>
  <w:style w:type="character" w:styleId="949">
    <w:name w:val="Heading 5 Char"/>
    <w:link w:val="948"/>
    <w:uiPriority w:val="9"/>
    <w:rPr>
      <w:rFonts w:ascii="Arial" w:hAnsi="Arial" w:eastAsia="Arial" w:cs="Arial"/>
      <w:b/>
      <w:bCs/>
      <w:sz w:val="24"/>
      <w:szCs w:val="24"/>
    </w:rPr>
  </w:style>
  <w:style w:type="paragraph" w:styleId="950">
    <w:name w:val="Heading 6"/>
    <w:basedOn w:val="1118"/>
    <w:next w:val="1118"/>
    <w:link w:val="951"/>
    <w:uiPriority w:val="9"/>
    <w:unhideWhenUsed/>
    <w:qFormat/>
    <w:pPr>
      <w:keepLines/>
      <w:keepNext/>
      <w:spacing w:before="320" w:after="200"/>
      <w:outlineLvl w:val="5"/>
    </w:pPr>
    <w:rPr>
      <w:rFonts w:ascii="Arial" w:hAnsi="Arial" w:eastAsia="Arial" w:cs="Arial"/>
      <w:b/>
      <w:bCs/>
      <w:sz w:val="22"/>
      <w:szCs w:val="22"/>
    </w:rPr>
  </w:style>
  <w:style w:type="character" w:styleId="951">
    <w:name w:val="Heading 6 Char"/>
    <w:link w:val="950"/>
    <w:uiPriority w:val="9"/>
    <w:rPr>
      <w:rFonts w:ascii="Arial" w:hAnsi="Arial" w:eastAsia="Arial" w:cs="Arial"/>
      <w:b/>
      <w:bCs/>
      <w:sz w:val="22"/>
      <w:szCs w:val="22"/>
    </w:rPr>
  </w:style>
  <w:style w:type="paragraph" w:styleId="952">
    <w:name w:val="Heading 7"/>
    <w:basedOn w:val="1118"/>
    <w:next w:val="1118"/>
    <w:link w:val="953"/>
    <w:uiPriority w:val="9"/>
    <w:unhideWhenUsed/>
    <w:qFormat/>
    <w:pPr>
      <w:keepLines/>
      <w:keepNext/>
      <w:spacing w:before="320" w:after="200"/>
      <w:outlineLvl w:val="6"/>
    </w:pPr>
    <w:rPr>
      <w:rFonts w:ascii="Arial" w:hAnsi="Arial" w:eastAsia="Arial" w:cs="Arial"/>
      <w:b/>
      <w:bCs/>
      <w:i/>
      <w:iCs/>
      <w:sz w:val="22"/>
      <w:szCs w:val="22"/>
    </w:rPr>
  </w:style>
  <w:style w:type="character" w:styleId="953">
    <w:name w:val="Heading 7 Char"/>
    <w:link w:val="952"/>
    <w:uiPriority w:val="9"/>
    <w:rPr>
      <w:rFonts w:ascii="Arial" w:hAnsi="Arial" w:eastAsia="Arial" w:cs="Arial"/>
      <w:b/>
      <w:bCs/>
      <w:i/>
      <w:iCs/>
      <w:sz w:val="22"/>
      <w:szCs w:val="22"/>
    </w:rPr>
  </w:style>
  <w:style w:type="paragraph" w:styleId="954">
    <w:name w:val="Heading 8"/>
    <w:basedOn w:val="1118"/>
    <w:next w:val="1118"/>
    <w:link w:val="955"/>
    <w:uiPriority w:val="9"/>
    <w:unhideWhenUsed/>
    <w:qFormat/>
    <w:pPr>
      <w:keepLines/>
      <w:keepNext/>
      <w:spacing w:before="320" w:after="200"/>
      <w:outlineLvl w:val="7"/>
    </w:pPr>
    <w:rPr>
      <w:rFonts w:ascii="Arial" w:hAnsi="Arial" w:eastAsia="Arial" w:cs="Arial"/>
      <w:i/>
      <w:iCs/>
      <w:sz w:val="22"/>
      <w:szCs w:val="22"/>
    </w:rPr>
  </w:style>
  <w:style w:type="character" w:styleId="955">
    <w:name w:val="Heading 8 Char"/>
    <w:link w:val="954"/>
    <w:uiPriority w:val="9"/>
    <w:rPr>
      <w:rFonts w:ascii="Arial" w:hAnsi="Arial" w:eastAsia="Arial" w:cs="Arial"/>
      <w:i/>
      <w:iCs/>
      <w:sz w:val="22"/>
      <w:szCs w:val="22"/>
    </w:rPr>
  </w:style>
  <w:style w:type="paragraph" w:styleId="956">
    <w:name w:val="Heading 9"/>
    <w:basedOn w:val="1118"/>
    <w:next w:val="1118"/>
    <w:link w:val="957"/>
    <w:uiPriority w:val="9"/>
    <w:unhideWhenUsed/>
    <w:qFormat/>
    <w:pPr>
      <w:keepLines/>
      <w:keepNext/>
      <w:spacing w:before="320" w:after="200"/>
      <w:outlineLvl w:val="8"/>
    </w:pPr>
    <w:rPr>
      <w:rFonts w:ascii="Arial" w:hAnsi="Arial" w:eastAsia="Arial" w:cs="Arial"/>
      <w:i/>
      <w:iCs/>
      <w:sz w:val="21"/>
      <w:szCs w:val="21"/>
    </w:rPr>
  </w:style>
  <w:style w:type="character" w:styleId="957">
    <w:name w:val="Heading 9 Char"/>
    <w:link w:val="956"/>
    <w:uiPriority w:val="9"/>
    <w:rPr>
      <w:rFonts w:ascii="Arial" w:hAnsi="Arial" w:eastAsia="Arial" w:cs="Arial"/>
      <w:i/>
      <w:iCs/>
      <w:sz w:val="21"/>
      <w:szCs w:val="21"/>
    </w:rPr>
  </w:style>
  <w:style w:type="paragraph" w:styleId="958">
    <w:name w:val="List Paragraph"/>
    <w:basedOn w:val="1118"/>
    <w:uiPriority w:val="34"/>
    <w:qFormat/>
    <w:pPr>
      <w:contextualSpacing/>
      <w:ind w:left="720"/>
    </w:pPr>
  </w:style>
  <w:style w:type="paragraph" w:styleId="959">
    <w:name w:val="No Spacing"/>
    <w:uiPriority w:val="1"/>
    <w:qFormat/>
    <w:pPr>
      <w:spacing w:before="0" w:after="0" w:line="240" w:lineRule="auto"/>
    </w:pPr>
  </w:style>
  <w:style w:type="paragraph" w:styleId="960">
    <w:name w:val="Title"/>
    <w:basedOn w:val="1118"/>
    <w:next w:val="1118"/>
    <w:link w:val="961"/>
    <w:uiPriority w:val="10"/>
    <w:qFormat/>
    <w:pPr>
      <w:contextualSpacing/>
      <w:spacing w:before="300" w:after="200"/>
    </w:pPr>
    <w:rPr>
      <w:sz w:val="48"/>
      <w:szCs w:val="48"/>
    </w:rPr>
  </w:style>
  <w:style w:type="character" w:styleId="961">
    <w:name w:val="Title Char"/>
    <w:link w:val="960"/>
    <w:uiPriority w:val="10"/>
    <w:rPr>
      <w:sz w:val="48"/>
      <w:szCs w:val="48"/>
    </w:rPr>
  </w:style>
  <w:style w:type="paragraph" w:styleId="962">
    <w:name w:val="Subtitle"/>
    <w:basedOn w:val="1118"/>
    <w:next w:val="1118"/>
    <w:link w:val="963"/>
    <w:uiPriority w:val="11"/>
    <w:qFormat/>
    <w:pPr>
      <w:spacing w:before="200" w:after="200"/>
    </w:pPr>
    <w:rPr>
      <w:sz w:val="24"/>
      <w:szCs w:val="24"/>
    </w:rPr>
  </w:style>
  <w:style w:type="character" w:styleId="963">
    <w:name w:val="Subtitle Char"/>
    <w:link w:val="962"/>
    <w:uiPriority w:val="11"/>
    <w:rPr>
      <w:sz w:val="24"/>
      <w:szCs w:val="24"/>
    </w:rPr>
  </w:style>
  <w:style w:type="paragraph" w:styleId="964">
    <w:name w:val="Quote"/>
    <w:basedOn w:val="1118"/>
    <w:next w:val="1118"/>
    <w:link w:val="965"/>
    <w:uiPriority w:val="29"/>
    <w:qFormat/>
    <w:pPr>
      <w:ind w:left="720" w:right="720"/>
    </w:pPr>
    <w:rPr>
      <w:i/>
    </w:rPr>
  </w:style>
  <w:style w:type="character" w:styleId="965">
    <w:name w:val="Quote Char"/>
    <w:link w:val="964"/>
    <w:uiPriority w:val="29"/>
    <w:rPr>
      <w:i/>
    </w:rPr>
  </w:style>
  <w:style w:type="paragraph" w:styleId="966">
    <w:name w:val="Intense Quote"/>
    <w:basedOn w:val="1118"/>
    <w:next w:val="1118"/>
    <w:link w:val="9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7">
    <w:name w:val="Intense Quote Char"/>
    <w:link w:val="966"/>
    <w:uiPriority w:val="30"/>
    <w:rPr>
      <w:i/>
    </w:rPr>
  </w:style>
  <w:style w:type="paragraph" w:styleId="968">
    <w:name w:val="Header"/>
    <w:basedOn w:val="1118"/>
    <w:link w:val="969"/>
    <w:uiPriority w:val="99"/>
    <w:unhideWhenUsed/>
    <w:pPr>
      <w:spacing w:after="0" w:line="240" w:lineRule="auto"/>
      <w:tabs>
        <w:tab w:val="center" w:pos="7143" w:leader="none"/>
        <w:tab w:val="right" w:pos="14287" w:leader="none"/>
      </w:tabs>
    </w:pPr>
  </w:style>
  <w:style w:type="character" w:styleId="969">
    <w:name w:val="Header Char"/>
    <w:link w:val="968"/>
    <w:uiPriority w:val="99"/>
  </w:style>
  <w:style w:type="paragraph" w:styleId="970">
    <w:name w:val="Footer"/>
    <w:basedOn w:val="1118"/>
    <w:link w:val="973"/>
    <w:uiPriority w:val="99"/>
    <w:unhideWhenUsed/>
    <w:pPr>
      <w:spacing w:after="0" w:line="240" w:lineRule="auto"/>
      <w:tabs>
        <w:tab w:val="center" w:pos="7143" w:leader="none"/>
        <w:tab w:val="right" w:pos="14287" w:leader="none"/>
      </w:tabs>
    </w:pPr>
  </w:style>
  <w:style w:type="character" w:styleId="971">
    <w:name w:val="Footer Char"/>
    <w:link w:val="970"/>
    <w:uiPriority w:val="99"/>
  </w:style>
  <w:style w:type="paragraph" w:styleId="972">
    <w:name w:val="Caption"/>
    <w:basedOn w:val="1118"/>
    <w:next w:val="1118"/>
    <w:uiPriority w:val="35"/>
    <w:semiHidden/>
    <w:unhideWhenUsed/>
    <w:qFormat/>
    <w:pPr>
      <w:spacing w:line="276" w:lineRule="auto"/>
    </w:pPr>
    <w:rPr>
      <w:b/>
      <w:bCs/>
      <w:color w:val="4f81bd" w:themeColor="accent1"/>
      <w:sz w:val="18"/>
      <w:szCs w:val="18"/>
    </w:rPr>
  </w:style>
  <w:style w:type="character" w:styleId="973">
    <w:name w:val="Caption Char"/>
    <w:basedOn w:val="972"/>
    <w:link w:val="970"/>
    <w:uiPriority w:val="99"/>
  </w:style>
  <w:style w:type="table" w:styleId="9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00">
    <w:name w:val="Hyperlink"/>
    <w:uiPriority w:val="99"/>
    <w:unhideWhenUsed/>
    <w:rPr>
      <w:color w:val="0000ff" w:themeColor="hyperlink"/>
      <w:u w:val="single"/>
    </w:rPr>
  </w:style>
  <w:style w:type="paragraph" w:styleId="1101">
    <w:name w:val="footnote text"/>
    <w:basedOn w:val="1118"/>
    <w:link w:val="1102"/>
    <w:uiPriority w:val="99"/>
    <w:semiHidden/>
    <w:unhideWhenUsed/>
    <w:pPr>
      <w:spacing w:after="40" w:line="240" w:lineRule="auto"/>
    </w:pPr>
    <w:rPr>
      <w:sz w:val="18"/>
    </w:rPr>
  </w:style>
  <w:style w:type="character" w:styleId="1102">
    <w:name w:val="Footnote Text Char"/>
    <w:link w:val="1101"/>
    <w:uiPriority w:val="99"/>
    <w:rPr>
      <w:sz w:val="18"/>
    </w:rPr>
  </w:style>
  <w:style w:type="character" w:styleId="1103">
    <w:name w:val="footnote reference"/>
    <w:uiPriority w:val="99"/>
    <w:unhideWhenUsed/>
    <w:rPr>
      <w:vertAlign w:val="superscript"/>
    </w:rPr>
  </w:style>
  <w:style w:type="paragraph" w:styleId="1104">
    <w:name w:val="endnote text"/>
    <w:basedOn w:val="1118"/>
    <w:link w:val="1105"/>
    <w:uiPriority w:val="99"/>
    <w:semiHidden/>
    <w:unhideWhenUsed/>
    <w:pPr>
      <w:spacing w:after="0" w:line="240" w:lineRule="auto"/>
    </w:pPr>
    <w:rPr>
      <w:sz w:val="20"/>
    </w:rPr>
  </w:style>
  <w:style w:type="character" w:styleId="1105">
    <w:name w:val="Endnote Text Char"/>
    <w:link w:val="1104"/>
    <w:uiPriority w:val="99"/>
    <w:rPr>
      <w:sz w:val="20"/>
    </w:rPr>
  </w:style>
  <w:style w:type="character" w:styleId="1106">
    <w:name w:val="endnote reference"/>
    <w:uiPriority w:val="99"/>
    <w:semiHidden/>
    <w:unhideWhenUsed/>
    <w:rPr>
      <w:vertAlign w:val="superscript"/>
    </w:rPr>
  </w:style>
  <w:style w:type="paragraph" w:styleId="1107">
    <w:name w:val="toc 1"/>
    <w:basedOn w:val="1118"/>
    <w:next w:val="1118"/>
    <w:uiPriority w:val="39"/>
    <w:unhideWhenUsed/>
    <w:pPr>
      <w:ind w:left="0" w:right="0" w:firstLine="0"/>
      <w:spacing w:after="57"/>
    </w:pPr>
  </w:style>
  <w:style w:type="paragraph" w:styleId="1108">
    <w:name w:val="toc 2"/>
    <w:basedOn w:val="1118"/>
    <w:next w:val="1118"/>
    <w:uiPriority w:val="39"/>
    <w:unhideWhenUsed/>
    <w:pPr>
      <w:ind w:left="283" w:right="0" w:firstLine="0"/>
      <w:spacing w:after="57"/>
    </w:pPr>
  </w:style>
  <w:style w:type="paragraph" w:styleId="1109">
    <w:name w:val="toc 3"/>
    <w:basedOn w:val="1118"/>
    <w:next w:val="1118"/>
    <w:uiPriority w:val="39"/>
    <w:unhideWhenUsed/>
    <w:pPr>
      <w:ind w:left="567" w:right="0" w:firstLine="0"/>
      <w:spacing w:after="57"/>
    </w:pPr>
  </w:style>
  <w:style w:type="paragraph" w:styleId="1110">
    <w:name w:val="toc 4"/>
    <w:basedOn w:val="1118"/>
    <w:next w:val="1118"/>
    <w:uiPriority w:val="39"/>
    <w:unhideWhenUsed/>
    <w:pPr>
      <w:ind w:left="850" w:right="0" w:firstLine="0"/>
      <w:spacing w:after="57"/>
    </w:pPr>
  </w:style>
  <w:style w:type="paragraph" w:styleId="1111">
    <w:name w:val="toc 5"/>
    <w:basedOn w:val="1118"/>
    <w:next w:val="1118"/>
    <w:uiPriority w:val="39"/>
    <w:unhideWhenUsed/>
    <w:pPr>
      <w:ind w:left="1134" w:right="0" w:firstLine="0"/>
      <w:spacing w:after="57"/>
    </w:pPr>
  </w:style>
  <w:style w:type="paragraph" w:styleId="1112">
    <w:name w:val="toc 6"/>
    <w:basedOn w:val="1118"/>
    <w:next w:val="1118"/>
    <w:uiPriority w:val="39"/>
    <w:unhideWhenUsed/>
    <w:pPr>
      <w:ind w:left="1417" w:right="0" w:firstLine="0"/>
      <w:spacing w:after="57"/>
    </w:pPr>
  </w:style>
  <w:style w:type="paragraph" w:styleId="1113">
    <w:name w:val="toc 7"/>
    <w:basedOn w:val="1118"/>
    <w:next w:val="1118"/>
    <w:uiPriority w:val="39"/>
    <w:unhideWhenUsed/>
    <w:pPr>
      <w:ind w:left="1701" w:right="0" w:firstLine="0"/>
      <w:spacing w:after="57"/>
    </w:pPr>
  </w:style>
  <w:style w:type="paragraph" w:styleId="1114">
    <w:name w:val="toc 8"/>
    <w:basedOn w:val="1118"/>
    <w:next w:val="1118"/>
    <w:uiPriority w:val="39"/>
    <w:unhideWhenUsed/>
    <w:pPr>
      <w:ind w:left="1984" w:right="0" w:firstLine="0"/>
      <w:spacing w:after="57"/>
    </w:pPr>
  </w:style>
  <w:style w:type="paragraph" w:styleId="1115">
    <w:name w:val="toc 9"/>
    <w:basedOn w:val="1118"/>
    <w:next w:val="1118"/>
    <w:uiPriority w:val="39"/>
    <w:unhideWhenUsed/>
    <w:pPr>
      <w:ind w:left="2268" w:right="0" w:firstLine="0"/>
      <w:spacing w:after="57"/>
    </w:pPr>
  </w:style>
  <w:style w:type="paragraph" w:styleId="1116">
    <w:name w:val="TOC Heading"/>
    <w:uiPriority w:val="39"/>
    <w:unhideWhenUsed/>
  </w:style>
  <w:style w:type="paragraph" w:styleId="1117">
    <w:name w:val="table of figures"/>
    <w:basedOn w:val="1118"/>
    <w:next w:val="1118"/>
    <w:uiPriority w:val="99"/>
    <w:unhideWhenUsed/>
    <w:pPr>
      <w:spacing w:after="0" w:afterAutospacing="0"/>
    </w:pPr>
  </w:style>
  <w:style w:type="paragraph" w:styleId="1118" w:default="1">
    <w:name w:val="Normal"/>
    <w:next w:val="1118"/>
    <w:link w:val="1118"/>
    <w:qFormat/>
    <w:pPr>
      <w:jc w:val="both"/>
      <w:widowControl w:val="off"/>
    </w:pPr>
    <w:rPr>
      <w:sz w:val="21"/>
      <w:szCs w:val="24"/>
      <w:lang w:val="en-US" w:eastAsia="zh-CN" w:bidi="ar-SA"/>
    </w:rPr>
  </w:style>
  <w:style w:type="paragraph" w:styleId="1119">
    <w:name w:val="标题 1"/>
    <w:basedOn w:val="1118"/>
    <w:next w:val="1118"/>
    <w:link w:val="1130"/>
    <w:qFormat/>
    <w:pPr>
      <w:jc w:val="center"/>
      <w:keepLines/>
      <w:keepNext/>
      <w:spacing w:before="240" w:after="120" w:line="300" w:lineRule="auto"/>
      <w:outlineLvl w:val="0"/>
    </w:pPr>
    <w:rPr>
      <w:rFonts w:ascii="宋体"/>
      <w:b/>
      <w:sz w:val="32"/>
      <w:szCs w:val="20"/>
    </w:rPr>
  </w:style>
  <w:style w:type="paragraph" w:styleId="1120">
    <w:name w:val="标题 2"/>
    <w:basedOn w:val="1118"/>
    <w:next w:val="1132"/>
    <w:link w:val="1131"/>
    <w:qFormat/>
    <w:pPr>
      <w:jc w:val="center"/>
      <w:keepLines/>
      <w:keepNext/>
      <w:spacing w:before="120" w:line="300" w:lineRule="auto"/>
      <w:outlineLvl w:val="1"/>
    </w:pPr>
    <w:rPr>
      <w:rFonts w:ascii="Arial" w:hAnsi="Arial" w:eastAsia="黑体"/>
      <w:b/>
      <w:sz w:val="30"/>
      <w:szCs w:val="20"/>
    </w:rPr>
  </w:style>
  <w:style w:type="paragraph" w:styleId="1121">
    <w:name w:val="标题 3"/>
    <w:basedOn w:val="1118"/>
    <w:next w:val="1118"/>
    <w:link w:val="1134"/>
    <w:qFormat/>
    <w:pPr>
      <w:jc w:val="left"/>
      <w:keepLines/>
      <w:keepNext/>
      <w:spacing w:before="360" w:after="120"/>
      <w:outlineLvl w:val="2"/>
    </w:pPr>
    <w:rPr>
      <w:rFonts w:ascii="宋体"/>
      <w:b/>
      <w:sz w:val="24"/>
      <w:szCs w:val="20"/>
      <w:u w:val="single"/>
    </w:rPr>
  </w:style>
  <w:style w:type="paragraph" w:styleId="1122">
    <w:name w:val="标题 4"/>
    <w:basedOn w:val="1118"/>
    <w:next w:val="1118"/>
    <w:link w:val="1135"/>
    <w:qFormat/>
    <w:pPr>
      <w:keepLines/>
      <w:keepNext/>
      <w:spacing w:before="280" w:after="290" w:line="376" w:lineRule="atLeast"/>
      <w:outlineLvl w:val="3"/>
    </w:pPr>
    <w:rPr>
      <w:rFonts w:ascii="Arial" w:hAnsi="Arial" w:eastAsia="黑体"/>
      <w:b/>
      <w:sz w:val="28"/>
      <w:szCs w:val="20"/>
    </w:rPr>
  </w:style>
  <w:style w:type="paragraph" w:styleId="1123">
    <w:name w:val="标题 5"/>
    <w:basedOn w:val="1118"/>
    <w:next w:val="1118"/>
    <w:link w:val="1136"/>
    <w:qFormat/>
    <w:pPr>
      <w:keepLines/>
      <w:keepNext/>
      <w:spacing w:before="280" w:after="290" w:line="376" w:lineRule="atLeast"/>
      <w:outlineLvl w:val="4"/>
    </w:pPr>
    <w:rPr>
      <w:b/>
      <w:sz w:val="28"/>
      <w:szCs w:val="20"/>
    </w:rPr>
  </w:style>
  <w:style w:type="paragraph" w:styleId="1124">
    <w:name w:val="标题 6"/>
    <w:basedOn w:val="1118"/>
    <w:next w:val="1118"/>
    <w:link w:val="1137"/>
    <w:qFormat/>
    <w:pPr>
      <w:keepLines/>
      <w:keepNext/>
      <w:spacing w:before="240" w:after="64" w:line="320" w:lineRule="atLeast"/>
      <w:outlineLvl w:val="5"/>
    </w:pPr>
    <w:rPr>
      <w:rFonts w:ascii="Arial" w:hAnsi="Arial" w:eastAsia="黑体"/>
      <w:b/>
      <w:sz w:val="24"/>
      <w:szCs w:val="20"/>
    </w:rPr>
  </w:style>
  <w:style w:type="paragraph" w:styleId="1125">
    <w:name w:val="标题 7"/>
    <w:basedOn w:val="1118"/>
    <w:next w:val="1118"/>
    <w:link w:val="1138"/>
    <w:qFormat/>
    <w:pPr>
      <w:keepLines/>
      <w:keepNext/>
      <w:spacing w:before="240" w:after="64" w:line="320" w:lineRule="atLeast"/>
      <w:outlineLvl w:val="6"/>
    </w:pPr>
    <w:rPr>
      <w:b/>
      <w:sz w:val="24"/>
      <w:szCs w:val="20"/>
    </w:rPr>
  </w:style>
  <w:style w:type="paragraph" w:styleId="1126">
    <w:name w:val="标题 8"/>
    <w:basedOn w:val="1118"/>
    <w:next w:val="1118"/>
    <w:link w:val="1139"/>
    <w:qFormat/>
    <w:pPr>
      <w:keepLines/>
      <w:keepNext/>
      <w:spacing w:before="240" w:after="64" w:line="320" w:lineRule="atLeast"/>
      <w:outlineLvl w:val="7"/>
    </w:pPr>
    <w:rPr>
      <w:rFonts w:ascii="Arial" w:hAnsi="Arial" w:eastAsia="黑体"/>
      <w:sz w:val="24"/>
      <w:szCs w:val="20"/>
    </w:rPr>
  </w:style>
  <w:style w:type="paragraph" w:styleId="1127">
    <w:name w:val="标题 9"/>
    <w:basedOn w:val="1118"/>
    <w:next w:val="1118"/>
    <w:link w:val="1140"/>
    <w:qFormat/>
    <w:pPr>
      <w:keepLines/>
      <w:keepNext/>
      <w:spacing w:before="240" w:after="64" w:line="320" w:lineRule="atLeast"/>
      <w:outlineLvl w:val="8"/>
    </w:pPr>
    <w:rPr>
      <w:rFonts w:ascii="Arial" w:hAnsi="Arial" w:eastAsia="黑体"/>
      <w:szCs w:val="20"/>
    </w:rPr>
  </w:style>
  <w:style w:type="character" w:styleId="1128">
    <w:name w:val="默认段落字体"/>
    <w:next w:val="1128"/>
    <w:link w:val="1118"/>
    <w:uiPriority w:val="1"/>
    <w:unhideWhenUsed/>
    <w:qFormat/>
  </w:style>
  <w:style w:type="table" w:styleId="1129">
    <w:name w:val="普通表格"/>
    <w:next w:val="1129"/>
    <w:link w:val="1118"/>
    <w:uiPriority w:val="99"/>
    <w:unhideWhenUsed/>
    <w:qFormat/>
    <w:tblPr/>
  </w:style>
  <w:style w:type="character" w:styleId="1130">
    <w:name w:val="标题 1 Char"/>
    <w:next w:val="1130"/>
    <w:link w:val="1119"/>
    <w:qFormat/>
    <w:rPr>
      <w:rFonts w:ascii="宋体"/>
      <w:b/>
      <w:sz w:val="32"/>
    </w:rPr>
  </w:style>
  <w:style w:type="character" w:styleId="1131">
    <w:name w:val="标题 2 Char1"/>
    <w:next w:val="1131"/>
    <w:link w:val="1120"/>
    <w:qFormat/>
    <w:rPr>
      <w:rFonts w:ascii="Arial" w:hAnsi="Arial" w:eastAsia="黑体"/>
      <w:b/>
      <w:sz w:val="30"/>
      <w:lang w:val="en-US" w:eastAsia="zh-CN" w:bidi="ar-SA"/>
    </w:rPr>
  </w:style>
  <w:style w:type="paragraph" w:styleId="1132">
    <w:name w:val="正文缩进"/>
    <w:basedOn w:val="1118"/>
    <w:next w:val="1118"/>
    <w:link w:val="1133"/>
    <w:qFormat/>
    <w:pPr>
      <w:ind w:firstLine="420"/>
      <w:jc w:val="left"/>
    </w:pPr>
    <w:rPr>
      <w:rFonts w:ascii="宋体"/>
      <w:sz w:val="24"/>
    </w:rPr>
  </w:style>
  <w:style w:type="character" w:styleId="1133">
    <w:name w:val="正文缩进 Char1"/>
    <w:next w:val="1133"/>
    <w:link w:val="1132"/>
    <w:qFormat/>
    <w:rPr>
      <w:rFonts w:ascii="宋体" w:eastAsia="宋体"/>
      <w:sz w:val="24"/>
      <w:szCs w:val="24"/>
      <w:lang w:val="en-US" w:eastAsia="zh-CN" w:bidi="ar-SA"/>
    </w:rPr>
  </w:style>
  <w:style w:type="character" w:styleId="1134">
    <w:name w:val="标题 3 Char1"/>
    <w:next w:val="1134"/>
    <w:link w:val="1121"/>
    <w:qFormat/>
    <w:rPr>
      <w:rFonts w:ascii="宋体" w:eastAsia="宋体"/>
      <w:b/>
      <w:sz w:val="24"/>
      <w:u w:val="single"/>
      <w:lang w:val="en-US" w:eastAsia="zh-CN" w:bidi="ar-SA"/>
    </w:rPr>
  </w:style>
  <w:style w:type="character" w:styleId="1135">
    <w:name w:val="标题 4 Char"/>
    <w:next w:val="1135"/>
    <w:link w:val="1122"/>
    <w:qFormat/>
    <w:rPr>
      <w:rFonts w:ascii="Arial" w:hAnsi="Arial" w:eastAsia="黑体"/>
      <w:b/>
      <w:sz w:val="28"/>
    </w:rPr>
  </w:style>
  <w:style w:type="character" w:styleId="1136">
    <w:name w:val="标题 5 Char"/>
    <w:next w:val="1136"/>
    <w:link w:val="1123"/>
    <w:qFormat/>
    <w:rPr>
      <w:b/>
      <w:sz w:val="28"/>
    </w:rPr>
  </w:style>
  <w:style w:type="character" w:styleId="1137">
    <w:name w:val="标题 6 Char"/>
    <w:next w:val="1137"/>
    <w:link w:val="1124"/>
    <w:qFormat/>
    <w:rPr>
      <w:rFonts w:ascii="Arial" w:hAnsi="Arial" w:eastAsia="黑体"/>
      <w:b/>
      <w:sz w:val="24"/>
    </w:rPr>
  </w:style>
  <w:style w:type="character" w:styleId="1138">
    <w:name w:val="标题 7 Char"/>
    <w:next w:val="1138"/>
    <w:link w:val="1125"/>
    <w:qFormat/>
    <w:rPr>
      <w:b/>
      <w:sz w:val="24"/>
    </w:rPr>
  </w:style>
  <w:style w:type="character" w:styleId="1139">
    <w:name w:val="标题 8 Char"/>
    <w:next w:val="1139"/>
    <w:link w:val="1126"/>
    <w:qFormat/>
    <w:rPr>
      <w:rFonts w:ascii="Arial" w:hAnsi="Arial" w:eastAsia="黑体"/>
      <w:sz w:val="24"/>
    </w:rPr>
  </w:style>
  <w:style w:type="character" w:styleId="1140">
    <w:name w:val="标题 9 Char"/>
    <w:next w:val="1140"/>
    <w:link w:val="1127"/>
    <w:qFormat/>
    <w:rPr>
      <w:rFonts w:ascii="Arial" w:hAnsi="Arial" w:eastAsia="黑体"/>
      <w:sz w:val="21"/>
    </w:rPr>
  </w:style>
  <w:style w:type="paragraph" w:styleId="1141">
    <w:name w:val="目录 7"/>
    <w:basedOn w:val="1118"/>
    <w:next w:val="1118"/>
    <w:link w:val="1118"/>
    <w:qFormat/>
    <w:pPr>
      <w:ind w:left="2520"/>
    </w:pPr>
  </w:style>
  <w:style w:type="paragraph" w:styleId="1142">
    <w:name w:val="注释标题"/>
    <w:basedOn w:val="1118"/>
    <w:next w:val="1118"/>
    <w:link w:val="1118"/>
    <w:qFormat/>
    <w:rPr>
      <w:rFonts w:ascii="Verdana" w:hAnsi="Verdana"/>
      <w:szCs w:val="20"/>
    </w:rPr>
  </w:style>
  <w:style w:type="paragraph" w:styleId="1143">
    <w:name w:val="题注"/>
    <w:basedOn w:val="1118"/>
    <w:next w:val="1118"/>
    <w:link w:val="1118"/>
    <w:qFormat/>
    <w:pPr>
      <w:spacing w:line="480" w:lineRule="auto"/>
    </w:pPr>
    <w:rPr>
      <w:rFonts w:ascii="华文中宋" w:hAnsi="华文中宋" w:eastAsia="华文中宋"/>
      <w:sz w:val="36"/>
      <w:szCs w:val="20"/>
    </w:rPr>
  </w:style>
  <w:style w:type="paragraph" w:styleId="1144">
    <w:name w:val="文档结构图"/>
    <w:basedOn w:val="1118"/>
    <w:next w:val="1144"/>
    <w:link w:val="1145"/>
    <w:qFormat/>
    <w:pPr>
      <w:shd w:val="clear" w:color="auto" w:fill="000080"/>
    </w:pPr>
  </w:style>
  <w:style w:type="character" w:styleId="1145">
    <w:name w:val="文档结构图 Char"/>
    <w:next w:val="1145"/>
    <w:link w:val="1144"/>
    <w:qFormat/>
    <w:rPr>
      <w:sz w:val="21"/>
      <w:szCs w:val="24"/>
      <w:shd w:val="clear" w:color="auto" w:fill="000080"/>
    </w:rPr>
  </w:style>
  <w:style w:type="paragraph" w:styleId="1146">
    <w:name w:val="批注文字"/>
    <w:basedOn w:val="1118"/>
    <w:next w:val="1146"/>
    <w:link w:val="1147"/>
    <w:uiPriority w:val="99"/>
    <w:qFormat/>
    <w:pPr>
      <w:jc w:val="left"/>
    </w:pPr>
  </w:style>
  <w:style w:type="character" w:styleId="1147">
    <w:name w:val="批注文字 Char1"/>
    <w:next w:val="1147"/>
    <w:link w:val="1146"/>
    <w:uiPriority w:val="99"/>
    <w:qFormat/>
    <w:rPr>
      <w:sz w:val="21"/>
      <w:szCs w:val="24"/>
    </w:rPr>
  </w:style>
  <w:style w:type="paragraph" w:styleId="1148">
    <w:name w:val="正文文本 3"/>
    <w:basedOn w:val="1118"/>
    <w:next w:val="1148"/>
    <w:link w:val="1149"/>
    <w:qFormat/>
    <w:pPr>
      <w:spacing w:after="120"/>
    </w:pPr>
    <w:rPr>
      <w:sz w:val="16"/>
      <w:szCs w:val="16"/>
    </w:rPr>
  </w:style>
  <w:style w:type="character" w:styleId="1149">
    <w:name w:val="正文文本 3 Char"/>
    <w:next w:val="1149"/>
    <w:link w:val="1148"/>
    <w:qFormat/>
    <w:rPr>
      <w:sz w:val="16"/>
      <w:szCs w:val="16"/>
    </w:rPr>
  </w:style>
  <w:style w:type="paragraph" w:styleId="1150">
    <w:name w:val="正文文本"/>
    <w:basedOn w:val="1118"/>
    <w:next w:val="1152"/>
    <w:link w:val="1151"/>
    <w:qFormat/>
    <w:pPr>
      <w:spacing w:before="120" w:line="22" w:lineRule="atLeast"/>
      <w:tabs>
        <w:tab w:val="left" w:pos="567" w:leader="none"/>
      </w:tabs>
    </w:pPr>
    <w:rPr>
      <w:rFonts w:ascii="宋体" w:hAnsi="宋体"/>
      <w:sz w:val="24"/>
    </w:rPr>
  </w:style>
  <w:style w:type="character" w:styleId="1151">
    <w:name w:val="正文文本 Char"/>
    <w:next w:val="1151"/>
    <w:link w:val="1150"/>
    <w:qFormat/>
    <w:rPr>
      <w:rFonts w:ascii="宋体" w:hAnsi="宋体"/>
      <w:sz w:val="24"/>
      <w:szCs w:val="24"/>
    </w:rPr>
  </w:style>
  <w:style w:type="paragraph" w:styleId="1152">
    <w:name w:val="标题"/>
    <w:basedOn w:val="1118"/>
    <w:next w:val="1152"/>
    <w:link w:val="1153"/>
    <w:qFormat/>
    <w:pPr>
      <w:jc w:val="center"/>
      <w:outlineLvl w:val="0"/>
    </w:pPr>
    <w:rPr>
      <w:b/>
      <w:sz w:val="32"/>
      <w:szCs w:val="20"/>
    </w:rPr>
  </w:style>
  <w:style w:type="character" w:styleId="1153">
    <w:name w:val="标题 Char1"/>
    <w:next w:val="1153"/>
    <w:link w:val="1152"/>
    <w:qFormat/>
    <w:rPr>
      <w:b/>
      <w:sz w:val="32"/>
    </w:rPr>
  </w:style>
  <w:style w:type="paragraph" w:styleId="1154">
    <w:name w:val="正文文本缩进"/>
    <w:basedOn w:val="1118"/>
    <w:next w:val="1118"/>
    <w:link w:val="1155"/>
    <w:qFormat/>
    <w:pPr>
      <w:ind w:firstLine="570"/>
      <w:spacing w:line="360" w:lineRule="auto"/>
    </w:pPr>
    <w:rPr>
      <w:sz w:val="24"/>
    </w:rPr>
  </w:style>
  <w:style w:type="character" w:styleId="1155">
    <w:name w:val="正文文本缩进 Char2"/>
    <w:next w:val="1155"/>
    <w:link w:val="1154"/>
    <w:qFormat/>
    <w:rPr>
      <w:rFonts w:eastAsia="宋体"/>
      <w:sz w:val="24"/>
      <w:szCs w:val="24"/>
      <w:lang w:val="en-US" w:eastAsia="zh-CN" w:bidi="ar-SA"/>
    </w:rPr>
  </w:style>
  <w:style w:type="paragraph" w:styleId="1156">
    <w:name w:val="列表 2"/>
    <w:basedOn w:val="1118"/>
    <w:next w:val="1156"/>
    <w:link w:val="1118"/>
    <w:qFormat/>
    <w:pPr>
      <w:ind w:left="100" w:hanging="200"/>
    </w:pPr>
  </w:style>
  <w:style w:type="paragraph" w:styleId="1157">
    <w:name w:val="文本块"/>
    <w:basedOn w:val="1118"/>
    <w:next w:val="1157"/>
    <w:link w:val="1118"/>
    <w:qFormat/>
    <w:pPr>
      <w:ind w:left="480" w:right="-341" w:firstLine="513"/>
      <w:widowControl/>
    </w:pPr>
    <w:rPr>
      <w:sz w:val="24"/>
      <w:szCs w:val="20"/>
    </w:rPr>
  </w:style>
  <w:style w:type="paragraph" w:styleId="1158">
    <w:name w:val="目录 5"/>
    <w:basedOn w:val="1118"/>
    <w:next w:val="1118"/>
    <w:link w:val="1118"/>
    <w:qFormat/>
    <w:pPr>
      <w:ind w:left="1680"/>
    </w:pPr>
  </w:style>
  <w:style w:type="paragraph" w:styleId="1159">
    <w:name w:val="目录 3"/>
    <w:basedOn w:val="1118"/>
    <w:next w:val="1118"/>
    <w:link w:val="1118"/>
    <w:uiPriority w:val="39"/>
    <w:qFormat/>
    <w:pPr>
      <w:ind w:left="840"/>
    </w:pPr>
  </w:style>
  <w:style w:type="paragraph" w:styleId="1160">
    <w:name w:val="纯文本"/>
    <w:basedOn w:val="1118"/>
    <w:next w:val="1132"/>
    <w:link w:val="1161"/>
    <w:qFormat/>
    <w:rPr>
      <w:rFonts w:hint="eastAsia" w:ascii="宋体" w:hAnsi="Courier New"/>
      <w:szCs w:val="20"/>
    </w:rPr>
  </w:style>
  <w:style w:type="character" w:styleId="1161">
    <w:name w:val="纯文本 Char"/>
    <w:next w:val="1161"/>
    <w:link w:val="1160"/>
    <w:qFormat/>
    <w:rPr>
      <w:rFonts w:hint="eastAsia" w:ascii="宋体" w:hAnsi="Courier New" w:eastAsia="宋体" w:cs="宋体"/>
      <w:sz w:val="21"/>
    </w:rPr>
  </w:style>
  <w:style w:type="paragraph" w:styleId="1162">
    <w:name w:val="目录 8"/>
    <w:basedOn w:val="1118"/>
    <w:next w:val="1118"/>
    <w:link w:val="1118"/>
    <w:qFormat/>
    <w:pPr>
      <w:ind w:left="2940"/>
    </w:pPr>
  </w:style>
  <w:style w:type="paragraph" w:styleId="1163">
    <w:name w:val="日期"/>
    <w:basedOn w:val="1118"/>
    <w:next w:val="1118"/>
    <w:link w:val="1164"/>
    <w:qFormat/>
    <w:pPr>
      <w:ind w:left="100"/>
    </w:pPr>
    <w:rPr>
      <w:rFonts w:ascii="仿宋_GB2312" w:hAnsi="宋体" w:eastAsia="仿宋_GB2312"/>
      <w:color w:val="000000"/>
      <w:sz w:val="24"/>
    </w:rPr>
  </w:style>
  <w:style w:type="character" w:styleId="1164">
    <w:name w:val="日期 Char"/>
    <w:next w:val="1164"/>
    <w:link w:val="1163"/>
    <w:qFormat/>
    <w:rPr>
      <w:rFonts w:ascii="仿宋_GB2312" w:hAnsi="宋体" w:eastAsia="仿宋_GB2312"/>
      <w:color w:val="000000"/>
      <w:sz w:val="24"/>
      <w:szCs w:val="24"/>
    </w:rPr>
  </w:style>
  <w:style w:type="paragraph" w:styleId="1165">
    <w:name w:val="正文文本缩进 2"/>
    <w:basedOn w:val="1118"/>
    <w:next w:val="1165"/>
    <w:link w:val="1166"/>
    <w:qFormat/>
    <w:pPr>
      <w:ind w:firstLine="480"/>
    </w:pPr>
    <w:rPr>
      <w:rFonts w:ascii="仿宋_GB2312" w:eastAsia="仿宋_GB2312"/>
      <w:sz w:val="24"/>
    </w:rPr>
  </w:style>
  <w:style w:type="character" w:styleId="1166">
    <w:name w:val="正文文本缩进 2 Char"/>
    <w:next w:val="1166"/>
    <w:link w:val="1165"/>
    <w:qFormat/>
    <w:rPr>
      <w:rFonts w:ascii="仿宋_GB2312" w:eastAsia="仿宋_GB2312"/>
      <w:sz w:val="24"/>
      <w:szCs w:val="24"/>
    </w:rPr>
  </w:style>
  <w:style w:type="paragraph" w:styleId="1167">
    <w:name w:val="批注框文本"/>
    <w:basedOn w:val="1118"/>
    <w:next w:val="1167"/>
    <w:link w:val="1168"/>
    <w:qFormat/>
    <w:rPr>
      <w:sz w:val="18"/>
      <w:szCs w:val="18"/>
    </w:rPr>
  </w:style>
  <w:style w:type="character" w:styleId="1168">
    <w:name w:val="批注框文本 Char"/>
    <w:next w:val="1168"/>
    <w:link w:val="1167"/>
    <w:qFormat/>
    <w:rPr>
      <w:sz w:val="18"/>
      <w:szCs w:val="18"/>
    </w:rPr>
  </w:style>
  <w:style w:type="paragraph" w:styleId="1169">
    <w:name w:val="页脚"/>
    <w:basedOn w:val="1118"/>
    <w:next w:val="1169"/>
    <w:link w:val="1170"/>
    <w:uiPriority w:val="99"/>
    <w:qFormat/>
    <w:pPr>
      <w:jc w:val="left"/>
      <w:tabs>
        <w:tab w:val="center" w:pos="4153" w:leader="none"/>
        <w:tab w:val="right" w:pos="8306" w:leader="none"/>
      </w:tabs>
    </w:pPr>
    <w:rPr>
      <w:rFonts w:ascii="宋体"/>
      <w:sz w:val="18"/>
      <w:szCs w:val="20"/>
    </w:rPr>
  </w:style>
  <w:style w:type="character" w:styleId="1170">
    <w:name w:val="页脚 Char1"/>
    <w:next w:val="1170"/>
    <w:link w:val="1169"/>
    <w:uiPriority w:val="99"/>
    <w:qFormat/>
    <w:rPr>
      <w:rFonts w:ascii="宋体" w:eastAsia="宋体"/>
      <w:sz w:val="18"/>
      <w:lang w:val="en-US" w:eastAsia="zh-CN" w:bidi="ar-SA"/>
    </w:rPr>
  </w:style>
  <w:style w:type="paragraph" w:styleId="1171">
    <w:name w:val="寄信人地址"/>
    <w:basedOn w:val="1118"/>
    <w:next w:val="1171"/>
    <w:link w:val="1118"/>
    <w:qFormat/>
    <w:rPr>
      <w:rFonts w:ascii="Arial" w:hAnsi="Arial"/>
    </w:rPr>
  </w:style>
  <w:style w:type="paragraph" w:styleId="1172">
    <w:name w:val="页眉"/>
    <w:basedOn w:val="1118"/>
    <w:next w:val="1172"/>
    <w:link w:val="1173"/>
    <w:qFormat/>
    <w:pPr>
      <w:jc w:val="center"/>
      <w:tabs>
        <w:tab w:val="center" w:pos="4153" w:leader="none"/>
        <w:tab w:val="right" w:pos="8306" w:leader="none"/>
      </w:tabs>
    </w:pPr>
    <w:rPr>
      <w:sz w:val="18"/>
      <w:szCs w:val="18"/>
    </w:rPr>
  </w:style>
  <w:style w:type="character" w:styleId="1173">
    <w:name w:val="页眉 Char1"/>
    <w:next w:val="1173"/>
    <w:link w:val="1172"/>
    <w:qFormat/>
    <w:rPr>
      <w:sz w:val="18"/>
      <w:szCs w:val="18"/>
    </w:rPr>
  </w:style>
  <w:style w:type="paragraph" w:styleId="1174">
    <w:name w:val="目录 1"/>
    <w:basedOn w:val="1118"/>
    <w:next w:val="1118"/>
    <w:link w:val="1118"/>
    <w:uiPriority w:val="39"/>
    <w:qFormat/>
    <w:pPr>
      <w:spacing w:line="300" w:lineRule="auto"/>
      <w:tabs>
        <w:tab w:val="left" w:pos="1050" w:leader="none"/>
        <w:tab w:val="right" w:pos="8937" w:leader="dot"/>
      </w:tabs>
    </w:pPr>
    <w:rPr>
      <w:rFonts w:ascii="宋体" w:hAnsi="宋体"/>
      <w:b/>
      <w:sz w:val="24"/>
    </w:rPr>
  </w:style>
  <w:style w:type="paragraph" w:styleId="1175">
    <w:name w:val="目录 4"/>
    <w:basedOn w:val="1118"/>
    <w:next w:val="1118"/>
    <w:link w:val="1118"/>
    <w:qFormat/>
    <w:pPr>
      <w:ind w:left="1260"/>
    </w:pPr>
  </w:style>
  <w:style w:type="paragraph" w:styleId="1176">
    <w:name w:val="目录 6"/>
    <w:basedOn w:val="1118"/>
    <w:next w:val="1118"/>
    <w:link w:val="1118"/>
    <w:qFormat/>
    <w:pPr>
      <w:ind w:left="2100"/>
    </w:pPr>
  </w:style>
  <w:style w:type="paragraph" w:styleId="1177">
    <w:name w:val="正文文本缩进 3"/>
    <w:basedOn w:val="1118"/>
    <w:next w:val="1177"/>
    <w:link w:val="1178"/>
    <w:qFormat/>
    <w:pPr>
      <w:ind w:left="720" w:firstLine="480"/>
      <w:jc w:val="left"/>
      <w:spacing w:before="120" w:line="22" w:lineRule="atLeast"/>
    </w:pPr>
    <w:rPr>
      <w:rFonts w:ascii="宋体"/>
      <w:sz w:val="24"/>
      <w:szCs w:val="20"/>
    </w:rPr>
  </w:style>
  <w:style w:type="character" w:styleId="1178">
    <w:name w:val="正文文本缩进 3 Char"/>
    <w:next w:val="1178"/>
    <w:link w:val="1177"/>
    <w:qFormat/>
    <w:rPr>
      <w:rFonts w:ascii="宋体"/>
      <w:sz w:val="24"/>
    </w:rPr>
  </w:style>
  <w:style w:type="paragraph" w:styleId="1179">
    <w:name w:val="目录 2"/>
    <w:basedOn w:val="1118"/>
    <w:next w:val="1118"/>
    <w:link w:val="1118"/>
    <w:uiPriority w:val="39"/>
    <w:qFormat/>
    <w:pPr>
      <w:ind w:left="420"/>
      <w:spacing w:line="312" w:lineRule="auto"/>
      <w:tabs>
        <w:tab w:val="right" w:pos="8937" w:leader="dot"/>
      </w:tabs>
    </w:pPr>
  </w:style>
  <w:style w:type="paragraph" w:styleId="1180">
    <w:name w:val="目录 9"/>
    <w:basedOn w:val="1118"/>
    <w:next w:val="1118"/>
    <w:link w:val="1118"/>
    <w:qFormat/>
    <w:pPr>
      <w:ind w:left="3360"/>
    </w:pPr>
  </w:style>
  <w:style w:type="paragraph" w:styleId="1181">
    <w:name w:val="HTML 预设格式"/>
    <w:basedOn w:val="1118"/>
    <w:next w:val="1181"/>
    <w:link w:val="118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82">
    <w:name w:val="HTML 预设格式 Char"/>
    <w:next w:val="1182"/>
    <w:link w:val="1181"/>
    <w:qFormat/>
    <w:rPr>
      <w:rFonts w:ascii="宋体" w:hAnsi="宋体" w:cs="宋体"/>
      <w:sz w:val="24"/>
      <w:szCs w:val="24"/>
    </w:rPr>
  </w:style>
  <w:style w:type="paragraph" w:styleId="1183">
    <w:name w:val="普通(网站)"/>
    <w:basedOn w:val="1118"/>
    <w:next w:val="1183"/>
    <w:link w:val="1118"/>
    <w:uiPriority w:val="99"/>
    <w:unhideWhenUsed/>
    <w:qFormat/>
    <w:pPr>
      <w:jc w:val="left"/>
      <w:spacing w:before="100" w:beforeAutospacing="1" w:after="100" w:afterAutospacing="1"/>
      <w:widowControl/>
    </w:pPr>
    <w:rPr>
      <w:rFonts w:ascii="宋体" w:hAnsi="宋体" w:cs="宋体"/>
      <w:sz w:val="24"/>
    </w:rPr>
  </w:style>
  <w:style w:type="paragraph" w:styleId="1184">
    <w:name w:val="索引 1"/>
    <w:basedOn w:val="1118"/>
    <w:next w:val="1118"/>
    <w:link w:val="1118"/>
    <w:qFormat/>
    <w:rPr>
      <w:szCs w:val="20"/>
    </w:rPr>
  </w:style>
  <w:style w:type="paragraph" w:styleId="1185">
    <w:name w:val="批注主题"/>
    <w:basedOn w:val="1146"/>
    <w:next w:val="1146"/>
    <w:link w:val="1186"/>
    <w:qFormat/>
    <w:rPr>
      <w:b/>
      <w:bCs/>
      <w:lang w:val="en-US" w:eastAsia="zh-CN"/>
    </w:rPr>
  </w:style>
  <w:style w:type="character" w:styleId="1186">
    <w:name w:val="批注主题 Char"/>
    <w:next w:val="1186"/>
    <w:link w:val="1185"/>
    <w:qFormat/>
    <w:rPr>
      <w:rFonts w:ascii="Times New Roman" w:hAnsi="Times New Roman" w:eastAsia="宋体" w:cs="Times New Roman"/>
      <w:b/>
      <w:bCs/>
      <w:sz w:val="21"/>
      <w:szCs w:val="24"/>
      <w:lang w:val="en-US" w:eastAsia="zh-CN" w:bidi="ar-SA"/>
    </w:rPr>
  </w:style>
  <w:style w:type="paragraph" w:styleId="1187">
    <w:name w:val="正文首行缩进"/>
    <w:basedOn w:val="1150"/>
    <w:next w:val="1118"/>
    <w:link w:val="1118"/>
    <w:uiPriority w:val="99"/>
    <w:unhideWhenUsed/>
    <w:qFormat/>
    <w:pPr>
      <w:ind w:firstLine="420"/>
      <w:tabs>
        <w:tab w:val="left" w:pos="567" w:leader="none"/>
      </w:tabs>
    </w:pPr>
    <w:rPr>
      <w:rFonts w:ascii="Times New Roman" w:hAnsi="Times New Roman"/>
      <w:sz w:val="21"/>
    </w:rPr>
  </w:style>
  <w:style w:type="paragraph" w:styleId="1188">
    <w:name w:val="正文首行缩进 2"/>
    <w:basedOn w:val="1154"/>
    <w:next w:val="1118"/>
    <w:link w:val="1189"/>
    <w:qFormat/>
    <w:pPr>
      <w:ind w:left="420" w:firstLine="420"/>
      <w:spacing w:after="120" w:line="480" w:lineRule="exact"/>
    </w:pPr>
  </w:style>
  <w:style w:type="character" w:styleId="1189">
    <w:name w:val="正文首行缩进 2 Char"/>
    <w:next w:val="1189"/>
    <w:link w:val="1188"/>
    <w:qFormat/>
    <w:rPr>
      <w:rFonts w:eastAsia="宋体"/>
      <w:sz w:val="24"/>
      <w:szCs w:val="24"/>
      <w:lang w:val="en-US" w:eastAsia="zh-CN" w:bidi="ar-SA"/>
    </w:rPr>
  </w:style>
  <w:style w:type="table" w:styleId="1190">
    <w:name w:val="网格型"/>
    <w:basedOn w:val="1129"/>
    <w:next w:val="1190"/>
    <w:link w:val="1118"/>
    <w:uiPriority w:val="39"/>
    <w:qFormat/>
    <w:tblPr/>
  </w:style>
  <w:style w:type="table" w:styleId="1191">
    <w:name w:val="中等深浅网格 1 - 强调文字颜色 2"/>
    <w:basedOn w:val="1129"/>
    <w:next w:val="1191"/>
    <w:link w:val="1118"/>
    <w:qFormat/>
    <w:rPr>
      <w:sz w:val="21"/>
      <w:szCs w:val="24"/>
    </w:rPr>
    <w:tblPr/>
  </w:style>
  <w:style w:type="character" w:styleId="1192">
    <w:name w:val="要点"/>
    <w:next w:val="1192"/>
    <w:link w:val="1118"/>
    <w:qFormat/>
    <w:rPr>
      <w:b/>
      <w:bCs/>
    </w:rPr>
  </w:style>
  <w:style w:type="character" w:styleId="1193">
    <w:name w:val="页码"/>
    <w:next w:val="1193"/>
    <w:link w:val="1118"/>
    <w:qFormat/>
  </w:style>
  <w:style w:type="character" w:styleId="1194">
    <w:name w:val="已访问的超链接"/>
    <w:next w:val="1194"/>
    <w:link w:val="1118"/>
    <w:qFormat/>
    <w:rPr>
      <w:color w:val="800080"/>
      <w:u w:val="single"/>
    </w:rPr>
  </w:style>
  <w:style w:type="character" w:styleId="1195">
    <w:name w:val="强调"/>
    <w:next w:val="1195"/>
    <w:link w:val="1118"/>
    <w:qFormat/>
    <w:rPr>
      <w:color w:val="cc0033"/>
    </w:rPr>
  </w:style>
  <w:style w:type="character" w:styleId="1196">
    <w:name w:val="超链接"/>
    <w:next w:val="1196"/>
    <w:link w:val="1118"/>
    <w:uiPriority w:val="99"/>
    <w:qFormat/>
    <w:rPr>
      <w:color w:val="0000ff"/>
      <w:u w:val="single"/>
    </w:rPr>
  </w:style>
  <w:style w:type="character" w:styleId="1197">
    <w:name w:val="批注引用"/>
    <w:next w:val="1197"/>
    <w:link w:val="1118"/>
    <w:uiPriority w:val="99"/>
    <w:qFormat/>
    <w:rPr>
      <w:sz w:val="21"/>
      <w:szCs w:val="21"/>
    </w:rPr>
  </w:style>
  <w:style w:type="character" w:styleId="1198">
    <w:name w:val="HTML 引文"/>
    <w:next w:val="1198"/>
    <w:link w:val="1118"/>
    <w:qFormat/>
    <w:rPr>
      <w:i/>
      <w:iCs/>
    </w:rPr>
  </w:style>
  <w:style w:type="paragraph" w:styleId="1199">
    <w:name w:val="标题 31"/>
    <w:basedOn w:val="1118"/>
    <w:next w:val="1118"/>
    <w:link w:val="1118"/>
    <w:qFormat/>
    <w:pPr>
      <w:jc w:val="left"/>
      <w:keepLines/>
      <w:keepNext/>
      <w:spacing w:before="360" w:after="120"/>
      <w:outlineLvl w:val="2"/>
    </w:pPr>
    <w:rPr>
      <w:rFonts w:ascii="宋体"/>
      <w:b/>
      <w:sz w:val="24"/>
      <w:szCs w:val="20"/>
      <w:u w:val="single"/>
    </w:rPr>
  </w:style>
  <w:style w:type="paragraph" w:styleId="1200">
    <w:name w:val="段"/>
    <w:next w:val="1118"/>
    <w:link w:val="1118"/>
    <w:unhideWhenUsed/>
    <w:qFormat/>
    <w:pPr>
      <w:ind w:firstLine="200"/>
      <w:jc w:val="both"/>
      <w:spacing w:line="360" w:lineRule="auto"/>
    </w:pPr>
    <w:rPr>
      <w:rFonts w:hint="eastAsia" w:ascii="宋体"/>
      <w:sz w:val="24"/>
      <w:lang w:val="en-US" w:eastAsia="zh-CN" w:bidi="ar-SA"/>
    </w:rPr>
  </w:style>
  <w:style w:type="paragraph" w:styleId="1201">
    <w:name w:val="Default"/>
    <w:next w:val="1201"/>
    <w:link w:val="1118"/>
    <w:qFormat/>
    <w:pPr>
      <w:widowControl w:val="off"/>
    </w:pPr>
    <w:rPr>
      <w:rFonts w:ascii="Symbol" w:hAnsi="Symbol" w:cs="Symbol"/>
      <w:color w:val="000000"/>
      <w:sz w:val="24"/>
      <w:szCs w:val="24"/>
      <w:lang w:val="en-US" w:eastAsia="zh-CN" w:bidi="ar-SA"/>
    </w:rPr>
  </w:style>
  <w:style w:type="character" w:styleId="1202">
    <w:name w:val="批注文字 字符"/>
    <w:next w:val="1202"/>
    <w:link w:val="1118"/>
    <w:uiPriority w:val="99"/>
    <w:qFormat/>
    <w:rPr>
      <w:rFonts w:ascii="Times New Roman" w:hAnsi="Times New Roman" w:eastAsia="宋体" w:cs="Times New Roman"/>
      <w:sz w:val="24"/>
      <w:lang w:val="en-US" w:eastAsia="zh-CN" w:bidi="ar-SA"/>
    </w:rPr>
  </w:style>
  <w:style w:type="character" w:styleId="1203">
    <w:name w:val="c21"/>
    <w:next w:val="1203"/>
    <w:link w:val="1118"/>
    <w:qFormat/>
    <w:rPr>
      <w:rFonts w:ascii="ˎ̥" w:hAnsi="ˎ̥"/>
      <w:color w:val="000000"/>
      <w:sz w:val="20"/>
      <w:szCs w:val="20"/>
      <w:u w:val="none"/>
    </w:rPr>
  </w:style>
  <w:style w:type="character" w:styleId="1204">
    <w:name w:val="title4"/>
    <w:next w:val="1204"/>
    <w:link w:val="1118"/>
    <w:qFormat/>
    <w:rPr>
      <w:b/>
      <w:bCs/>
      <w:color w:val="1d87b3"/>
      <w:sz w:val="15"/>
      <w:szCs w:val="15"/>
    </w:rPr>
  </w:style>
  <w:style w:type="character" w:styleId="1205">
    <w:name w:val="标题 2 Char Char"/>
    <w:next w:val="1205"/>
    <w:link w:val="1118"/>
    <w:qFormat/>
    <w:rPr>
      <w:rFonts w:ascii="Arial" w:hAnsi="Arial" w:eastAsia="黑体"/>
      <w:b/>
      <w:bCs/>
      <w:sz w:val="32"/>
      <w:szCs w:val="32"/>
      <w:lang w:val="en-US" w:eastAsia="zh-CN" w:bidi="ar-SA"/>
    </w:rPr>
  </w:style>
  <w:style w:type="character" w:styleId="1206">
    <w:name w:val="black1"/>
    <w:next w:val="1206"/>
    <w:link w:val="1118"/>
    <w:qFormat/>
    <w:rPr>
      <w:color w:val="000000"/>
    </w:rPr>
  </w:style>
  <w:style w:type="character" w:styleId="1207">
    <w:name w:val="street-address"/>
    <w:next w:val="1207"/>
    <w:link w:val="1118"/>
    <w:qFormat/>
  </w:style>
  <w:style w:type="character" w:styleId="1208">
    <w:name w:val="locality"/>
    <w:next w:val="1208"/>
    <w:link w:val="1118"/>
    <w:qFormat/>
  </w:style>
  <w:style w:type="character" w:styleId="1209">
    <w:name w:val="正文文本缩进 Char1"/>
    <w:next w:val="1209"/>
    <w:link w:val="1210"/>
    <w:qFormat/>
    <w:rPr>
      <w:rFonts w:ascii="宋体" w:hAnsi="宋体" w:eastAsia="宋体"/>
      <w:sz w:val="24"/>
      <w:szCs w:val="24"/>
      <w:lang w:bidi="ar-SA"/>
    </w:rPr>
  </w:style>
  <w:style w:type="paragraph" w:styleId="1210">
    <w:name w:val="正文文本缩进1"/>
    <w:basedOn w:val="1118"/>
    <w:next w:val="1210"/>
    <w:link w:val="1209"/>
    <w:qFormat/>
    <w:pPr>
      <w:ind w:firstLine="480"/>
      <w:spacing w:line="480" w:lineRule="exact"/>
    </w:pPr>
    <w:rPr>
      <w:rFonts w:ascii="宋体" w:hAnsi="宋体"/>
      <w:sz w:val="24"/>
    </w:rPr>
  </w:style>
  <w:style w:type="character" w:styleId="1211">
    <w:name w:val="Char Char11"/>
    <w:next w:val="1211"/>
    <w:link w:val="1118"/>
    <w:qFormat/>
    <w:rPr>
      <w:rFonts w:ascii="宋体" w:eastAsia="宋体"/>
      <w:b/>
      <w:sz w:val="24"/>
      <w:u w:val="single"/>
      <w:lang w:val="en-US" w:eastAsia="zh-CN" w:bidi="ar-SA"/>
    </w:rPr>
  </w:style>
  <w:style w:type="character" w:styleId="1212">
    <w:name w:val="txt"/>
    <w:next w:val="1212"/>
    <w:link w:val="1118"/>
    <w:qFormat/>
  </w:style>
  <w:style w:type="character" w:styleId="1213">
    <w:name w:val="正文缩进 Char Char"/>
    <w:next w:val="1213"/>
    <w:link w:val="1214"/>
    <w:qFormat/>
    <w:rPr>
      <w:rFonts w:ascii="宋体" w:eastAsia="宋体"/>
      <w:color w:val="000000"/>
      <w:sz w:val="28"/>
      <w:lang w:bidi="ar-SA"/>
    </w:rPr>
  </w:style>
  <w:style w:type="paragraph" w:styleId="1214">
    <w:name w:val="正文缩进1"/>
    <w:basedOn w:val="1118"/>
    <w:next w:val="1214"/>
    <w:link w:val="1213"/>
    <w:qFormat/>
    <w:pPr>
      <w:ind w:firstLine="567"/>
      <w:spacing w:line="480" w:lineRule="exact"/>
      <w:widowControl/>
    </w:pPr>
    <w:rPr>
      <w:rFonts w:ascii="宋体"/>
      <w:color w:val="000000"/>
      <w:sz w:val="28"/>
      <w:szCs w:val="20"/>
    </w:rPr>
  </w:style>
  <w:style w:type="character" w:styleId="1215">
    <w:name w:val="普通文字1 Char1"/>
    <w:next w:val="1215"/>
    <w:link w:val="1118"/>
    <w:qFormat/>
    <w:rPr>
      <w:rFonts w:ascii="宋体" w:hAnsi="Courier New" w:eastAsia="宋体"/>
      <w:sz w:val="21"/>
      <w:lang w:val="en-US" w:eastAsia="zh-CN" w:bidi="ar-SA"/>
    </w:rPr>
  </w:style>
  <w:style w:type="character" w:styleId="1216">
    <w:name w:val="chanpin1"/>
    <w:next w:val="1216"/>
    <w:link w:val="1118"/>
    <w:qFormat/>
    <w:rPr>
      <w:rFonts w:ascii="ˎ̥" w:hAnsi="ˎ̥"/>
      <w:color w:val="000000"/>
      <w:sz w:val="20"/>
      <w:szCs w:val="20"/>
      <w:u w:val="none"/>
    </w:rPr>
  </w:style>
  <w:style w:type="character" w:styleId="1217">
    <w:name w:val="列出段落 Char1"/>
    <w:next w:val="1217"/>
    <w:link w:val="1218"/>
    <w:uiPriority w:val="34"/>
    <w:qFormat/>
    <w:rPr>
      <w:rFonts w:ascii="Calibri" w:hAnsi="Calibri" w:eastAsia="宋体"/>
      <w:sz w:val="21"/>
      <w:szCs w:val="22"/>
      <w:lang w:val="en-US" w:eastAsia="zh-CN" w:bidi="ar-SA"/>
    </w:rPr>
  </w:style>
  <w:style w:type="paragraph" w:styleId="1218">
    <w:name w:val="列出段落"/>
    <w:basedOn w:val="1118"/>
    <w:next w:val="1218"/>
    <w:link w:val="1217"/>
    <w:uiPriority w:val="34"/>
    <w:qFormat/>
    <w:pPr>
      <w:ind w:firstLine="420"/>
    </w:pPr>
    <w:rPr>
      <w:rFonts w:ascii="Calibri" w:hAnsi="Calibri"/>
      <w:szCs w:val="22"/>
    </w:rPr>
  </w:style>
  <w:style w:type="character" w:styleId="1219">
    <w:name w:val="标题 3 Char Char"/>
    <w:next w:val="1219"/>
    <w:link w:val="1118"/>
    <w:qFormat/>
    <w:rPr>
      <w:rFonts w:eastAsia="宋体"/>
      <w:b/>
      <w:bCs/>
      <w:sz w:val="32"/>
      <w:szCs w:val="32"/>
      <w:lang w:val="en-US" w:eastAsia="zh-CN" w:bidi="ar-SA"/>
    </w:rPr>
  </w:style>
  <w:style w:type="character" w:styleId="1220">
    <w:name w:val="段1 Char"/>
    <w:next w:val="1220"/>
    <w:link w:val="1118"/>
    <w:qFormat/>
    <w:rPr>
      <w:rFonts w:ascii="宋体" w:eastAsia="宋体"/>
      <w:sz w:val="24"/>
      <w:lang w:val="en-US" w:eastAsia="zh-CN" w:bidi="ar-SA"/>
    </w:rPr>
  </w:style>
  <w:style w:type="character" w:styleId="1221">
    <w:name w:val="chanpin拷贝"/>
    <w:next w:val="1221"/>
    <w:link w:val="1118"/>
    <w:qFormat/>
  </w:style>
  <w:style w:type="character" w:styleId="1222">
    <w:name w:val="纯文本 Char1"/>
    <w:next w:val="1222"/>
    <w:link w:val="1118"/>
    <w:qFormat/>
    <w:rPr>
      <w:rFonts w:ascii="宋体" w:hAnsi="Courier New" w:eastAsia="宋体"/>
      <w:sz w:val="21"/>
      <w:lang w:val="en-US" w:eastAsia="zh-CN" w:bidi="ar-SA"/>
    </w:rPr>
  </w:style>
  <w:style w:type="character" w:styleId="1223">
    <w:name w:val="apple-style-span"/>
    <w:next w:val="1223"/>
    <w:link w:val="1118"/>
    <w:qFormat/>
    <w:rPr>
      <w:rFonts w:cs="Times New Roman"/>
    </w:rPr>
  </w:style>
  <w:style w:type="paragraph" w:styleId="1224">
    <w:name w:val="二级条标题"/>
    <w:basedOn w:val="1225"/>
    <w:next w:val="1118"/>
    <w:link w:val="1118"/>
    <w:qFormat/>
    <w:pPr>
      <w:numPr>
        <w:ilvl w:val="0"/>
        <w:numId w:val="0"/>
      </w:numPr>
      <w:ind w:hanging="840"/>
      <w:tabs>
        <w:tab w:val="left" w:pos="360" w:leader="none"/>
        <w:tab w:val="left" w:pos="840" w:leader="none"/>
      </w:tabs>
      <w:outlineLvl w:val="2"/>
    </w:pPr>
    <w:rPr>
      <w:rFonts w:ascii="宋体" w:eastAsia="宋体"/>
      <w:b w:val="0"/>
    </w:rPr>
  </w:style>
  <w:style w:type="paragraph" w:styleId="1225">
    <w:name w:val="一级条标题"/>
    <w:basedOn w:val="1226"/>
    <w:next w:val="1118"/>
    <w:link w:val="1118"/>
    <w:qFormat/>
    <w:pPr>
      <w:numPr>
        <w:ilvl w:val="1"/>
      </w:numPr>
      <w:ind w:left="0" w:hanging="840"/>
      <w:tabs>
        <w:tab w:val="left" w:pos="360" w:leader="none"/>
        <w:tab w:val="left" w:pos="840" w:leader="none"/>
      </w:tabs>
      <w:outlineLvl w:val="1"/>
    </w:pPr>
  </w:style>
  <w:style w:type="paragraph" w:styleId="1226">
    <w:name w:val="章标题"/>
    <w:next w:val="1118"/>
    <w:link w:val="1118"/>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227">
    <w:name w:val="font7"/>
    <w:basedOn w:val="1118"/>
    <w:next w:val="1227"/>
    <w:link w:val="1118"/>
    <w:qFormat/>
    <w:pPr>
      <w:jc w:val="left"/>
      <w:spacing w:before="100" w:beforeAutospacing="1" w:after="100" w:afterAutospacing="1"/>
      <w:widowControl/>
    </w:pPr>
    <w:rPr>
      <w:rFonts w:eastAsia="Arial Unicode MS"/>
      <w:b/>
      <w:bCs/>
      <w:color w:val="000000"/>
      <w:sz w:val="20"/>
      <w:szCs w:val="20"/>
    </w:rPr>
  </w:style>
  <w:style w:type="paragraph" w:styleId="1228">
    <w:name w:val="字元 字元"/>
    <w:basedOn w:val="1118"/>
    <w:next w:val="1228"/>
    <w:link w:val="1118"/>
    <w:qFormat/>
    <w:rPr>
      <w:rFonts w:ascii="Tahoma" w:hAnsi="Tahoma"/>
      <w:sz w:val="24"/>
      <w:szCs w:val="20"/>
    </w:rPr>
  </w:style>
  <w:style w:type="paragraph" w:styleId="1229">
    <w:name w:val="Char3 Char Char Char"/>
    <w:basedOn w:val="1118"/>
    <w:next w:val="1229"/>
    <w:link w:val="1118"/>
    <w:qFormat/>
    <w:rPr>
      <w:rFonts w:ascii="Tahoma" w:hAnsi="Tahoma"/>
      <w:sz w:val="24"/>
      <w:szCs w:val="20"/>
    </w:rPr>
  </w:style>
  <w:style w:type="paragraph" w:styleId="1230">
    <w:name w:val="font6"/>
    <w:basedOn w:val="1118"/>
    <w:next w:val="1230"/>
    <w:link w:val="1118"/>
    <w:qFormat/>
    <w:pPr>
      <w:jc w:val="left"/>
      <w:spacing w:before="100" w:beforeAutospacing="1" w:after="100" w:afterAutospacing="1"/>
      <w:widowControl/>
    </w:pPr>
    <w:rPr>
      <w:rFonts w:ascii="宋体" w:hAnsi="宋体" w:cs="宋体"/>
      <w:sz w:val="20"/>
      <w:szCs w:val="20"/>
    </w:rPr>
  </w:style>
  <w:style w:type="paragraph" w:styleId="1231">
    <w:name w:val="项目编号2"/>
    <w:basedOn w:val="1232"/>
    <w:next w:val="1231"/>
    <w:link w:val="1118"/>
    <w:qFormat/>
    <w:pPr>
      <w:numPr>
        <w:numId w:val="3"/>
      </w:numPr>
    </w:pPr>
  </w:style>
  <w:style w:type="paragraph" w:styleId="1232">
    <w:name w:val="项目编号1"/>
    <w:basedOn w:val="1118"/>
    <w:next w:val="1232"/>
    <w:link w:val="1118"/>
    <w:qFormat/>
    <w:pPr>
      <w:numPr>
        <w:ilvl w:val="0"/>
        <w:numId w:val="2"/>
      </w:numPr>
      <w:spacing w:before="100" w:beforeAutospacing="1" w:after="100" w:afterAutospacing="1" w:line="360" w:lineRule="auto"/>
    </w:pPr>
    <w:rPr>
      <w:sz w:val="24"/>
    </w:rPr>
  </w:style>
  <w:style w:type="paragraph" w:styleId="1233">
    <w:name w:val="图中文字"/>
    <w:basedOn w:val="1118"/>
    <w:next w:val="1233"/>
    <w:link w:val="1118"/>
    <w:qFormat/>
    <w:pPr>
      <w:jc w:val="center"/>
      <w:spacing w:line="0" w:lineRule="atLeast"/>
    </w:pPr>
    <w:rPr>
      <w:sz w:val="24"/>
      <w:szCs w:val="20"/>
    </w:rPr>
  </w:style>
  <w:style w:type="paragraph" w:styleId="1234">
    <w:name w:val="xl46"/>
    <w:basedOn w:val="1118"/>
    <w:next w:val="1234"/>
    <w:link w:val="1118"/>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35">
    <w:name w:val="xl25"/>
    <w:basedOn w:val="1118"/>
    <w:next w:val="1235"/>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6">
    <w:name w:val="Char2"/>
    <w:basedOn w:val="1118"/>
    <w:next w:val="1236"/>
    <w:link w:val="1118"/>
    <w:qFormat/>
    <w:rPr>
      <w:rFonts w:ascii="Tahoma" w:hAnsi="Tahoma"/>
      <w:sz w:val="24"/>
      <w:szCs w:val="20"/>
    </w:rPr>
  </w:style>
  <w:style w:type="paragraph" w:styleId="1237">
    <w:name w:val="xl35"/>
    <w:basedOn w:val="1118"/>
    <w:next w:val="1237"/>
    <w:link w:val="111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38">
    <w:name w:val="xl40"/>
    <w:basedOn w:val="1118"/>
    <w:next w:val="1238"/>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9">
    <w:name w:val="xl52"/>
    <w:basedOn w:val="1118"/>
    <w:next w:val="1239"/>
    <w:link w:val="111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40">
    <w:name w:val="xl43"/>
    <w:basedOn w:val="1118"/>
    <w:next w:val="1240"/>
    <w:link w:val="111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41">
    <w:name w:val="background1"/>
    <w:basedOn w:val="1118"/>
    <w:next w:val="1241"/>
    <w:link w:val="1118"/>
    <w:qFormat/>
    <w:pPr>
      <w:jc w:val="left"/>
      <w:spacing w:before="100" w:beforeAutospacing="1" w:after="100" w:afterAutospacing="1"/>
      <w:widowControl/>
    </w:pPr>
    <w:rPr>
      <w:rFonts w:ascii="宋体" w:hAnsi="宋体" w:cs="宋体"/>
      <w:sz w:val="24"/>
    </w:rPr>
  </w:style>
  <w:style w:type="paragraph" w:styleId="1242">
    <w:name w:val="Char Char Char Char Char Char Char"/>
    <w:basedOn w:val="1118"/>
    <w:next w:val="1242"/>
    <w:link w:val="1118"/>
    <w:qFormat/>
    <w:pPr>
      <w:ind w:firstLine="200"/>
      <w:spacing w:line="360" w:lineRule="auto"/>
    </w:pPr>
    <w:rPr>
      <w:rFonts w:eastAsia="仿宋_GB2312"/>
      <w:sz w:val="24"/>
    </w:rPr>
  </w:style>
  <w:style w:type="paragraph" w:styleId="1243">
    <w:name w:val="xl38"/>
    <w:basedOn w:val="1118"/>
    <w:next w:val="1243"/>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44">
    <w:name w:val="xl36"/>
    <w:basedOn w:val="1118"/>
    <w:next w:val="1244"/>
    <w:link w:val="1118"/>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45">
    <w:name w:val="正文 + 宋体"/>
    <w:basedOn w:val="1118"/>
    <w:next w:val="1245"/>
    <w:link w:val="1118"/>
    <w:qFormat/>
    <w:pPr>
      <w:ind w:left="360" w:hanging="360"/>
      <w:jc w:val="left"/>
      <w:widowControl/>
    </w:pPr>
    <w:rPr>
      <w:rFonts w:ascii="宋体" w:hAnsi="宋体" w:cs="宋体"/>
      <w:b/>
      <w:bCs/>
      <w:color w:val="000000"/>
      <w:sz w:val="18"/>
      <w:szCs w:val="18"/>
    </w:rPr>
  </w:style>
  <w:style w:type="paragraph" w:styleId="1246">
    <w:name w:val="正文列项_数字"/>
    <w:basedOn w:val="1118"/>
    <w:next w:val="1246"/>
    <w:link w:val="1118"/>
    <w:qFormat/>
    <w:pPr>
      <w:numPr>
        <w:ilvl w:val="7"/>
        <w:numId w:val="1"/>
      </w:numPr>
      <w:ind w:left="680" w:hanging="150"/>
      <w:spacing w:line="460" w:lineRule="exact"/>
      <w:tabs>
        <w:tab w:val="clear" w:pos="860" w:leader="none"/>
      </w:tabs>
      <w:outlineLvl w:val="7"/>
    </w:pPr>
    <w:rPr>
      <w:rFonts w:ascii="宋体"/>
      <w:sz w:val="28"/>
      <w:szCs w:val="20"/>
    </w:rPr>
  </w:style>
  <w:style w:type="paragraph" w:styleId="1247">
    <w:name w:val="xl39"/>
    <w:basedOn w:val="1118"/>
    <w:next w:val="1247"/>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8">
    <w:name w:val="xl37"/>
    <w:basedOn w:val="1118"/>
    <w:next w:val="1248"/>
    <w:link w:val="1118"/>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49">
    <w:name w:val="xl32"/>
    <w:basedOn w:val="1118"/>
    <w:next w:val="1249"/>
    <w:link w:val="111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0">
    <w:name w:val="font8"/>
    <w:basedOn w:val="1118"/>
    <w:next w:val="1250"/>
    <w:link w:val="1118"/>
    <w:qFormat/>
    <w:pPr>
      <w:jc w:val="left"/>
      <w:spacing w:before="100" w:beforeAutospacing="1" w:after="100" w:afterAutospacing="1"/>
      <w:widowControl/>
    </w:pPr>
    <w:rPr>
      <w:sz w:val="36"/>
      <w:szCs w:val="36"/>
    </w:rPr>
  </w:style>
  <w:style w:type="paragraph" w:styleId="1251">
    <w:name w:val="Char"/>
    <w:basedOn w:val="1118"/>
    <w:next w:val="1251"/>
    <w:link w:val="1118"/>
    <w:qFormat/>
    <w:pPr>
      <w:tabs>
        <w:tab w:val="left" w:pos="360" w:leader="none"/>
      </w:tabs>
    </w:pPr>
    <w:rPr>
      <w:sz w:val="24"/>
    </w:rPr>
  </w:style>
  <w:style w:type="paragraph" w:styleId="1252">
    <w:name w:val="Char Char Char Char Char Char Char Char Char Char Char Char Char Char Char Char"/>
    <w:basedOn w:val="1118"/>
    <w:next w:val="1252"/>
    <w:link w:val="1118"/>
    <w:qFormat/>
    <w:pPr>
      <w:jc w:val="center"/>
      <w:spacing w:after="160" w:line="240" w:lineRule="exact"/>
      <w:widowControl/>
    </w:pPr>
    <w:rPr>
      <w:rFonts w:ascii="宋体" w:hAnsi="宋体"/>
      <w:b/>
      <w:sz w:val="30"/>
      <w:szCs w:val="30"/>
      <w:lang w:eastAsia="en-US"/>
    </w:rPr>
  </w:style>
  <w:style w:type="paragraph" w:styleId="1253">
    <w:name w:val="xl45"/>
    <w:basedOn w:val="1118"/>
    <w:next w:val="1253"/>
    <w:link w:val="1118"/>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54">
    <w:name w:val="Char Char1 Char Char Char Char Char Char"/>
    <w:basedOn w:val="1118"/>
    <w:next w:val="1254"/>
    <w:link w:val="1118"/>
    <w:qFormat/>
    <w:pPr>
      <w:jc w:val="left"/>
      <w:spacing w:after="160" w:line="240" w:lineRule="exact"/>
      <w:widowControl/>
    </w:pPr>
    <w:rPr>
      <w:rFonts w:ascii="Verdana" w:hAnsi="Verdana" w:eastAsia="仿宋_GB2312"/>
      <w:sz w:val="24"/>
      <w:szCs w:val="20"/>
      <w:lang w:eastAsia="en-US"/>
    </w:rPr>
  </w:style>
  <w:style w:type="paragraph" w:styleId="1255">
    <w:name w:val="Char Char1"/>
    <w:basedOn w:val="1144"/>
    <w:next w:val="1255"/>
    <w:link w:val="1118"/>
    <w:qFormat/>
    <w:rPr>
      <w:rFonts w:ascii="Tahoma" w:hAnsi="Tahoma"/>
      <w:sz w:val="24"/>
    </w:rPr>
  </w:style>
  <w:style w:type="paragraph" w:styleId="1256">
    <w:name w:val="xl26"/>
    <w:basedOn w:val="1118"/>
    <w:next w:val="1256"/>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57">
    <w:name w:val="xl30"/>
    <w:basedOn w:val="1118"/>
    <w:next w:val="1257"/>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8">
    <w:name w:val="xl41"/>
    <w:basedOn w:val="1118"/>
    <w:next w:val="1258"/>
    <w:link w:val="1118"/>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59">
    <w:name w:val="样式 宋体 五号 行距: 单倍行距"/>
    <w:basedOn w:val="1118"/>
    <w:next w:val="1259"/>
    <w:link w:val="1118"/>
    <w:qFormat/>
    <w:pPr>
      <w:jc w:val="left"/>
    </w:pPr>
    <w:rPr>
      <w:rFonts w:ascii="宋体" w:hAnsi="宋体"/>
      <w:szCs w:val="20"/>
    </w:rPr>
  </w:style>
  <w:style w:type="paragraph" w:styleId="1260">
    <w:name w:val="Char1 Char Char Char1"/>
    <w:basedOn w:val="1118"/>
    <w:next w:val="1260"/>
    <w:link w:val="1118"/>
    <w:qFormat/>
    <w:rPr>
      <w:rFonts w:ascii="Tahoma" w:hAnsi="Tahoma" w:cs="仿宋_GB2312"/>
      <w:sz w:val="24"/>
      <w:szCs w:val="28"/>
    </w:rPr>
  </w:style>
  <w:style w:type="paragraph" w:styleId="1261">
    <w:name w:val="四级条标题"/>
    <w:basedOn w:val="1262"/>
    <w:next w:val="1118"/>
    <w:link w:val="1118"/>
    <w:qFormat/>
    <w:pPr>
      <w:numPr>
        <w:ilvl w:val="4"/>
      </w:numPr>
      <w:ind w:left="0" w:hanging="840"/>
      <w:tabs>
        <w:tab w:val="left" w:pos="360" w:leader="none"/>
        <w:tab w:val="left" w:pos="840" w:leader="none"/>
      </w:tabs>
      <w:outlineLvl w:val="4"/>
    </w:pPr>
  </w:style>
  <w:style w:type="paragraph" w:styleId="1262">
    <w:name w:val="三级条标题"/>
    <w:basedOn w:val="1224"/>
    <w:next w:val="1118"/>
    <w:link w:val="1118"/>
    <w:qFormat/>
    <w:pPr>
      <w:numPr>
        <w:ilvl w:val="3"/>
        <w:numId w:val="1"/>
      </w:numPr>
      <w:ind w:left="0" w:hanging="840"/>
      <w:tabs>
        <w:tab w:val="left" w:pos="360" w:leader="none"/>
        <w:tab w:val="left" w:pos="840" w:leader="none"/>
      </w:tabs>
      <w:outlineLvl w:val="3"/>
    </w:pPr>
  </w:style>
  <w:style w:type="paragraph" w:styleId="1263">
    <w:name w:val="??"/>
    <w:next w:val="1263"/>
    <w:link w:val="1118"/>
    <w:qFormat/>
    <w:pPr>
      <w:jc w:val="both"/>
      <w:widowControl w:val="off"/>
    </w:pPr>
    <w:rPr>
      <w:sz w:val="21"/>
      <w:lang w:val="en-US" w:eastAsia="en-US" w:bidi="ar-SA"/>
    </w:rPr>
  </w:style>
  <w:style w:type="paragraph" w:styleId="1264">
    <w:name w:val="样式 标题 2 + 宋体 五号 行距: 单倍行距"/>
    <w:basedOn w:val="1120"/>
    <w:next w:val="1264"/>
    <w:link w:val="1118"/>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65">
    <w:name w:val="List Paragraph1"/>
    <w:basedOn w:val="1118"/>
    <w:next w:val="1265"/>
    <w:link w:val="1118"/>
    <w:qFormat/>
    <w:pPr>
      <w:ind w:firstLine="420"/>
    </w:pPr>
    <w:rPr>
      <w:rFonts w:ascii="Calibri" w:hAnsi="Calibri"/>
      <w:szCs w:val="22"/>
    </w:rPr>
  </w:style>
  <w:style w:type="paragraph" w:styleId="1266">
    <w:name w:val="项目符号1"/>
    <w:basedOn w:val="1267"/>
    <w:next w:val="1266"/>
    <w:link w:val="1118"/>
    <w:qFormat/>
    <w:pPr>
      <w:ind w:left="-25" w:firstLine="0"/>
    </w:pPr>
  </w:style>
  <w:style w:type="paragraph" w:styleId="1267">
    <w:name w:val="正文文本样式"/>
    <w:basedOn w:val="1118"/>
    <w:next w:val="1267"/>
    <w:link w:val="1118"/>
    <w:qFormat/>
    <w:pPr>
      <w:ind w:firstLine="482"/>
      <w:spacing w:line="360" w:lineRule="auto"/>
    </w:pPr>
    <w:rPr>
      <w:rFonts w:cs="宋体"/>
      <w:sz w:val="24"/>
      <w:szCs w:val="20"/>
    </w:rPr>
  </w:style>
  <w:style w:type="paragraph" w:styleId="1268">
    <w:name w:val="xl27"/>
    <w:basedOn w:val="1118"/>
    <w:next w:val="1268"/>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69">
    <w:name w:val="font5"/>
    <w:basedOn w:val="1118"/>
    <w:next w:val="1269"/>
    <w:link w:val="1118"/>
    <w:qFormat/>
    <w:pPr>
      <w:jc w:val="left"/>
      <w:spacing w:before="100" w:beforeAutospacing="1" w:after="100" w:afterAutospacing="1"/>
      <w:widowControl/>
    </w:pPr>
    <w:rPr>
      <w:rFonts w:ascii="宋体" w:hAnsi="宋体" w:cs="宋体"/>
      <w:sz w:val="18"/>
      <w:szCs w:val="18"/>
    </w:rPr>
  </w:style>
  <w:style w:type="paragraph" w:styleId="1270">
    <w:name w:val="五级条标题"/>
    <w:basedOn w:val="1261"/>
    <w:next w:val="1118"/>
    <w:link w:val="1118"/>
    <w:qFormat/>
    <w:pPr>
      <w:numPr>
        <w:ilvl w:val="5"/>
      </w:numPr>
      <w:ind w:left="0" w:hanging="840"/>
      <w:tabs>
        <w:tab w:val="left" w:pos="360" w:leader="none"/>
        <w:tab w:val="left" w:pos="840" w:leader="none"/>
      </w:tabs>
      <w:outlineLvl w:val="5"/>
    </w:pPr>
  </w:style>
  <w:style w:type="paragraph" w:styleId="1271">
    <w:name w:val="xl49"/>
    <w:basedOn w:val="1118"/>
    <w:next w:val="1271"/>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72">
    <w:name w:val="文档正文"/>
    <w:basedOn w:val="1118"/>
    <w:next w:val="1272"/>
    <w:link w:val="1118"/>
    <w:qFormat/>
    <w:pPr>
      <w:spacing w:before="120" w:after="120" w:line="180" w:lineRule="auto"/>
    </w:pPr>
    <w:rPr>
      <w:rFonts w:ascii="Arial" w:hAnsi="Arial"/>
      <w:szCs w:val="20"/>
    </w:rPr>
  </w:style>
  <w:style w:type="paragraph" w:styleId="1273">
    <w:name w:val="xl33"/>
    <w:basedOn w:val="1118"/>
    <w:next w:val="1273"/>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74">
    <w:name w:val="xl42"/>
    <w:basedOn w:val="1118"/>
    <w:next w:val="1274"/>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75">
    <w:name w:val="Char Char Char1 Char"/>
    <w:basedOn w:val="1118"/>
    <w:next w:val="1275"/>
    <w:link w:val="1118"/>
    <w:qFormat/>
    <w:rPr>
      <w:rFonts w:ascii="Tahoma" w:hAnsi="Tahoma"/>
      <w:sz w:val="24"/>
      <w:szCs w:val="20"/>
    </w:rPr>
  </w:style>
  <w:style w:type="paragraph" w:styleId="1276">
    <w:name w:val="xl44"/>
    <w:basedOn w:val="1118"/>
    <w:next w:val="1276"/>
    <w:link w:val="111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77">
    <w:name w:val="1名"/>
    <w:basedOn w:val="1118"/>
    <w:next w:val="1277"/>
    <w:link w:val="1118"/>
    <w:qFormat/>
    <w:pPr>
      <w:numPr>
        <w:ilvl w:val="0"/>
        <w:numId w:val="5"/>
      </w:numPr>
      <w:spacing w:before="120"/>
      <w:tabs>
        <w:tab w:val="left" w:pos="360" w:leader="none"/>
      </w:tabs>
    </w:pPr>
    <w:rPr>
      <w:rFonts w:ascii="宋体"/>
      <w:sz w:val="28"/>
      <w:szCs w:val="20"/>
    </w:rPr>
  </w:style>
  <w:style w:type="paragraph" w:styleId="1278">
    <w:name w:val="font9"/>
    <w:basedOn w:val="1118"/>
    <w:next w:val="1278"/>
    <w:link w:val="1118"/>
    <w:qFormat/>
    <w:pPr>
      <w:jc w:val="left"/>
      <w:spacing w:before="100" w:beforeAutospacing="1" w:after="100" w:afterAutospacing="1"/>
      <w:widowControl/>
    </w:pPr>
    <w:rPr>
      <w:rFonts w:hint="eastAsia" w:ascii="宋体" w:hAnsi="宋体" w:cs="Arial Unicode MS"/>
      <w:color w:val="000000"/>
      <w:sz w:val="20"/>
      <w:szCs w:val="20"/>
    </w:rPr>
  </w:style>
  <w:style w:type="paragraph" w:styleId="1279">
    <w:name w:val="Char Char Char1 Char1"/>
    <w:basedOn w:val="1118"/>
    <w:next w:val="1279"/>
    <w:link w:val="1118"/>
    <w:qFormat/>
    <w:rPr>
      <w:rFonts w:ascii="Tahoma" w:hAnsi="Tahoma"/>
      <w:sz w:val="24"/>
      <w:szCs w:val="20"/>
    </w:rPr>
  </w:style>
  <w:style w:type="paragraph" w:styleId="1280">
    <w:name w:val="Char Char Char Char Char Char Char Char Char Char"/>
    <w:basedOn w:val="1118"/>
    <w:next w:val="1280"/>
    <w:link w:val="1118"/>
    <w:qFormat/>
  </w:style>
  <w:style w:type="paragraph" w:styleId="1281">
    <w:name w:val="Char Char1 Char Char Char Char Char Char Char Char"/>
    <w:basedOn w:val="1118"/>
    <w:next w:val="1281"/>
    <w:link w:val="1118"/>
    <w:qFormat/>
    <w:pPr>
      <w:jc w:val="left"/>
      <w:spacing w:after="160" w:line="240" w:lineRule="exact"/>
      <w:widowControl/>
    </w:pPr>
    <w:rPr>
      <w:rFonts w:ascii="Verdana" w:hAnsi="Verdana"/>
      <w:sz w:val="20"/>
      <w:szCs w:val="20"/>
      <w:lang w:eastAsia="en-US"/>
    </w:rPr>
  </w:style>
  <w:style w:type="paragraph" w:styleId="1282">
    <w:name w:val="Char1"/>
    <w:basedOn w:val="1118"/>
    <w:next w:val="1282"/>
    <w:link w:val="1118"/>
    <w:qFormat/>
    <w:pPr>
      <w:tabs>
        <w:tab w:val="left" w:pos="360" w:leader="none"/>
      </w:tabs>
    </w:pPr>
    <w:rPr>
      <w:sz w:val="24"/>
    </w:rPr>
  </w:style>
  <w:style w:type="paragraph" w:styleId="1283">
    <w:name w:val="正文列项_字母"/>
    <w:basedOn w:val="1118"/>
    <w:next w:val="1283"/>
    <w:link w:val="1118"/>
    <w:qFormat/>
    <w:pPr>
      <w:numPr>
        <w:ilvl w:val="6"/>
        <w:numId w:val="1"/>
      </w:numPr>
      <w:ind w:left="480" w:hanging="180"/>
      <w:spacing w:line="460" w:lineRule="exact"/>
      <w:tabs>
        <w:tab w:val="clear" w:pos="635" w:leader="none"/>
      </w:tabs>
      <w:outlineLvl w:val="6"/>
    </w:pPr>
    <w:rPr>
      <w:rFonts w:ascii="宋体"/>
      <w:sz w:val="28"/>
      <w:szCs w:val="20"/>
    </w:rPr>
  </w:style>
  <w:style w:type="paragraph" w:styleId="1284">
    <w:name w:val="xl28"/>
    <w:basedOn w:val="1118"/>
    <w:next w:val="1284"/>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85">
    <w:name w:val="xl47"/>
    <w:basedOn w:val="1118"/>
    <w:next w:val="1285"/>
    <w:link w:val="1118"/>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86">
    <w:name w:val="默认段落字体 Para Char Char Char Char"/>
    <w:basedOn w:val="1118"/>
    <w:next w:val="1286"/>
    <w:link w:val="1118"/>
    <w:qFormat/>
    <w:rPr>
      <w:rFonts w:ascii="Arial" w:hAnsi="Arial" w:cs="Arial"/>
      <w:szCs w:val="21"/>
    </w:rPr>
  </w:style>
  <w:style w:type="paragraph" w:styleId="1287">
    <w:name w:val="xl48"/>
    <w:basedOn w:val="1118"/>
    <w:next w:val="1287"/>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88">
    <w:name w:val="xl31"/>
    <w:basedOn w:val="1118"/>
    <w:next w:val="1288"/>
    <w:link w:val="111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89">
    <w:name w:val="xl53"/>
    <w:basedOn w:val="1118"/>
    <w:next w:val="1289"/>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0">
    <w:name w:val="Char Char Char"/>
    <w:basedOn w:val="1118"/>
    <w:next w:val="1290"/>
    <w:link w:val="1118"/>
    <w:qFormat/>
    <w:rPr>
      <w:rFonts w:ascii="Tahoma" w:hAnsi="Tahoma"/>
      <w:sz w:val="24"/>
      <w:szCs w:val="20"/>
    </w:rPr>
  </w:style>
  <w:style w:type="paragraph" w:styleId="1291">
    <w:name w:val="xl50"/>
    <w:basedOn w:val="1118"/>
    <w:next w:val="1291"/>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92">
    <w:name w:val="缺省文本"/>
    <w:basedOn w:val="1118"/>
    <w:next w:val="1292"/>
    <w:link w:val="1118"/>
    <w:qFormat/>
    <w:pPr>
      <w:jc w:val="left"/>
    </w:pPr>
    <w:rPr>
      <w:sz w:val="24"/>
    </w:rPr>
  </w:style>
  <w:style w:type="paragraph" w:styleId="1293">
    <w:name w:val="Char Char Char1"/>
    <w:basedOn w:val="1118"/>
    <w:next w:val="1293"/>
    <w:link w:val="1118"/>
    <w:qFormat/>
    <w:rPr>
      <w:rFonts w:ascii="Tahoma" w:hAnsi="Tahoma"/>
      <w:sz w:val="24"/>
      <w:szCs w:val="20"/>
    </w:rPr>
  </w:style>
  <w:style w:type="paragraph" w:styleId="1294">
    <w:name w:val="Char Char Char Char Char Char Char1"/>
    <w:basedOn w:val="1118"/>
    <w:next w:val="1294"/>
    <w:link w:val="1118"/>
    <w:qFormat/>
    <w:pPr>
      <w:ind w:firstLine="200"/>
      <w:spacing w:line="360" w:lineRule="auto"/>
    </w:pPr>
    <w:rPr>
      <w:rFonts w:eastAsia="仿宋_GB2312"/>
      <w:sz w:val="24"/>
    </w:rPr>
  </w:style>
  <w:style w:type="paragraph" w:styleId="1295">
    <w:name w:val="xl51"/>
    <w:basedOn w:val="1118"/>
    <w:next w:val="1295"/>
    <w:link w:val="111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6">
    <w:name w:val="样式2"/>
    <w:basedOn w:val="1184"/>
    <w:next w:val="1296"/>
    <w:link w:val="1118"/>
    <w:qFormat/>
    <w:pPr>
      <w:jc w:val="center"/>
      <w:spacing w:line="360" w:lineRule="auto"/>
    </w:pPr>
    <w:rPr>
      <w:sz w:val="24"/>
    </w:rPr>
  </w:style>
  <w:style w:type="paragraph" w:styleId="1297">
    <w:name w:val="xl24"/>
    <w:basedOn w:val="1118"/>
    <w:next w:val="1297"/>
    <w:link w:val="111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98">
    <w:name w:val="xl29"/>
    <w:basedOn w:val="1118"/>
    <w:next w:val="1298"/>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99">
    <w:name w:val="正文 + 楷体_GB2312"/>
    <w:basedOn w:val="1118"/>
    <w:next w:val="1299"/>
    <w:link w:val="1118"/>
    <w:qFormat/>
    <w:pPr>
      <w:jc w:val="left"/>
      <w:widowControl/>
    </w:pPr>
    <w:rPr>
      <w:rFonts w:ascii="楷体_GB2312" w:eastAsia="楷体_GB2312" w:cs="Arial"/>
      <w:sz w:val="24"/>
    </w:rPr>
  </w:style>
  <w:style w:type="paragraph" w:styleId="1300">
    <w:name w:val="xl34"/>
    <w:basedOn w:val="1118"/>
    <w:next w:val="1300"/>
    <w:link w:val="111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301">
    <w:name w:val="1 Char Char Char Char"/>
    <w:basedOn w:val="1118"/>
    <w:next w:val="1301"/>
    <w:link w:val="1118"/>
    <w:qFormat/>
    <w:rPr>
      <w:rFonts w:ascii="Tahoma" w:hAnsi="Tahoma"/>
      <w:sz w:val="24"/>
      <w:szCs w:val="20"/>
    </w:rPr>
  </w:style>
  <w:style w:type="paragraph" w:styleId="1302">
    <w:name w:val="列出段落1"/>
    <w:basedOn w:val="1118"/>
    <w:next w:val="1118"/>
    <w:link w:val="1118"/>
    <w:qFormat/>
    <w:pPr>
      <w:ind w:firstLine="420"/>
    </w:pPr>
    <w:rPr>
      <w:rFonts w:ascii="Calibri" w:hAnsi="Calibri"/>
      <w:szCs w:val="22"/>
    </w:rPr>
  </w:style>
  <w:style w:type="paragraph" w:styleId="1303">
    <w:name w:val="default"/>
    <w:basedOn w:val="1118"/>
    <w:next w:val="1303"/>
    <w:link w:val="1118"/>
    <w:qFormat/>
    <w:pPr>
      <w:jc w:val="left"/>
      <w:spacing w:before="100" w:beforeAutospacing="1" w:after="100" w:afterAutospacing="1"/>
      <w:widowControl/>
    </w:pPr>
    <w:rPr>
      <w:rFonts w:ascii="宋体" w:hAnsi="宋体" w:cs="宋体"/>
      <w:sz w:val="24"/>
    </w:rPr>
  </w:style>
  <w:style w:type="paragraph" w:styleId="1304">
    <w:name w:val="字元 字元1"/>
    <w:basedOn w:val="1118"/>
    <w:next w:val="1304"/>
    <w:link w:val="1118"/>
    <w:qFormat/>
    <w:rPr>
      <w:rFonts w:ascii="Tahoma" w:hAnsi="Tahoma"/>
      <w:sz w:val="24"/>
      <w:szCs w:val="20"/>
    </w:rPr>
  </w:style>
  <w:style w:type="paragraph" w:styleId="1305">
    <w:name w:val="_Style 160"/>
    <w:next w:val="1305"/>
    <w:link w:val="1118"/>
    <w:qFormat/>
    <w:rPr>
      <w:sz w:val="21"/>
      <w:szCs w:val="24"/>
      <w:lang w:val="en-US" w:eastAsia="zh-CN" w:bidi="ar-SA"/>
    </w:rPr>
  </w:style>
  <w:style w:type="paragraph" w:styleId="1306">
    <w:name w:val="项目编号3"/>
    <w:basedOn w:val="1267"/>
    <w:next w:val="1306"/>
    <w:link w:val="1118"/>
    <w:qFormat/>
    <w:pPr>
      <w:numPr>
        <w:ilvl w:val="0"/>
        <w:numId w:val="6"/>
      </w:numPr>
    </w:pPr>
  </w:style>
  <w:style w:type="paragraph" w:styleId="1307">
    <w:name w:val="Char21"/>
    <w:basedOn w:val="1118"/>
    <w:next w:val="1307"/>
    <w:link w:val="1118"/>
    <w:qFormat/>
    <w:rPr>
      <w:rFonts w:ascii="Tahoma" w:hAnsi="Tahoma"/>
      <w:sz w:val="24"/>
      <w:szCs w:val="20"/>
    </w:rPr>
  </w:style>
  <w:style w:type="paragraph" w:styleId="1308">
    <w:name w:val="表格文字"/>
    <w:basedOn w:val="1154"/>
    <w:next w:val="1308"/>
    <w:link w:val="1118"/>
    <w:qFormat/>
    <w:pPr>
      <w:ind w:firstLine="0"/>
      <w:spacing w:before="20" w:after="20" w:line="240" w:lineRule="auto"/>
    </w:pPr>
    <w:rPr>
      <w:rFonts w:ascii="Century Gothic" w:hAnsi="Century Gothic"/>
      <w:sz w:val="20"/>
      <w:szCs w:val="20"/>
    </w:rPr>
  </w:style>
  <w:style w:type="paragraph" w:styleId="1309">
    <w:name w:val="Char Char Char Char Char Char Char Char Char Char1"/>
    <w:basedOn w:val="1118"/>
    <w:next w:val="1309"/>
    <w:link w:val="1118"/>
    <w:qFormat/>
    <w:rPr>
      <w:rFonts w:ascii="宋体" w:hAnsi="宋体" w:cs="Courier New"/>
      <w:sz w:val="32"/>
      <w:szCs w:val="32"/>
    </w:rPr>
  </w:style>
  <w:style w:type="paragraph" w:styleId="1310">
    <w:name w:val="正文文本样式 加粗"/>
    <w:basedOn w:val="1267"/>
    <w:next w:val="1310"/>
    <w:link w:val="1118"/>
    <w:qFormat/>
    <w:rPr>
      <w:b/>
    </w:rPr>
  </w:style>
  <w:style w:type="paragraph" w:styleId="1311">
    <w:name w:val="Char2 Char Char Char Char Char Char"/>
    <w:basedOn w:val="1118"/>
    <w:next w:val="1311"/>
    <w:link w:val="1118"/>
    <w:qFormat/>
    <w:pPr>
      <w:jc w:val="center"/>
      <w:spacing w:line="400" w:lineRule="exact"/>
      <w:widowControl/>
    </w:pPr>
  </w:style>
  <w:style w:type="paragraph" w:styleId="1312">
    <w:name w:val="Char Char4"/>
    <w:basedOn w:val="1118"/>
    <w:next w:val="1312"/>
    <w:link w:val="1118"/>
    <w:qFormat/>
    <w:pPr>
      <w:jc w:val="center"/>
      <w:spacing w:line="400" w:lineRule="exact"/>
      <w:widowControl/>
    </w:pPr>
  </w:style>
  <w:style w:type="paragraph" w:styleId="1313">
    <w:name w:val="Char3 Char Char Char1"/>
    <w:basedOn w:val="1118"/>
    <w:next w:val="1313"/>
    <w:link w:val="1118"/>
    <w:qFormat/>
    <w:rPr>
      <w:rFonts w:ascii="Tahoma" w:hAnsi="Tahoma"/>
      <w:sz w:val="24"/>
      <w:szCs w:val="20"/>
    </w:rPr>
  </w:style>
  <w:style w:type="paragraph" w:styleId="1314">
    <w:name w:val="无间隔"/>
    <w:next w:val="1314"/>
    <w:link w:val="1118"/>
    <w:qFormat/>
    <w:pPr>
      <w:jc w:val="both"/>
      <w:widowControl w:val="off"/>
    </w:pPr>
    <w:rPr>
      <w:sz w:val="21"/>
      <w:szCs w:val="24"/>
      <w:lang w:val="en-US" w:eastAsia="zh-CN" w:bidi="ar-SA"/>
    </w:rPr>
  </w:style>
  <w:style w:type="paragraph" w:styleId="1315">
    <w:name w:val="22222222222222"/>
    <w:basedOn w:val="1118"/>
    <w:next w:val="1315"/>
    <w:link w:val="1118"/>
    <w:qFormat/>
    <w:pPr>
      <w:ind w:firstLine="480"/>
      <w:jc w:val="left"/>
      <w:spacing w:line="360" w:lineRule="auto"/>
      <w:widowControl/>
    </w:pPr>
    <w:rPr>
      <w:color w:val="ff0000"/>
      <w:sz w:val="24"/>
      <w:szCs w:val="20"/>
    </w:rPr>
  </w:style>
  <w:style w:type="character" w:styleId="1316">
    <w:name w:val="中等深浅网格 1 - 强调文字颜色 2 Char"/>
    <w:next w:val="1316"/>
    <w:link w:val="1317"/>
    <w:qFormat/>
    <w:rPr>
      <w:sz w:val="21"/>
      <w:szCs w:val="24"/>
      <w:lang w:val="zh-CN" w:eastAsia="zh-CN" w:bidi="ar-SA"/>
    </w:rPr>
  </w:style>
  <w:style w:type="paragraph" w:styleId="1317">
    <w:name w:val="1"/>
    <w:next w:val="1317"/>
    <w:link w:val="1316"/>
    <w:qFormat/>
    <w:rPr>
      <w:sz w:val="21"/>
      <w:szCs w:val="24"/>
      <w:lang w:val="zh-CN" w:eastAsia="zh-CN" w:bidi="ar-SA"/>
    </w:rPr>
  </w:style>
  <w:style w:type="paragraph" w:styleId="1318">
    <w:name w:val="图文"/>
    <w:basedOn w:val="1118"/>
    <w:next w:val="1318"/>
    <w:link w:val="1118"/>
    <w:qFormat/>
    <w:pPr>
      <w:spacing w:after="50" w:line="360" w:lineRule="auto"/>
    </w:pPr>
    <w:rPr>
      <w:sz w:val="24"/>
    </w:rPr>
  </w:style>
  <w:style w:type="paragraph" w:styleId="1319">
    <w:name w:val="xl23"/>
    <w:basedOn w:val="1118"/>
    <w:next w:val="1319"/>
    <w:link w:val="1118"/>
    <w:qFormat/>
    <w:pPr>
      <w:spacing w:before="100" w:beforeAutospacing="1" w:after="100" w:afterAutospacing="1" w:line="360" w:lineRule="auto"/>
      <w:widowControl/>
    </w:pPr>
    <w:rPr>
      <w:sz w:val="24"/>
      <w:szCs w:val="20"/>
    </w:rPr>
  </w:style>
  <w:style w:type="paragraph" w:styleId="1320">
    <w:name w:val="正文表格"/>
    <w:basedOn w:val="1118"/>
    <w:next w:val="1320"/>
    <w:link w:val="1321"/>
    <w:qFormat/>
    <w:pPr>
      <w:jc w:val="left"/>
    </w:pPr>
    <w:rPr>
      <w:rFonts w:ascii="宋体" w:hAnsi="宋体"/>
      <w:color w:val="000000"/>
      <w:szCs w:val="21"/>
    </w:rPr>
  </w:style>
  <w:style w:type="character" w:styleId="1321">
    <w:name w:val="正文表格 Char"/>
    <w:next w:val="1321"/>
    <w:link w:val="1320"/>
    <w:qFormat/>
    <w:rPr>
      <w:rFonts w:ascii="宋体" w:hAnsi="宋体"/>
      <w:color w:val="000000"/>
      <w:sz w:val="21"/>
      <w:szCs w:val="21"/>
    </w:rPr>
  </w:style>
  <w:style w:type="paragraph" w:styleId="1322">
    <w:name w:val="正文重点"/>
    <w:basedOn w:val="1118"/>
    <w:next w:val="1322"/>
    <w:link w:val="1323"/>
    <w:qFormat/>
    <w:pPr>
      <w:ind w:firstLine="482"/>
      <w:jc w:val="left"/>
      <w:spacing w:line="360" w:lineRule="auto"/>
    </w:pPr>
    <w:rPr>
      <w:b/>
      <w:sz w:val="24"/>
      <w:szCs w:val="20"/>
    </w:rPr>
  </w:style>
  <w:style w:type="character" w:styleId="1323">
    <w:name w:val="正文重点 Char"/>
    <w:next w:val="1323"/>
    <w:link w:val="1322"/>
    <w:qFormat/>
    <w:rPr>
      <w:b/>
      <w:sz w:val="24"/>
    </w:rPr>
  </w:style>
  <w:style w:type="paragraph" w:styleId="1324">
    <w:name w:val="标题1-附件"/>
    <w:basedOn w:val="1119"/>
    <w:next w:val="1324"/>
    <w:link w:val="1118"/>
    <w:qFormat/>
    <w:pPr>
      <w:jc w:val="left"/>
    </w:pPr>
    <w:rPr>
      <w:sz w:val="24"/>
      <w:szCs w:val="24"/>
    </w:rPr>
  </w:style>
  <w:style w:type="paragraph" w:styleId="1325">
    <w:name w:val="正文小标题"/>
    <w:basedOn w:val="1118"/>
    <w:next w:val="1132"/>
    <w:link w:val="1326"/>
    <w:qFormat/>
    <w:pPr>
      <w:ind w:firstLine="482"/>
      <w:jc w:val="left"/>
      <w:spacing w:before="312" w:after="312"/>
    </w:pPr>
    <w:rPr>
      <w:rFonts w:ascii="宋体" w:hAnsi="宋体"/>
      <w:b/>
      <w:i/>
      <w:color w:val="ff0000"/>
      <w:sz w:val="24"/>
      <w:szCs w:val="20"/>
    </w:rPr>
  </w:style>
  <w:style w:type="character" w:styleId="1326">
    <w:name w:val="正文小标题 Char"/>
    <w:next w:val="1326"/>
    <w:link w:val="1325"/>
    <w:qFormat/>
    <w:rPr>
      <w:rFonts w:ascii="宋体" w:hAnsi="宋体"/>
      <w:b/>
      <w:i/>
      <w:color w:val="ff0000"/>
      <w:sz w:val="24"/>
    </w:rPr>
  </w:style>
  <w:style w:type="paragraph" w:styleId="1327">
    <w:name w:val="正文大标题"/>
    <w:basedOn w:val="1325"/>
    <w:next w:val="1132"/>
    <w:link w:val="1328"/>
    <w:qFormat/>
    <w:pPr>
      <w:jc w:val="center"/>
    </w:pPr>
    <w:rPr>
      <w:i w:val="0"/>
      <w:color w:val="000000"/>
      <w:sz w:val="28"/>
      <w:szCs w:val="21"/>
    </w:rPr>
  </w:style>
  <w:style w:type="character" w:styleId="1328">
    <w:name w:val="正文大标题 Char"/>
    <w:next w:val="1328"/>
    <w:link w:val="1327"/>
    <w:qFormat/>
    <w:rPr>
      <w:rFonts w:ascii="宋体" w:hAnsi="宋体"/>
      <w:b/>
      <w:color w:val="000000"/>
      <w:sz w:val="28"/>
      <w:szCs w:val="21"/>
    </w:rPr>
  </w:style>
  <w:style w:type="paragraph" w:styleId="1329">
    <w:name w:val="注释"/>
    <w:basedOn w:val="1118"/>
    <w:next w:val="1329"/>
    <w:link w:val="1330"/>
    <w:qFormat/>
    <w:pPr>
      <w:ind w:left="420" w:hanging="420"/>
      <w:jc w:val="left"/>
    </w:pPr>
    <w:rPr>
      <w:rFonts w:ascii="宋体" w:hAnsi="宋体"/>
      <w:szCs w:val="21"/>
    </w:rPr>
  </w:style>
  <w:style w:type="character" w:styleId="1330">
    <w:name w:val="注释 Char"/>
    <w:next w:val="1330"/>
    <w:link w:val="1329"/>
    <w:qFormat/>
    <w:rPr>
      <w:rFonts w:ascii="宋体" w:hAnsi="宋体"/>
      <w:sz w:val="21"/>
      <w:szCs w:val="21"/>
    </w:rPr>
  </w:style>
  <w:style w:type="paragraph" w:styleId="1331">
    <w:name w:val="正文须知-1级"/>
    <w:basedOn w:val="1118"/>
    <w:next w:val="1118"/>
    <w:link w:val="1118"/>
    <w:qFormat/>
    <w:pPr>
      <w:numPr>
        <w:ilvl w:val="0"/>
        <w:numId w:val="7"/>
      </w:numPr>
      <w:spacing w:line="300" w:lineRule="auto"/>
    </w:pPr>
    <w:rPr>
      <w:rFonts w:ascii="宋体" w:hAnsi="Calibri"/>
      <w:sz w:val="24"/>
      <w:szCs w:val="21"/>
    </w:rPr>
  </w:style>
  <w:style w:type="paragraph" w:styleId="1332">
    <w:name w:val="正文须知-2级"/>
    <w:basedOn w:val="1118"/>
    <w:next w:val="1332"/>
    <w:link w:val="1118"/>
    <w:qFormat/>
    <w:pPr>
      <w:numPr>
        <w:ilvl w:val="1"/>
        <w:numId w:val="7"/>
      </w:numPr>
      <w:spacing w:line="300" w:lineRule="auto"/>
    </w:pPr>
    <w:rPr>
      <w:rFonts w:ascii="宋体" w:hAnsi="Calibri"/>
      <w:sz w:val="24"/>
      <w:szCs w:val="21"/>
    </w:rPr>
  </w:style>
  <w:style w:type="paragraph" w:styleId="1333">
    <w:name w:val="正文须知-3级"/>
    <w:basedOn w:val="1118"/>
    <w:next w:val="1333"/>
    <w:link w:val="1118"/>
    <w:qFormat/>
    <w:pPr>
      <w:numPr>
        <w:ilvl w:val="2"/>
        <w:numId w:val="7"/>
      </w:numPr>
      <w:ind w:hanging="355"/>
      <w:spacing w:line="300" w:lineRule="auto"/>
    </w:pPr>
    <w:rPr>
      <w:rFonts w:ascii="宋体" w:hAnsi="Calibri"/>
      <w:sz w:val="24"/>
      <w:szCs w:val="21"/>
    </w:rPr>
  </w:style>
  <w:style w:type="character" w:styleId="1334">
    <w:name w:val="纯文本 字符"/>
    <w:next w:val="1334"/>
    <w:link w:val="1118"/>
    <w:uiPriority w:val="99"/>
    <w:qFormat/>
    <w:rPr>
      <w:rFonts w:ascii="宋体" w:hAnsi="Courier New" w:eastAsia="宋体" w:cs="Times New Roman"/>
      <w:sz w:val="21"/>
      <w:szCs w:val="21"/>
      <w:lang w:val="en-US" w:eastAsia="zh-CN" w:bidi="ar-SA"/>
    </w:rPr>
  </w:style>
  <w:style w:type="paragraph" w:styleId="1335">
    <w:name w:val="表格1"/>
    <w:basedOn w:val="1118"/>
    <w:next w:val="1335"/>
    <w:link w:val="1118"/>
    <w:qFormat/>
    <w:pPr>
      <w:ind w:firstLine="480"/>
      <w:jc w:val="center"/>
    </w:pPr>
    <w:rPr>
      <w:sz w:val="24"/>
      <w:szCs w:val="20"/>
    </w:rPr>
  </w:style>
  <w:style w:type="character" w:styleId="1336">
    <w:name w:val="纯文本 字符1"/>
    <w:next w:val="1336"/>
    <w:link w:val="1118"/>
    <w:qFormat/>
    <w:rPr>
      <w:rFonts w:ascii="宋体" w:hAnsi="Courier New"/>
    </w:rPr>
  </w:style>
  <w:style w:type="character" w:styleId="1337">
    <w:name w:val="bjh-p"/>
    <w:next w:val="1337"/>
    <w:link w:val="1118"/>
    <w:qFormat/>
  </w:style>
  <w:style w:type="paragraph" w:styleId="1338">
    <w:name w:val="无标题条"/>
    <w:next w:val="1118"/>
    <w:link w:val="1118"/>
    <w:qFormat/>
    <w:pPr>
      <w:jc w:val="both"/>
    </w:pPr>
    <w:rPr>
      <w:sz w:val="21"/>
      <w:lang w:val="en-US" w:eastAsia="zh-CN" w:bidi="ar-SA"/>
    </w:rPr>
  </w:style>
  <w:style w:type="character" w:styleId="1339">
    <w:name w:val="正文格式 Char"/>
    <w:next w:val="1339"/>
    <w:link w:val="1340"/>
    <w:qFormat/>
    <w:rPr>
      <w:rFonts w:ascii="宋体" w:hAnsi="宋体"/>
      <w:sz w:val="24"/>
      <w:szCs w:val="24"/>
      <w:lang w:val="en-GB"/>
    </w:rPr>
  </w:style>
  <w:style w:type="paragraph" w:styleId="1340">
    <w:name w:val="正文格式"/>
    <w:basedOn w:val="1118"/>
    <w:next w:val="1340"/>
    <w:link w:val="1339"/>
    <w:qFormat/>
    <w:pPr>
      <w:ind w:firstLine="480"/>
      <w:spacing w:line="360" w:lineRule="auto"/>
    </w:pPr>
    <w:rPr>
      <w:rFonts w:ascii="宋体" w:hAnsi="宋体"/>
      <w:sz w:val="24"/>
      <w:lang w:val="en-GB"/>
    </w:rPr>
  </w:style>
  <w:style w:type="character" w:styleId="1341">
    <w:name w:val="标题 3 Char"/>
    <w:next w:val="1341"/>
    <w:link w:val="1118"/>
    <w:qFormat/>
    <w:rPr>
      <w:rFonts w:ascii="宋体" w:eastAsia="宋体"/>
      <w:b/>
      <w:sz w:val="24"/>
      <w:u w:val="single"/>
      <w:lang w:val="en-US" w:eastAsia="zh-CN" w:bidi="ar-SA"/>
    </w:rPr>
  </w:style>
  <w:style w:type="character" w:styleId="1342">
    <w:name w:val="正文缩进 Char"/>
    <w:next w:val="1342"/>
    <w:link w:val="1118"/>
    <w:qFormat/>
    <w:rPr>
      <w:rFonts w:ascii="宋体" w:eastAsia="宋体"/>
      <w:sz w:val="24"/>
      <w:szCs w:val="24"/>
      <w:lang w:val="en-US" w:eastAsia="zh-CN" w:bidi="ar-SA"/>
    </w:rPr>
  </w:style>
  <w:style w:type="character" w:styleId="1343">
    <w:name w:val="Char Char111"/>
    <w:next w:val="1343"/>
    <w:link w:val="1118"/>
    <w:qFormat/>
    <w:rPr>
      <w:rFonts w:ascii="宋体" w:eastAsia="宋体"/>
      <w:b/>
      <w:sz w:val="24"/>
      <w:u w:val="single"/>
      <w:lang w:val="en-US" w:eastAsia="zh-CN" w:bidi="ar-SA"/>
    </w:rPr>
  </w:style>
  <w:style w:type="character" w:styleId="1344">
    <w:name w:val="正文文本缩进 Char"/>
    <w:next w:val="1344"/>
    <w:link w:val="1118"/>
    <w:qFormat/>
    <w:rPr>
      <w:rFonts w:eastAsia="宋体"/>
      <w:sz w:val="24"/>
      <w:szCs w:val="24"/>
      <w:lang w:val="en-US" w:eastAsia="zh-CN" w:bidi="ar-SA"/>
    </w:rPr>
  </w:style>
  <w:style w:type="character" w:styleId="1345">
    <w:name w:val="列出段落 Char"/>
    <w:next w:val="1345"/>
    <w:link w:val="1118"/>
    <w:qFormat/>
    <w:rPr>
      <w:rFonts w:ascii="Calibri" w:hAnsi="Calibri" w:eastAsia="宋体"/>
      <w:sz w:val="21"/>
      <w:szCs w:val="22"/>
      <w:lang w:val="en-US" w:eastAsia="zh-CN" w:bidi="ar-SA"/>
    </w:rPr>
  </w:style>
  <w:style w:type="character" w:styleId="1346">
    <w:name w:val="页眉 Char"/>
    <w:next w:val="1346"/>
    <w:link w:val="1118"/>
    <w:qFormat/>
    <w:rPr>
      <w:rFonts w:eastAsia="宋体"/>
      <w:sz w:val="18"/>
      <w:szCs w:val="18"/>
      <w:lang w:val="en-US" w:eastAsia="zh-CN" w:bidi="ar-SA"/>
    </w:rPr>
  </w:style>
  <w:style w:type="character" w:styleId="1347">
    <w:name w:val="标题 2 Char"/>
    <w:next w:val="1347"/>
    <w:link w:val="1118"/>
    <w:qFormat/>
    <w:rPr>
      <w:rFonts w:ascii="Arial" w:hAnsi="Arial" w:eastAsia="黑体"/>
      <w:b/>
      <w:sz w:val="30"/>
      <w:lang w:val="en-US" w:eastAsia="zh-CN" w:bidi="ar-SA"/>
    </w:rPr>
  </w:style>
  <w:style w:type="paragraph" w:styleId="1348">
    <w:name w:val="字元 字元2"/>
    <w:basedOn w:val="1118"/>
    <w:next w:val="1348"/>
    <w:link w:val="1118"/>
    <w:qFormat/>
    <w:rPr>
      <w:rFonts w:ascii="Tahoma" w:hAnsi="Tahoma"/>
      <w:sz w:val="24"/>
      <w:szCs w:val="20"/>
    </w:rPr>
  </w:style>
  <w:style w:type="paragraph" w:styleId="1349">
    <w:name w:val="Char3 Char Char Char2"/>
    <w:basedOn w:val="1118"/>
    <w:next w:val="1349"/>
    <w:link w:val="1118"/>
    <w:qFormat/>
    <w:rPr>
      <w:rFonts w:ascii="Tahoma" w:hAnsi="Tahoma"/>
      <w:sz w:val="24"/>
      <w:szCs w:val="20"/>
    </w:rPr>
  </w:style>
  <w:style w:type="paragraph" w:styleId="1350">
    <w:name w:val="正文文本缩进2"/>
    <w:basedOn w:val="1118"/>
    <w:next w:val="1350"/>
    <w:link w:val="1118"/>
    <w:qFormat/>
    <w:pPr>
      <w:ind w:firstLine="480"/>
      <w:spacing w:line="480" w:lineRule="exact"/>
    </w:pPr>
    <w:rPr>
      <w:rFonts w:ascii="宋体" w:hAnsi="宋体"/>
      <w:sz w:val="24"/>
      <w:lang w:val="zh-CN" w:eastAsia="zh-CN"/>
    </w:rPr>
  </w:style>
  <w:style w:type="paragraph" w:styleId="1351">
    <w:name w:val="Char3"/>
    <w:basedOn w:val="1118"/>
    <w:next w:val="1351"/>
    <w:link w:val="1118"/>
    <w:qFormat/>
    <w:pPr>
      <w:tabs>
        <w:tab w:val="left" w:pos="360" w:leader="none"/>
      </w:tabs>
    </w:pPr>
    <w:rPr>
      <w:sz w:val="24"/>
    </w:rPr>
  </w:style>
  <w:style w:type="paragraph" w:styleId="1352">
    <w:name w:val="Char Char Char Char Char Char Char Char Char Char Char Char Char Char Char Char1"/>
    <w:basedOn w:val="1118"/>
    <w:next w:val="1352"/>
    <w:link w:val="1118"/>
    <w:qFormat/>
    <w:pPr>
      <w:jc w:val="center"/>
      <w:spacing w:after="160" w:line="240" w:lineRule="exact"/>
      <w:widowControl/>
    </w:pPr>
    <w:rPr>
      <w:rFonts w:ascii="宋体" w:hAnsi="宋体"/>
      <w:b/>
      <w:sz w:val="30"/>
      <w:szCs w:val="30"/>
      <w:lang w:eastAsia="en-US"/>
    </w:rPr>
  </w:style>
  <w:style w:type="paragraph" w:styleId="1353">
    <w:name w:val="Char Char1 Char Char Char Char Char Char1"/>
    <w:basedOn w:val="1118"/>
    <w:next w:val="1353"/>
    <w:link w:val="1118"/>
    <w:qFormat/>
    <w:pPr>
      <w:jc w:val="left"/>
      <w:spacing w:after="160" w:line="240" w:lineRule="exact"/>
      <w:widowControl/>
    </w:pPr>
    <w:rPr>
      <w:rFonts w:ascii="Verdana" w:hAnsi="Verdana" w:eastAsia="仿宋_GB2312"/>
      <w:sz w:val="24"/>
      <w:szCs w:val="20"/>
      <w:lang w:eastAsia="en-US"/>
    </w:rPr>
  </w:style>
  <w:style w:type="paragraph" w:styleId="1354">
    <w:name w:val="列出段落2"/>
    <w:basedOn w:val="1118"/>
    <w:next w:val="1354"/>
    <w:link w:val="1118"/>
    <w:qFormat/>
    <w:pPr>
      <w:ind w:firstLine="420"/>
    </w:pPr>
    <w:rPr>
      <w:rFonts w:ascii="Calibri" w:hAnsi="Calibri"/>
      <w:szCs w:val="22"/>
    </w:rPr>
  </w:style>
  <w:style w:type="paragraph" w:styleId="1355">
    <w:name w:val="Char Char Char1 Char2"/>
    <w:basedOn w:val="1118"/>
    <w:next w:val="1355"/>
    <w:link w:val="1118"/>
    <w:qFormat/>
    <w:rPr>
      <w:rFonts w:ascii="Tahoma" w:hAnsi="Tahoma"/>
      <w:sz w:val="24"/>
      <w:szCs w:val="20"/>
    </w:rPr>
  </w:style>
  <w:style w:type="paragraph" w:styleId="1356">
    <w:name w:val="Char Char Char2"/>
    <w:basedOn w:val="1118"/>
    <w:next w:val="1356"/>
    <w:link w:val="1118"/>
    <w:qFormat/>
    <w:rPr>
      <w:rFonts w:ascii="Tahoma" w:hAnsi="Tahoma"/>
      <w:sz w:val="24"/>
      <w:szCs w:val="20"/>
    </w:rPr>
  </w:style>
  <w:style w:type="paragraph" w:styleId="1357">
    <w:name w:val="Char Char Char Char Char Char Char2"/>
    <w:basedOn w:val="1118"/>
    <w:next w:val="1357"/>
    <w:link w:val="1118"/>
    <w:qFormat/>
    <w:pPr>
      <w:ind w:firstLine="200"/>
      <w:spacing w:line="360" w:lineRule="auto"/>
    </w:pPr>
    <w:rPr>
      <w:rFonts w:eastAsia="仿宋_GB2312"/>
      <w:sz w:val="24"/>
    </w:rPr>
  </w:style>
  <w:style w:type="paragraph" w:styleId="1358">
    <w:name w:val="正文缩进2"/>
    <w:basedOn w:val="1118"/>
    <w:next w:val="1358"/>
    <w:link w:val="1118"/>
    <w:qFormat/>
    <w:pPr>
      <w:ind w:firstLine="567"/>
      <w:spacing w:line="480" w:lineRule="exact"/>
      <w:widowControl/>
    </w:pPr>
    <w:rPr>
      <w:rFonts w:ascii="宋体"/>
      <w:color w:val="000000"/>
      <w:sz w:val="28"/>
      <w:szCs w:val="20"/>
      <w:lang w:val="zh-CN" w:eastAsia="zh-CN"/>
    </w:rPr>
  </w:style>
  <w:style w:type="paragraph" w:styleId="1359">
    <w:name w:val="Revision"/>
    <w:next w:val="1359"/>
    <w:link w:val="1118"/>
    <w:qFormat/>
    <w:rPr>
      <w:sz w:val="21"/>
      <w:szCs w:val="24"/>
      <w:lang w:val="en-US" w:eastAsia="zh-CN" w:bidi="ar-SA"/>
    </w:rPr>
  </w:style>
  <w:style w:type="paragraph" w:styleId="1360">
    <w:name w:val="Char22"/>
    <w:basedOn w:val="1118"/>
    <w:next w:val="1360"/>
    <w:link w:val="1118"/>
    <w:qFormat/>
    <w:rPr>
      <w:rFonts w:ascii="Tahoma" w:hAnsi="Tahoma"/>
      <w:sz w:val="24"/>
      <w:szCs w:val="20"/>
    </w:rPr>
  </w:style>
  <w:style w:type="paragraph" w:styleId="1361">
    <w:name w:val="Char Char Char Char Char Char Char Char Char Char2"/>
    <w:basedOn w:val="1118"/>
    <w:next w:val="1361"/>
    <w:link w:val="1118"/>
    <w:qFormat/>
    <w:rPr>
      <w:rFonts w:ascii="宋体" w:hAnsi="宋体" w:cs="Courier New"/>
      <w:sz w:val="32"/>
      <w:szCs w:val="32"/>
    </w:rPr>
  </w:style>
  <w:style w:type="paragraph" w:styleId="1362">
    <w:name w:val="Char2 Char Char Char Char Char Char1"/>
    <w:basedOn w:val="1118"/>
    <w:next w:val="1362"/>
    <w:link w:val="1118"/>
    <w:qFormat/>
    <w:pPr>
      <w:jc w:val="center"/>
      <w:spacing w:line="400" w:lineRule="exact"/>
      <w:widowControl/>
    </w:pPr>
  </w:style>
  <w:style w:type="character" w:styleId="1363">
    <w:name w:val="页脚 Char"/>
    <w:next w:val="1363"/>
    <w:link w:val="1118"/>
    <w:qFormat/>
    <w:rPr>
      <w:rFonts w:ascii="宋体" w:eastAsia="宋体"/>
      <w:sz w:val="18"/>
      <w:lang w:val="en-US" w:eastAsia="zh-CN" w:bidi="ar-SA"/>
    </w:rPr>
  </w:style>
  <w:style w:type="paragraph" w:styleId="1364">
    <w:name w:val="Char Char41"/>
    <w:basedOn w:val="1118"/>
    <w:next w:val="1364"/>
    <w:link w:val="1118"/>
    <w:qFormat/>
    <w:pPr>
      <w:jc w:val="center"/>
      <w:spacing w:line="400" w:lineRule="exact"/>
      <w:widowControl/>
    </w:pPr>
  </w:style>
  <w:style w:type="character" w:styleId="1365">
    <w:name w:val="批注文字 Char"/>
    <w:next w:val="1365"/>
    <w:link w:val="1118"/>
    <w:uiPriority w:val="99"/>
    <w:qFormat/>
    <w:rPr>
      <w:sz w:val="21"/>
      <w:szCs w:val="24"/>
    </w:rPr>
  </w:style>
  <w:style w:type="character" w:styleId="1366">
    <w:name w:val="标题 Char"/>
    <w:next w:val="1366"/>
    <w:link w:val="1118"/>
    <w:qFormat/>
    <w:rPr>
      <w:b/>
      <w:sz w:val="32"/>
    </w:rPr>
  </w:style>
  <w:style w:type="paragraph" w:styleId="1367">
    <w:name w:val="图例"/>
    <w:basedOn w:val="1118"/>
    <w:next w:val="1367"/>
    <w:link w:val="1118"/>
    <w:qFormat/>
    <w:pPr>
      <w:jc w:val="center"/>
      <w:spacing w:before="120" w:after="120" w:line="360" w:lineRule="auto"/>
    </w:pPr>
    <w:rPr>
      <w:rFonts w:eastAsia="仿宋_GB2312"/>
      <w:b/>
      <w:sz w:val="24"/>
      <w:szCs w:val="20"/>
    </w:rPr>
  </w:style>
  <w:style w:type="paragraph" w:styleId="1368">
    <w:name w:val="Table Paragraph"/>
    <w:basedOn w:val="1118"/>
    <w:next w:val="1368"/>
    <w:link w:val="1118"/>
    <w:uiPriority w:val="1"/>
    <w:qFormat/>
    <w:pPr>
      <w:jc w:val="left"/>
    </w:pPr>
    <w:rPr>
      <w:rFonts w:ascii="宋体" w:hAnsi="宋体" w:cs="宋体"/>
      <w:sz w:val="22"/>
      <w:szCs w:val="22"/>
      <w:lang w:eastAsia="en-US"/>
    </w:rPr>
  </w:style>
  <w:style w:type="table" w:styleId="1369">
    <w:name w:val="Table Normal"/>
    <w:next w:val="1369"/>
    <w:link w:val="1118"/>
    <w:uiPriority w:val="2"/>
    <w:semiHidden/>
    <w:qFormat/>
    <w:pPr>
      <w:widowControl w:val="off"/>
    </w:pPr>
    <w:rPr>
      <w:rFonts w:ascii="Calibri" w:hAnsi="Calibri"/>
      <w:sz w:val="22"/>
      <w:szCs w:val="22"/>
      <w:lang w:val="en-US" w:eastAsia="en-US" w:bidi="ar-SA"/>
    </w:rPr>
    <w:tblPr/>
  </w:style>
  <w:style w:type="paragraph" w:styleId="1370">
    <w:name w:val="成文日期"/>
    <w:basedOn w:val="1118"/>
    <w:next w:val="1370"/>
    <w:link w:val="1371"/>
    <w:qFormat/>
    <w:pPr>
      <w:ind w:right="400" w:firstLine="200"/>
      <w:jc w:val="right"/>
      <w:spacing w:line="570" w:lineRule="exact"/>
    </w:pPr>
    <w:rPr>
      <w:rFonts w:ascii="仿宋_GB2312" w:eastAsia="仿宋_GB2312"/>
      <w:sz w:val="32"/>
      <w:szCs w:val="20"/>
    </w:rPr>
  </w:style>
  <w:style w:type="character" w:styleId="1371">
    <w:name w:val="成文日期 Char"/>
    <w:next w:val="1371"/>
    <w:link w:val="1370"/>
    <w:rPr>
      <w:rFonts w:ascii="仿宋_GB2312" w:eastAsia="仿宋_GB2312"/>
      <w:sz w:val="32"/>
    </w:rPr>
  </w:style>
  <w:style w:type="character" w:styleId="1372">
    <w:name w:val="font31"/>
    <w:next w:val="1372"/>
    <w:link w:val="1118"/>
    <w:qFormat/>
    <w:rPr>
      <w:rFonts w:ascii="仿宋_GB2312" w:eastAsia="仿宋_GB2312" w:cs="仿宋_GB2312"/>
      <w:color w:val="000000"/>
      <w:sz w:val="22"/>
      <w:szCs w:val="22"/>
      <w:u w:val="none"/>
    </w:rPr>
  </w:style>
  <w:style w:type="paragraph" w:styleId="1373">
    <w:name w:val="Í¼±íÕýÎÄ"/>
    <w:basedOn w:val="1118"/>
    <w:next w:val="1132"/>
    <w:link w:val="1118"/>
    <w:qFormat/>
    <w:pPr>
      <w:ind w:firstLine="420"/>
    </w:pPr>
    <w:rPr>
      <w:sz w:val="24"/>
      <w:szCs w:val="20"/>
    </w:rPr>
  </w:style>
  <w:style w:type="paragraph" w:styleId="1374">
    <w:name w:val="材料标题"/>
    <w:basedOn w:val="1118"/>
    <w:next w:val="1374"/>
    <w:link w:val="1118"/>
    <w:qFormat/>
    <w:pPr>
      <w:ind w:firstLine="0"/>
      <w:jc w:val="center"/>
      <w:spacing w:line="700" w:lineRule="exact"/>
    </w:pPr>
    <w:rPr>
      <w:rFonts w:ascii="方正小标宋简体" w:eastAsia="方正小标宋简体"/>
      <w:color w:val="000000"/>
      <w:sz w:val="44"/>
      <w:szCs w:val="44"/>
    </w:rPr>
  </w:style>
  <w:style w:type="paragraph" w:styleId="1375">
    <w:name w:val="修订"/>
    <w:next w:val="1375"/>
    <w:link w:val="1118"/>
    <w:uiPriority w:val="99"/>
    <w:unhideWhenUsed/>
    <w:rPr>
      <w:sz w:val="21"/>
      <w:szCs w:val="24"/>
      <w:lang w:val="en-US" w:eastAsia="zh-CN" w:bidi="ar-SA"/>
    </w:rPr>
  </w:style>
  <w:style w:type="character" w:styleId="1376">
    <w:name w:val="current"/>
    <w:next w:val="1376"/>
    <w:link w:val="1118"/>
    <w:rPr>
      <w:b/>
      <w:bCs/>
      <w:color w:val="05a7d8"/>
      <w:sz w:val="18"/>
      <w:szCs w:val="18"/>
    </w:rPr>
  </w:style>
  <w:style w:type="character" w:styleId="1377">
    <w:name w:val="l-btn-left"/>
    <w:next w:val="1377"/>
    <w:link w:val="1118"/>
  </w:style>
  <w:style w:type="character" w:styleId="1378">
    <w:name w:val="l-btn-text36"/>
    <w:next w:val="1378"/>
    <w:link w:val="1118"/>
  </w:style>
  <w:style w:type="paragraph" w:styleId="1379">
    <w:name w:val="null3"/>
    <w:next w:val="1379"/>
    <w:link w:val="1118"/>
    <w:qFormat/>
    <w:rPr>
      <w:rFonts w:hint="eastAsia" w:ascii="Calibri" w:hAnsi="Calibri"/>
      <w:lang w:val="en-US" w:eastAsia="en-US" w:bidi="ar-SA"/>
    </w:rPr>
  </w:style>
  <w:style w:type="paragraph" w:styleId="1380">
    <w:name w:val="正文 A"/>
    <w:next w:val="1380"/>
    <w:link w:val="1118"/>
    <w:qFormat/>
    <w:pPr>
      <w:jc w:val="both"/>
      <w:widowControl w:val="off"/>
    </w:pPr>
    <w:rPr>
      <w:rFonts w:eastAsia="Times New Roman"/>
      <w:color w:val="000000"/>
      <w:sz w:val="21"/>
      <w:szCs w:val="21"/>
      <w:lang w:val="en-US" w:eastAsia="zh-CN" w:bidi="ar-SA"/>
    </w:rPr>
  </w:style>
  <w:style w:type="paragraph" w:styleId="1381">
    <w:name w:val="正文文本缩进11"/>
    <w:basedOn w:val="1118"/>
    <w:next w:val="1382"/>
    <w:link w:val="1118"/>
    <w:qFormat/>
    <w:pPr>
      <w:ind w:firstLine="570"/>
      <w:spacing w:line="360" w:lineRule="auto"/>
    </w:pPr>
    <w:rPr>
      <w:sz w:val="24"/>
    </w:rPr>
  </w:style>
  <w:style w:type="paragraph" w:styleId="1382">
    <w:name w:val="寄信人地址1"/>
    <w:basedOn w:val="1118"/>
    <w:next w:val="1382"/>
    <w:link w:val="1118"/>
    <w:qFormat/>
    <w:rPr>
      <w:rFonts w:ascii="Arial" w:hAnsi="Arial"/>
    </w:rPr>
  </w:style>
  <w:style w:type="paragraph" w:styleId="1383">
    <w:name w:val="正文文本1"/>
    <w:basedOn w:val="1118"/>
    <w:next w:val="1118"/>
    <w:link w:val="1118"/>
    <w:qFormat/>
    <w:pPr>
      <w:spacing w:before="120" w:line="22" w:lineRule="atLeast"/>
      <w:tabs>
        <w:tab w:val="left" w:pos="567" w:leader="none"/>
      </w:tabs>
    </w:pPr>
    <w:rPr>
      <w:rFonts w:ascii="宋体" w:hAnsi="宋体"/>
      <w:sz w:val="24"/>
    </w:rPr>
  </w:style>
  <w:style w:type="paragraph" w:styleId="1384">
    <w:name w:val="纯文本1"/>
    <w:basedOn w:val="1118"/>
    <w:next w:val="1385"/>
    <w:link w:val="1118"/>
    <w:uiPriority w:val="99"/>
    <w:qFormat/>
    <w:rPr>
      <w:rFonts w:hint="eastAsia" w:ascii="宋体" w:hAnsi="Courier New"/>
      <w:szCs w:val="20"/>
    </w:rPr>
  </w:style>
  <w:style w:type="paragraph" w:styleId="1385">
    <w:name w:val="正文缩进11"/>
    <w:basedOn w:val="1118"/>
    <w:next w:val="1118"/>
    <w:link w:val="1118"/>
    <w:qFormat/>
    <w:pPr>
      <w:ind w:firstLine="420"/>
      <w:jc w:val="left"/>
    </w:pPr>
    <w:rPr>
      <w:rFonts w:ascii="宋体"/>
      <w:sz w:val="24"/>
    </w:rPr>
  </w:style>
  <w:style w:type="character" w:styleId="1386">
    <w:name w:val="font21"/>
    <w:basedOn w:val="1128"/>
    <w:next w:val="1386"/>
    <w:link w:val="1118"/>
    <w:rPr>
      <w:rFonts w:hint="eastAsia" w:ascii="宋体" w:hAnsi="宋体" w:eastAsia="宋体" w:cs="宋体"/>
      <w:i w:val="0"/>
      <w:iCs w:val="0"/>
      <w:color w:val="000000"/>
      <w:sz w:val="20"/>
      <w:szCs w:val="20"/>
      <w:u w:val="none"/>
    </w:rPr>
  </w:style>
  <w:style w:type="character" w:styleId="1387">
    <w:name w:val="font61"/>
    <w:basedOn w:val="1128"/>
    <w:next w:val="1387"/>
    <w:link w:val="1118"/>
    <w:rPr>
      <w:rFonts w:ascii="MS Gothic" w:hAnsi="MS Gothic" w:eastAsia="MS Gothic" w:cs="MS Gothic"/>
      <w:i w:val="0"/>
      <w:iCs w:val="0"/>
      <w:color w:val="000000"/>
      <w:sz w:val="20"/>
      <w:szCs w:val="20"/>
      <w:u w:val="none"/>
    </w:rPr>
  </w:style>
  <w:style w:type="character" w:styleId="1388">
    <w:name w:val="font71"/>
    <w:basedOn w:val="1128"/>
    <w:next w:val="1388"/>
    <w:link w:val="1118"/>
    <w:rPr>
      <w:rFonts w:ascii="Cambria Math" w:hAnsi="Cambria Math" w:eastAsia="Cambria Math" w:cs="Cambria Math"/>
      <w:i w:val="0"/>
      <w:iCs w:val="0"/>
      <w:color w:val="000000"/>
      <w:sz w:val="20"/>
      <w:szCs w:val="20"/>
      <w:u w:val="none"/>
    </w:rPr>
  </w:style>
  <w:style w:type="character" w:styleId="1389">
    <w:name w:val="font51"/>
    <w:basedOn w:val="1128"/>
    <w:next w:val="1389"/>
    <w:link w:val="1118"/>
    <w:rPr>
      <w:rFonts w:hint="eastAsia" w:ascii="宋体" w:hAnsi="宋体" w:eastAsia="宋体" w:cs="宋体"/>
      <w:i w:val="0"/>
      <w:iCs w:val="0"/>
      <w:color w:val="000000"/>
      <w:sz w:val="20"/>
      <w:szCs w:val="20"/>
      <w:u w:val="none"/>
    </w:rPr>
  </w:style>
  <w:style w:type="character" w:styleId="1390">
    <w:name w:val="font81"/>
    <w:basedOn w:val="1128"/>
    <w:next w:val="1390"/>
    <w:link w:val="1118"/>
    <w:rPr>
      <w:rFonts w:ascii="Calibri" w:hAnsi="Calibri" w:cs="Calibri"/>
      <w:i w:val="0"/>
      <w:iCs w:val="0"/>
      <w:color w:val="000000"/>
      <w:sz w:val="20"/>
      <w:szCs w:val="20"/>
      <w:u w:val="none"/>
    </w:rPr>
  </w:style>
  <w:style w:type="character" w:styleId="1391">
    <w:name w:val="font11"/>
    <w:basedOn w:val="1128"/>
    <w:next w:val="1391"/>
    <w:link w:val="1118"/>
    <w:rPr>
      <w:rFonts w:hint="eastAsia" w:ascii="宋体" w:hAnsi="宋体" w:eastAsia="宋体" w:cs="宋体"/>
      <w:i w:val="0"/>
      <w:iCs w:val="0"/>
      <w:color w:val="000000"/>
      <w:sz w:val="20"/>
      <w:szCs w:val="20"/>
      <w:u w:val="none"/>
    </w:rPr>
  </w:style>
  <w:style w:type="character" w:styleId="1392" w:default="1">
    <w:name w:val="Default Paragraph Font"/>
    <w:uiPriority w:val="1"/>
    <w:semiHidden/>
    <w:unhideWhenUsed/>
  </w:style>
  <w:style w:type="numbering" w:styleId="1393" w:default="1">
    <w:name w:val="No List"/>
    <w:uiPriority w:val="99"/>
    <w:semiHidden/>
    <w:unhideWhenUsed/>
  </w:style>
  <w:style w:type="table" w:styleId="13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footer" Target="footer9.xml" /><Relationship Id="rId2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刘欢</cp:lastModifiedBy>
  <cp:revision>6</cp:revision>
  <dcterms:created xsi:type="dcterms:W3CDTF">2023-09-18T17:00:00Z</dcterms:created>
  <dcterms:modified xsi:type="dcterms:W3CDTF">2026-03-10T09:15:15Z</dcterms:modified>
</cp:coreProperties>
</file>