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47EB7">
      <w:pPr>
        <w:tabs>
          <w:tab w:val="left" w:pos="315"/>
        </w:tabs>
        <w:wordWrap w:val="0"/>
        <w:spacing w:line="360" w:lineRule="auto"/>
        <w:jc w:val="center"/>
        <w:outlineLvl w:val="0"/>
        <w:rPr>
          <w:rStyle w:val="29"/>
          <w:rFonts w:ascii="宋体" w:hAnsi="宋体" w:eastAsia="宋体" w:cs="宋体"/>
          <w:sz w:val="48"/>
          <w:szCs w:val="48"/>
        </w:rPr>
      </w:pPr>
      <w:bookmarkStart w:id="0" w:name="_Toc409438747"/>
      <w:bookmarkStart w:id="1" w:name="_Toc388026587"/>
      <w:r>
        <w:rPr>
          <w:rStyle w:val="29"/>
          <w:rFonts w:hint="eastAsia" w:ascii="宋体" w:hAnsi="宋体" w:eastAsia="宋体" w:cs="宋体"/>
          <w:sz w:val="48"/>
          <w:szCs w:val="48"/>
        </w:rPr>
        <w:t>政府采购合同</w:t>
      </w:r>
    </w:p>
    <w:bookmarkEnd w:id="0"/>
    <w:bookmarkEnd w:id="1"/>
    <w:p w14:paraId="3EFE2A04">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p>
    <w:p w14:paraId="39996DB0">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甲方：苏州大学附属第一医院</w:t>
      </w:r>
    </w:p>
    <w:p w14:paraId="41DC6466">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住所地：苏州市姑苏区平海路899号</w:t>
      </w:r>
    </w:p>
    <w:p w14:paraId="14C8746A">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邮编：215031</w:t>
      </w:r>
    </w:p>
    <w:p w14:paraId="2A638483">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联系人：</w:t>
      </w:r>
      <w:r>
        <w:rPr>
          <w:rFonts w:hint="eastAsia"/>
          <w:lang w:val="en-US" w:eastAsia="zh-CN"/>
        </w:rPr>
        <w:t>王珀</w:t>
      </w:r>
    </w:p>
    <w:p w14:paraId="3AC2380A">
      <w:pPr>
        <w:spacing w:line="360" w:lineRule="auto"/>
        <w:ind w:firstLine="480" w:firstLineChars="200"/>
        <w:jc w:val="left"/>
        <w:rPr>
          <w:rFonts w:hint="eastAsia" w:ascii="Calibri" w:hAnsi="Calibri" w:eastAsia="宋体" w:cs="Times New Roman"/>
          <w:kern w:val="0"/>
          <w:sz w:val="24"/>
          <w:szCs w:val="20"/>
          <w:lang w:val="en-US" w:eastAsia="zh-CN"/>
        </w:rPr>
      </w:pPr>
      <w:r>
        <w:rPr>
          <w:rFonts w:hint="eastAsia" w:ascii="宋体" w:hAnsi="宋体" w:eastAsia="宋体" w:cs="宋体"/>
          <w:color w:val="000000"/>
          <w:kern w:val="0"/>
          <w:sz w:val="24"/>
          <w:szCs w:val="24"/>
          <w:highlight w:val="none"/>
          <w:lang w:val="zh-CN" w:eastAsia="zh-CN"/>
        </w:rPr>
        <w:t>电话：</w:t>
      </w:r>
      <w:r>
        <w:rPr>
          <w:rFonts w:hint="eastAsia" w:ascii="Calibri" w:hAnsi="Calibri" w:cs="Times New Roman"/>
          <w:b w:val="0"/>
          <w:bCs w:val="0"/>
          <w:sz w:val="24"/>
          <w:szCs w:val="20"/>
          <w:lang w:val="en-US" w:eastAsia="zh-CN" w:bidi="en-US"/>
        </w:rPr>
        <w:t>18362973523</w:t>
      </w:r>
    </w:p>
    <w:p w14:paraId="2FD15D81">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p>
    <w:p w14:paraId="1E5CD2FA">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乙方：江苏永嘉信息科技有限公司</w:t>
      </w:r>
    </w:p>
    <w:p w14:paraId="5AD7BF0A">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住所地：苏州吴中经济开发区郭巷街道双银国际金融城78幢</w:t>
      </w:r>
    </w:p>
    <w:p w14:paraId="46C5248F">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邮编：</w:t>
      </w:r>
      <w:r>
        <w:rPr>
          <w:rFonts w:hint="eastAsia" w:ascii="宋体" w:hAnsi="宋体" w:cs="宋体"/>
          <w:color w:val="000000"/>
          <w:kern w:val="0"/>
          <w:sz w:val="24"/>
          <w:szCs w:val="24"/>
          <w:highlight w:val="none"/>
          <w:lang w:val="en-US" w:eastAsia="zh-CN"/>
        </w:rPr>
        <w:t>215000</w:t>
      </w:r>
    </w:p>
    <w:p w14:paraId="082093E4">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联系人：</w:t>
      </w:r>
      <w:r>
        <w:rPr>
          <w:rFonts w:hint="eastAsia" w:ascii="宋体" w:hAnsi="宋体" w:cs="宋体"/>
          <w:color w:val="000000"/>
          <w:kern w:val="0"/>
          <w:sz w:val="24"/>
          <w:szCs w:val="24"/>
          <w:highlight w:val="none"/>
          <w:lang w:val="en-US" w:eastAsia="zh-CN"/>
        </w:rPr>
        <w:t>赵红芹</w:t>
      </w:r>
    </w:p>
    <w:p w14:paraId="51B9C63D">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电话：</w:t>
      </w:r>
      <w:r>
        <w:rPr>
          <w:rFonts w:hint="eastAsia" w:ascii="宋体" w:hAnsi="宋体" w:cs="宋体"/>
          <w:color w:val="000000"/>
          <w:kern w:val="0"/>
          <w:sz w:val="24"/>
          <w:szCs w:val="24"/>
          <w:highlight w:val="none"/>
          <w:lang w:val="en-US" w:eastAsia="zh-CN"/>
        </w:rPr>
        <w:t>13913155702</w:t>
      </w:r>
    </w:p>
    <w:p w14:paraId="4DC829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p>
    <w:p w14:paraId="11B95A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根据采购编号</w:t>
      </w:r>
      <w:r>
        <w:rPr>
          <w:rFonts w:hint="eastAsia" w:asciiTheme="minorEastAsia" w:hAnsiTheme="minorEastAsia" w:cstheme="minorEastAsia"/>
          <w:color w:val="auto"/>
          <w:sz w:val="24"/>
          <w:szCs w:val="24"/>
          <w:highlight w:val="none"/>
          <w:u w:val="single"/>
          <w:lang w:eastAsia="zh-CN"/>
        </w:rPr>
        <w:t>JSZC-320000-JZCZ-G2025-0034</w:t>
      </w:r>
      <w:r>
        <w:rPr>
          <w:rFonts w:hint="eastAsia" w:ascii="宋体" w:hAnsi="宋体" w:eastAsia="宋体" w:cs="宋体"/>
          <w:color w:val="auto"/>
          <w:sz w:val="24"/>
          <w:szCs w:val="24"/>
          <w:lang w:eastAsia="zh-CN" w:bidi="ar-SA"/>
        </w:rPr>
        <w:t>号招标文件及乙方中标的投标文件和中标通知书，甲乙双方就此次成交的</w:t>
      </w:r>
      <w:r>
        <w:rPr>
          <w:rFonts w:hint="eastAsia" w:ascii="宋体" w:hAnsi="宋体" w:eastAsia="宋体" w:cs="宋体"/>
          <w:color w:val="auto"/>
          <w:sz w:val="24"/>
          <w:szCs w:val="24"/>
          <w:u w:val="single"/>
          <w:lang w:eastAsia="zh-CN" w:bidi="ar-SA"/>
        </w:rPr>
        <w:t xml:space="preserve"> </w:t>
      </w:r>
      <w:r>
        <w:rPr>
          <w:rFonts w:hint="eastAsia" w:ascii="宋体" w:hAnsi="宋体" w:eastAsia="宋体" w:cs="宋体"/>
          <w:color w:val="auto"/>
          <w:sz w:val="24"/>
          <w:szCs w:val="24"/>
          <w:u w:val="single"/>
          <w:lang w:val="en-US" w:eastAsia="zh-CN" w:bidi="ar-SA"/>
        </w:rPr>
        <w:t>存储设备</w:t>
      </w:r>
      <w:r>
        <w:rPr>
          <w:rFonts w:hint="eastAsia" w:ascii="宋体" w:hAnsi="宋体" w:eastAsia="宋体" w:cs="宋体"/>
          <w:color w:val="auto"/>
          <w:sz w:val="24"/>
          <w:szCs w:val="24"/>
          <w:u w:val="single"/>
          <w:lang w:eastAsia="zh-CN" w:bidi="ar-SA"/>
        </w:rPr>
        <w:t xml:space="preserve"> </w:t>
      </w:r>
      <w:r>
        <w:rPr>
          <w:rFonts w:hint="eastAsia" w:ascii="宋体" w:hAnsi="宋体" w:eastAsia="宋体" w:cs="宋体"/>
          <w:color w:val="auto"/>
          <w:sz w:val="24"/>
          <w:szCs w:val="24"/>
          <w:lang w:eastAsia="zh-CN" w:bidi="ar-SA"/>
        </w:rPr>
        <w:t>事宜，签订本合同书。</w:t>
      </w:r>
    </w:p>
    <w:p w14:paraId="36AB341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（一）合同一般条款</w:t>
      </w:r>
    </w:p>
    <w:p w14:paraId="32F2381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一、合同文件</w:t>
      </w:r>
    </w:p>
    <w:p w14:paraId="59992D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1、合同文件适用法律</w:t>
      </w:r>
    </w:p>
    <w:p w14:paraId="708E6A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适用于合同文件的法律是中华人民共和国现行法律、法规及甲方所在地的地方性法规。</w:t>
      </w:r>
    </w:p>
    <w:p w14:paraId="546130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2、合同文件组成和解释顺序</w:t>
      </w:r>
    </w:p>
    <w:p w14:paraId="6A5339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 合同文件的组成和解释顺序如下：</w:t>
      </w:r>
    </w:p>
    <w:p w14:paraId="1750FC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2.1.1 合同的特殊性条款</w:t>
      </w:r>
    </w:p>
    <w:p w14:paraId="3501F8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2.1.2 合同的一般性条款</w:t>
      </w:r>
    </w:p>
    <w:p w14:paraId="658CDD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2.1.3 洽商、变更等明确双方权利义务的纪要、协议</w:t>
      </w:r>
    </w:p>
    <w:p w14:paraId="6B60F4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2.1.4 成交通知书、响应文件和招标文件</w:t>
      </w:r>
    </w:p>
    <w:p w14:paraId="6B7DDD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2.1.5 有关图纸</w:t>
      </w:r>
    </w:p>
    <w:p w14:paraId="30360C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2.1.6 标准、规范和其它有关技术资料、技术要求</w:t>
      </w:r>
    </w:p>
    <w:p w14:paraId="17AD70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2.2 合同的特殊性条款的效力优于合同的一般性条款的效力</w:t>
      </w:r>
    </w:p>
    <w:p w14:paraId="19022A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3、合同文件使用文字</w:t>
      </w:r>
    </w:p>
    <w:p w14:paraId="7A54D6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3.1 合同文件使用中文书写、解释和说明</w:t>
      </w:r>
    </w:p>
    <w:p w14:paraId="4B2438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3.2 合同文件使用特殊性条款约定的国家标准和规范；国家没有相应标准、规范时，可使用特殊性条款约定的行业或甲方所在地地方的标准、规范。甲方应按特殊性条款约定的时间向乙方提供一式两份约定的标准和规范。</w:t>
      </w:r>
    </w:p>
    <w:p w14:paraId="2844DDF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二、标的物的一般条款</w:t>
      </w:r>
    </w:p>
    <w:p w14:paraId="139E4B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1、完整物权</w:t>
      </w:r>
    </w:p>
    <w:p w14:paraId="5D2C79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乙方确保对于出卖的标的物拥有完整物权，并且乙方负有保证第三人不得向甲方主张任何</w:t>
      </w:r>
      <w:r>
        <w:rPr>
          <w:rFonts w:hint="eastAsia" w:ascii="宋体" w:hAnsi="宋体" w:eastAsia="宋体" w:cs="宋体"/>
          <w:color w:val="auto"/>
          <w:sz w:val="24"/>
          <w:szCs w:val="24"/>
          <w:highlight w:val="none"/>
          <w:lang w:eastAsia="zh-CN" w:bidi="ar-SA"/>
        </w:rPr>
        <w:t>权利（包括知识产权）</w:t>
      </w:r>
      <w:r>
        <w:rPr>
          <w:rFonts w:hint="eastAsia" w:ascii="宋体" w:hAnsi="宋体" w:eastAsia="宋体" w:cs="宋体"/>
          <w:color w:val="auto"/>
          <w:sz w:val="24"/>
          <w:szCs w:val="24"/>
          <w:lang w:eastAsia="zh-CN" w:bidi="ar-SA"/>
        </w:rPr>
        <w:t>等义务；如因知识产权等造成甲方损失的，甲方有权终止本合同、并有权要求乙方全额退还已收款项及承担本合同总金额20%违约金。</w:t>
      </w:r>
    </w:p>
    <w:p w14:paraId="4153CF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鉴于信息化的快速发展以及甲方自身各类发展需求，乙方应无条件向甲方及甲方合作方开放或提供各类端口或信息采集口，对此乙方予以再次确认且无权收取任何费用。如乙方不予配合，则甲方有权直接终止本合同并不予支付任何款项（如已支付、则乙方须全额归还）、不予退回履约保证金等，且有权要求乙方承担本合同总金额20%违约金。</w:t>
      </w:r>
    </w:p>
    <w:p w14:paraId="7C45DE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注：本项目为交钥匙工程（设备如涉及与甲方端口或设备对接或改造现场设施等，相关费用均由乙方承担）。</w:t>
      </w:r>
    </w:p>
    <w:p w14:paraId="28979F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val="zh-CN" w:eastAsia="zh-CN" w:bidi="ar-SA"/>
        </w:rPr>
        <w:t>2</w:t>
      </w:r>
      <w:r>
        <w:rPr>
          <w:rFonts w:hint="eastAsia" w:ascii="宋体" w:hAnsi="宋体" w:eastAsia="宋体" w:cs="宋体"/>
          <w:color w:val="auto"/>
          <w:sz w:val="24"/>
          <w:szCs w:val="24"/>
          <w:lang w:eastAsia="zh-CN" w:bidi="ar-SA"/>
        </w:rPr>
        <w:t>、</w:t>
      </w:r>
      <w:r>
        <w:rPr>
          <w:rFonts w:hint="eastAsia" w:ascii="宋体" w:hAnsi="宋体" w:eastAsia="宋体" w:cs="宋体"/>
          <w:color w:val="auto"/>
          <w:sz w:val="24"/>
          <w:szCs w:val="24"/>
          <w:lang w:val="zh-CN" w:eastAsia="zh-CN" w:bidi="ar-SA"/>
        </w:rPr>
        <w:t>质量保证</w:t>
      </w:r>
    </w:p>
    <w:p w14:paraId="6B848C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 乙方应保证所供标的物是原厂全新的，未使用过的，并且是非长期积压的库存商品（距离生产日期应在6个月内），完全符合合同规定的质量、规格和性能的要求，乙方应保证其提供的标的物在正确安装</w:t>
      </w:r>
      <w:r>
        <w:rPr>
          <w:rFonts w:hint="eastAsia" w:ascii="宋体" w:hAnsi="宋体" w:cs="宋体"/>
          <w:color w:val="auto"/>
          <w:sz w:val="24"/>
          <w:szCs w:val="24"/>
          <w:lang w:eastAsia="zh-CN" w:bidi="ar-SA"/>
        </w:rPr>
        <w:t>、</w:t>
      </w:r>
      <w:r>
        <w:rPr>
          <w:rFonts w:hint="eastAsia" w:ascii="宋体" w:hAnsi="宋体" w:eastAsia="宋体" w:cs="宋体"/>
          <w:color w:val="auto"/>
          <w:sz w:val="24"/>
          <w:szCs w:val="24"/>
          <w:lang w:eastAsia="zh-CN" w:bidi="ar-SA"/>
        </w:rPr>
        <w:t>正常使用和保养条件下，在其标明的使用寿命期内应具有满意的性能。在乙方承诺的质保期限内，乙方应对由于工艺等缺陷及伴随服务而造成的任何不足或故障负责。标的物质量出现问题，乙方应及时负责包退、包换或提供全新替代设备，确保不影响甲方正常运营，费用由乙方承担。乙方提供的产品若存在质量问题或未及时退还、提供替代设备等导致在安装及今后使用过程中造成甲乙双方、使用人或第三方人身伤亡或财产损失的或影响甲方运营导致各类损失等，乙方承担由此产生的全部责任。</w:t>
      </w:r>
    </w:p>
    <w:p w14:paraId="17EA88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2.2 根据甲方按检验标准自己检验的结果或当地技监部门的检验结果，或者在质保期内，如果标的物的数量、质量或规格与合同不符或证实标的物是有缺陷的，包括潜在缺陷或使用不符合要求的材料等，甲方有权根据本合同第（六）条“违约责任”向乙方主张各项权利。</w:t>
      </w:r>
    </w:p>
    <w:p w14:paraId="63C76E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2.3 除合同特殊条款规定外，合同条款成交的标的物的质保期均自标的物通过甲方最终验收之日起计算，若发生退回、维修或设备替换等情形，质保期自发生之日起，至标的物恢复正常使用之日止，停止计算。</w:t>
      </w:r>
    </w:p>
    <w:p w14:paraId="6C67FA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2.4 乙方再次承诺严格按照招投标文件及本合同等文件所记载内容提供服务内容，包括且不限于整体要求、各类功能要求等。</w:t>
      </w:r>
    </w:p>
    <w:p w14:paraId="569278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2.5 乙方承诺本合同所涉设备均与甲方要求和标准吻合，确保各类设备及设施均能正常运行，甲方无须另行添置任何设备或设施；如有，则由乙方承担全部费用，包括且不限于添置设备或设施费、改建费等。</w:t>
      </w:r>
    </w:p>
    <w:p w14:paraId="7A4B19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3</w:t>
      </w:r>
      <w:r>
        <w:rPr>
          <w:rFonts w:hint="eastAsia" w:ascii="宋体" w:hAnsi="宋体" w:eastAsia="宋体" w:cs="宋体"/>
          <w:color w:val="auto"/>
          <w:sz w:val="24"/>
          <w:szCs w:val="24"/>
          <w:lang w:eastAsia="zh-CN" w:bidi="ar-SA"/>
        </w:rPr>
        <w:t>、</w:t>
      </w:r>
      <w:r>
        <w:rPr>
          <w:rFonts w:hint="eastAsia" w:ascii="宋体" w:hAnsi="宋体" w:eastAsia="宋体" w:cs="宋体"/>
          <w:color w:val="auto"/>
          <w:sz w:val="24"/>
          <w:szCs w:val="24"/>
          <w:lang w:val="zh-CN" w:eastAsia="zh-CN" w:bidi="ar-SA"/>
        </w:rPr>
        <w:t>包装</w:t>
      </w:r>
    </w:p>
    <w:p w14:paraId="4BC0CD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乙方应当按照约定的包装方式交付标的物。对包装方式没有约定或者约定不明确的，应当按照双方补充协议约定的方式包装，或者按照通用的方式包装，没有通用方式的，应当采取足以保护标的物的包装方式。</w:t>
      </w:r>
    </w:p>
    <w:p w14:paraId="5C839F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4、伴随服务（乙方对甲方待使用设施的周边配套实施等均已现场确认并认可，确保甲方无须另行添置设备或设施；且该部分费用已包括在合同总价内，甲方无须支付任何费用）</w:t>
      </w:r>
    </w:p>
    <w:p w14:paraId="4306BA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 乙方除应履行按期按量交付合格标的物的义务之外，还应提供下列服务。</w:t>
      </w:r>
    </w:p>
    <w:p w14:paraId="79F64B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4.1.1 标的物的现场安装、启动、调试、培训、验收、维护、升级、监督、更换或设备替换等，以及招投标文件及本合同等文件所记录的服务项目；</w:t>
      </w:r>
    </w:p>
    <w:p w14:paraId="17857E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4.1.2 提供标的物组装和一般维修所必须的工具；</w:t>
      </w:r>
    </w:p>
    <w:p w14:paraId="37DB40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4.1.3 在合同规定的期限内对所提供标的物实行运行监督、维修服务的前提条件是该服务并不能免除乙方在质保期内所承担的义务；</w:t>
      </w:r>
    </w:p>
    <w:p w14:paraId="057558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4.1.4 按甲方要求，对甲方技术人员进行技术指导或培训；提供系统完整专业的培训计划；提供厂家免费培训、并提供维修资料及中文的用户操作手册。</w:t>
      </w:r>
    </w:p>
    <w:p w14:paraId="19149F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zh-CN" w:eastAsia="zh-CN"/>
        </w:rPr>
      </w:pPr>
      <w:r>
        <w:rPr>
          <w:rFonts w:hint="eastAsia" w:ascii="宋体" w:hAnsi="宋体" w:eastAsia="宋体" w:cs="宋体"/>
          <w:color w:val="auto"/>
          <w:sz w:val="24"/>
          <w:szCs w:val="24"/>
          <w:lang w:eastAsia="zh-CN" w:bidi="ar-SA"/>
        </w:rPr>
        <w:t>4.2 除合同另有规定之外，其他所有费用均已含在合同价款中，甲方不再另行进行支付。</w:t>
      </w:r>
    </w:p>
    <w:p w14:paraId="783DE0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三、标的物的交付、检验和验收</w:t>
      </w:r>
    </w:p>
    <w:p w14:paraId="62EE08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1、标的物的交付</w:t>
      </w:r>
    </w:p>
    <w:p w14:paraId="55D146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1.1 标的物的所有权自标的物交付时转移。</w:t>
      </w:r>
    </w:p>
    <w:p w14:paraId="10411B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1.2 乙方应当按照约定的期限和约定的地点交付标的物。</w:t>
      </w:r>
    </w:p>
    <w:p w14:paraId="7CCAB9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 xml:space="preserve">1.3 乙方应当按照约定或者交易习惯向甲方交付与标的物有关的一切单证和资料。 </w:t>
      </w:r>
    </w:p>
    <w:p w14:paraId="024C64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2、检验和验收</w:t>
      </w:r>
    </w:p>
    <w:p w14:paraId="4CA53D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 交货前，乙方应对标的物的各项指标进行全面检验，包括但不限于规格、性能、质量等一切可能影响合同目的实现的指标，并出具相应的检验合格证明，乙方对该检验证明的真实有效性负责。若检验证明不合格或未出具检验证明，甲方有权拒收标的物。该检验证明不作为标的物的最终检验结论。</w:t>
      </w:r>
    </w:p>
    <w:p w14:paraId="5E7917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2.2 交货后，甲方根据合同约定及相关验收标准，对标的物进行验收。甲方经验收无误后，向乙方出具验收合格证明。若验收证明不合格，甲方有权根据合同约定向乙方主张权利。该验收证明作为最终付款所需文件的组成部分。</w:t>
      </w:r>
    </w:p>
    <w:p w14:paraId="4E80A3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2.3 验收期限自标的物交付之日起三十天内。特殊情况需延长的，双方应在合同的特殊条款中约定。</w:t>
      </w:r>
    </w:p>
    <w:p w14:paraId="543DA0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2.4 若双方对上述任一报告的结果有异议，则由第三方专业机构进行检验，并以其检验结果为准。检验费用由有过错一方承担。</w:t>
      </w:r>
    </w:p>
    <w:p w14:paraId="720870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3、货物交货时，包装须完整无破损，乙方还必须提供以下材料：</w:t>
      </w:r>
    </w:p>
    <w:p w14:paraId="66B571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3.1货物装箱清单；</w:t>
      </w:r>
    </w:p>
    <w:p w14:paraId="0F4BB6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3.2合格证（国产设备必须提供）；</w:t>
      </w:r>
    </w:p>
    <w:p w14:paraId="297DAF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3.3中英文技术资料；</w:t>
      </w:r>
    </w:p>
    <w:p w14:paraId="4C3BB8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3.4使用维修保养中文说明书；</w:t>
      </w:r>
    </w:p>
    <w:p w14:paraId="1390D6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3.5其它必备材料和必备工具等；</w:t>
      </w:r>
    </w:p>
    <w:p w14:paraId="00E60D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zh-CN" w:eastAsia="zh-CN"/>
        </w:rPr>
      </w:pPr>
      <w:r>
        <w:rPr>
          <w:rFonts w:hint="eastAsia" w:ascii="宋体" w:hAnsi="宋体" w:eastAsia="宋体" w:cs="宋体"/>
          <w:color w:val="auto"/>
          <w:sz w:val="24"/>
          <w:szCs w:val="24"/>
          <w:lang w:eastAsia="zh-CN" w:bidi="ar-SA"/>
        </w:rPr>
        <w:t>3.6保修单等其它必须材料。</w:t>
      </w:r>
    </w:p>
    <w:p w14:paraId="054DD64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四、对标的物提出异议的时间和办法</w:t>
      </w:r>
    </w:p>
    <w:p w14:paraId="5A79E9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 xml:space="preserve">1、对标的物提出异议的时间和办法 </w:t>
      </w:r>
    </w:p>
    <w:p w14:paraId="38187D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1.1 甲方在验收过程中，应当于双方约定的检验期间内将标的物的数量或质量不符合约定的情形及处理方式以书面形式通知乙方。</w:t>
      </w:r>
    </w:p>
    <w:p w14:paraId="371872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注：甲方有权在成交后的项目实施过程中，对标的设备的参数和功能进行随机的检查和测试，若所供设备的参数和功能与招标等文件要求及投标文件的承诺存在偏离，甲方仍有权退回设备，同时乙方须承担合同总金额20%的违约金，对此乙方予以认可。</w:t>
      </w:r>
    </w:p>
    <w:p w14:paraId="231432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 如甲方在验收期满后既不出具验收合格证明又未提出书面异议的视为乙方所交标的物符合合同规定。</w:t>
      </w:r>
    </w:p>
    <w:p w14:paraId="543491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zh-CN" w:eastAsia="zh-CN"/>
        </w:rPr>
      </w:pPr>
      <w:r>
        <w:rPr>
          <w:rFonts w:hint="eastAsia" w:ascii="宋体" w:hAnsi="宋体" w:eastAsia="宋体" w:cs="宋体"/>
          <w:color w:val="auto"/>
          <w:sz w:val="24"/>
          <w:szCs w:val="24"/>
          <w:lang w:eastAsia="zh-CN" w:bidi="ar-SA"/>
        </w:rPr>
        <w:t>1.3 乙方应在收到甲方书面异议后七天内负责处理问题，否则将视为默认甲方提出的异议和处理意见。</w:t>
      </w:r>
    </w:p>
    <w:p w14:paraId="2D6383C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五、合同价款和支付</w:t>
      </w:r>
    </w:p>
    <w:p w14:paraId="7BE1E7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1、合同价款和支付</w:t>
      </w:r>
    </w:p>
    <w:p w14:paraId="28AADD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1.1 本合同的结算货币为人民币，单位元。</w:t>
      </w:r>
    </w:p>
    <w:p w14:paraId="3A668D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 乙方应按照双方签订的合同规定交货并在合同特殊条款规定的期限内持下列单据结算货款。</w:t>
      </w:r>
    </w:p>
    <w:p w14:paraId="1BC2F9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1.2.1 合格的销售发票；</w:t>
      </w:r>
    </w:p>
    <w:p w14:paraId="4045A3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1.2.2 甲方盖章签收后的送货回单和验收合格证明。</w:t>
      </w:r>
    </w:p>
    <w:p w14:paraId="34754F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1.3 甲方应按合同特殊条款规定的期限和方式付款。</w:t>
      </w:r>
    </w:p>
    <w:p w14:paraId="7BDAC4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zh-CN" w:eastAsia="zh-CN"/>
        </w:rPr>
      </w:pPr>
      <w:r>
        <w:rPr>
          <w:rFonts w:hint="eastAsia" w:ascii="宋体" w:hAnsi="宋体" w:eastAsia="宋体" w:cs="宋体"/>
          <w:color w:val="auto"/>
          <w:sz w:val="24"/>
          <w:szCs w:val="24"/>
          <w:lang w:eastAsia="zh-CN" w:bidi="ar-SA"/>
        </w:rPr>
        <w:t>1.4 根据现行税法对甲方征收的与本合同有关的一切税费均由甲方承担；根据现行税法对乙方征收的与本合同有关的一切税费均由乙方承担。</w:t>
      </w:r>
    </w:p>
    <w:p w14:paraId="4661EF1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六、违约责任</w:t>
      </w:r>
    </w:p>
    <w:p w14:paraId="74F283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1、违约责任</w:t>
      </w:r>
    </w:p>
    <w:p w14:paraId="60579C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合同一方不履行合同任一义务或者履行合同义务不完全符合任一约定的，应当主动承担继续履行、采取补救措施及赔偿损失等违约责任，但守约方有权要求违约方承担违约金。</w:t>
      </w:r>
    </w:p>
    <w:p w14:paraId="3681FE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若实际损失超过违约金的应按照实际损失承担赔偿责任，损失赔偿范围包括但不限于守约方的直接损失、间接损失及维权支出的各项费用（诉讼费、律师费、鉴定费、保全费等）。</w:t>
      </w:r>
    </w:p>
    <w:p w14:paraId="16EF04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2、甲方违约责任</w:t>
      </w:r>
    </w:p>
    <w:p w14:paraId="30B92A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 在合同生效后，甲方无正当理由要求退货的，应向乙方偿付合同总价款5%的违约金，违约金不足以补偿实际损失的，乙方有权要求甲方补足。</w:t>
      </w:r>
    </w:p>
    <w:p w14:paraId="63BE61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2.2 甲方无故逾期付款的应按照逾期付款金额的每天万分之四支付逾期付款违约金。</w:t>
      </w:r>
    </w:p>
    <w:p w14:paraId="2FE1FA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2.3 甲方无故违反合同规定，拒绝接收乙方交付的合格标的物，应当承担乙方由此造成的实际损失。</w:t>
      </w:r>
    </w:p>
    <w:p w14:paraId="5D327C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3、乙方违约责任</w:t>
      </w:r>
    </w:p>
    <w:p w14:paraId="61E613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3.1 乙方有下列行为之一的，甲方有权解除合同，要求乙方返还甲方所支付的任何款项并支付合同总价款20%的违约金，违约金不足以补偿实际损失的，甲方有权要求乙方补足：</w:t>
      </w:r>
    </w:p>
    <w:p w14:paraId="4D330D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1）不能交货。乙方交货、安装、检验逾期超过15日（自然日）的，视为不能交货；</w:t>
      </w:r>
    </w:p>
    <w:p w14:paraId="09F582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2）交付的标的物不符合投标文件及合同约定；</w:t>
      </w:r>
    </w:p>
    <w:p w14:paraId="721B08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3）因可归责于乙方的情形导致标的物不能正常使用，致使甲方合同目的无法实现；</w:t>
      </w:r>
    </w:p>
    <w:p w14:paraId="1A6200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4）其他合同约定的违约行为，致使甲方合同目的无法实现。</w:t>
      </w:r>
    </w:p>
    <w:p w14:paraId="14C897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注：乙方提供的货物中有不符合招标文件中的技术要求的，视为该种货物交付不合格。乙方提供的各种规格的货物中有任一种交付不合格的，视同为整个标的物的交付不合格。</w:t>
      </w:r>
    </w:p>
    <w:p w14:paraId="5E79D8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color w:val="auto"/>
          <w:sz w:val="24"/>
          <w:szCs w:val="24"/>
          <w:lang w:eastAsia="zh-CN" w:bidi="ar-SA"/>
        </w:rPr>
        <w:t>3.2 乙方逾期交货的，应在发货前与甲方协商，但如甲方仍需求的，乙方应立即发货并应按照逾期交货部分货款的每天百分之一支付逾期交货违约金，同时承担甲方因此遭致的损失费用；如甲方不再需求，则甲方有权解除合同，乙方向甲方支付合同总价款20%的违约金，违约金不足以补偿损失的甲方仍有权要求乙方补足，因本条款产生纠纷而发生的诉讼，乙方须向甲方承担一切损失、费用、成本，包括但不限于诉讼费、律师费、鉴定费、保全费、差旅费等。</w:t>
      </w:r>
      <w:r>
        <w:rPr>
          <w:rFonts w:hint="eastAsia" w:ascii="宋体" w:hAnsi="宋体" w:eastAsia="宋体" w:cs="宋体"/>
          <w:sz w:val="24"/>
          <w:szCs w:val="24"/>
          <w:lang w:eastAsia="zh-CN"/>
        </w:rPr>
        <w:t xml:space="preserve"> </w:t>
      </w:r>
    </w:p>
    <w:p w14:paraId="45D53D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4、不可抗力</w:t>
      </w:r>
    </w:p>
    <w:p w14:paraId="0FA0BC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 因不可抗力不能履行合同的，根据不可抗力的影响，部分或者全部免除责任。但合同一方迟延履行后发生不可抗力的，不能免除责任。</w:t>
      </w:r>
    </w:p>
    <w:p w14:paraId="4A6228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zh-CN" w:eastAsia="zh-CN"/>
        </w:rPr>
      </w:pPr>
      <w:r>
        <w:rPr>
          <w:rFonts w:hint="eastAsia" w:ascii="宋体" w:hAnsi="宋体" w:eastAsia="宋体" w:cs="宋体"/>
          <w:color w:val="auto"/>
          <w:sz w:val="24"/>
          <w:szCs w:val="24"/>
          <w:lang w:eastAsia="zh-CN" w:bidi="ar-SA"/>
        </w:rPr>
        <w:t>4.2 合同一方因不可抗力不能履行合同的，应当及时通知对方，以减轻可能给对方造成的损失，并应当在合理期限内提供证明。</w:t>
      </w:r>
    </w:p>
    <w:p w14:paraId="6180671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七、索赔</w:t>
      </w:r>
    </w:p>
    <w:p w14:paraId="5FE8E2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1、索赔</w:t>
      </w:r>
    </w:p>
    <w:p w14:paraId="3EB264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1.1 甲方有权根据甲方所出具的验收证明、第三方质量检验机构或其他专业机构、组织、部门出具的检验证书向乙方提出赔偿请求。</w:t>
      </w:r>
    </w:p>
    <w:p w14:paraId="7BEF78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 在本合同规定的检验期和质保期内，乙方同意甲方有权按下列一种或多种方式合并解决索赔事宜：</w:t>
      </w:r>
    </w:p>
    <w:p w14:paraId="2230B2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1.2.1 乙方负责及时退货，并按合同规定的价款将货款退还给甲方，并承担由此发生的一切损失和费用，包括但不限于20%违约金、利息、银行手续费、运费、保险费、检验费、仓储费、装卸费以及为保护退回标的物所需的其它必要费用。</w:t>
      </w:r>
    </w:p>
    <w:p w14:paraId="3A6204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1.2.2 根据标的物的低劣程度、损坏程度以及甲方遭受损失的数额，合并为甲方确定降低标的物的价格。</w:t>
      </w:r>
    </w:p>
    <w:p w14:paraId="3FB148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1.2.3 用符合规格、质量和性能要求的原厂全新零件、部件或标的物来更换有缺陷的部分或修补缺陷部分，乙方应承担一切费用和风险并负担甲方所发生的一切直接费用。质保期自发生上述情形之日起，至标的物恢复正常使用之日止，停止计算。</w:t>
      </w:r>
    </w:p>
    <w:p w14:paraId="0946A4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color w:val="auto"/>
          <w:sz w:val="24"/>
          <w:szCs w:val="24"/>
          <w:lang w:eastAsia="zh-CN" w:bidi="ar-SA"/>
        </w:rPr>
        <w:t>1.3 如果在甲方发出索赔通知后七天内，乙方未能答复，上述索赔应视为已被乙方接受。若乙方未在甲方提出索赔通知后七天内或甲方同意的更长时间内，按照合同规定的任何一种方法解决索赔事宜，甲方将从未付款或乙方支付的履约保证金直接扣除索赔金额，如果这些金额不足以补偿索赔金额，甲方有权向乙方提出对不足部分的补偿。</w:t>
      </w:r>
    </w:p>
    <w:p w14:paraId="59608B4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八、合同的解除和转让（除已有约定外）</w:t>
      </w:r>
    </w:p>
    <w:p w14:paraId="56130B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1、合同的解除</w:t>
      </w:r>
    </w:p>
    <w:p w14:paraId="1928FC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1.1 有下列情形之一，合同一方可以解除合同：</w:t>
      </w:r>
    </w:p>
    <w:p w14:paraId="68455F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1.1.1 因不可抗力致使不能实现合同目的，未受不可抗力影响的一方有权解除合同；</w:t>
      </w:r>
    </w:p>
    <w:p w14:paraId="121845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1.1.2 合同期间，因合同一方违约并无法获得守约方认可，守约方有权解除合同、违约方则退回已收款项并需承担本合同总价款</w:t>
      </w:r>
      <w:r>
        <w:rPr>
          <w:rFonts w:hint="eastAsia" w:ascii="宋体" w:hAnsi="宋体" w:cs="宋体"/>
          <w:color w:val="auto"/>
          <w:sz w:val="24"/>
          <w:szCs w:val="24"/>
          <w:lang w:val="en-US" w:eastAsia="zh-CN" w:bidi="ar-SA"/>
        </w:rPr>
        <w:t>2</w:t>
      </w:r>
      <w:r>
        <w:rPr>
          <w:rFonts w:hint="eastAsia" w:ascii="宋体" w:hAnsi="宋体" w:eastAsia="宋体" w:cs="宋体"/>
          <w:color w:val="auto"/>
          <w:sz w:val="24"/>
          <w:szCs w:val="24"/>
          <w:lang w:eastAsia="zh-CN" w:bidi="ar-SA"/>
        </w:rPr>
        <w:t>0%作为违约金，并按本合同第六条承担各项违约责任；</w:t>
      </w:r>
    </w:p>
    <w:p w14:paraId="2F6ADD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 有权解除合同的一方，可在违约事实或不可抗力发生之后三天内书面通知对方以主张解除合同，合同在书面通知寄往对方时即告解除。</w:t>
      </w:r>
    </w:p>
    <w:p w14:paraId="7E70B9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 xml:space="preserve">1.3 </w:t>
      </w:r>
      <w:r>
        <w:rPr>
          <w:rFonts w:hint="eastAsia" w:ascii="宋体" w:hAnsi="宋体" w:eastAsia="宋体" w:cs="宋体"/>
          <w:color w:val="auto"/>
          <w:sz w:val="24"/>
          <w:szCs w:val="24"/>
          <w:highlight w:val="none"/>
          <w:lang w:eastAsia="zh-CN" w:bidi="ar-SA"/>
        </w:rPr>
        <w:t>本合同当事人联系信息以国家企业信用信息公示系统等查询备注地址为准</w:t>
      </w:r>
      <w:r>
        <w:rPr>
          <w:rFonts w:hint="eastAsia" w:ascii="宋体" w:hAnsi="宋体" w:eastAsia="宋体" w:cs="宋体"/>
          <w:color w:val="auto"/>
          <w:sz w:val="24"/>
          <w:szCs w:val="24"/>
          <w:lang w:eastAsia="zh-CN" w:bidi="ar-SA"/>
        </w:rPr>
        <w:t>，适用于双方往来联系、书面文件送达及争议解决时法律文书（含裁判文书）送达。</w:t>
      </w:r>
      <w:r>
        <w:rPr>
          <w:rFonts w:hint="eastAsia" w:ascii="宋体" w:hAnsi="宋体" w:eastAsia="宋体" w:cs="宋体"/>
          <w:color w:val="auto"/>
          <w:sz w:val="24"/>
          <w:szCs w:val="24"/>
          <w:lang w:eastAsia="zh-CN" w:bidi="ar-SA"/>
        </w:rPr>
        <w:br w:type="page"/>
      </w:r>
    </w:p>
    <w:p w14:paraId="7D45E5F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（二）合同特殊条款</w:t>
      </w:r>
    </w:p>
    <w:p w14:paraId="4774E1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一、合同内容：</w:t>
      </w:r>
    </w:p>
    <w:p w14:paraId="29CA19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1、乙方负责完成甲方的</w:t>
      </w:r>
      <w:r>
        <w:rPr>
          <w:rFonts w:hint="eastAsia" w:ascii="宋体" w:hAnsi="宋体" w:eastAsia="宋体" w:cs="宋体"/>
          <w:color w:val="auto"/>
          <w:sz w:val="24"/>
          <w:szCs w:val="24"/>
          <w:u w:val="single"/>
          <w:lang w:val="zh-CN" w:eastAsia="zh-CN" w:bidi="ar-SA"/>
        </w:rPr>
        <w:t xml:space="preserve"> </w:t>
      </w:r>
      <w:r>
        <w:rPr>
          <w:rFonts w:hint="eastAsia" w:ascii="宋体" w:hAnsi="宋体" w:eastAsia="宋体" w:cs="宋体"/>
          <w:color w:val="auto"/>
          <w:sz w:val="24"/>
          <w:szCs w:val="24"/>
          <w:u w:val="single"/>
          <w:lang w:val="en-US" w:eastAsia="zh-CN" w:bidi="ar-SA"/>
        </w:rPr>
        <w:t xml:space="preserve">存储设备 </w:t>
      </w:r>
      <w:r>
        <w:rPr>
          <w:rFonts w:hint="eastAsia" w:ascii="宋体" w:hAnsi="宋体" w:eastAsia="宋体" w:cs="宋体"/>
          <w:color w:val="auto"/>
          <w:sz w:val="24"/>
          <w:szCs w:val="24"/>
          <w:u w:val="none"/>
          <w:lang w:val="en-US" w:eastAsia="zh-CN" w:bidi="ar-SA"/>
        </w:rPr>
        <w:t>项目</w:t>
      </w:r>
      <w:r>
        <w:rPr>
          <w:rFonts w:hint="eastAsia" w:ascii="宋体" w:hAnsi="宋体" w:eastAsia="宋体" w:cs="宋体"/>
          <w:color w:val="auto"/>
          <w:sz w:val="24"/>
          <w:szCs w:val="24"/>
          <w:lang w:val="zh-CN" w:eastAsia="zh-CN" w:bidi="ar-SA"/>
        </w:rPr>
        <w:t>，详见《标的物清单》。</w:t>
      </w:r>
    </w:p>
    <w:tbl>
      <w:tblPr>
        <w:tblStyle w:val="20"/>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595"/>
        <w:gridCol w:w="1450"/>
        <w:gridCol w:w="1536"/>
        <w:gridCol w:w="786"/>
        <w:gridCol w:w="800"/>
        <w:gridCol w:w="1412"/>
        <w:gridCol w:w="1589"/>
      </w:tblGrid>
      <w:tr w14:paraId="44F2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0BBF7ED8">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序号</w:t>
            </w:r>
          </w:p>
        </w:tc>
        <w:tc>
          <w:tcPr>
            <w:tcW w:w="1595" w:type="dxa"/>
            <w:vAlign w:val="center"/>
          </w:tcPr>
          <w:p w14:paraId="4C71DFA9">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标的物名称</w:t>
            </w:r>
          </w:p>
        </w:tc>
        <w:tc>
          <w:tcPr>
            <w:tcW w:w="1450" w:type="dxa"/>
            <w:vAlign w:val="center"/>
          </w:tcPr>
          <w:p w14:paraId="479E4344">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品牌及产地</w:t>
            </w:r>
          </w:p>
        </w:tc>
        <w:tc>
          <w:tcPr>
            <w:tcW w:w="1536" w:type="dxa"/>
            <w:vAlign w:val="center"/>
          </w:tcPr>
          <w:p w14:paraId="1D875E9F">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型号、规格</w:t>
            </w:r>
          </w:p>
        </w:tc>
        <w:tc>
          <w:tcPr>
            <w:tcW w:w="786" w:type="dxa"/>
            <w:vAlign w:val="center"/>
          </w:tcPr>
          <w:p w14:paraId="6D45C836">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单位</w:t>
            </w:r>
          </w:p>
        </w:tc>
        <w:tc>
          <w:tcPr>
            <w:tcW w:w="800" w:type="dxa"/>
            <w:vAlign w:val="center"/>
          </w:tcPr>
          <w:p w14:paraId="291EA047">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数量</w:t>
            </w:r>
          </w:p>
        </w:tc>
        <w:tc>
          <w:tcPr>
            <w:tcW w:w="1412" w:type="dxa"/>
            <w:vAlign w:val="center"/>
          </w:tcPr>
          <w:p w14:paraId="16F7838F">
            <w:pPr>
              <w:pStyle w:val="53"/>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单价</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元</w:t>
            </w:r>
            <w:r>
              <w:rPr>
                <w:rFonts w:hint="eastAsia" w:ascii="宋体" w:hAnsi="宋体" w:eastAsia="宋体" w:cs="宋体"/>
                <w:sz w:val="24"/>
                <w:szCs w:val="24"/>
                <w:lang w:eastAsia="zh-CN"/>
              </w:rPr>
              <w:t>）</w:t>
            </w:r>
          </w:p>
        </w:tc>
        <w:tc>
          <w:tcPr>
            <w:tcW w:w="1589" w:type="dxa"/>
            <w:vAlign w:val="center"/>
          </w:tcPr>
          <w:p w14:paraId="307ECE88">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总价</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元</w:t>
            </w:r>
            <w:r>
              <w:rPr>
                <w:rFonts w:hint="eastAsia" w:ascii="宋体" w:hAnsi="宋体" w:eastAsia="宋体" w:cs="宋体"/>
                <w:sz w:val="24"/>
                <w:szCs w:val="24"/>
                <w:lang w:eastAsia="zh-CN"/>
              </w:rPr>
              <w:t>）</w:t>
            </w:r>
          </w:p>
        </w:tc>
      </w:tr>
      <w:tr w14:paraId="4E6C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8" w:type="dxa"/>
            <w:vAlign w:val="center"/>
          </w:tcPr>
          <w:p w14:paraId="3383698C">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595" w:type="dxa"/>
            <w:vAlign w:val="center"/>
          </w:tcPr>
          <w:p w14:paraId="5374E88A">
            <w:pPr>
              <w:pStyle w:val="53"/>
              <w:spacing w:line="360" w:lineRule="auto"/>
              <w:rPr>
                <w:rFonts w:hint="eastAsia" w:ascii="宋体" w:hAnsi="宋体" w:eastAsia="宋体" w:cs="宋体"/>
                <w:sz w:val="24"/>
                <w:szCs w:val="24"/>
              </w:rPr>
            </w:pPr>
            <w:r>
              <w:rPr>
                <w:rFonts w:hint="eastAsia" w:ascii="宋体" w:hAnsi="宋体" w:eastAsia="宋体" w:cs="宋体"/>
                <w:sz w:val="24"/>
                <w:szCs w:val="24"/>
              </w:rPr>
              <w:t>影像数据存储设备</w:t>
            </w:r>
          </w:p>
        </w:tc>
        <w:tc>
          <w:tcPr>
            <w:tcW w:w="1450" w:type="dxa"/>
            <w:vAlign w:val="center"/>
          </w:tcPr>
          <w:p w14:paraId="4709D751">
            <w:pPr>
              <w:pStyle w:val="53"/>
              <w:spacing w:line="360" w:lineRule="auto"/>
              <w:rPr>
                <w:rFonts w:hint="eastAsia" w:ascii="宋体" w:hAnsi="宋体" w:eastAsia="宋体" w:cs="宋体"/>
                <w:sz w:val="24"/>
                <w:szCs w:val="24"/>
              </w:rPr>
            </w:pPr>
            <w:r>
              <w:rPr>
                <w:rFonts w:hint="eastAsia" w:ascii="宋体" w:hAnsi="宋体" w:eastAsia="宋体" w:cs="宋体"/>
                <w:color w:val="000000"/>
                <w:sz w:val="24"/>
                <w:szCs w:val="24"/>
              </w:rPr>
              <w:t>华为/深圳</w:t>
            </w:r>
          </w:p>
        </w:tc>
        <w:tc>
          <w:tcPr>
            <w:tcW w:w="1536" w:type="dxa"/>
            <w:vAlign w:val="center"/>
          </w:tcPr>
          <w:p w14:paraId="5F960874">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OceanStorPacific9920</w:t>
            </w:r>
          </w:p>
        </w:tc>
        <w:tc>
          <w:tcPr>
            <w:tcW w:w="786" w:type="dxa"/>
            <w:vAlign w:val="center"/>
          </w:tcPr>
          <w:p w14:paraId="19CF35AA">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套</w:t>
            </w:r>
          </w:p>
        </w:tc>
        <w:tc>
          <w:tcPr>
            <w:tcW w:w="800" w:type="dxa"/>
            <w:vAlign w:val="center"/>
          </w:tcPr>
          <w:p w14:paraId="3D4A8756">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1412" w:type="dxa"/>
            <w:vAlign w:val="center"/>
          </w:tcPr>
          <w:p w14:paraId="6F36BA24">
            <w:pPr>
              <w:pStyle w:val="53"/>
              <w:spacing w:line="360" w:lineRule="auto"/>
              <w:rPr>
                <w:rFonts w:hint="eastAsia" w:ascii="宋体" w:hAnsi="宋体" w:eastAsia="宋体" w:cs="宋体"/>
                <w:sz w:val="24"/>
                <w:szCs w:val="24"/>
              </w:rPr>
            </w:pPr>
            <w:r>
              <w:rPr>
                <w:rFonts w:hint="eastAsia" w:ascii="宋体" w:hAnsi="宋体" w:eastAsia="宋体" w:cs="宋体"/>
                <w:color w:val="000000"/>
                <w:sz w:val="24"/>
                <w:szCs w:val="24"/>
              </w:rPr>
              <w:t>400000.00</w:t>
            </w:r>
          </w:p>
        </w:tc>
        <w:tc>
          <w:tcPr>
            <w:tcW w:w="1589" w:type="dxa"/>
            <w:vAlign w:val="center"/>
          </w:tcPr>
          <w:p w14:paraId="218FF75C">
            <w:pPr>
              <w:pStyle w:val="53"/>
              <w:spacing w:line="360" w:lineRule="auto"/>
              <w:rPr>
                <w:rFonts w:hint="eastAsia" w:ascii="宋体" w:hAnsi="宋体" w:eastAsia="宋体" w:cs="宋体"/>
                <w:sz w:val="24"/>
                <w:szCs w:val="24"/>
              </w:rPr>
            </w:pPr>
            <w:r>
              <w:rPr>
                <w:rFonts w:hint="eastAsia" w:ascii="宋体" w:hAnsi="宋体" w:eastAsia="宋体" w:cs="宋体"/>
                <w:color w:val="000000"/>
                <w:sz w:val="24"/>
                <w:szCs w:val="24"/>
              </w:rPr>
              <w:t>1600000.00</w:t>
            </w:r>
          </w:p>
        </w:tc>
      </w:tr>
      <w:tr w14:paraId="20B2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2AD1A036">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595" w:type="dxa"/>
            <w:vAlign w:val="center"/>
          </w:tcPr>
          <w:p w14:paraId="46FBFFD9">
            <w:pPr>
              <w:pStyle w:val="53"/>
              <w:spacing w:line="360" w:lineRule="auto"/>
              <w:rPr>
                <w:rFonts w:hint="eastAsia" w:ascii="宋体" w:hAnsi="宋体" w:eastAsia="宋体" w:cs="宋体"/>
                <w:sz w:val="24"/>
                <w:szCs w:val="24"/>
              </w:rPr>
            </w:pPr>
            <w:r>
              <w:rPr>
                <w:rFonts w:hint="eastAsia" w:ascii="宋体" w:hAnsi="宋体" w:eastAsia="宋体" w:cs="宋体"/>
                <w:sz w:val="24"/>
                <w:szCs w:val="24"/>
              </w:rPr>
              <w:t>高速存储交换机</w:t>
            </w:r>
          </w:p>
        </w:tc>
        <w:tc>
          <w:tcPr>
            <w:tcW w:w="1450" w:type="dxa"/>
            <w:vAlign w:val="center"/>
          </w:tcPr>
          <w:p w14:paraId="4C930591">
            <w:pPr>
              <w:pStyle w:val="53"/>
              <w:spacing w:line="360" w:lineRule="auto"/>
              <w:rPr>
                <w:rFonts w:hint="eastAsia" w:ascii="宋体" w:hAnsi="宋体" w:eastAsia="宋体" w:cs="宋体"/>
                <w:sz w:val="24"/>
                <w:szCs w:val="24"/>
              </w:rPr>
            </w:pPr>
            <w:r>
              <w:rPr>
                <w:rFonts w:hint="eastAsia" w:ascii="宋体" w:hAnsi="宋体" w:eastAsia="宋体" w:cs="宋体"/>
                <w:color w:val="000000"/>
                <w:sz w:val="24"/>
                <w:szCs w:val="24"/>
              </w:rPr>
              <w:t>华为/深圳</w:t>
            </w:r>
          </w:p>
        </w:tc>
        <w:tc>
          <w:tcPr>
            <w:tcW w:w="1536" w:type="dxa"/>
            <w:vAlign w:val="center"/>
          </w:tcPr>
          <w:p w14:paraId="3F496E6E">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CE8855-32CQ4BQ</w:t>
            </w:r>
          </w:p>
        </w:tc>
        <w:tc>
          <w:tcPr>
            <w:tcW w:w="786" w:type="dxa"/>
            <w:vAlign w:val="center"/>
          </w:tcPr>
          <w:p w14:paraId="7F1E5B3B">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台</w:t>
            </w:r>
          </w:p>
        </w:tc>
        <w:tc>
          <w:tcPr>
            <w:tcW w:w="800" w:type="dxa"/>
            <w:vAlign w:val="center"/>
          </w:tcPr>
          <w:p w14:paraId="4A9EEE81">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412" w:type="dxa"/>
            <w:vAlign w:val="center"/>
          </w:tcPr>
          <w:p w14:paraId="4E309F4F">
            <w:pPr>
              <w:pStyle w:val="53"/>
              <w:spacing w:line="360" w:lineRule="auto"/>
              <w:rPr>
                <w:rFonts w:hint="eastAsia" w:ascii="宋体" w:hAnsi="宋体" w:eastAsia="宋体" w:cs="宋体"/>
                <w:sz w:val="24"/>
                <w:szCs w:val="24"/>
              </w:rPr>
            </w:pPr>
            <w:r>
              <w:rPr>
                <w:rFonts w:hint="eastAsia" w:ascii="宋体" w:hAnsi="宋体" w:eastAsia="宋体" w:cs="宋体"/>
                <w:color w:val="000000"/>
                <w:sz w:val="24"/>
                <w:szCs w:val="24"/>
              </w:rPr>
              <w:t>150000.00</w:t>
            </w:r>
          </w:p>
        </w:tc>
        <w:tc>
          <w:tcPr>
            <w:tcW w:w="1589" w:type="dxa"/>
            <w:vAlign w:val="center"/>
          </w:tcPr>
          <w:p w14:paraId="3A5C6860">
            <w:pPr>
              <w:pStyle w:val="53"/>
              <w:spacing w:line="360" w:lineRule="auto"/>
              <w:rPr>
                <w:rFonts w:hint="eastAsia" w:ascii="宋体" w:hAnsi="宋体" w:eastAsia="宋体" w:cs="宋体"/>
                <w:sz w:val="24"/>
                <w:szCs w:val="24"/>
              </w:rPr>
            </w:pPr>
            <w:r>
              <w:rPr>
                <w:rFonts w:hint="eastAsia" w:ascii="宋体" w:hAnsi="宋体" w:eastAsia="宋体" w:cs="宋体"/>
                <w:color w:val="000000"/>
                <w:sz w:val="24"/>
                <w:szCs w:val="24"/>
              </w:rPr>
              <w:t>300000.00</w:t>
            </w:r>
          </w:p>
        </w:tc>
      </w:tr>
      <w:tr w14:paraId="7D31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7B929F14">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1595" w:type="dxa"/>
            <w:vAlign w:val="center"/>
          </w:tcPr>
          <w:p w14:paraId="42EDCE62">
            <w:pPr>
              <w:pStyle w:val="53"/>
              <w:spacing w:line="360" w:lineRule="auto"/>
              <w:rPr>
                <w:rFonts w:hint="eastAsia" w:ascii="宋体" w:hAnsi="宋体" w:eastAsia="宋体" w:cs="宋体"/>
                <w:sz w:val="24"/>
                <w:szCs w:val="24"/>
              </w:rPr>
            </w:pPr>
            <w:r>
              <w:rPr>
                <w:rFonts w:hint="eastAsia" w:ascii="宋体" w:hAnsi="宋体" w:eastAsia="宋体" w:cs="宋体"/>
                <w:sz w:val="24"/>
                <w:szCs w:val="24"/>
              </w:rPr>
              <w:t>集成服务</w:t>
            </w:r>
          </w:p>
        </w:tc>
        <w:tc>
          <w:tcPr>
            <w:tcW w:w="1450" w:type="dxa"/>
            <w:vAlign w:val="center"/>
          </w:tcPr>
          <w:p w14:paraId="381352DA">
            <w:pPr>
              <w:pStyle w:val="53"/>
              <w:spacing w:line="360" w:lineRule="auto"/>
              <w:rPr>
                <w:rFonts w:hint="eastAsia" w:ascii="宋体" w:hAnsi="宋体" w:eastAsia="宋体" w:cs="宋体"/>
                <w:sz w:val="24"/>
                <w:szCs w:val="24"/>
              </w:rPr>
            </w:pPr>
            <w:r>
              <w:rPr>
                <w:rFonts w:hint="eastAsia" w:ascii="宋体" w:hAnsi="宋体" w:eastAsia="宋体" w:cs="宋体"/>
                <w:color w:val="000000"/>
                <w:sz w:val="24"/>
                <w:szCs w:val="24"/>
              </w:rPr>
              <w:t>江苏永嘉/江苏</w:t>
            </w:r>
          </w:p>
        </w:tc>
        <w:tc>
          <w:tcPr>
            <w:tcW w:w="1536" w:type="dxa"/>
            <w:vAlign w:val="center"/>
          </w:tcPr>
          <w:p w14:paraId="585E5973">
            <w:pPr>
              <w:pStyle w:val="53"/>
              <w:spacing w:line="360" w:lineRule="auto"/>
              <w:jc w:val="center"/>
              <w:rPr>
                <w:rFonts w:hint="eastAsia" w:ascii="宋体" w:hAnsi="宋体" w:eastAsia="宋体" w:cs="宋体"/>
                <w:sz w:val="24"/>
                <w:szCs w:val="24"/>
                <w:lang w:val="en-US" w:eastAsia="zh-CN"/>
              </w:rPr>
            </w:pPr>
            <w:r>
              <w:rPr>
                <w:rFonts w:hint="eastAsia" w:hAnsi="宋体" w:eastAsia="宋体" w:cs="宋体"/>
                <w:sz w:val="24"/>
                <w:szCs w:val="24"/>
                <w:lang w:val="en-US" w:eastAsia="zh-CN"/>
              </w:rPr>
              <w:t>/</w:t>
            </w:r>
          </w:p>
        </w:tc>
        <w:tc>
          <w:tcPr>
            <w:tcW w:w="786" w:type="dxa"/>
            <w:vAlign w:val="center"/>
          </w:tcPr>
          <w:p w14:paraId="369A6BF7">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项</w:t>
            </w:r>
          </w:p>
        </w:tc>
        <w:tc>
          <w:tcPr>
            <w:tcW w:w="800" w:type="dxa"/>
            <w:vAlign w:val="center"/>
          </w:tcPr>
          <w:p w14:paraId="5D2CBEBE">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412" w:type="dxa"/>
            <w:vAlign w:val="center"/>
          </w:tcPr>
          <w:p w14:paraId="189E5AF7">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0.00</w:t>
            </w:r>
          </w:p>
        </w:tc>
        <w:tc>
          <w:tcPr>
            <w:tcW w:w="1589" w:type="dxa"/>
            <w:vAlign w:val="center"/>
          </w:tcPr>
          <w:p w14:paraId="0E146457">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0.00</w:t>
            </w:r>
          </w:p>
        </w:tc>
      </w:tr>
      <w:tr w14:paraId="47DD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6B135474">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1595" w:type="dxa"/>
            <w:vAlign w:val="center"/>
          </w:tcPr>
          <w:p w14:paraId="5F9BD70E">
            <w:pPr>
              <w:pStyle w:val="53"/>
              <w:spacing w:line="360" w:lineRule="auto"/>
              <w:rPr>
                <w:rFonts w:hint="eastAsia" w:ascii="宋体" w:hAnsi="宋体" w:eastAsia="宋体" w:cs="宋体"/>
                <w:sz w:val="24"/>
                <w:szCs w:val="24"/>
              </w:rPr>
            </w:pPr>
            <w:r>
              <w:rPr>
                <w:rFonts w:hint="eastAsia" w:ascii="宋体" w:hAnsi="宋体" w:eastAsia="宋体" w:cs="宋体"/>
                <w:sz w:val="24"/>
                <w:szCs w:val="24"/>
              </w:rPr>
              <w:t>PACS数据迁移服务</w:t>
            </w:r>
          </w:p>
        </w:tc>
        <w:tc>
          <w:tcPr>
            <w:tcW w:w="1450" w:type="dxa"/>
            <w:vAlign w:val="center"/>
          </w:tcPr>
          <w:p w14:paraId="78962A18">
            <w:pPr>
              <w:pStyle w:val="53"/>
              <w:spacing w:line="360" w:lineRule="auto"/>
              <w:rPr>
                <w:rFonts w:hint="eastAsia" w:ascii="宋体" w:hAnsi="宋体" w:eastAsia="宋体" w:cs="宋体"/>
                <w:sz w:val="24"/>
                <w:szCs w:val="24"/>
              </w:rPr>
            </w:pPr>
            <w:r>
              <w:rPr>
                <w:rFonts w:hint="eastAsia" w:ascii="宋体" w:hAnsi="宋体" w:eastAsia="宋体" w:cs="宋体"/>
                <w:color w:val="000000"/>
                <w:sz w:val="24"/>
                <w:szCs w:val="24"/>
              </w:rPr>
              <w:t>江苏永嘉/江苏</w:t>
            </w:r>
          </w:p>
        </w:tc>
        <w:tc>
          <w:tcPr>
            <w:tcW w:w="1536" w:type="dxa"/>
            <w:vAlign w:val="center"/>
          </w:tcPr>
          <w:p w14:paraId="33D9DE25">
            <w:pPr>
              <w:pStyle w:val="53"/>
              <w:spacing w:line="360" w:lineRule="auto"/>
              <w:jc w:val="center"/>
              <w:rPr>
                <w:rFonts w:hint="eastAsia" w:ascii="宋体" w:hAnsi="宋体" w:eastAsia="宋体" w:cs="宋体"/>
                <w:sz w:val="24"/>
                <w:szCs w:val="24"/>
                <w:lang w:val="en-US" w:eastAsia="zh-CN"/>
              </w:rPr>
            </w:pPr>
            <w:r>
              <w:rPr>
                <w:rFonts w:hint="eastAsia" w:hAnsi="宋体" w:eastAsia="宋体" w:cs="宋体"/>
                <w:sz w:val="24"/>
                <w:szCs w:val="24"/>
                <w:lang w:val="en-US" w:eastAsia="zh-CN"/>
              </w:rPr>
              <w:t>/</w:t>
            </w:r>
          </w:p>
        </w:tc>
        <w:tc>
          <w:tcPr>
            <w:tcW w:w="786" w:type="dxa"/>
            <w:vAlign w:val="center"/>
          </w:tcPr>
          <w:p w14:paraId="482BFBFF">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项</w:t>
            </w:r>
          </w:p>
        </w:tc>
        <w:tc>
          <w:tcPr>
            <w:tcW w:w="800" w:type="dxa"/>
            <w:vAlign w:val="center"/>
          </w:tcPr>
          <w:p w14:paraId="5A6F3536">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412" w:type="dxa"/>
            <w:vAlign w:val="center"/>
          </w:tcPr>
          <w:p w14:paraId="77592EB5">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0.00</w:t>
            </w:r>
          </w:p>
        </w:tc>
        <w:tc>
          <w:tcPr>
            <w:tcW w:w="1589" w:type="dxa"/>
            <w:vAlign w:val="center"/>
          </w:tcPr>
          <w:p w14:paraId="3361CAA5">
            <w:pPr>
              <w:pStyle w:val="53"/>
              <w:spacing w:line="360" w:lineRule="auto"/>
              <w:jc w:val="center"/>
              <w:rPr>
                <w:rFonts w:hint="eastAsia" w:ascii="宋体" w:hAnsi="宋体" w:eastAsia="宋体" w:cs="宋体"/>
                <w:sz w:val="24"/>
                <w:szCs w:val="24"/>
              </w:rPr>
            </w:pPr>
            <w:r>
              <w:rPr>
                <w:rFonts w:hint="eastAsia" w:ascii="宋体" w:hAnsi="宋体" w:eastAsia="宋体" w:cs="宋体"/>
                <w:sz w:val="24"/>
                <w:szCs w:val="24"/>
              </w:rPr>
              <w:t>0.00</w:t>
            </w:r>
          </w:p>
        </w:tc>
      </w:tr>
      <w:tr w14:paraId="33C8A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9916" w:type="dxa"/>
            <w:gridSpan w:val="8"/>
            <w:vAlign w:val="center"/>
          </w:tcPr>
          <w:p w14:paraId="6328EAE8">
            <w:pPr>
              <w:pStyle w:val="53"/>
              <w:spacing w:line="360" w:lineRule="auto"/>
              <w:ind w:firstLine="600"/>
              <w:jc w:val="center"/>
              <w:rPr>
                <w:rFonts w:hint="eastAsia" w:ascii="宋体" w:hAnsi="宋体" w:eastAsia="宋体" w:cs="宋体"/>
                <w:sz w:val="24"/>
                <w:szCs w:val="24"/>
              </w:rPr>
            </w:pPr>
            <w:r>
              <w:rPr>
                <w:rFonts w:hint="eastAsia" w:ascii="宋体" w:hAnsi="宋体" w:eastAsia="宋体" w:cs="宋体"/>
                <w:color w:val="auto"/>
                <w:sz w:val="24"/>
                <w:szCs w:val="24"/>
                <w:lang w:val="zh-CN" w:eastAsia="zh-CN" w:bidi="ar-SA"/>
              </w:rPr>
              <w:t>合同总价（人民币大写）</w:t>
            </w:r>
            <w:r>
              <w:rPr>
                <w:rFonts w:hint="eastAsia" w:ascii="宋体" w:hAnsi="宋体" w:eastAsia="宋体" w:cs="宋体"/>
                <w:sz w:val="24"/>
                <w:szCs w:val="24"/>
              </w:rPr>
              <w:t>：壹佰玖拾万元整</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含税</w:t>
            </w:r>
            <w:r>
              <w:rPr>
                <w:rFonts w:hint="eastAsia" w:ascii="宋体" w:hAnsi="宋体" w:eastAsia="宋体" w:cs="宋体"/>
                <w:sz w:val="24"/>
                <w:szCs w:val="24"/>
                <w:lang w:eastAsia="zh-CN"/>
              </w:rPr>
              <w:t>）</w:t>
            </w:r>
            <w:r>
              <w:rPr>
                <w:rFonts w:hint="eastAsia" w:ascii="宋体" w:hAnsi="宋体" w:eastAsia="宋体" w:cs="宋体"/>
                <w:color w:val="auto"/>
                <w:sz w:val="24"/>
                <w:szCs w:val="24"/>
                <w:lang w:val="zh-CN" w:eastAsia="zh-CN" w:bidi="ar-SA"/>
              </w:rPr>
              <w:t>（小写）：</w:t>
            </w:r>
            <w:r>
              <w:rPr>
                <w:rFonts w:hint="eastAsia" w:ascii="宋体" w:hAnsi="宋体" w:eastAsia="宋体" w:cs="宋体"/>
                <w:sz w:val="24"/>
                <w:szCs w:val="24"/>
              </w:rPr>
              <w:t>￥1900000.00</w:t>
            </w:r>
          </w:p>
        </w:tc>
      </w:tr>
    </w:tbl>
    <w:p w14:paraId="2DA1E35E">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2、下列文件为本合同不可分割部分（与本合同具有同等法律效力）：</w:t>
      </w:r>
    </w:p>
    <w:p w14:paraId="3145E3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①招投标文件及中标通知书；</w:t>
      </w:r>
    </w:p>
    <w:p w14:paraId="36976A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②</w:t>
      </w:r>
      <w:r>
        <w:rPr>
          <w:rFonts w:hint="eastAsia" w:ascii="宋体" w:hAnsi="宋体" w:eastAsia="宋体" w:cs="宋体"/>
          <w:color w:val="auto"/>
          <w:sz w:val="24"/>
          <w:szCs w:val="24"/>
          <w:lang w:val="en-US" w:eastAsia="zh-CN" w:bidi="ar-SA"/>
        </w:rPr>
        <w:t>标的物</w:t>
      </w:r>
      <w:r>
        <w:rPr>
          <w:rFonts w:hint="eastAsia" w:ascii="宋体" w:hAnsi="宋体" w:eastAsia="宋体" w:cs="宋体"/>
          <w:color w:val="auto"/>
          <w:sz w:val="24"/>
          <w:szCs w:val="24"/>
          <w:lang w:val="zh-CN" w:eastAsia="zh-CN" w:bidi="ar-SA"/>
        </w:rPr>
        <w:t>详细参数；</w:t>
      </w:r>
    </w:p>
    <w:p w14:paraId="2FBBE5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③合同其他附件。</w:t>
      </w:r>
    </w:p>
    <w:p w14:paraId="0E53DB0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二、价格与支付：</w:t>
      </w:r>
    </w:p>
    <w:p w14:paraId="1D8F61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1、合同价格按此次成交价格执行，合同总金额为人民币大写：</w:t>
      </w:r>
      <w:r>
        <w:rPr>
          <w:rFonts w:hint="eastAsia" w:ascii="宋体" w:hAnsi="宋体" w:cs="宋体"/>
          <w:color w:val="auto"/>
          <w:sz w:val="24"/>
          <w:szCs w:val="24"/>
          <w:u w:val="single"/>
          <w:lang w:val="en-US" w:eastAsia="zh-CN" w:bidi="ar-SA"/>
        </w:rPr>
        <w:t>壹佰玖拾万元整</w:t>
      </w:r>
      <w:r>
        <w:rPr>
          <w:rFonts w:hint="eastAsia" w:ascii="宋体" w:hAnsi="宋体" w:eastAsia="宋体" w:cs="宋体"/>
          <w:color w:val="auto"/>
          <w:sz w:val="24"/>
          <w:szCs w:val="24"/>
          <w:lang w:val="zh-CN" w:eastAsia="zh-CN" w:bidi="ar-SA"/>
        </w:rPr>
        <w:t>（</w:t>
      </w:r>
      <w:r>
        <w:rPr>
          <w:rFonts w:hint="eastAsia" w:ascii="宋体" w:hAnsi="宋体" w:eastAsia="宋体" w:cs="宋体"/>
          <w:color w:val="auto"/>
          <w:sz w:val="24"/>
          <w:szCs w:val="24"/>
          <w:lang w:eastAsia="zh-CN" w:bidi="ar-SA"/>
        </w:rPr>
        <w:t>含税</w:t>
      </w:r>
      <w:r>
        <w:rPr>
          <w:rFonts w:hint="eastAsia" w:ascii="宋体" w:hAnsi="宋体" w:eastAsia="宋体" w:cs="宋体"/>
          <w:color w:val="auto"/>
          <w:sz w:val="24"/>
          <w:szCs w:val="24"/>
          <w:lang w:val="zh-CN" w:eastAsia="zh-CN" w:bidi="ar-SA"/>
        </w:rPr>
        <w:t>）（小写：￥</w:t>
      </w:r>
      <w:r>
        <w:rPr>
          <w:rFonts w:hint="eastAsia" w:ascii="宋体" w:hAnsi="宋体" w:cs="宋体"/>
          <w:color w:val="auto"/>
          <w:sz w:val="24"/>
          <w:szCs w:val="24"/>
          <w:u w:val="single"/>
          <w:lang w:val="en-US" w:eastAsia="zh-CN" w:bidi="ar-SA"/>
        </w:rPr>
        <w:t>1900000.00</w:t>
      </w:r>
      <w:r>
        <w:rPr>
          <w:rFonts w:hint="eastAsia" w:ascii="宋体" w:hAnsi="宋体" w:eastAsia="宋体" w:cs="宋体"/>
          <w:color w:val="auto"/>
          <w:sz w:val="24"/>
          <w:szCs w:val="24"/>
          <w:lang w:val="zh-CN" w:eastAsia="zh-CN" w:bidi="ar-SA"/>
        </w:rPr>
        <w:t>），包括但不限于本合同所涉全部设备、辅助材料、安装、调试、培训、验收、人工、机械、运输、仓储、保险、运费、各种税费、劳保、与现有/后期设备对接费、专利技术及质保期间等一切费用；甲方无须支付其他任何费用。</w:t>
      </w:r>
    </w:p>
    <w:p w14:paraId="77A7D0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2、付款方式：（由乙方进行勾选）</w:t>
      </w:r>
    </w:p>
    <w:p w14:paraId="23E199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A、□在签订合同时，乙方明确表示需要甲方支付预付款的</w:t>
      </w:r>
    </w:p>
    <w:p w14:paraId="7E9CDC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采购合同签订生效后，甲方在10个工作日内向乙方支付合同金额30%的预付款。待全部货物到达甲方指定地点并安装</w:t>
      </w:r>
      <w:r>
        <w:rPr>
          <w:rFonts w:hint="eastAsia" w:ascii="宋体" w:hAnsi="宋体" w:eastAsia="宋体" w:cs="宋体"/>
          <w:color w:val="auto"/>
          <w:sz w:val="24"/>
          <w:szCs w:val="24"/>
          <w:highlight w:val="none"/>
          <w:lang w:val="en-US" w:eastAsia="zh-CN" w:bidi="ar-SA"/>
        </w:rPr>
        <w:t>调试</w:t>
      </w:r>
      <w:r>
        <w:rPr>
          <w:rFonts w:hint="eastAsia" w:ascii="宋体" w:hAnsi="宋体" w:eastAsia="宋体" w:cs="宋体"/>
          <w:color w:val="auto"/>
          <w:sz w:val="24"/>
          <w:szCs w:val="24"/>
          <w:highlight w:val="none"/>
          <w:lang w:val="zh-CN" w:eastAsia="zh-CN" w:bidi="ar-SA"/>
        </w:rPr>
        <w:t>结束，经甲方最终验收合格，并由乙方提前向甲方提供下列单据（a、b）后</w:t>
      </w:r>
      <w:r>
        <w:rPr>
          <w:rFonts w:hint="eastAsia" w:ascii="宋体" w:hAnsi="宋体" w:eastAsia="宋体" w:cs="宋体"/>
          <w:color w:val="auto"/>
          <w:sz w:val="24"/>
          <w:szCs w:val="24"/>
          <w:highlight w:val="none"/>
          <w:lang w:eastAsia="zh-CN" w:bidi="ar-SA"/>
        </w:rPr>
        <w:t>15</w:t>
      </w:r>
      <w:r>
        <w:rPr>
          <w:rFonts w:hint="eastAsia" w:ascii="宋体" w:hAnsi="宋体" w:eastAsia="宋体" w:cs="宋体"/>
          <w:color w:val="auto"/>
          <w:sz w:val="24"/>
          <w:szCs w:val="24"/>
          <w:highlight w:val="none"/>
          <w:lang w:val="zh-CN" w:eastAsia="zh-CN" w:bidi="ar-SA"/>
        </w:rPr>
        <w:t>日内，无任何异议情形下由甲方向乙方一次性付至合同总价90%，余10%在验收合格满一年后由甲方在</w:t>
      </w:r>
      <w:r>
        <w:rPr>
          <w:rFonts w:hint="eastAsia" w:ascii="宋体" w:hAnsi="宋体" w:eastAsia="宋体" w:cs="宋体"/>
          <w:color w:val="auto"/>
          <w:sz w:val="24"/>
          <w:szCs w:val="24"/>
          <w:highlight w:val="none"/>
          <w:lang w:eastAsia="zh-CN" w:bidi="ar-SA"/>
        </w:rPr>
        <w:t>15</w:t>
      </w:r>
      <w:r>
        <w:rPr>
          <w:rFonts w:hint="eastAsia" w:ascii="宋体" w:hAnsi="宋体" w:eastAsia="宋体" w:cs="宋体"/>
          <w:color w:val="auto"/>
          <w:sz w:val="24"/>
          <w:szCs w:val="24"/>
          <w:highlight w:val="none"/>
          <w:lang w:val="zh-CN" w:eastAsia="zh-CN" w:bidi="ar-SA"/>
        </w:rPr>
        <w:t>日内向乙方一次性付清。</w:t>
      </w:r>
    </w:p>
    <w:p w14:paraId="139B23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B、</w:t>
      </w:r>
      <w:r>
        <w:rPr>
          <w:rFonts w:hint="eastAsia" w:ascii="宋体" w:hAnsi="宋体" w:cs="宋体"/>
          <w:color w:val="auto"/>
          <w:sz w:val="24"/>
          <w:szCs w:val="24"/>
          <w:lang w:val="zh-CN" w:eastAsia="zh-CN" w:bidi="ar-SA"/>
        </w:rPr>
        <w:t>☑</w:t>
      </w:r>
      <w:r>
        <w:rPr>
          <w:rFonts w:hint="eastAsia" w:ascii="宋体" w:hAnsi="宋体" w:eastAsia="宋体" w:cs="宋体"/>
          <w:color w:val="auto"/>
          <w:sz w:val="24"/>
          <w:szCs w:val="24"/>
          <w:lang w:val="zh-CN" w:eastAsia="zh-CN" w:bidi="ar-SA"/>
        </w:rPr>
        <w:t>在签订合同时，乙方明确表示无需甲方支付预付款的</w:t>
      </w:r>
    </w:p>
    <w:p w14:paraId="30DD4802">
      <w:pPr>
        <w:numPr>
          <w:ilvl w:val="0"/>
          <w:numId w:val="0"/>
        </w:numPr>
        <w:spacing w:line="360" w:lineRule="auto"/>
        <w:ind w:firstLine="480" w:firstLineChars="200"/>
        <w:rPr>
          <w:rFonts w:hint="eastAsia" w:ascii="宋体" w:hAnsi="宋体" w:eastAsia="宋体" w:cs="宋体"/>
          <w:color w:val="000000"/>
          <w:kern w:val="0"/>
          <w:szCs w:val="21"/>
          <w:highlight w:val="none"/>
          <w:lang w:val="en-US" w:eastAsia="zh-CN"/>
        </w:rPr>
      </w:pPr>
      <w:r>
        <w:rPr>
          <w:rFonts w:hint="default" w:ascii="宋体" w:hAnsi="宋体" w:eastAsia="宋体" w:cs="宋体"/>
          <w:strike w:val="0"/>
          <w:dstrike w:val="0"/>
          <w:color w:val="000000"/>
          <w:kern w:val="0"/>
          <w:sz w:val="24"/>
          <w:szCs w:val="21"/>
          <w:lang w:val="en-US" w:eastAsia="zh-CN" w:bidi="ar-SA"/>
        </w:rPr>
        <w:t>1、</w:t>
      </w:r>
      <w:r>
        <w:rPr>
          <w:rFonts w:hint="eastAsia" w:ascii="宋体" w:hAnsi="宋体" w:eastAsia="宋体" w:cs="宋体"/>
          <w:color w:val="000000"/>
          <w:kern w:val="0"/>
          <w:szCs w:val="21"/>
          <w:highlight w:val="none"/>
          <w:lang w:val="zh-CN" w:eastAsia="zh-CN"/>
        </w:rPr>
        <w:t>采购合同签订生效后，</w:t>
      </w:r>
      <w:r>
        <w:rPr>
          <w:rFonts w:hint="eastAsia" w:ascii="宋体" w:hAnsi="宋体" w:eastAsia="宋体" w:cs="宋体"/>
          <w:color w:val="000000"/>
          <w:kern w:val="0"/>
          <w:szCs w:val="21"/>
          <w:highlight w:val="none"/>
          <w:lang w:val="en-US" w:eastAsia="zh-CN"/>
        </w:rPr>
        <w:t>乙方</w:t>
      </w:r>
      <w:r>
        <w:rPr>
          <w:rFonts w:hint="eastAsia" w:ascii="宋体" w:hAnsi="宋体" w:eastAsia="宋体" w:cs="宋体"/>
          <w:color w:val="000000"/>
          <w:kern w:val="0"/>
          <w:szCs w:val="21"/>
          <w:highlight w:val="none"/>
          <w:lang w:val="zh-CN" w:eastAsia="zh-CN"/>
        </w:rPr>
        <w:t>完成</w:t>
      </w:r>
      <w:r>
        <w:rPr>
          <w:rFonts w:hint="eastAsia" w:ascii="宋体" w:hAnsi="宋体" w:eastAsia="宋体" w:cs="宋体"/>
          <w:color w:val="000000"/>
          <w:kern w:val="0"/>
          <w:szCs w:val="21"/>
          <w:highlight w:val="none"/>
          <w:lang w:val="en-US" w:eastAsia="zh-CN"/>
        </w:rPr>
        <w:t>全部</w:t>
      </w:r>
      <w:r>
        <w:rPr>
          <w:rFonts w:hint="eastAsia" w:ascii="宋体" w:hAnsi="宋体" w:eastAsia="宋体" w:cs="宋体"/>
          <w:color w:val="000000"/>
          <w:kern w:val="0"/>
          <w:szCs w:val="21"/>
          <w:highlight w:val="none"/>
          <w:lang w:val="zh-CN" w:eastAsia="zh-CN"/>
        </w:rPr>
        <w:t>供货并安装</w:t>
      </w:r>
      <w:r>
        <w:rPr>
          <w:rFonts w:hint="eastAsia" w:ascii="宋体" w:hAnsi="宋体" w:eastAsia="宋体" w:cs="宋体"/>
          <w:color w:val="000000"/>
          <w:kern w:val="0"/>
          <w:szCs w:val="21"/>
          <w:highlight w:val="none"/>
          <w:lang w:val="en-US" w:eastAsia="zh-CN"/>
        </w:rPr>
        <w:t>调试</w:t>
      </w:r>
      <w:r>
        <w:rPr>
          <w:rFonts w:hint="eastAsia" w:ascii="宋体" w:hAnsi="宋体" w:eastAsia="宋体" w:cs="宋体"/>
          <w:color w:val="000000"/>
          <w:kern w:val="0"/>
          <w:szCs w:val="21"/>
          <w:highlight w:val="none"/>
          <w:lang w:val="zh-CN" w:eastAsia="zh-CN"/>
        </w:rPr>
        <w:t>结束，</w:t>
      </w:r>
      <w:r>
        <w:rPr>
          <w:rFonts w:hint="eastAsia" w:ascii="宋体" w:hAnsi="宋体" w:eastAsia="宋体" w:cs="宋体"/>
          <w:color w:val="000000"/>
          <w:kern w:val="0"/>
          <w:szCs w:val="21"/>
          <w:highlight w:val="none"/>
          <w:lang w:val="en-US" w:eastAsia="zh-CN"/>
        </w:rPr>
        <w:t>在乙方向甲方提供下列单据（a、b）后30日内，无任何异议情况下甲方向乙方一次支付合同货款总价的30%；试运行完成，项目通过整体验收合格并交付使用后，由乙方提前向甲方提供下列单据（b、c、d）后30日内，无任何异议情况下由甲方向乙方支付合同货款总价的60%；整个项目验收合格且正常运行12个月后无质量问题，甲方向乙方支付本项目合同总价的10%。</w:t>
      </w:r>
    </w:p>
    <w:p w14:paraId="31C4B536">
      <w:pPr>
        <w:numPr>
          <w:ilvl w:val="0"/>
          <w:numId w:val="0"/>
        </w:numPr>
        <w:spacing w:line="360" w:lineRule="auto"/>
        <w:ind w:firstLine="480" w:firstLineChars="200"/>
        <w:rPr>
          <w:rFonts w:hint="eastAsia" w:ascii="宋体" w:hAnsi="宋体" w:eastAsia="宋体" w:cs="宋体"/>
          <w:color w:val="000000"/>
          <w:kern w:val="0"/>
          <w:szCs w:val="21"/>
          <w:highlight w:val="none"/>
          <w:lang w:val="en-US" w:eastAsia="zh-CN"/>
        </w:rPr>
      </w:pPr>
      <w:r>
        <w:rPr>
          <w:rFonts w:hint="default" w:ascii="宋体" w:hAnsi="宋体" w:eastAsia="宋体" w:cs="宋体"/>
          <w:strike w:val="0"/>
          <w:dstrike w:val="0"/>
          <w:color w:val="000000"/>
          <w:kern w:val="0"/>
          <w:sz w:val="24"/>
          <w:szCs w:val="21"/>
          <w:lang w:val="en-US" w:eastAsia="zh-CN" w:bidi="ar-SA"/>
        </w:rPr>
        <w:t>2、</w:t>
      </w:r>
      <w:r>
        <w:rPr>
          <w:rFonts w:hint="eastAsia" w:ascii="宋体" w:hAnsi="宋体" w:eastAsia="宋体" w:cs="宋体"/>
          <w:color w:val="000000"/>
          <w:kern w:val="0"/>
          <w:szCs w:val="21"/>
          <w:highlight w:val="none"/>
          <w:lang w:val="en-US" w:eastAsia="zh-CN"/>
        </w:rPr>
        <w:t>乙方在申请付款时向甲方提供以下凭据：</w:t>
      </w:r>
    </w:p>
    <w:p w14:paraId="4F81ABB2">
      <w:pPr>
        <w:numPr>
          <w:ilvl w:val="0"/>
          <w:numId w:val="0"/>
        </w:numPr>
        <w:spacing w:line="360" w:lineRule="auto"/>
        <w:ind w:firstLine="480" w:firstLineChars="200"/>
        <w:rPr>
          <w:rFonts w:hint="eastAsia" w:ascii="宋体" w:hAnsi="宋体" w:eastAsia="宋体" w:cs="宋体"/>
          <w:color w:val="000000"/>
          <w:kern w:val="0"/>
          <w:szCs w:val="21"/>
          <w:highlight w:val="none"/>
          <w:lang w:val="zh-CN" w:eastAsia="zh-CN"/>
        </w:rPr>
      </w:pPr>
      <w:r>
        <w:rPr>
          <w:rFonts w:hint="eastAsia" w:ascii="宋体" w:hAnsi="宋体" w:eastAsia="宋体" w:cs="宋体"/>
          <w:color w:val="000000"/>
          <w:kern w:val="0"/>
          <w:szCs w:val="21"/>
          <w:highlight w:val="none"/>
          <w:lang w:val="zh-CN" w:eastAsia="zh-CN"/>
        </w:rPr>
        <w:t>a、《初验报告》；</w:t>
      </w:r>
    </w:p>
    <w:p w14:paraId="29DE6CB8">
      <w:pPr>
        <w:numPr>
          <w:ilvl w:val="0"/>
          <w:numId w:val="0"/>
        </w:numPr>
        <w:spacing w:line="360" w:lineRule="auto"/>
        <w:ind w:firstLine="480" w:firstLineChars="200"/>
        <w:rPr>
          <w:rFonts w:hint="eastAsia" w:ascii="宋体" w:hAnsi="宋体" w:eastAsia="宋体" w:cs="宋体"/>
          <w:color w:val="000000"/>
          <w:kern w:val="0"/>
          <w:szCs w:val="21"/>
          <w:highlight w:val="none"/>
          <w:lang w:val="zh-CN" w:eastAsia="zh-CN"/>
        </w:rPr>
      </w:pPr>
      <w:r>
        <w:rPr>
          <w:rFonts w:hint="eastAsia" w:ascii="宋体" w:hAnsi="宋体" w:eastAsia="宋体" w:cs="宋体"/>
          <w:color w:val="000000"/>
          <w:kern w:val="0"/>
          <w:szCs w:val="21"/>
          <w:highlight w:val="none"/>
          <w:lang w:val="zh-CN" w:eastAsia="zh-CN"/>
        </w:rPr>
        <w:t>b、符合甲方财务要求开具的合法正规的增值税普通发票；</w:t>
      </w:r>
    </w:p>
    <w:p w14:paraId="0C35A771">
      <w:pPr>
        <w:numPr>
          <w:ilvl w:val="0"/>
          <w:numId w:val="0"/>
        </w:numPr>
        <w:spacing w:line="360" w:lineRule="auto"/>
        <w:ind w:firstLine="480" w:firstLineChars="200"/>
        <w:rPr>
          <w:rFonts w:hint="eastAsia" w:ascii="宋体" w:hAnsi="宋体" w:eastAsia="宋体" w:cs="宋体"/>
          <w:color w:val="000000"/>
          <w:kern w:val="0"/>
          <w:szCs w:val="21"/>
          <w:highlight w:val="none"/>
          <w:lang w:val="zh-CN" w:eastAsia="zh-CN"/>
        </w:rPr>
      </w:pPr>
      <w:r>
        <w:rPr>
          <w:rFonts w:hint="eastAsia" w:ascii="宋体" w:hAnsi="宋体" w:eastAsia="宋体" w:cs="宋体"/>
          <w:color w:val="000000"/>
          <w:kern w:val="0"/>
          <w:szCs w:val="21"/>
          <w:highlight w:val="none"/>
          <w:lang w:val="zh-CN" w:eastAsia="zh-CN"/>
        </w:rPr>
        <w:t>c、《项目验收报告》；</w:t>
      </w:r>
    </w:p>
    <w:p w14:paraId="6939FD08">
      <w:pPr>
        <w:numPr>
          <w:ilvl w:val="0"/>
          <w:numId w:val="0"/>
        </w:numPr>
        <w:spacing w:line="360" w:lineRule="auto"/>
        <w:ind w:firstLine="480" w:firstLineChars="200"/>
        <w:rPr>
          <w:rFonts w:hint="eastAsia" w:ascii="宋体" w:hAnsi="宋体" w:eastAsia="宋体" w:cs="宋体"/>
          <w:color w:val="000000"/>
          <w:kern w:val="0"/>
          <w:szCs w:val="21"/>
          <w:highlight w:val="none"/>
          <w:lang w:val="zh-CN" w:eastAsia="zh-CN"/>
        </w:rPr>
      </w:pPr>
      <w:r>
        <w:rPr>
          <w:rFonts w:hint="eastAsia" w:ascii="宋体" w:hAnsi="宋体" w:eastAsia="宋体" w:cs="宋体"/>
          <w:color w:val="000000"/>
          <w:kern w:val="0"/>
          <w:szCs w:val="21"/>
          <w:highlight w:val="none"/>
          <w:lang w:val="zh-CN" w:eastAsia="zh-CN"/>
        </w:rPr>
        <w:t>d、其他（若有）。</w:t>
      </w:r>
    </w:p>
    <w:p w14:paraId="2E5D720C">
      <w:pPr>
        <w:numPr>
          <w:ilvl w:val="0"/>
          <w:numId w:val="0"/>
        </w:numPr>
        <w:spacing w:line="360" w:lineRule="auto"/>
        <w:ind w:firstLine="480" w:firstLineChars="200"/>
        <w:rPr>
          <w:rFonts w:hint="eastAsia" w:ascii="宋体" w:hAnsi="宋体" w:eastAsia="宋体" w:cs="宋体"/>
          <w:color w:val="000000"/>
          <w:kern w:val="0"/>
          <w:szCs w:val="21"/>
          <w:highlight w:val="none"/>
          <w:lang w:val="zh-CN" w:eastAsia="zh-CN"/>
        </w:rPr>
      </w:pPr>
      <w:r>
        <w:rPr>
          <w:rFonts w:hint="eastAsia" w:ascii="宋体" w:hAnsi="宋体" w:eastAsia="宋体" w:cs="宋体"/>
          <w:color w:val="000000"/>
          <w:kern w:val="0"/>
          <w:szCs w:val="21"/>
          <w:highlight w:val="none"/>
          <w:lang w:val="zh-CN" w:eastAsia="zh-CN"/>
        </w:rPr>
        <w:t>3、付款方式：银行汇票或转</w:t>
      </w:r>
      <w:r>
        <w:rPr>
          <w:rFonts w:hint="eastAsia" w:ascii="宋体" w:hAnsi="宋体" w:cs="宋体"/>
          <w:color w:val="000000"/>
          <w:kern w:val="0"/>
          <w:szCs w:val="21"/>
          <w:highlight w:val="none"/>
          <w:lang w:val="en-US" w:eastAsia="zh-CN"/>
        </w:rPr>
        <w:t>账</w:t>
      </w:r>
      <w:r>
        <w:rPr>
          <w:rFonts w:hint="eastAsia" w:ascii="宋体" w:hAnsi="宋体" w:eastAsia="宋体" w:cs="宋体"/>
          <w:color w:val="000000"/>
          <w:kern w:val="0"/>
          <w:szCs w:val="21"/>
          <w:highlight w:val="none"/>
          <w:lang w:val="zh-CN" w:eastAsia="zh-CN"/>
        </w:rPr>
        <w:t>支票。</w:t>
      </w:r>
    </w:p>
    <w:p w14:paraId="53E126D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三、质量与验收：</w:t>
      </w:r>
    </w:p>
    <w:p w14:paraId="39A7A4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1、乙方应按照招投标文件的相关要求招投标文件提供合格产品；</w:t>
      </w:r>
    </w:p>
    <w:p w14:paraId="18AE34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2、产品质量出现问题或使用过程中出现故障等，乙方负责及时包修、包退、包换或全新替代设备、确保甲方正常运营，费用均由乙方承担；</w:t>
      </w:r>
    </w:p>
    <w:p w14:paraId="5B1BD6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3、产品的验收包括：数量、外观、质量、性能、质保单、品牌标志、包装和乙方承诺的其它指标；验收后使用阶段，甲方仍有权按本合同（一）合同一般条款</w:t>
      </w:r>
      <w:r>
        <w:rPr>
          <w:rFonts w:hint="eastAsia" w:ascii="宋体" w:hAnsi="宋体" w:eastAsia="宋体" w:cs="宋体"/>
          <w:color w:val="auto"/>
          <w:sz w:val="24"/>
          <w:szCs w:val="24"/>
          <w:lang w:eastAsia="zh-CN" w:bidi="ar-SA"/>
        </w:rPr>
        <w:t>中</w:t>
      </w:r>
      <w:r>
        <w:rPr>
          <w:rFonts w:hint="eastAsia" w:ascii="宋体" w:hAnsi="宋体" w:eastAsia="宋体" w:cs="宋体"/>
          <w:color w:val="auto"/>
          <w:sz w:val="24"/>
          <w:szCs w:val="24"/>
          <w:lang w:val="zh-CN" w:eastAsia="zh-CN" w:bidi="ar-SA"/>
        </w:rPr>
        <w:t>第二条及第四条等约定主张各项权利。</w:t>
      </w:r>
    </w:p>
    <w:p w14:paraId="62FE3B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4、验收标准：根据招投标文件要求及有关规定并按国家最新行业标准确保甲方验收通过；</w:t>
      </w:r>
    </w:p>
    <w:p w14:paraId="105B6A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cs="宋体"/>
          <w:color w:val="auto"/>
          <w:sz w:val="24"/>
          <w:szCs w:val="24"/>
          <w:lang w:val="en-US" w:eastAsia="zh-CN" w:bidi="ar-SA"/>
        </w:rPr>
        <w:t>5</w:t>
      </w:r>
      <w:r>
        <w:rPr>
          <w:rFonts w:hint="eastAsia" w:ascii="宋体" w:hAnsi="宋体" w:eastAsia="宋体" w:cs="宋体"/>
          <w:color w:val="auto"/>
          <w:sz w:val="24"/>
          <w:szCs w:val="24"/>
          <w:lang w:val="zh-CN" w:eastAsia="zh-CN" w:bidi="ar-SA"/>
        </w:rPr>
        <w:t>、验收时间：系统安装调试完成，并投入试运行1个月后无质量问题，30天内组织进行验收。特殊情况需延长的，双方应书面特别约定。</w:t>
      </w:r>
    </w:p>
    <w:p w14:paraId="27B020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cs="宋体"/>
          <w:color w:val="auto"/>
          <w:sz w:val="24"/>
          <w:szCs w:val="24"/>
          <w:lang w:val="en-US" w:eastAsia="zh-CN" w:bidi="ar-SA"/>
        </w:rPr>
        <w:t>6</w:t>
      </w:r>
      <w:r>
        <w:rPr>
          <w:rFonts w:hint="eastAsia" w:ascii="宋体" w:hAnsi="宋体" w:eastAsia="宋体" w:cs="宋体"/>
          <w:color w:val="auto"/>
          <w:sz w:val="24"/>
          <w:szCs w:val="24"/>
          <w:lang w:val="zh-CN" w:eastAsia="zh-CN" w:bidi="ar-SA"/>
        </w:rPr>
        <w:t>、乙方交付及验收前均应先用书面等方式通告甲方。</w:t>
      </w:r>
    </w:p>
    <w:p w14:paraId="2D124A3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四、售后服务</w:t>
      </w:r>
      <w:r>
        <w:rPr>
          <w:rFonts w:hint="eastAsia" w:ascii="宋体" w:hAnsi="宋体" w:eastAsia="宋体" w:cs="宋体"/>
          <w:color w:val="auto"/>
          <w:sz w:val="24"/>
          <w:szCs w:val="24"/>
          <w:lang w:val="zh-CN" w:eastAsia="zh-CN" w:bidi="ar-SA"/>
        </w:rPr>
        <w:t>（乙方承诺严格按招投标文件等“售后服务要求”提供全部服务；售后服务费用已包括在总费用内，甲方无须另行支付其他任何费用）</w:t>
      </w:r>
      <w:r>
        <w:rPr>
          <w:rFonts w:hint="eastAsia" w:ascii="宋体" w:hAnsi="宋体" w:eastAsia="宋体" w:cs="宋体"/>
          <w:b/>
          <w:bCs/>
          <w:color w:val="auto"/>
          <w:sz w:val="24"/>
          <w:szCs w:val="24"/>
          <w:lang w:val="zh-CN" w:eastAsia="zh-CN" w:bidi="ar-SA"/>
        </w:rPr>
        <w:t>：</w:t>
      </w:r>
    </w:p>
    <w:p w14:paraId="2A24C1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1、质保期：乙方承诺提供硬件原厂</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zh-CN" w:eastAsia="zh-CN" w:bidi="ar-SA"/>
        </w:rPr>
        <w:t>年质保及技术支持服务（质保期自甲方验收合格日起计算；合同期间若发生退回、维修或设备替换等情形，质保期自发生之日起，至标的物恢复正常使用之日止，停止计算。）在免费维护期内，乙方应成立专门的技术支持和售后服务小组，提供完善周到的本地化服务，提供7*24小时免费维修服务热线，设备一旦发生故障，报修后30分钟响应，48小时内到达现场，72小时内排除故障，72小时内无法排除故障的，须允诺提供备用设备，具体赔偿条件：72小时内设备未能修复、不能正常运行时，每超过1天免费质保期延长1周。</w:t>
      </w:r>
    </w:p>
    <w:p w14:paraId="294950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2、提供专业的技术培训（操作、维修），保证甲方操作人员正常使用设备的各项功能。</w:t>
      </w:r>
    </w:p>
    <w:p w14:paraId="05DF57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3、在质保期内，乙方承诺无偿并迅速更换由于元器件缺陷及工艺等问题而发生故障的产品，并对因维修、保养，更换零部件等所发生的一切费用，均由乙方承担。</w:t>
      </w:r>
    </w:p>
    <w:p w14:paraId="289147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4、如有其他项目需乙方配合完成，乙方须无条件派相关工程师现场配合，直至该项目完成，对此甲方无须承担任何费用。</w:t>
      </w:r>
    </w:p>
    <w:p w14:paraId="295ACB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5、设备如涉及配件、易损件等，乙方须向甲方在投标文件中详细提供设备涉及的所有配件、易损件名称、价格。成交后如出现未在投标文件所列的配件、易损件等，乙方均应负责免费使用或更换等，此报价5年内不得提高；配件的供给，乙方承诺给予保障8年以上。</w:t>
      </w:r>
    </w:p>
    <w:p w14:paraId="496FA2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6、质保期后维保价格不超过合同总价的</w:t>
      </w:r>
      <w:r>
        <w:rPr>
          <w:rFonts w:hint="eastAsia" w:ascii="宋体" w:hAnsi="宋体" w:cs="宋体"/>
          <w:color w:val="auto"/>
          <w:sz w:val="24"/>
          <w:szCs w:val="24"/>
          <w:highlight w:val="none"/>
          <w:lang w:val="en-US" w:eastAsia="zh-CN" w:bidi="ar-SA"/>
        </w:rPr>
        <w:t>4</w:t>
      </w:r>
      <w:r>
        <w:rPr>
          <w:rFonts w:hint="eastAsia" w:ascii="宋体" w:hAnsi="宋体" w:eastAsia="宋体" w:cs="宋体"/>
          <w:color w:val="auto"/>
          <w:sz w:val="24"/>
          <w:szCs w:val="24"/>
          <w:highlight w:val="none"/>
          <w:lang w:val="zh-CN" w:eastAsia="zh-CN" w:bidi="ar-SA"/>
        </w:rPr>
        <w:t>%；免费质保期后，甲方可以在任意年度或时间段购买、投保，没有连续续签的要求，乙方对此予以认可及接受、并承担设备更新迭代的相关费用。</w:t>
      </w:r>
    </w:p>
    <w:p w14:paraId="280E13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7、乙方应提供软件版本免费升级服务（在不涉及硬件情况下）。</w:t>
      </w:r>
    </w:p>
    <w:p w14:paraId="27A0A3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乙方不得以“密码”制约用户。如用户工作和维修需要，应无条件免费开放密码。</w:t>
      </w:r>
    </w:p>
    <w:p w14:paraId="056C4A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乙方产品对甲方以后设备、系统永久无偿开放。</w:t>
      </w:r>
    </w:p>
    <w:p w14:paraId="520134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如发生乙方怠于提供上述义务而导致甲方损失等,甲方有权要求乙方予以赔偿。</w:t>
      </w:r>
    </w:p>
    <w:p w14:paraId="74EDCA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特别约定：鉴于各类技术的快速发展以及甲方自身各类发展需求，乙方应无条件向甲方开放或提供各类端口或信息采集口，对此乙方予以再次确认且无权收取任何费用。如乙方不予配合，则甲方有权直接终止本合同并有权按本合同（一）合同一般条款</w:t>
      </w:r>
      <w:r>
        <w:rPr>
          <w:rFonts w:hint="eastAsia" w:ascii="宋体" w:hAnsi="宋体" w:eastAsia="宋体" w:cs="宋体"/>
          <w:color w:val="auto"/>
          <w:sz w:val="24"/>
          <w:szCs w:val="24"/>
          <w:lang w:eastAsia="zh-CN" w:bidi="ar-SA"/>
        </w:rPr>
        <w:t>中</w:t>
      </w:r>
      <w:r>
        <w:rPr>
          <w:rFonts w:hint="eastAsia" w:ascii="宋体" w:hAnsi="宋体" w:eastAsia="宋体" w:cs="宋体"/>
          <w:color w:val="auto"/>
          <w:sz w:val="24"/>
          <w:szCs w:val="24"/>
          <w:lang w:val="zh-CN" w:eastAsia="zh-CN" w:bidi="ar-SA"/>
        </w:rPr>
        <w:t>第六条的约定主张全部违约责任。</w:t>
      </w:r>
    </w:p>
    <w:p w14:paraId="548347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8、甲方如有其他项目需乙方配合完成，乙方须无条件免费派相关工程师现场配合，直至该项目完成。</w:t>
      </w:r>
    </w:p>
    <w:p w14:paraId="5DAD30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9、招标文件的售后服务要求或乙方投标书或其他承诺优于本合同的，按照招标文件和乙方在投标书或其他文件中承诺的服务标准执行。</w:t>
      </w:r>
    </w:p>
    <w:p w14:paraId="6F8822D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zh-CN" w:eastAsia="zh-CN" w:bidi="ar-SA"/>
        </w:rPr>
      </w:pPr>
      <w:r>
        <w:rPr>
          <w:rFonts w:hint="eastAsia" w:ascii="宋体" w:hAnsi="宋体" w:eastAsia="宋体" w:cs="宋体"/>
          <w:b/>
          <w:bCs/>
          <w:color w:val="auto"/>
          <w:sz w:val="24"/>
          <w:szCs w:val="24"/>
          <w:highlight w:val="none"/>
          <w:lang w:val="zh-CN" w:eastAsia="zh-CN" w:bidi="ar-SA"/>
        </w:rPr>
        <w:t>五、交货</w:t>
      </w:r>
    </w:p>
    <w:p w14:paraId="5B6701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1、交货要求：在合同签订生效后</w:t>
      </w:r>
      <w:r>
        <w:rPr>
          <w:rFonts w:hint="eastAsia" w:ascii="宋体" w:hAnsi="宋体" w:cs="宋体"/>
          <w:color w:val="auto"/>
          <w:sz w:val="24"/>
          <w:szCs w:val="24"/>
          <w:highlight w:val="none"/>
          <w:lang w:val="en-US" w:eastAsia="zh-CN" w:bidi="ar-SA"/>
        </w:rPr>
        <w:t>1个月</w:t>
      </w:r>
      <w:r>
        <w:rPr>
          <w:rFonts w:hint="eastAsia" w:ascii="宋体" w:hAnsi="宋体" w:eastAsia="宋体" w:cs="宋体"/>
          <w:color w:val="auto"/>
          <w:sz w:val="24"/>
          <w:szCs w:val="24"/>
          <w:highlight w:val="none"/>
          <w:lang w:val="zh-CN" w:eastAsia="zh-CN" w:bidi="ar-SA"/>
        </w:rPr>
        <w:t>内送货并安装调试完成。</w:t>
      </w:r>
    </w:p>
    <w:p w14:paraId="657769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2、交货地点：甲方指定地点。</w:t>
      </w:r>
    </w:p>
    <w:p w14:paraId="17AEF1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3、乙方须在交货时向甲方出具满足质保期要求的原厂质保证明文件，否则甲方有权终止合同并由乙方承担因此带来的一切损失。</w:t>
      </w:r>
    </w:p>
    <w:p w14:paraId="1200C80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zh-CN" w:eastAsia="zh-CN" w:bidi="ar-SA"/>
        </w:rPr>
      </w:pPr>
      <w:r>
        <w:rPr>
          <w:rFonts w:hint="eastAsia" w:ascii="宋体" w:hAnsi="宋体" w:eastAsia="宋体" w:cs="宋体"/>
          <w:b/>
          <w:bCs/>
          <w:color w:val="auto"/>
          <w:sz w:val="24"/>
          <w:szCs w:val="24"/>
          <w:highlight w:val="none"/>
          <w:lang w:val="zh-CN" w:eastAsia="zh-CN" w:bidi="ar-SA"/>
        </w:rPr>
        <w:t>六、违约责任：</w:t>
      </w:r>
    </w:p>
    <w:p w14:paraId="77D349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highlight w:val="none"/>
          <w:lang w:val="zh-CN" w:eastAsia="zh-CN" w:bidi="ar-SA"/>
        </w:rPr>
        <w:t>违约责任按合同一般条款第六条执</w:t>
      </w:r>
      <w:r>
        <w:rPr>
          <w:rFonts w:hint="eastAsia" w:ascii="宋体" w:hAnsi="宋体" w:eastAsia="宋体" w:cs="宋体"/>
          <w:color w:val="auto"/>
          <w:sz w:val="24"/>
          <w:szCs w:val="24"/>
          <w:lang w:val="zh-CN" w:eastAsia="zh-CN" w:bidi="ar-SA"/>
        </w:rPr>
        <w:t>行。</w:t>
      </w:r>
    </w:p>
    <w:p w14:paraId="357AAFD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zh-CN"/>
        </w:rPr>
      </w:pPr>
      <w:r>
        <w:rPr>
          <w:rFonts w:hint="eastAsia" w:ascii="宋体" w:hAnsi="宋体" w:eastAsia="宋体" w:cs="宋体"/>
          <w:b/>
          <w:bCs/>
          <w:color w:val="auto"/>
          <w:sz w:val="24"/>
          <w:szCs w:val="24"/>
          <w:lang w:val="zh-CN" w:eastAsia="zh-CN" w:bidi="ar-SA"/>
        </w:rPr>
        <w:t>七、争议解决办法：</w:t>
      </w:r>
    </w:p>
    <w:p w14:paraId="4990F2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若因本合同或与本合同有关的一切事项发生争议，首先由双方友好协商解决。如协商不成的，任何一方均可向甲方所在地的人民法院起诉。</w:t>
      </w:r>
    </w:p>
    <w:p w14:paraId="4BB0F09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eastAsia="zh-CN" w:bidi="ar-SA"/>
        </w:rPr>
        <w:t>八</w:t>
      </w:r>
      <w:r>
        <w:rPr>
          <w:rFonts w:hint="eastAsia" w:ascii="宋体" w:hAnsi="宋体" w:eastAsia="宋体" w:cs="宋体"/>
          <w:b/>
          <w:bCs/>
          <w:color w:val="auto"/>
          <w:sz w:val="24"/>
          <w:szCs w:val="24"/>
          <w:lang w:val="zh-CN" w:eastAsia="zh-CN" w:bidi="ar-SA"/>
        </w:rPr>
        <w:t>、合同生效及其它：</w:t>
      </w:r>
    </w:p>
    <w:p w14:paraId="6F9B16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w:t>
      </w:r>
      <w:r>
        <w:rPr>
          <w:rFonts w:hint="eastAsia" w:ascii="宋体" w:hAnsi="宋体" w:eastAsia="宋体" w:cs="宋体"/>
          <w:color w:val="auto"/>
          <w:sz w:val="24"/>
          <w:szCs w:val="24"/>
          <w:lang w:eastAsia="zh-CN" w:bidi="ar-SA"/>
        </w:rPr>
        <w:t>本合同经双方法定(授权)代表人签字(或盖章)并盖单位公章(合同章)后生效。</w:t>
      </w:r>
      <w:r>
        <w:rPr>
          <w:rFonts w:hint="eastAsia" w:ascii="宋体" w:hAnsi="宋体" w:eastAsia="宋体" w:cs="宋体"/>
          <w:color w:val="auto"/>
          <w:sz w:val="24"/>
          <w:szCs w:val="24"/>
          <w:lang w:val="zh-CN" w:eastAsia="zh-CN" w:bidi="ar-SA"/>
        </w:rPr>
        <w:t>本合同一式</w:t>
      </w:r>
      <w:r>
        <w:rPr>
          <w:rFonts w:hint="eastAsia" w:ascii="宋体" w:hAnsi="宋体" w:cs="宋体"/>
          <w:color w:val="auto"/>
          <w:sz w:val="24"/>
          <w:szCs w:val="24"/>
          <w:lang w:val="en-US" w:eastAsia="zh-CN" w:bidi="ar-SA"/>
        </w:rPr>
        <w:t>陆</w:t>
      </w:r>
      <w:r>
        <w:rPr>
          <w:rFonts w:hint="eastAsia" w:ascii="宋体" w:hAnsi="宋体" w:eastAsia="宋体" w:cs="宋体"/>
          <w:color w:val="auto"/>
          <w:sz w:val="24"/>
          <w:szCs w:val="24"/>
          <w:lang w:val="zh-CN" w:eastAsia="zh-CN" w:bidi="ar-SA"/>
        </w:rPr>
        <w:t>份，甲方</w:t>
      </w:r>
      <w:r>
        <w:rPr>
          <w:rFonts w:hint="eastAsia" w:ascii="宋体" w:hAnsi="宋体" w:cs="宋体"/>
          <w:color w:val="auto"/>
          <w:sz w:val="24"/>
          <w:szCs w:val="24"/>
          <w:lang w:val="en-US" w:eastAsia="zh-CN" w:bidi="ar-SA"/>
        </w:rPr>
        <w:t>肆</w:t>
      </w:r>
      <w:r>
        <w:rPr>
          <w:rFonts w:hint="eastAsia" w:ascii="宋体" w:hAnsi="宋体" w:eastAsia="宋体" w:cs="宋体"/>
          <w:color w:val="auto"/>
          <w:sz w:val="24"/>
          <w:szCs w:val="24"/>
          <w:lang w:val="zh-CN" w:eastAsia="zh-CN" w:bidi="ar-SA"/>
        </w:rPr>
        <w:t>份，乙方</w:t>
      </w:r>
      <w:r>
        <w:rPr>
          <w:rFonts w:hint="eastAsia" w:ascii="宋体" w:hAnsi="宋体" w:cs="宋体"/>
          <w:color w:val="auto"/>
          <w:sz w:val="24"/>
          <w:szCs w:val="24"/>
          <w:lang w:val="en-US" w:eastAsia="zh-CN" w:bidi="ar-SA"/>
        </w:rPr>
        <w:t>壹</w:t>
      </w:r>
      <w:r>
        <w:rPr>
          <w:rFonts w:hint="eastAsia" w:ascii="宋体" w:hAnsi="宋体" w:eastAsia="宋体" w:cs="宋体"/>
          <w:color w:val="auto"/>
          <w:sz w:val="24"/>
          <w:szCs w:val="24"/>
          <w:lang w:val="zh-CN" w:eastAsia="zh-CN" w:bidi="ar-SA"/>
        </w:rPr>
        <w:t>份，</w:t>
      </w:r>
      <w:r>
        <w:rPr>
          <w:rFonts w:hint="eastAsia" w:ascii="宋体" w:hAnsi="宋体" w:eastAsia="宋体" w:cs="宋体"/>
          <w:color w:val="auto"/>
          <w:sz w:val="24"/>
          <w:szCs w:val="24"/>
          <w:highlight w:val="none"/>
          <w:lang w:val="zh-CN" w:eastAsia="zh-CN" w:bidi="ar-SA"/>
        </w:rPr>
        <w:t>招标代理机构</w:t>
      </w:r>
      <w:r>
        <w:rPr>
          <w:rFonts w:hint="eastAsia" w:ascii="宋体" w:hAnsi="宋体" w:cs="宋体"/>
          <w:color w:val="auto"/>
          <w:sz w:val="24"/>
          <w:szCs w:val="24"/>
          <w:lang w:val="en-US" w:eastAsia="zh-CN" w:bidi="ar-SA"/>
        </w:rPr>
        <w:t>壹</w:t>
      </w:r>
      <w:r>
        <w:rPr>
          <w:rFonts w:hint="eastAsia" w:ascii="宋体" w:hAnsi="宋体" w:eastAsia="宋体" w:cs="宋体"/>
          <w:color w:val="auto"/>
          <w:sz w:val="24"/>
          <w:szCs w:val="24"/>
          <w:lang w:val="zh-CN" w:eastAsia="zh-CN" w:bidi="ar-SA"/>
        </w:rPr>
        <w:t>份，各份具</w:t>
      </w:r>
      <w:r>
        <w:rPr>
          <w:rFonts w:hint="eastAsia" w:ascii="宋体" w:hAnsi="宋体" w:cs="宋体"/>
          <w:color w:val="auto"/>
          <w:sz w:val="24"/>
          <w:szCs w:val="24"/>
          <w:lang w:val="en-US" w:eastAsia="zh-CN" w:bidi="ar-SA"/>
        </w:rPr>
        <w:t>备</w:t>
      </w:r>
      <w:r>
        <w:rPr>
          <w:rFonts w:hint="eastAsia" w:ascii="宋体" w:hAnsi="宋体" w:eastAsia="宋体" w:cs="宋体"/>
          <w:color w:val="auto"/>
          <w:sz w:val="24"/>
          <w:szCs w:val="24"/>
          <w:lang w:val="zh-CN" w:eastAsia="zh-CN" w:bidi="ar-SA"/>
        </w:rPr>
        <w:t>同等法律效力。</w:t>
      </w:r>
    </w:p>
    <w:p w14:paraId="1774F2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2、本合同在执行过程中出现的未尽事宜，双方在不违背本合同和招标文件的原则下协商解决，协商一致后另行订立书面补充协议，作为本合同的附件，与本合同具有同等效力。</w:t>
      </w:r>
    </w:p>
    <w:p w14:paraId="72D223DF">
      <w:pPr>
        <w:pStyle w:val="9"/>
        <w:rPr>
          <w:rFonts w:hint="default"/>
          <w:lang w:val="en-US" w:eastAsia="zh-CN"/>
        </w:rPr>
      </w:pPr>
      <w:bookmarkStart w:id="2" w:name="_GoBack"/>
      <w:bookmarkEnd w:id="2"/>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9"/>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楷体_GB2312">
    <w:altName w:val="微软雅黑"/>
    <w:panose1 w:val="00000000000000000000"/>
    <w:charset w:val="86"/>
    <w:family w:val="modern"/>
    <w:pitch w:val="default"/>
    <w:sig w:usb0="00000000" w:usb1="00000000" w:usb2="00000010" w:usb3="00000000" w:csb0="00040000" w:csb1="00000000"/>
  </w:font>
  <w:font w:name="仿宋_GB2312">
    <w:altName w:val="微软雅黑"/>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9994B">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0B3A5E">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00B3A5E">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4DAE5">
    <w:pPr>
      <w:pStyle w:val="14"/>
      <w:jc w:val="left"/>
      <w:rPr>
        <w:rFonts w:hint="default" w:eastAsia="宋体"/>
        <w:u w:val="single"/>
        <w:lang w:val="en-US" w:eastAsia="zh-CN"/>
      </w:rPr>
    </w:pPr>
    <w:r>
      <w:rPr>
        <w:rFonts w:hint="eastAsia" w:ascii="宋体" w:hAnsi="宋体" w:cs="宋体"/>
        <w:b/>
        <w:sz w:val="84"/>
        <w:szCs w:val="84"/>
      </w:rPr>
      <w:drawing>
        <wp:inline distT="0" distB="0" distL="114300" distR="114300">
          <wp:extent cx="524510" cy="463550"/>
          <wp:effectExtent l="0" t="0" r="8890" b="12700"/>
          <wp:docPr id="4" name="图片 4" descr="采购文件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采购文件LOGO"/>
                  <pic:cNvPicPr>
                    <a:picLocks noChangeAspect="1"/>
                  </pic:cNvPicPr>
                </pic:nvPicPr>
                <pic:blipFill>
                  <a:blip r:embed="rId1"/>
                  <a:stretch>
                    <a:fillRect/>
                  </a:stretch>
                </pic:blipFill>
                <pic:spPr>
                  <a:xfrm>
                    <a:off x="0" y="0"/>
                    <a:ext cx="524510" cy="463550"/>
                  </a:xfrm>
                  <a:prstGeom prst="rect">
                    <a:avLst/>
                  </a:prstGeom>
                  <a:noFill/>
                  <a:ln>
                    <a:noFill/>
                  </a:ln>
                </pic:spPr>
              </pic:pic>
            </a:graphicData>
          </a:graphic>
        </wp:inline>
      </w:drawing>
    </w:r>
    <w:r>
      <w:rPr>
        <w:rFonts w:hint="eastAsia" w:ascii="宋体" w:hAnsi="宋体"/>
        <w:sz w:val="21"/>
        <w:szCs w:val="21"/>
        <w:u w:val="single"/>
      </w:rPr>
      <w:t xml:space="preserve">政府采购合同                                           </w:t>
    </w:r>
    <w:r>
      <w:rPr>
        <w:rFonts w:hint="eastAsia" w:ascii="宋体" w:hAnsi="宋体"/>
        <w:sz w:val="21"/>
        <w:szCs w:val="21"/>
        <w:u w:val="single"/>
        <w:lang w:eastAsia="zh-CN"/>
      </w:rPr>
      <w:t>JSZC-320000-JZCZ-G2025-0034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73021"/>
    <w:multiLevelType w:val="multilevel"/>
    <w:tmpl w:val="14D73021"/>
    <w:lvl w:ilvl="0" w:tentative="0">
      <w:start w:val="1"/>
      <w:numFmt w:val="decimal"/>
      <w:lvlText w:val="%1"/>
      <w:lvlJc w:val="left"/>
      <w:pPr>
        <w:ind w:left="0" w:firstLine="0"/>
      </w:pPr>
      <w:rPr>
        <w:rFonts w:hint="eastAsia" w:ascii="等线" w:hAnsi="等线" w:eastAsia="等线"/>
        <w:b/>
        <w:i w:val="0"/>
        <w:sz w:val="32"/>
      </w:rPr>
    </w:lvl>
    <w:lvl w:ilvl="1" w:tentative="0">
      <w:start w:val="1"/>
      <w:numFmt w:val="decimal"/>
      <w:pStyle w:val="3"/>
      <w:lvlText w:val="%1.%2"/>
      <w:lvlJc w:val="left"/>
      <w:pPr>
        <w:ind w:left="0" w:firstLine="0"/>
      </w:pPr>
      <w:rPr>
        <w:rFonts w:hint="eastAsia" w:ascii="等线" w:hAnsi="等线" w:eastAsia="等线"/>
        <w:b/>
        <w:i w:val="0"/>
        <w:sz w:val="30"/>
      </w:rPr>
    </w:lvl>
    <w:lvl w:ilvl="2" w:tentative="0">
      <w:start w:val="1"/>
      <w:numFmt w:val="decimal"/>
      <w:pStyle w:val="4"/>
      <w:lvlText w:val="%1.%2.%3"/>
      <w:lvlJc w:val="left"/>
      <w:pPr>
        <w:ind w:left="0" w:firstLine="0"/>
      </w:pPr>
      <w:rPr>
        <w:rFonts w:hint="eastAsia" w:ascii="等线" w:hAnsi="等线" w:eastAsia="等线"/>
        <w:b/>
        <w:i w:val="0"/>
        <w:sz w:val="28"/>
      </w:rPr>
    </w:lvl>
    <w:lvl w:ilvl="3" w:tentative="0">
      <w:start w:val="1"/>
      <w:numFmt w:val="decimal"/>
      <w:pStyle w:val="5"/>
      <w:lvlText w:val="%1.%2.%3.%4"/>
      <w:lvlJc w:val="left"/>
      <w:pPr>
        <w:ind w:left="0" w:firstLine="0"/>
      </w:pPr>
      <w:rPr>
        <w:rFonts w:hint="eastAsia" w:ascii="等线" w:hAnsi="等线" w:eastAsia="等线"/>
        <w:b/>
        <w:i w:val="0"/>
        <w:sz w:val="24"/>
      </w:rPr>
    </w:lvl>
    <w:lvl w:ilvl="4" w:tentative="0">
      <w:start w:val="1"/>
      <w:numFmt w:val="decimal"/>
      <w:lvlText w:val="%1.%2.%3.%4.%5"/>
      <w:lvlJc w:val="left"/>
      <w:pPr>
        <w:ind w:left="0" w:firstLine="0"/>
      </w:pPr>
      <w:rPr>
        <w:rFonts w:hint="eastAsia" w:ascii="等线" w:hAnsi="等线" w:eastAsia="等线"/>
        <w:b/>
        <w:i w:val="0"/>
        <w:sz w:val="24"/>
      </w:rPr>
    </w:lvl>
    <w:lvl w:ilvl="5" w:tentative="0">
      <w:start w:val="1"/>
      <w:numFmt w:val="decimal"/>
      <w:lvlText w:val="%1.%2.%3.%4.%5.%6"/>
      <w:lvlJc w:val="left"/>
      <w:pPr>
        <w:ind w:left="0" w:firstLine="0"/>
      </w:pPr>
      <w:rPr>
        <w:rFonts w:hint="eastAsia" w:ascii="等线" w:hAnsi="等线" w:eastAsia="等线"/>
        <w:b/>
        <w:i w:val="0"/>
        <w:sz w:val="24"/>
      </w:rPr>
    </w:lvl>
    <w:lvl w:ilvl="6" w:tentative="0">
      <w:start w:val="1"/>
      <w:numFmt w:val="decimal"/>
      <w:lvlText w:val="%1.%2.%3.%4.%5.%6.%7"/>
      <w:lvlJc w:val="left"/>
      <w:pPr>
        <w:ind w:left="0" w:firstLine="0"/>
      </w:pPr>
      <w:rPr>
        <w:rFonts w:hint="eastAsia" w:ascii="等线" w:hAnsi="等线" w:eastAsia="等线"/>
        <w:b/>
        <w:i w:val="0"/>
        <w:sz w:val="24"/>
      </w:rPr>
    </w:lvl>
    <w:lvl w:ilvl="7" w:tentative="0">
      <w:start w:val="1"/>
      <w:numFmt w:val="decimal"/>
      <w:lvlText w:val="%1.%2.%3.%4.%5.%6.%7.%8"/>
      <w:lvlJc w:val="left"/>
      <w:pPr>
        <w:ind w:left="0" w:firstLine="0"/>
      </w:pPr>
      <w:rPr>
        <w:rFonts w:hint="eastAsia" w:ascii="等线" w:hAnsi="等线" w:eastAsia="等线"/>
        <w:b/>
        <w:i w:val="0"/>
        <w:sz w:val="24"/>
      </w:rPr>
    </w:lvl>
    <w:lvl w:ilvl="8" w:tentative="0">
      <w:start w:val="1"/>
      <w:numFmt w:val="decimal"/>
      <w:lvlText w:val="%1.%2.%3.%4.%5.%6.%7.%8.%9"/>
      <w:lvlJc w:val="left"/>
      <w:pPr>
        <w:ind w:left="0" w:firstLine="0"/>
      </w:pPr>
      <w:rPr>
        <w:rFonts w:hint="eastAsia" w:ascii="等线" w:hAnsi="等线" w:eastAsia="等线"/>
        <w:b/>
        <w:i w:val="0"/>
        <w:sz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0ZTBjNjIwODM2YmVmYTE0ZTE3ZGE1MWE1YTU0YzkifQ=="/>
  </w:docVars>
  <w:rsids>
    <w:rsidRoot w:val="12474A95"/>
    <w:rsid w:val="00003C1E"/>
    <w:rsid w:val="00037A30"/>
    <w:rsid w:val="00044EF2"/>
    <w:rsid w:val="00050DDE"/>
    <w:rsid w:val="000A14E6"/>
    <w:rsid w:val="000A4578"/>
    <w:rsid w:val="000A79C8"/>
    <w:rsid w:val="000E5FA1"/>
    <w:rsid w:val="00222F14"/>
    <w:rsid w:val="002B3092"/>
    <w:rsid w:val="00325D52"/>
    <w:rsid w:val="00413BB9"/>
    <w:rsid w:val="004461A9"/>
    <w:rsid w:val="004A7F8D"/>
    <w:rsid w:val="005612DF"/>
    <w:rsid w:val="00562FB3"/>
    <w:rsid w:val="005722EF"/>
    <w:rsid w:val="005D6515"/>
    <w:rsid w:val="0060398F"/>
    <w:rsid w:val="00631C1B"/>
    <w:rsid w:val="00636937"/>
    <w:rsid w:val="006D0D06"/>
    <w:rsid w:val="0071209D"/>
    <w:rsid w:val="0074188F"/>
    <w:rsid w:val="00802AFA"/>
    <w:rsid w:val="00862B84"/>
    <w:rsid w:val="008E6F6B"/>
    <w:rsid w:val="009129D2"/>
    <w:rsid w:val="00A01A06"/>
    <w:rsid w:val="00A4190E"/>
    <w:rsid w:val="00A9723F"/>
    <w:rsid w:val="00AD54D4"/>
    <w:rsid w:val="00B825B7"/>
    <w:rsid w:val="00BC3B79"/>
    <w:rsid w:val="00CC23C6"/>
    <w:rsid w:val="00D80B94"/>
    <w:rsid w:val="00DB57FC"/>
    <w:rsid w:val="00DB654F"/>
    <w:rsid w:val="00F3780D"/>
    <w:rsid w:val="00F62DCD"/>
    <w:rsid w:val="00FD4A58"/>
    <w:rsid w:val="00FE53A6"/>
    <w:rsid w:val="015D36C0"/>
    <w:rsid w:val="019C2893"/>
    <w:rsid w:val="0208396B"/>
    <w:rsid w:val="02151639"/>
    <w:rsid w:val="02737766"/>
    <w:rsid w:val="02BA7A6C"/>
    <w:rsid w:val="02CC4F2C"/>
    <w:rsid w:val="02EA7B79"/>
    <w:rsid w:val="02F23728"/>
    <w:rsid w:val="03244896"/>
    <w:rsid w:val="03A11052"/>
    <w:rsid w:val="03B31109"/>
    <w:rsid w:val="042B080D"/>
    <w:rsid w:val="04466A5A"/>
    <w:rsid w:val="0449381C"/>
    <w:rsid w:val="044D6C0B"/>
    <w:rsid w:val="0473187F"/>
    <w:rsid w:val="05AB7BBE"/>
    <w:rsid w:val="0648081E"/>
    <w:rsid w:val="06A42F8B"/>
    <w:rsid w:val="06C3094B"/>
    <w:rsid w:val="06CB59EB"/>
    <w:rsid w:val="07A11279"/>
    <w:rsid w:val="07CD358E"/>
    <w:rsid w:val="09687854"/>
    <w:rsid w:val="097315E9"/>
    <w:rsid w:val="097E324C"/>
    <w:rsid w:val="09BE5E69"/>
    <w:rsid w:val="09D41D2D"/>
    <w:rsid w:val="0A3D797F"/>
    <w:rsid w:val="0A6863CF"/>
    <w:rsid w:val="0ACB31DC"/>
    <w:rsid w:val="0B3837A8"/>
    <w:rsid w:val="0B5628E3"/>
    <w:rsid w:val="0B910885"/>
    <w:rsid w:val="0BA224A5"/>
    <w:rsid w:val="0BC12E11"/>
    <w:rsid w:val="0C0A7D34"/>
    <w:rsid w:val="0C822093"/>
    <w:rsid w:val="0D26294C"/>
    <w:rsid w:val="0D757C5F"/>
    <w:rsid w:val="0D8172BB"/>
    <w:rsid w:val="0D896813"/>
    <w:rsid w:val="0D975744"/>
    <w:rsid w:val="0D9B43EC"/>
    <w:rsid w:val="0DBB027E"/>
    <w:rsid w:val="0DC348F3"/>
    <w:rsid w:val="0E48771C"/>
    <w:rsid w:val="0FBC7598"/>
    <w:rsid w:val="105C6685"/>
    <w:rsid w:val="10611E62"/>
    <w:rsid w:val="10836F4D"/>
    <w:rsid w:val="10973689"/>
    <w:rsid w:val="11AE07AF"/>
    <w:rsid w:val="12474A95"/>
    <w:rsid w:val="1272086D"/>
    <w:rsid w:val="12D736B9"/>
    <w:rsid w:val="13370CE3"/>
    <w:rsid w:val="13D777CD"/>
    <w:rsid w:val="14686756"/>
    <w:rsid w:val="15316332"/>
    <w:rsid w:val="15415E49"/>
    <w:rsid w:val="156E30E2"/>
    <w:rsid w:val="162E7FBD"/>
    <w:rsid w:val="165A18B8"/>
    <w:rsid w:val="16601ED9"/>
    <w:rsid w:val="168B6DD4"/>
    <w:rsid w:val="16EC10B1"/>
    <w:rsid w:val="170F4451"/>
    <w:rsid w:val="171657DF"/>
    <w:rsid w:val="172B0284"/>
    <w:rsid w:val="179535B9"/>
    <w:rsid w:val="17E91017"/>
    <w:rsid w:val="18410FF6"/>
    <w:rsid w:val="18904E70"/>
    <w:rsid w:val="191C20A3"/>
    <w:rsid w:val="192D1343"/>
    <w:rsid w:val="19C91428"/>
    <w:rsid w:val="1A5A6ED8"/>
    <w:rsid w:val="1A824F3A"/>
    <w:rsid w:val="1A8573C1"/>
    <w:rsid w:val="1AC90007"/>
    <w:rsid w:val="1AD52E32"/>
    <w:rsid w:val="1B09565B"/>
    <w:rsid w:val="1B097409"/>
    <w:rsid w:val="1B0F4F24"/>
    <w:rsid w:val="1B9C027D"/>
    <w:rsid w:val="1BEA0FE8"/>
    <w:rsid w:val="1CB236CA"/>
    <w:rsid w:val="1CCA1ADF"/>
    <w:rsid w:val="1D5A3D79"/>
    <w:rsid w:val="1DB650CF"/>
    <w:rsid w:val="1DB7139E"/>
    <w:rsid w:val="1DFE6FCD"/>
    <w:rsid w:val="1E596034"/>
    <w:rsid w:val="1E9B1183"/>
    <w:rsid w:val="1F14722D"/>
    <w:rsid w:val="1F38645C"/>
    <w:rsid w:val="1FB2006F"/>
    <w:rsid w:val="1FC23CA6"/>
    <w:rsid w:val="1FF04823"/>
    <w:rsid w:val="201C198C"/>
    <w:rsid w:val="202D1DEC"/>
    <w:rsid w:val="2039253E"/>
    <w:rsid w:val="2082367E"/>
    <w:rsid w:val="20846D3D"/>
    <w:rsid w:val="20C22534"/>
    <w:rsid w:val="20CC1F4A"/>
    <w:rsid w:val="20DA787E"/>
    <w:rsid w:val="214E201A"/>
    <w:rsid w:val="219216C7"/>
    <w:rsid w:val="21C115B0"/>
    <w:rsid w:val="21F7620D"/>
    <w:rsid w:val="22123047"/>
    <w:rsid w:val="221C02AB"/>
    <w:rsid w:val="22284619"/>
    <w:rsid w:val="22346C69"/>
    <w:rsid w:val="223E1DFC"/>
    <w:rsid w:val="224F1EEE"/>
    <w:rsid w:val="22534265"/>
    <w:rsid w:val="22812EA5"/>
    <w:rsid w:val="22FE66B4"/>
    <w:rsid w:val="231322F5"/>
    <w:rsid w:val="23140185"/>
    <w:rsid w:val="231D1CA3"/>
    <w:rsid w:val="23333275"/>
    <w:rsid w:val="23446EF2"/>
    <w:rsid w:val="238748E8"/>
    <w:rsid w:val="239B0E1A"/>
    <w:rsid w:val="23A076DF"/>
    <w:rsid w:val="23B4085A"/>
    <w:rsid w:val="23BF4B92"/>
    <w:rsid w:val="23C323E6"/>
    <w:rsid w:val="23CA033F"/>
    <w:rsid w:val="23D41D4B"/>
    <w:rsid w:val="23DE2C20"/>
    <w:rsid w:val="23F6223D"/>
    <w:rsid w:val="248C70E1"/>
    <w:rsid w:val="24923C3D"/>
    <w:rsid w:val="24CD76F9"/>
    <w:rsid w:val="24D9609E"/>
    <w:rsid w:val="24F42F9F"/>
    <w:rsid w:val="24FA1E6C"/>
    <w:rsid w:val="25826736"/>
    <w:rsid w:val="26527EC1"/>
    <w:rsid w:val="26575077"/>
    <w:rsid w:val="269674D6"/>
    <w:rsid w:val="26BC560B"/>
    <w:rsid w:val="26DE46A1"/>
    <w:rsid w:val="26FC7E22"/>
    <w:rsid w:val="273D2D56"/>
    <w:rsid w:val="27B150B0"/>
    <w:rsid w:val="27DB3FEA"/>
    <w:rsid w:val="282B7BD2"/>
    <w:rsid w:val="28C02710"/>
    <w:rsid w:val="28E30E37"/>
    <w:rsid w:val="28EE6DC7"/>
    <w:rsid w:val="2949407C"/>
    <w:rsid w:val="2959155B"/>
    <w:rsid w:val="29FE5C10"/>
    <w:rsid w:val="2A05171C"/>
    <w:rsid w:val="2A1C1189"/>
    <w:rsid w:val="2A5D11BB"/>
    <w:rsid w:val="2A81195B"/>
    <w:rsid w:val="2A827B9E"/>
    <w:rsid w:val="2AD31FB6"/>
    <w:rsid w:val="2B585F6F"/>
    <w:rsid w:val="2B5D00B1"/>
    <w:rsid w:val="2B6C5576"/>
    <w:rsid w:val="2B827A30"/>
    <w:rsid w:val="2BC7760D"/>
    <w:rsid w:val="2BD045C6"/>
    <w:rsid w:val="2C112457"/>
    <w:rsid w:val="2C2440A3"/>
    <w:rsid w:val="2C293467"/>
    <w:rsid w:val="2CDE06F5"/>
    <w:rsid w:val="2D244C0A"/>
    <w:rsid w:val="2D423DA5"/>
    <w:rsid w:val="2D777155"/>
    <w:rsid w:val="2D8366BB"/>
    <w:rsid w:val="2DCB368B"/>
    <w:rsid w:val="2DE75388"/>
    <w:rsid w:val="2E165C6D"/>
    <w:rsid w:val="2EE43B2B"/>
    <w:rsid w:val="2F154177"/>
    <w:rsid w:val="2F337E9A"/>
    <w:rsid w:val="2F3F7896"/>
    <w:rsid w:val="303845C1"/>
    <w:rsid w:val="304701E7"/>
    <w:rsid w:val="31656C3D"/>
    <w:rsid w:val="31AA7143"/>
    <w:rsid w:val="31E80CC4"/>
    <w:rsid w:val="321C0DAD"/>
    <w:rsid w:val="323E39E3"/>
    <w:rsid w:val="32996261"/>
    <w:rsid w:val="34421188"/>
    <w:rsid w:val="344A003F"/>
    <w:rsid w:val="347E0A97"/>
    <w:rsid w:val="347F6931"/>
    <w:rsid w:val="34872CF7"/>
    <w:rsid w:val="34891F6B"/>
    <w:rsid w:val="348A1163"/>
    <w:rsid w:val="34943D90"/>
    <w:rsid w:val="355718E2"/>
    <w:rsid w:val="35822C5E"/>
    <w:rsid w:val="35BC359E"/>
    <w:rsid w:val="361C453F"/>
    <w:rsid w:val="36590B5D"/>
    <w:rsid w:val="3661295C"/>
    <w:rsid w:val="366E1586"/>
    <w:rsid w:val="36707534"/>
    <w:rsid w:val="3690539D"/>
    <w:rsid w:val="36AC2B1C"/>
    <w:rsid w:val="36F269B1"/>
    <w:rsid w:val="370E607B"/>
    <w:rsid w:val="375A2E2B"/>
    <w:rsid w:val="37744822"/>
    <w:rsid w:val="37DF7C38"/>
    <w:rsid w:val="38637D01"/>
    <w:rsid w:val="38D633DF"/>
    <w:rsid w:val="395D2BAD"/>
    <w:rsid w:val="3A4361F4"/>
    <w:rsid w:val="3ABE55D5"/>
    <w:rsid w:val="3AFB03C1"/>
    <w:rsid w:val="3B4402BD"/>
    <w:rsid w:val="3B455DE4"/>
    <w:rsid w:val="3B4E4C98"/>
    <w:rsid w:val="3B65379A"/>
    <w:rsid w:val="3B96391E"/>
    <w:rsid w:val="3C65652D"/>
    <w:rsid w:val="3CBC20D5"/>
    <w:rsid w:val="3CF4186F"/>
    <w:rsid w:val="3D1141CF"/>
    <w:rsid w:val="3D3C7122"/>
    <w:rsid w:val="3D69400B"/>
    <w:rsid w:val="3DCB43FC"/>
    <w:rsid w:val="3DD50036"/>
    <w:rsid w:val="3E0E6961"/>
    <w:rsid w:val="3E682515"/>
    <w:rsid w:val="3E7F1532"/>
    <w:rsid w:val="3E8D5655"/>
    <w:rsid w:val="3E992FDC"/>
    <w:rsid w:val="3EEB5F48"/>
    <w:rsid w:val="3EF4759A"/>
    <w:rsid w:val="3F4F6697"/>
    <w:rsid w:val="3FA5333A"/>
    <w:rsid w:val="3FB3540A"/>
    <w:rsid w:val="3FDA11F0"/>
    <w:rsid w:val="40421EF0"/>
    <w:rsid w:val="4063042F"/>
    <w:rsid w:val="407D1B7C"/>
    <w:rsid w:val="40D61063"/>
    <w:rsid w:val="41254DD7"/>
    <w:rsid w:val="41260298"/>
    <w:rsid w:val="422C4C64"/>
    <w:rsid w:val="424F741B"/>
    <w:rsid w:val="425752A0"/>
    <w:rsid w:val="42672AE3"/>
    <w:rsid w:val="426D00FA"/>
    <w:rsid w:val="42B87C47"/>
    <w:rsid w:val="42DC5DB5"/>
    <w:rsid w:val="43012B66"/>
    <w:rsid w:val="43CC2BFE"/>
    <w:rsid w:val="43E90B65"/>
    <w:rsid w:val="43F2211B"/>
    <w:rsid w:val="4447497A"/>
    <w:rsid w:val="44A84435"/>
    <w:rsid w:val="44CA7756"/>
    <w:rsid w:val="450D5B3D"/>
    <w:rsid w:val="45481436"/>
    <w:rsid w:val="458E5EE1"/>
    <w:rsid w:val="45EF7078"/>
    <w:rsid w:val="45F96AC8"/>
    <w:rsid w:val="4651388E"/>
    <w:rsid w:val="465810C1"/>
    <w:rsid w:val="46FE3A16"/>
    <w:rsid w:val="47797541"/>
    <w:rsid w:val="47BD261E"/>
    <w:rsid w:val="47FE3E1C"/>
    <w:rsid w:val="48031B26"/>
    <w:rsid w:val="48060A29"/>
    <w:rsid w:val="488372E3"/>
    <w:rsid w:val="48B620CF"/>
    <w:rsid w:val="48DC298A"/>
    <w:rsid w:val="48E64762"/>
    <w:rsid w:val="48F36E7F"/>
    <w:rsid w:val="49212BA8"/>
    <w:rsid w:val="492B7268"/>
    <w:rsid w:val="492F6BDC"/>
    <w:rsid w:val="4971313E"/>
    <w:rsid w:val="49890219"/>
    <w:rsid w:val="4A470126"/>
    <w:rsid w:val="4A9E6406"/>
    <w:rsid w:val="4B040C90"/>
    <w:rsid w:val="4B111850"/>
    <w:rsid w:val="4B483800"/>
    <w:rsid w:val="4B7A3887"/>
    <w:rsid w:val="4B887D52"/>
    <w:rsid w:val="4B8E01C4"/>
    <w:rsid w:val="4B8E776B"/>
    <w:rsid w:val="4B977F95"/>
    <w:rsid w:val="4BAD3775"/>
    <w:rsid w:val="4BFE7762"/>
    <w:rsid w:val="4C72305B"/>
    <w:rsid w:val="4CA26BF2"/>
    <w:rsid w:val="4CB71819"/>
    <w:rsid w:val="4D5819A6"/>
    <w:rsid w:val="4D5831FF"/>
    <w:rsid w:val="4D8865FA"/>
    <w:rsid w:val="4D950505"/>
    <w:rsid w:val="4DCC2424"/>
    <w:rsid w:val="4E002205"/>
    <w:rsid w:val="4E084017"/>
    <w:rsid w:val="4E7740AE"/>
    <w:rsid w:val="4E9C79BD"/>
    <w:rsid w:val="4F3E7FC5"/>
    <w:rsid w:val="4FDC7B7F"/>
    <w:rsid w:val="4FFC2ABD"/>
    <w:rsid w:val="50032E27"/>
    <w:rsid w:val="505A492D"/>
    <w:rsid w:val="507C775A"/>
    <w:rsid w:val="50926F7D"/>
    <w:rsid w:val="514C655D"/>
    <w:rsid w:val="515661B0"/>
    <w:rsid w:val="51962865"/>
    <w:rsid w:val="51CA7E4A"/>
    <w:rsid w:val="52374280"/>
    <w:rsid w:val="523742AD"/>
    <w:rsid w:val="52426781"/>
    <w:rsid w:val="52561B18"/>
    <w:rsid w:val="527A5743"/>
    <w:rsid w:val="52DD1244"/>
    <w:rsid w:val="52EF6615"/>
    <w:rsid w:val="537854F3"/>
    <w:rsid w:val="546535D1"/>
    <w:rsid w:val="54BE47E5"/>
    <w:rsid w:val="54CC6A3E"/>
    <w:rsid w:val="550134ED"/>
    <w:rsid w:val="551F0D2D"/>
    <w:rsid w:val="55306D65"/>
    <w:rsid w:val="55B11291"/>
    <w:rsid w:val="560D3927"/>
    <w:rsid w:val="56400F5B"/>
    <w:rsid w:val="565C1AFE"/>
    <w:rsid w:val="57390153"/>
    <w:rsid w:val="576D09D7"/>
    <w:rsid w:val="579F3F56"/>
    <w:rsid w:val="57AC6B77"/>
    <w:rsid w:val="58023B15"/>
    <w:rsid w:val="581761E1"/>
    <w:rsid w:val="58A92390"/>
    <w:rsid w:val="58B43CAD"/>
    <w:rsid w:val="58B51F91"/>
    <w:rsid w:val="595C43A4"/>
    <w:rsid w:val="59947BF8"/>
    <w:rsid w:val="5A0368F7"/>
    <w:rsid w:val="5A850AC5"/>
    <w:rsid w:val="5ABF3065"/>
    <w:rsid w:val="5ADA34F9"/>
    <w:rsid w:val="5ADA6EF9"/>
    <w:rsid w:val="5AF95B09"/>
    <w:rsid w:val="5B2F7149"/>
    <w:rsid w:val="5B5343C3"/>
    <w:rsid w:val="5C0A6562"/>
    <w:rsid w:val="5C493570"/>
    <w:rsid w:val="5CD33D46"/>
    <w:rsid w:val="5CE62E55"/>
    <w:rsid w:val="5D3B78F6"/>
    <w:rsid w:val="5D446039"/>
    <w:rsid w:val="5D836B4D"/>
    <w:rsid w:val="5DB06C95"/>
    <w:rsid w:val="5DEF3C61"/>
    <w:rsid w:val="5E1355D9"/>
    <w:rsid w:val="5E2D1587"/>
    <w:rsid w:val="5E524F12"/>
    <w:rsid w:val="5E5C0B73"/>
    <w:rsid w:val="5E6115B7"/>
    <w:rsid w:val="5E760453"/>
    <w:rsid w:val="5EA2446F"/>
    <w:rsid w:val="5EB83504"/>
    <w:rsid w:val="5FB54A36"/>
    <w:rsid w:val="5FC353A5"/>
    <w:rsid w:val="5FC807B7"/>
    <w:rsid w:val="5FF76DFD"/>
    <w:rsid w:val="60352A61"/>
    <w:rsid w:val="60432042"/>
    <w:rsid w:val="60A11D1A"/>
    <w:rsid w:val="60BF6810"/>
    <w:rsid w:val="60FE61A3"/>
    <w:rsid w:val="611B2BA6"/>
    <w:rsid w:val="61FE187A"/>
    <w:rsid w:val="628F5A13"/>
    <w:rsid w:val="629372B1"/>
    <w:rsid w:val="62D71CE3"/>
    <w:rsid w:val="62FF4669"/>
    <w:rsid w:val="630F140E"/>
    <w:rsid w:val="63700E1D"/>
    <w:rsid w:val="63D07FE0"/>
    <w:rsid w:val="646F777C"/>
    <w:rsid w:val="652B6BAE"/>
    <w:rsid w:val="653C3F28"/>
    <w:rsid w:val="65B8702E"/>
    <w:rsid w:val="65FE7137"/>
    <w:rsid w:val="66750509"/>
    <w:rsid w:val="66911D59"/>
    <w:rsid w:val="66C76451"/>
    <w:rsid w:val="67A55468"/>
    <w:rsid w:val="67B4679E"/>
    <w:rsid w:val="67D51A17"/>
    <w:rsid w:val="67DD485D"/>
    <w:rsid w:val="6896491A"/>
    <w:rsid w:val="68FD7DFE"/>
    <w:rsid w:val="698F7877"/>
    <w:rsid w:val="69CF0886"/>
    <w:rsid w:val="6A366B2D"/>
    <w:rsid w:val="6A776DBB"/>
    <w:rsid w:val="6A8353C1"/>
    <w:rsid w:val="6A94006A"/>
    <w:rsid w:val="6B3453A9"/>
    <w:rsid w:val="6B741C4A"/>
    <w:rsid w:val="6B7E5E0A"/>
    <w:rsid w:val="6BF44B85"/>
    <w:rsid w:val="6C0B610A"/>
    <w:rsid w:val="6C1A062A"/>
    <w:rsid w:val="6C2C7143"/>
    <w:rsid w:val="6D1E78B0"/>
    <w:rsid w:val="6D863A49"/>
    <w:rsid w:val="6DFE6BFE"/>
    <w:rsid w:val="6E05302D"/>
    <w:rsid w:val="6E591E49"/>
    <w:rsid w:val="6ED549B5"/>
    <w:rsid w:val="6F105EF0"/>
    <w:rsid w:val="6F235519"/>
    <w:rsid w:val="6F640BAB"/>
    <w:rsid w:val="6F6C0C22"/>
    <w:rsid w:val="6FF4449F"/>
    <w:rsid w:val="70932B72"/>
    <w:rsid w:val="70977F24"/>
    <w:rsid w:val="70AE3CF2"/>
    <w:rsid w:val="710F64BE"/>
    <w:rsid w:val="715A543E"/>
    <w:rsid w:val="71926986"/>
    <w:rsid w:val="71B354E5"/>
    <w:rsid w:val="71D66B8A"/>
    <w:rsid w:val="72094566"/>
    <w:rsid w:val="727D2AF0"/>
    <w:rsid w:val="72872858"/>
    <w:rsid w:val="72C5165F"/>
    <w:rsid w:val="72EB47D9"/>
    <w:rsid w:val="72F0605A"/>
    <w:rsid w:val="73183AE6"/>
    <w:rsid w:val="738D7E42"/>
    <w:rsid w:val="73BD0A2D"/>
    <w:rsid w:val="73D634A1"/>
    <w:rsid w:val="74386192"/>
    <w:rsid w:val="746826A0"/>
    <w:rsid w:val="74944165"/>
    <w:rsid w:val="749668CA"/>
    <w:rsid w:val="754371F9"/>
    <w:rsid w:val="761D41D0"/>
    <w:rsid w:val="766A5A18"/>
    <w:rsid w:val="76A27B43"/>
    <w:rsid w:val="775546DD"/>
    <w:rsid w:val="778F1F68"/>
    <w:rsid w:val="77A31324"/>
    <w:rsid w:val="77C3350C"/>
    <w:rsid w:val="77F4079E"/>
    <w:rsid w:val="780177FB"/>
    <w:rsid w:val="787F2BEC"/>
    <w:rsid w:val="78AC43BC"/>
    <w:rsid w:val="796404F6"/>
    <w:rsid w:val="79B85F09"/>
    <w:rsid w:val="79CD7139"/>
    <w:rsid w:val="79CF6E07"/>
    <w:rsid w:val="7A356A48"/>
    <w:rsid w:val="7A381000"/>
    <w:rsid w:val="7B126AD1"/>
    <w:rsid w:val="7B435D03"/>
    <w:rsid w:val="7B8824F9"/>
    <w:rsid w:val="7C70045A"/>
    <w:rsid w:val="7C7A4F49"/>
    <w:rsid w:val="7D124186"/>
    <w:rsid w:val="7D1F2501"/>
    <w:rsid w:val="7D263AA8"/>
    <w:rsid w:val="7D487626"/>
    <w:rsid w:val="7D515755"/>
    <w:rsid w:val="7D554BE8"/>
    <w:rsid w:val="7D5E37B8"/>
    <w:rsid w:val="7DBB1012"/>
    <w:rsid w:val="7E775881"/>
    <w:rsid w:val="7EBD6571"/>
    <w:rsid w:val="7ED258B3"/>
    <w:rsid w:val="7EED4BDD"/>
    <w:rsid w:val="7F2A2400"/>
    <w:rsid w:val="7F6C2F0C"/>
    <w:rsid w:val="7FBA5A25"/>
    <w:rsid w:val="7FBE4DEA"/>
    <w:rsid w:val="7FCB7B83"/>
    <w:rsid w:val="7FE50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4"/>
      <w:lang w:val="en-US" w:eastAsia="zh-CN" w:bidi="ar-SA"/>
    </w:rPr>
  </w:style>
  <w:style w:type="paragraph" w:styleId="2">
    <w:name w:val="heading 1"/>
    <w:basedOn w:val="1"/>
    <w:next w:val="1"/>
    <w:link w:val="29"/>
    <w:qFormat/>
    <w:uiPriority w:val="0"/>
    <w:pPr>
      <w:keepNext/>
      <w:keepLines/>
      <w:jc w:val="center"/>
      <w:outlineLvl w:val="0"/>
    </w:pPr>
    <w:rPr>
      <w:rFonts w:ascii="Times New Roman" w:hAnsi="Times New Roman"/>
      <w:b/>
      <w:kern w:val="44"/>
      <w:sz w:val="48"/>
    </w:rPr>
  </w:style>
  <w:style w:type="paragraph" w:styleId="3">
    <w:name w:val="heading 2"/>
    <w:basedOn w:val="1"/>
    <w:next w:val="1"/>
    <w:unhideWhenUsed/>
    <w:qFormat/>
    <w:uiPriority w:val="9"/>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numPr>
        <w:ilvl w:val="2"/>
        <w:numId w:val="1"/>
      </w:numPr>
      <w:spacing w:before="260" w:after="260" w:line="416" w:lineRule="auto"/>
      <w:outlineLvl w:val="2"/>
    </w:pPr>
    <w:rPr>
      <w:b/>
      <w:bCs/>
      <w:sz w:val="32"/>
      <w:szCs w:val="32"/>
    </w:rPr>
  </w:style>
  <w:style w:type="paragraph" w:styleId="5">
    <w:name w:val="heading 4"/>
    <w:basedOn w:val="1"/>
    <w:next w:val="1"/>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character" w:default="1" w:styleId="22">
    <w:name w:val="Default Paragraph Font"/>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0"/>
    <w:pPr>
      <w:adjustRightInd w:val="0"/>
      <w:ind w:firstLine="420"/>
      <w:jc w:val="left"/>
      <w:textAlignment w:val="baseline"/>
    </w:pPr>
  </w:style>
  <w:style w:type="paragraph" w:styleId="7">
    <w:name w:val="annotation text"/>
    <w:basedOn w:val="1"/>
    <w:link w:val="40"/>
    <w:autoRedefine/>
    <w:qFormat/>
    <w:uiPriority w:val="0"/>
    <w:pPr>
      <w:jc w:val="left"/>
    </w:pPr>
  </w:style>
  <w:style w:type="paragraph" w:styleId="8">
    <w:name w:val="Body Text"/>
    <w:basedOn w:val="1"/>
    <w:autoRedefine/>
    <w:unhideWhenUsed/>
    <w:qFormat/>
    <w:uiPriority w:val="0"/>
    <w:rPr>
      <w:rFonts w:ascii="楷体_GB2312" w:eastAsia="楷体_GB2312"/>
      <w:b/>
      <w:bCs/>
      <w:kern w:val="2"/>
      <w:sz w:val="28"/>
    </w:rPr>
  </w:style>
  <w:style w:type="paragraph" w:styleId="9">
    <w:name w:val="Body Text Indent"/>
    <w:basedOn w:val="1"/>
    <w:next w:val="1"/>
    <w:autoRedefine/>
    <w:unhideWhenUsed/>
    <w:qFormat/>
    <w:uiPriority w:val="0"/>
    <w:pPr>
      <w:ind w:firstLine="570"/>
    </w:pPr>
    <w:rPr>
      <w:rFonts w:ascii="宋体"/>
      <w:sz w:val="28"/>
    </w:rPr>
  </w:style>
  <w:style w:type="paragraph" w:styleId="10">
    <w:name w:val="Plain Text"/>
    <w:autoRedefine/>
    <w:unhideWhenUsed/>
    <w:qFormat/>
    <w:uiPriority w:val="0"/>
    <w:pPr>
      <w:widowControl w:val="0"/>
      <w:jc w:val="both"/>
    </w:pPr>
    <w:rPr>
      <w:rFonts w:ascii="宋体" w:hAnsi="Courier New" w:eastAsia="宋体" w:cs="Times New Roman"/>
      <w:sz w:val="24"/>
      <w:lang w:val="en-US" w:eastAsia="zh-CN" w:bidi="ar-SA"/>
    </w:rPr>
  </w:style>
  <w:style w:type="paragraph" w:styleId="11">
    <w:name w:val="Balloon Text"/>
    <w:basedOn w:val="1"/>
    <w:qFormat/>
    <w:uiPriority w:val="0"/>
    <w:rPr>
      <w:rFonts w:ascii="Times New Roman" w:hAnsi="Times New Roman" w:eastAsia="宋体" w:cs="Times New Roman"/>
      <w:kern w:val="0"/>
      <w:sz w:val="18"/>
      <w:szCs w:val="18"/>
      <w14:ligatures w14:val="none"/>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envelope return"/>
    <w:basedOn w:val="1"/>
    <w:autoRedefine/>
    <w:qFormat/>
    <w:uiPriority w:val="0"/>
    <w:pPr>
      <w:snapToGrid w:val="0"/>
    </w:pPr>
    <w:rPr>
      <w:rFonts w:ascii="Arial" w:hAnsi="Arial"/>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Subtitle"/>
    <w:basedOn w:val="1"/>
    <w:next w:val="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oc 2"/>
    <w:basedOn w:val="1"/>
    <w:next w:val="1"/>
    <w:unhideWhenUsed/>
    <w:qFormat/>
    <w:uiPriority w:val="39"/>
    <w:pPr>
      <w:ind w:left="420" w:leftChars="200"/>
    </w:pPr>
  </w:style>
  <w:style w:type="paragraph" w:styleId="1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14:ligatures w14:val="none"/>
    </w:rPr>
  </w:style>
  <w:style w:type="paragraph" w:styleId="18">
    <w:name w:val="annotation subject"/>
    <w:basedOn w:val="7"/>
    <w:next w:val="7"/>
    <w:link w:val="41"/>
    <w:autoRedefine/>
    <w:qFormat/>
    <w:uiPriority w:val="0"/>
    <w:rPr>
      <w:b/>
      <w:bCs/>
    </w:rPr>
  </w:style>
  <w:style w:type="paragraph" w:styleId="19">
    <w:name w:val="Body Text First Indent 2"/>
    <w:basedOn w:val="9"/>
    <w:autoRedefine/>
    <w:qFormat/>
    <w:uiPriority w:val="0"/>
    <w:pPr>
      <w:spacing w:after="120"/>
      <w:ind w:left="420" w:leftChars="200" w:firstLine="420" w:firstLineChars="200"/>
    </w:pPr>
    <w:rPr>
      <w:rFonts w:ascii="Times New Roman"/>
      <w:sz w:val="21"/>
      <w:szCs w:val="24"/>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qFormat/>
    <w:uiPriority w:val="0"/>
    <w:rPr>
      <w:color w:val="333333"/>
      <w:u w:val="none"/>
    </w:rPr>
  </w:style>
  <w:style w:type="character" w:styleId="24">
    <w:name w:val="annotation reference"/>
    <w:basedOn w:val="22"/>
    <w:autoRedefine/>
    <w:qFormat/>
    <w:uiPriority w:val="0"/>
    <w:rPr>
      <w:sz w:val="21"/>
      <w:szCs w:val="21"/>
    </w:rPr>
  </w:style>
  <w:style w:type="paragraph" w:customStyle="1" w:styleId="25">
    <w:name w:val="正文缩进1"/>
    <w:next w:val="1"/>
    <w:qFormat/>
    <w:uiPriority w:val="0"/>
    <w:pPr>
      <w:wordWrap w:val="0"/>
      <w:ind w:left="3400"/>
      <w:jc w:val="both"/>
    </w:pPr>
    <w:rPr>
      <w:rFonts w:ascii="Times New Roman" w:hAnsi="Times New Roman" w:eastAsia="宋体" w:cs="Times New Roman"/>
      <w:sz w:val="21"/>
      <w:lang w:val="en-US" w:eastAsia="zh-CN" w:bidi="ar-SA"/>
    </w:rPr>
  </w:style>
  <w:style w:type="paragraph" w:customStyle="1" w:styleId="26">
    <w:name w:val="段"/>
    <w:next w:val="1"/>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7">
    <w:name w:val="首行缩进"/>
    <w:basedOn w:val="1"/>
    <w:autoRedefine/>
    <w:qFormat/>
    <w:uiPriority w:val="0"/>
    <w:pPr>
      <w:ind w:firstLine="480" w:firstLineChars="200"/>
    </w:pPr>
    <w:rPr>
      <w:sz w:val="21"/>
      <w:lang w:val="zh-CN"/>
    </w:rPr>
  </w:style>
  <w:style w:type="character" w:customStyle="1" w:styleId="28">
    <w:name w:val="标题 1 Char"/>
    <w:autoRedefine/>
    <w:qFormat/>
    <w:uiPriority w:val="0"/>
    <w:rPr>
      <w:rFonts w:ascii="Times New Roman" w:hAnsi="Times New Roman" w:eastAsia="宋体"/>
      <w:b/>
      <w:kern w:val="44"/>
      <w:sz w:val="48"/>
    </w:rPr>
  </w:style>
  <w:style w:type="character" w:customStyle="1" w:styleId="29">
    <w:name w:val="标题 1 字符"/>
    <w:link w:val="2"/>
    <w:autoRedefine/>
    <w:qFormat/>
    <w:uiPriority w:val="0"/>
    <w:rPr>
      <w:rFonts w:eastAsia="楷体_GB2312"/>
      <w:b/>
      <w:kern w:val="44"/>
      <w:sz w:val="44"/>
      <w:lang w:val="en-US" w:eastAsia="zh-CN" w:bidi="ar-SA"/>
    </w:rPr>
  </w:style>
  <w:style w:type="character" w:customStyle="1" w:styleId="30">
    <w:name w:val="font21"/>
    <w:basedOn w:val="22"/>
    <w:autoRedefine/>
    <w:qFormat/>
    <w:uiPriority w:val="0"/>
    <w:rPr>
      <w:rFonts w:hint="eastAsia" w:ascii="宋体" w:hAnsi="宋体" w:eastAsia="宋体" w:cs="宋体"/>
      <w:color w:val="000000"/>
      <w:sz w:val="24"/>
      <w:szCs w:val="24"/>
      <w:u w:val="none"/>
    </w:rPr>
  </w:style>
  <w:style w:type="character" w:customStyle="1" w:styleId="31">
    <w:name w:val="font11"/>
    <w:basedOn w:val="22"/>
    <w:autoRedefine/>
    <w:qFormat/>
    <w:uiPriority w:val="0"/>
    <w:rPr>
      <w:rFonts w:hint="default" w:ascii="Calibri" w:hAnsi="Calibri" w:cs="Calibri"/>
      <w:color w:val="000000"/>
      <w:sz w:val="24"/>
      <w:szCs w:val="24"/>
      <w:u w:val="none"/>
    </w:rPr>
  </w:style>
  <w:style w:type="character" w:customStyle="1" w:styleId="32">
    <w:name w:val="font01"/>
    <w:basedOn w:val="22"/>
    <w:autoRedefine/>
    <w:qFormat/>
    <w:uiPriority w:val="0"/>
    <w:rPr>
      <w:rFonts w:hint="eastAsia" w:ascii="宋体" w:hAnsi="宋体" w:eastAsia="宋体" w:cs="宋体"/>
      <w:color w:val="000000"/>
      <w:sz w:val="24"/>
      <w:szCs w:val="24"/>
      <w:u w:val="single"/>
    </w:rPr>
  </w:style>
  <w:style w:type="character" w:customStyle="1" w:styleId="33">
    <w:name w:val="font51"/>
    <w:basedOn w:val="22"/>
    <w:autoRedefine/>
    <w:qFormat/>
    <w:uiPriority w:val="0"/>
    <w:rPr>
      <w:rFonts w:hint="eastAsia" w:ascii="宋体" w:hAnsi="宋体" w:eastAsia="宋体" w:cs="宋体"/>
      <w:color w:val="000000"/>
      <w:sz w:val="22"/>
      <w:szCs w:val="22"/>
      <w:u w:val="none"/>
    </w:rPr>
  </w:style>
  <w:style w:type="character" w:customStyle="1" w:styleId="34">
    <w:name w:val="font31"/>
    <w:basedOn w:val="22"/>
    <w:autoRedefine/>
    <w:qFormat/>
    <w:uiPriority w:val="0"/>
    <w:rPr>
      <w:rFonts w:hint="eastAsia" w:ascii="宋体" w:hAnsi="宋体" w:eastAsia="宋体" w:cs="宋体"/>
      <w:color w:val="000000"/>
      <w:sz w:val="22"/>
      <w:szCs w:val="22"/>
      <w:u w:val="none"/>
      <w:vertAlign w:val="superscript"/>
    </w:rPr>
  </w:style>
  <w:style w:type="character" w:customStyle="1" w:styleId="35">
    <w:name w:val="font111"/>
    <w:basedOn w:val="22"/>
    <w:autoRedefine/>
    <w:qFormat/>
    <w:uiPriority w:val="0"/>
    <w:rPr>
      <w:rFonts w:hint="default" w:ascii="Times New Roman" w:hAnsi="Times New Roman" w:cs="Times New Roman"/>
      <w:b/>
      <w:bCs/>
      <w:color w:val="000000"/>
      <w:sz w:val="16"/>
      <w:szCs w:val="16"/>
      <w:u w:val="none"/>
    </w:rPr>
  </w:style>
  <w:style w:type="character" w:customStyle="1" w:styleId="36">
    <w:name w:val="font122"/>
    <w:basedOn w:val="22"/>
    <w:autoRedefine/>
    <w:qFormat/>
    <w:uiPriority w:val="0"/>
    <w:rPr>
      <w:rFonts w:hint="eastAsia" w:ascii="宋体" w:hAnsi="宋体" w:eastAsia="宋体" w:cs="宋体"/>
      <w:b/>
      <w:bCs/>
      <w:color w:val="000000"/>
      <w:sz w:val="16"/>
      <w:szCs w:val="16"/>
      <w:u w:val="none"/>
    </w:rPr>
  </w:style>
  <w:style w:type="character" w:customStyle="1" w:styleId="37">
    <w:name w:val="font91"/>
    <w:basedOn w:val="22"/>
    <w:autoRedefine/>
    <w:qFormat/>
    <w:uiPriority w:val="0"/>
    <w:rPr>
      <w:rFonts w:hint="eastAsia" w:ascii="宋体" w:hAnsi="宋体" w:eastAsia="宋体" w:cs="宋体"/>
      <w:color w:val="000000"/>
      <w:sz w:val="16"/>
      <w:szCs w:val="16"/>
      <w:u w:val="none"/>
    </w:rPr>
  </w:style>
  <w:style w:type="character" w:customStyle="1" w:styleId="38">
    <w:name w:val="font131"/>
    <w:basedOn w:val="22"/>
    <w:autoRedefine/>
    <w:qFormat/>
    <w:uiPriority w:val="0"/>
    <w:rPr>
      <w:rFonts w:hint="eastAsia" w:ascii="宋体" w:hAnsi="宋体" w:eastAsia="宋体" w:cs="宋体"/>
      <w:color w:val="000000"/>
      <w:sz w:val="16"/>
      <w:szCs w:val="16"/>
      <w:u w:val="none"/>
    </w:rPr>
  </w:style>
  <w:style w:type="paragraph" w:customStyle="1" w:styleId="39">
    <w:name w:val="Revision"/>
    <w:autoRedefine/>
    <w:hidden/>
    <w:unhideWhenUsed/>
    <w:qFormat/>
    <w:uiPriority w:val="99"/>
    <w:rPr>
      <w:rFonts w:ascii="Calibri" w:hAnsi="Calibri" w:eastAsia="宋体" w:cs="Times New Roman"/>
      <w:sz w:val="24"/>
      <w:lang w:val="en-US" w:eastAsia="zh-CN" w:bidi="ar-SA"/>
    </w:rPr>
  </w:style>
  <w:style w:type="character" w:customStyle="1" w:styleId="40">
    <w:name w:val="批注文字 字符"/>
    <w:basedOn w:val="22"/>
    <w:link w:val="7"/>
    <w:autoRedefine/>
    <w:qFormat/>
    <w:uiPriority w:val="0"/>
    <w:rPr>
      <w:rFonts w:ascii="Calibri" w:hAnsi="Calibri"/>
      <w:sz w:val="24"/>
    </w:rPr>
  </w:style>
  <w:style w:type="character" w:customStyle="1" w:styleId="41">
    <w:name w:val="批注主题 字符"/>
    <w:basedOn w:val="40"/>
    <w:link w:val="18"/>
    <w:autoRedefine/>
    <w:qFormat/>
    <w:uiPriority w:val="0"/>
    <w:rPr>
      <w:rFonts w:ascii="Calibri" w:hAnsi="Calibri"/>
      <w:b/>
      <w:bCs/>
      <w:sz w:val="24"/>
    </w:rPr>
  </w:style>
  <w:style w:type="character" w:customStyle="1" w:styleId="42">
    <w:name w:val="font151"/>
    <w:basedOn w:val="22"/>
    <w:autoRedefine/>
    <w:qFormat/>
    <w:uiPriority w:val="0"/>
    <w:rPr>
      <w:rFonts w:hint="default" w:ascii="Times New Roman" w:hAnsi="Times New Roman" w:cs="Times New Roman"/>
      <w:b/>
      <w:bCs/>
      <w:color w:val="000000"/>
      <w:sz w:val="22"/>
      <w:szCs w:val="22"/>
      <w:u w:val="none"/>
    </w:rPr>
  </w:style>
  <w:style w:type="character" w:customStyle="1" w:styleId="43">
    <w:name w:val="font161"/>
    <w:basedOn w:val="22"/>
    <w:autoRedefine/>
    <w:qFormat/>
    <w:uiPriority w:val="0"/>
    <w:rPr>
      <w:rFonts w:hint="eastAsia" w:ascii="宋体" w:hAnsi="宋体" w:eastAsia="宋体" w:cs="宋体"/>
      <w:b/>
      <w:bCs/>
      <w:color w:val="000000"/>
      <w:sz w:val="22"/>
      <w:szCs w:val="22"/>
      <w:u w:val="none"/>
    </w:rPr>
  </w:style>
  <w:style w:type="character" w:customStyle="1" w:styleId="44">
    <w:name w:val="font171"/>
    <w:basedOn w:val="22"/>
    <w:autoRedefine/>
    <w:qFormat/>
    <w:uiPriority w:val="0"/>
    <w:rPr>
      <w:rFonts w:hint="eastAsia" w:ascii="宋体" w:hAnsi="宋体" w:eastAsia="宋体" w:cs="宋体"/>
      <w:color w:val="333300"/>
      <w:sz w:val="20"/>
      <w:szCs w:val="20"/>
      <w:u w:val="none"/>
    </w:rPr>
  </w:style>
  <w:style w:type="character" w:customStyle="1" w:styleId="45">
    <w:name w:val="font181"/>
    <w:basedOn w:val="22"/>
    <w:autoRedefine/>
    <w:qFormat/>
    <w:uiPriority w:val="0"/>
    <w:rPr>
      <w:rFonts w:hint="default" w:ascii="Times New Roman" w:hAnsi="Times New Roman" w:cs="Times New Roman"/>
      <w:b/>
      <w:bCs/>
      <w:color w:val="000000"/>
      <w:sz w:val="20"/>
      <w:szCs w:val="20"/>
      <w:u w:val="none"/>
    </w:rPr>
  </w:style>
  <w:style w:type="character" w:customStyle="1" w:styleId="46">
    <w:name w:val="font191"/>
    <w:basedOn w:val="22"/>
    <w:autoRedefine/>
    <w:qFormat/>
    <w:uiPriority w:val="0"/>
    <w:rPr>
      <w:rFonts w:hint="eastAsia" w:ascii="宋体" w:hAnsi="宋体" w:eastAsia="宋体" w:cs="宋体"/>
      <w:b/>
      <w:bCs/>
      <w:color w:val="000000"/>
      <w:sz w:val="20"/>
      <w:szCs w:val="20"/>
      <w:u w:val="none"/>
    </w:rPr>
  </w:style>
  <w:style w:type="paragraph" w:styleId="47">
    <w:name w:val="List Paragraph"/>
    <w:basedOn w:val="1"/>
    <w:autoRedefine/>
    <w:qFormat/>
    <w:uiPriority w:val="34"/>
    <w:pPr>
      <w:ind w:left="720"/>
      <w:contextualSpacing/>
    </w:pPr>
  </w:style>
  <w:style w:type="paragraph" w:customStyle="1" w:styleId="48">
    <w:name w:val="正文1"/>
    <w:next w:val="1"/>
    <w:autoRedefine/>
    <w:qFormat/>
    <w:uiPriority w:val="0"/>
    <w:pPr>
      <w:widowControl w:val="0"/>
      <w:jc w:val="both"/>
    </w:pPr>
    <w:rPr>
      <w:rFonts w:ascii="Times New Roman" w:hAnsi="Times New Roman" w:eastAsia="仿宋_GB2312" w:cs="Times New Roman"/>
      <w:sz w:val="24"/>
      <w:lang w:val="en-US" w:eastAsia="zh-CN" w:bidi="ar-SA"/>
    </w:rPr>
  </w:style>
  <w:style w:type="paragraph" w:customStyle="1" w:styleId="49">
    <w:name w:val="M正文"/>
    <w:basedOn w:val="1"/>
    <w:qFormat/>
    <w:uiPriority w:val="0"/>
    <w:pPr>
      <w:spacing w:line="360" w:lineRule="auto"/>
      <w:ind w:firstLine="480" w:firstLineChars="200"/>
    </w:pPr>
    <w:rPr>
      <w:sz w:val="24"/>
      <w:szCs w:val="24"/>
      <w14:ligatures w14:val="none"/>
    </w:rPr>
  </w:style>
  <w:style w:type="paragraph" w:customStyle="1" w:styleId="50">
    <w:name w:val="纯文本4"/>
    <w:basedOn w:val="1"/>
    <w:autoRedefine/>
    <w:qFormat/>
    <w:uiPriority w:val="0"/>
    <w:pPr>
      <w:adjustRightInd w:val="0"/>
      <w:textAlignment w:val="baseline"/>
    </w:pPr>
    <w:rPr>
      <w:rFonts w:ascii="宋体" w:hAnsi="Courier New" w:eastAsia="楷体_GB2312" w:cs="Times New Roman"/>
      <w:kern w:val="0"/>
      <w:sz w:val="26"/>
      <w:szCs w:val="20"/>
    </w:rPr>
  </w:style>
  <w:style w:type="paragraph" w:customStyle="1" w:styleId="51">
    <w:name w:val="表正文"/>
    <w:basedOn w:val="1"/>
    <w:qFormat/>
    <w:uiPriority w:val="0"/>
    <w:pPr>
      <w:jc w:val="left"/>
    </w:pPr>
    <w:rPr>
      <w:rFonts w:ascii="Arial" w:hAnsi="Arial" w:eastAsia="宋体"/>
      <w:sz w:val="18"/>
      <w:szCs w:val="21"/>
    </w:rPr>
  </w:style>
  <w:style w:type="character" w:customStyle="1" w:styleId="52">
    <w:name w:val="font41"/>
    <w:basedOn w:val="22"/>
    <w:qFormat/>
    <w:uiPriority w:val="0"/>
    <w:rPr>
      <w:rFonts w:hint="eastAsia" w:ascii="宋体" w:hAnsi="宋体" w:eastAsia="宋体" w:cs="宋体"/>
      <w:color w:val="000000"/>
      <w:sz w:val="24"/>
      <w:szCs w:val="24"/>
      <w:u w:val="none"/>
    </w:rPr>
  </w:style>
  <w:style w:type="paragraph" w:customStyle="1" w:styleId="53">
    <w:name w:val="纯文本1"/>
    <w:basedOn w:val="1"/>
    <w:qFormat/>
    <w:uiPriority w:val="0"/>
    <w:pPr>
      <w:adjustRightInd w:val="0"/>
      <w:snapToGrid/>
      <w:spacing w:line="240" w:lineRule="auto"/>
      <w:jc w:val="both"/>
      <w:textAlignment w:val="baseline"/>
    </w:pPr>
    <w:rPr>
      <w:rFonts w:ascii="宋体" w:hAnsi="Courier New" w:eastAsia="楷体_GB2312" w:cs="Times New Roman"/>
      <w:sz w:val="26"/>
      <w:szCs w:val="20"/>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7247</Words>
  <Characters>7604</Characters>
  <Lines>62</Lines>
  <Paragraphs>17</Paragraphs>
  <TotalTime>8</TotalTime>
  <ScaleCrop>false</ScaleCrop>
  <LinksUpToDate>false</LinksUpToDate>
  <CharactersWithSpaces>7666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2023-08-14T01:49:00Z</dcterms:created>
  <dc:creator>-</dc:creator>
  <cp:lastModifiedBy>YFY</cp:lastModifiedBy>
  <dcterms:modified xsi:type="dcterms:W3CDTF">2026-03-17T02:46:37Z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C3344574CF1D479A8D057BA03BBA5F3E_13</vt:lpwstr>
  </property>
  <property fmtid="{D5CDD505-2E9C-101B-9397-08002B2CF9AE}" pid="4" name="KSOTemplateDocerSaveRecord">
    <vt:lpwstr>eyJoZGlkIjoiNjcxMjRkMjZkNjA4MTc1MDExZGUzNTQ0NmM3YjFmOTUiLCJ1c2VySWQiOiI0MTgyNzg2NjIifQ==</vt:lpwstr>
  </property>
</Properties>
</file>