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b/>
          <w:color w:val="auto"/>
          <w:spacing w:val="40"/>
          <w:sz w:val="72"/>
          <w:szCs w:val="72"/>
          <w:highlight w:val="none"/>
        </w:rPr>
      </w:pPr>
      <w:r>
        <w:rPr>
          <w:b/>
          <w:color w:val="auto"/>
          <w:spacing w:val="40"/>
          <w:sz w:val="72"/>
          <w:szCs w:val="72"/>
          <w:highlight w:val="none"/>
        </w:rPr>
      </w:r>
      <w:r/>
    </w:p>
    <w:p>
      <w:pPr>
        <w:pStyle w:val="916"/>
      </w:pPr>
      <w:r/>
      <w:r/>
    </w:p>
    <w:p>
      <w:pPr>
        <w:jc w:val="center"/>
        <w:spacing w:line="360" w:lineRule="auto"/>
        <w:rPr>
          <w:b/>
          <w:color w:val="auto"/>
          <w:spacing w:val="40"/>
          <w:sz w:val="72"/>
          <w:szCs w:val="72"/>
          <w:highlight w:val="none"/>
        </w:rPr>
      </w:pPr>
      <w:r>
        <w:rPr>
          <w:b/>
          <w:color w:val="auto"/>
          <w:spacing w:val="40"/>
          <w:sz w:val="72"/>
          <w:szCs w:val="72"/>
          <w:highlight w:val="none"/>
        </w:rPr>
      </w:r>
      <w:r/>
    </w:p>
    <w:p>
      <w:pPr>
        <w:jc w:val="center"/>
        <w:spacing w:line="360" w:lineRule="auto"/>
        <w:rPr>
          <w:b/>
          <w:color w:val="auto"/>
          <w:spacing w:val="40"/>
          <w:sz w:val="72"/>
          <w:szCs w:val="72"/>
          <w:highlight w:val="none"/>
        </w:rPr>
      </w:pPr>
      <w:r>
        <w:rPr>
          <w:b/>
          <w:color w:val="auto"/>
          <w:spacing w:val="40"/>
          <w:sz w:val="72"/>
          <w:szCs w:val="72"/>
          <w:highlight w:val="none"/>
        </w:rPr>
        <w:t xml:space="preserve">政府采购竞争性</w:t>
      </w:r>
      <w:r/>
    </w:p>
    <w:p>
      <w:pPr>
        <w:jc w:val="center"/>
        <w:spacing w:line="360" w:lineRule="auto"/>
        <w:rPr>
          <w:b/>
          <w:color w:val="auto"/>
          <w:spacing w:val="40"/>
          <w:sz w:val="72"/>
          <w:szCs w:val="72"/>
          <w:highlight w:val="none"/>
        </w:rPr>
      </w:pPr>
      <w:r>
        <w:rPr>
          <w:b/>
          <w:color w:val="auto"/>
          <w:spacing w:val="40"/>
          <w:sz w:val="72"/>
          <w:szCs w:val="72"/>
          <w:highlight w:val="none"/>
        </w:rPr>
        <w:t xml:space="preserve">磋商</w:t>
      </w:r>
      <w:r>
        <w:rPr>
          <w:b/>
          <w:color w:val="auto"/>
          <w:spacing w:val="20"/>
          <w:sz w:val="72"/>
          <w:szCs w:val="72"/>
          <w:highlight w:val="none"/>
        </w:rPr>
        <w:t xml:space="preserve">文件</w:t>
      </w:r>
      <w:r/>
    </w:p>
    <w:p>
      <w:pPr>
        <w:pStyle w:val="1121"/>
        <w:spacing w:before="75" w:beforeAutospacing="0" w:after="75" w:afterAutospacing="0"/>
        <w:widowControl/>
        <w:rPr>
          <w:rStyle w:val="1125"/>
          <w:rFonts w:ascii="宋体" w:hAnsi="宋体" w:cs="宋体"/>
          <w:color w:val="auto"/>
          <w:sz w:val="72"/>
          <w:szCs w:val="72"/>
          <w:highlight w:val="none"/>
        </w:rPr>
      </w:pPr>
      <w:r>
        <w:rPr>
          <w:rFonts w:ascii="宋体" w:hAnsi="宋体" w:cs="宋体"/>
          <w:color w:val="auto"/>
          <w:sz w:val="72"/>
          <w:szCs w:val="72"/>
          <w:highlight w:val="none"/>
        </w:rPr>
      </w:r>
      <w:r/>
    </w:p>
    <w:p>
      <w:pPr>
        <w:pStyle w:val="1121"/>
        <w:spacing w:before="75" w:beforeAutospacing="0" w:after="75" w:afterAutospacing="0" w:line="360" w:lineRule="auto"/>
        <w:widowControl/>
        <w:rPr>
          <w:rFonts w:hint="eastAsia" w:ascii="sans-serif" w:hAnsi="sans-serif" w:cs="sans-serif"/>
          <w:color w:val="auto"/>
          <w:highlight w:val="none"/>
        </w:rPr>
      </w:pPr>
      <w:r>
        <w:rPr>
          <w:rFonts w:hint="eastAsia" w:ascii="sans-serif" w:hAnsi="sans-serif" w:cs="sans-serif"/>
          <w:color w:val="auto"/>
          <w:highlight w:val="none"/>
        </w:rPr>
      </w:r>
      <w:r/>
    </w:p>
    <w:p>
      <w:pPr>
        <w:pStyle w:val="1121"/>
        <w:jc w:val="center"/>
        <w:spacing w:before="75" w:beforeAutospacing="0" w:after="75" w:afterAutospacing="0" w:line="360" w:lineRule="auto"/>
        <w:widowControl/>
        <w:rPr>
          <w:rStyle w:val="1125"/>
          <w:rFonts w:hint="eastAsia" w:ascii="宋体" w:hAnsi="宋体" w:eastAsia="宋体" w:cs="宋体"/>
          <w:color w:val="auto"/>
          <w:sz w:val="30"/>
          <w:szCs w:val="30"/>
          <w:highlight w:val="none"/>
          <w:u w:val="single"/>
          <w:lang w:eastAsia="zh-CN"/>
        </w:rPr>
      </w:pPr>
      <w:r>
        <w:rPr>
          <w:rStyle w:val="1125"/>
          <w:rFonts w:hint="eastAsia" w:ascii="宋体" w:hAnsi="宋体" w:cs="宋体"/>
          <w:color w:val="auto"/>
          <w:sz w:val="30"/>
          <w:szCs w:val="30"/>
          <w:highlight w:val="none"/>
        </w:rPr>
        <w:t xml:space="preserve">采购编号：</w:t>
      </w:r>
      <w:bookmarkStart w:id="28" w:name="_GoBack"/>
      <w:r/>
      <w:bookmarkEnd w:id="28"/>
      <w:r>
        <w:rPr>
          <w:rStyle w:val="1125"/>
          <w:rFonts w:hint="eastAsia" w:ascii="宋体" w:hAnsi="宋体" w:cs="宋体"/>
          <w:color w:val="auto"/>
          <w:sz w:val="30"/>
          <w:szCs w:val="30"/>
          <w:highlight w:val="none"/>
          <w:u w:val="single"/>
          <w:lang w:eastAsia="zh-CN"/>
        </w:rPr>
        <w:t xml:space="preserve">JSZC-320591-CJZT-C2026-0001</w:t>
      </w:r>
      <w:r/>
    </w:p>
    <w:p>
      <w:pPr>
        <w:pStyle w:val="1121"/>
        <w:jc w:val="center"/>
        <w:spacing w:before="75" w:beforeAutospacing="0" w:after="75" w:afterAutospacing="0" w:line="360" w:lineRule="auto"/>
        <w:widowControl/>
        <w:rPr>
          <w:rFonts w:hint="eastAsia" w:ascii="sans-serif" w:hAnsi="sans-serif" w:eastAsia="宋体" w:cs="sans-serif"/>
          <w:color w:val="auto"/>
          <w:highlight w:val="none"/>
          <w:lang w:eastAsia="zh-CN"/>
        </w:rPr>
      </w:pPr>
      <w:r>
        <w:rPr>
          <w:rStyle w:val="1125"/>
          <w:rFonts w:hint="eastAsia" w:ascii="宋体" w:hAnsi="宋体" w:cs="宋体"/>
          <w:color w:val="auto"/>
          <w:sz w:val="30"/>
          <w:szCs w:val="30"/>
          <w:highlight w:val="none"/>
        </w:rPr>
        <w:t xml:space="preserve">项目名称：</w:t>
      </w:r>
      <w:r>
        <w:rPr>
          <w:rStyle w:val="1125"/>
          <w:rFonts w:hint="eastAsia" w:ascii="宋体" w:hAnsi="宋体" w:cs="宋体"/>
          <w:color w:val="auto"/>
          <w:sz w:val="30"/>
          <w:szCs w:val="30"/>
          <w:highlight w:val="none"/>
          <w:u w:val="single"/>
          <w:lang w:eastAsia="zh-CN"/>
        </w:rPr>
        <w:t xml:space="preserve">苏州工业园区2026年度工贸领域企业第三方安全生产指导服务</w:t>
      </w:r>
      <w:r/>
    </w:p>
    <w:p>
      <w:pPr>
        <w:pStyle w:val="1121"/>
        <w:jc w:val="center"/>
        <w:spacing w:before="75" w:beforeAutospacing="0" w:after="75" w:afterAutospacing="0" w:line="360" w:lineRule="auto"/>
        <w:widowControl/>
        <w:rPr>
          <w:rFonts w:hint="eastAsia" w:ascii="sans-serif" w:hAnsi="sans-serif" w:eastAsia="宋体" w:cs="sans-serif"/>
          <w:color w:val="auto"/>
          <w:highlight w:val="none"/>
          <w:lang w:eastAsia="zh-CN"/>
        </w:rPr>
      </w:pPr>
      <w:r>
        <w:rPr>
          <w:rStyle w:val="1125"/>
          <w:rFonts w:hint="eastAsia" w:ascii="宋体" w:hAnsi="宋体" w:cs="宋体"/>
          <w:color w:val="auto"/>
          <w:sz w:val="30"/>
          <w:szCs w:val="30"/>
          <w:highlight w:val="none"/>
        </w:rPr>
        <w:t xml:space="preserve">采 购 人：</w:t>
      </w:r>
      <w:r>
        <w:rPr>
          <w:rStyle w:val="1125"/>
          <w:rFonts w:hint="eastAsia" w:ascii="宋体" w:hAnsi="宋体" w:cs="宋体"/>
          <w:color w:val="auto"/>
          <w:sz w:val="30"/>
          <w:szCs w:val="30"/>
          <w:highlight w:val="none"/>
          <w:u w:val="single"/>
          <w:lang w:eastAsia="zh-CN"/>
        </w:rPr>
        <w:t xml:space="preserve">苏州工业园区应急管理局</w:t>
      </w:r>
      <w:r/>
    </w:p>
    <w:p>
      <w:pPr>
        <w:pStyle w:val="1121"/>
        <w:jc w:val="center"/>
        <w:spacing w:before="75" w:beforeAutospacing="0" w:after="75" w:afterAutospacing="0" w:line="360" w:lineRule="auto"/>
        <w:widowControl/>
        <w:rPr>
          <w:rStyle w:val="1125"/>
          <w:rFonts w:ascii="宋体" w:hAnsi="宋体" w:cs="宋体"/>
          <w:color w:val="auto"/>
          <w:sz w:val="30"/>
          <w:szCs w:val="30"/>
          <w:highlight w:val="none"/>
        </w:rPr>
      </w:pPr>
      <w:r>
        <w:rPr>
          <w:rStyle w:val="1125"/>
          <w:rFonts w:hint="eastAsia" w:ascii="宋体" w:hAnsi="宋体" w:cs="宋体"/>
          <w:color w:val="auto"/>
          <w:sz w:val="30"/>
          <w:szCs w:val="30"/>
          <w:highlight w:val="none"/>
        </w:rPr>
        <w:t xml:space="preserve">采购代理机构：</w:t>
      </w:r>
      <w:r>
        <w:rPr>
          <w:rStyle w:val="1125"/>
          <w:rFonts w:hint="eastAsia" w:ascii="宋体" w:hAnsi="宋体" w:cs="宋体"/>
          <w:color w:val="auto"/>
          <w:sz w:val="30"/>
          <w:szCs w:val="30"/>
          <w:highlight w:val="none"/>
          <w:u w:val="single"/>
        </w:rPr>
        <w:t xml:space="preserve">苏州市诚捷项目管理有限公司</w:t>
      </w:r>
      <w:r/>
    </w:p>
    <w:p>
      <w:pPr>
        <w:pStyle w:val="1121"/>
        <w:jc w:val="center"/>
        <w:spacing w:before="75" w:beforeAutospacing="0" w:after="75" w:afterAutospacing="0" w:line="360" w:lineRule="auto"/>
        <w:widowControl/>
        <w:rPr>
          <w:rFonts w:hint="eastAsia" w:ascii="sans-serif" w:hAnsi="sans-serif" w:cs="sans-serif"/>
          <w:color w:val="auto"/>
          <w:highlight w:val="none"/>
        </w:rPr>
      </w:pPr>
      <w:r>
        <w:rPr>
          <w:rStyle w:val="1125"/>
          <w:rFonts w:hint="eastAsia" w:ascii="宋体" w:hAnsi="宋体" w:cs="宋体"/>
          <w:color w:val="auto"/>
          <w:sz w:val="30"/>
          <w:szCs w:val="30"/>
          <w:highlight w:val="none"/>
        </w:rPr>
        <w:t xml:space="preserve">采购类别：</w:t>
      </w:r>
      <w:r>
        <w:rPr>
          <w:rStyle w:val="1125"/>
          <w:rFonts w:hint="eastAsia" w:ascii="宋体" w:hAnsi="宋体" w:cs="宋体"/>
          <w:color w:val="auto"/>
          <w:sz w:val="30"/>
          <w:szCs w:val="30"/>
          <w:highlight w:val="none"/>
          <w:u w:val="single"/>
        </w:rPr>
        <w:t xml:space="preserve">服务类</w:t>
      </w:r>
      <w:r/>
    </w:p>
    <w:p>
      <w:pPr>
        <w:pStyle w:val="1121"/>
        <w:spacing w:before="75" w:beforeAutospacing="0" w:after="75" w:afterAutospacing="0"/>
        <w:widowControl/>
        <w:rPr>
          <w:rFonts w:ascii="sans-serif" w:hAnsi="sans-serif" w:eastAsia="sans-serif" w:cs="sans-serif"/>
          <w:color w:val="auto"/>
          <w:highlight w:val="none"/>
        </w:rPr>
      </w:pPr>
      <w:r>
        <w:rPr>
          <w:rFonts w:ascii="sans-serif" w:hAnsi="sans-serif" w:eastAsia="sans-serif" w:cs="sans-serif"/>
          <w:color w:val="auto"/>
          <w:highlight w:val="none"/>
        </w:rPr>
      </w:r>
      <w:r/>
    </w:p>
    <w:p>
      <w:pPr>
        <w:pStyle w:val="1121"/>
        <w:jc w:val="center"/>
        <w:spacing w:before="75" w:beforeAutospacing="0" w:after="75" w:afterAutospacing="0"/>
        <w:widowControl/>
        <w:rPr>
          <w:rStyle w:val="1125"/>
          <w:rFonts w:ascii="宋体" w:hAnsi="宋体" w:cs="宋体"/>
          <w:color w:val="auto"/>
          <w:sz w:val="28"/>
          <w:szCs w:val="28"/>
          <w:highlight w:val="none"/>
        </w:rPr>
      </w:pPr>
      <w:r>
        <w:rPr>
          <w:rFonts w:ascii="宋体" w:hAnsi="宋体" w:cs="宋体"/>
          <w:color w:val="auto"/>
          <w:sz w:val="28"/>
          <w:szCs w:val="28"/>
          <w:highlight w:val="none"/>
        </w:rPr>
      </w:r>
      <w:r/>
    </w:p>
    <w:p>
      <w:pPr>
        <w:pStyle w:val="1121"/>
        <w:jc w:val="center"/>
        <w:spacing w:before="75" w:beforeAutospacing="0" w:after="75" w:afterAutospacing="0"/>
        <w:widowControl/>
        <w:rPr>
          <w:rStyle w:val="1125"/>
          <w:rFonts w:ascii="宋体" w:hAnsi="宋体" w:cs="宋体"/>
          <w:color w:val="auto"/>
          <w:sz w:val="28"/>
          <w:szCs w:val="28"/>
          <w:highlight w:val="none"/>
        </w:rPr>
      </w:pPr>
      <w:r/>
      <w:bookmarkStart w:id="0" w:name="XTSCRQ_1"/>
      <w:r>
        <w:rPr>
          <w:rStyle w:val="1125"/>
          <w:rFonts w:hint="eastAsia" w:ascii="宋体" w:hAnsi="宋体" w:cs="宋体"/>
          <w:color w:val="auto"/>
          <w:sz w:val="28"/>
          <w:szCs w:val="28"/>
          <w:highlight w:val="none"/>
          <w:lang w:val="en-US" w:eastAsia="zh-CN"/>
        </w:rPr>
        <w:t xml:space="preserve">2026</w:t>
      </w:r>
      <w:r>
        <w:rPr>
          <w:rStyle w:val="1125"/>
          <w:rFonts w:hint="eastAsia" w:ascii="宋体" w:hAnsi="宋体" w:cs="宋体"/>
          <w:color w:val="auto"/>
          <w:sz w:val="28"/>
          <w:szCs w:val="28"/>
          <w:highlight w:val="none"/>
        </w:rPr>
        <w:t xml:space="preserve">年</w:t>
      </w:r>
      <w:r>
        <w:rPr>
          <w:rStyle w:val="1125"/>
          <w:rFonts w:hint="eastAsia" w:ascii="宋体" w:hAnsi="宋体" w:cs="宋体"/>
          <w:color w:val="auto"/>
          <w:sz w:val="28"/>
          <w:szCs w:val="28"/>
          <w:highlight w:val="none"/>
          <w:lang w:val="en-US" w:eastAsia="zh-CN"/>
        </w:rPr>
        <w:t xml:space="preserve">3</w:t>
      </w:r>
      <w:r>
        <w:rPr>
          <w:rStyle w:val="1125"/>
          <w:rFonts w:hint="eastAsia" w:ascii="宋体" w:hAnsi="宋体" w:cs="宋体"/>
          <w:color w:val="auto"/>
          <w:sz w:val="28"/>
          <w:szCs w:val="28"/>
          <w:highlight w:val="none"/>
        </w:rPr>
        <w:t xml:space="preserve">月</w:t>
      </w:r>
      <w:bookmarkEnd w:id="0"/>
      <w:r/>
      <w:r/>
    </w:p>
    <w:p>
      <w:pPr>
        <w:rPr>
          <w:color w:val="auto"/>
          <w:highlight w:val="none"/>
        </w:rPr>
      </w:pPr>
      <w:r>
        <w:rPr>
          <w:color w:val="auto"/>
          <w:highlight w:val="none"/>
        </w:rPr>
      </w:r>
      <w:r/>
    </w:p>
    <w:p>
      <w:pPr>
        <w:jc w:val="center"/>
        <w:spacing w:line="360" w:lineRule="auto"/>
        <w:tabs>
          <w:tab w:val="left" w:pos="315" w:leader="none"/>
          <w:tab w:val="center" w:pos="4153" w:leader="none"/>
        </w:tabs>
        <w:rPr>
          <w:rFonts w:ascii="黑体" w:eastAsia="黑体"/>
          <w:b/>
          <w:color w:val="auto"/>
          <w:sz w:val="52"/>
          <w:szCs w:val="52"/>
          <w:highlight w:val="none"/>
        </w:rPr>
        <w:sectPr>
          <w:footerReference w:type="default" r:id="rId10"/>
          <w:footnotePr/>
          <w:endnotePr/>
          <w:type w:val="nextPage"/>
          <w:pgSz w:w="11906" w:h="16838" w:orient="portrait"/>
          <w:pgMar w:top="1440" w:right="748" w:bottom="1440" w:left="969" w:header="851" w:footer="992" w:gutter="0"/>
          <w:pgNumType w:start="1"/>
          <w:cols w:num="1" w:sep="0" w:space="1701" w:equalWidth="1"/>
          <w:docGrid w:linePitch="360"/>
        </w:sectPr>
      </w:pPr>
      <w:r>
        <w:rPr>
          <w:rFonts w:ascii="黑体" w:eastAsia="黑体"/>
          <w:b/>
          <w:color w:val="auto"/>
          <w:sz w:val="52"/>
          <w:szCs w:val="52"/>
          <w:highlight w:val="none"/>
        </w:rPr>
      </w:r>
      <w:r/>
    </w:p>
    <w:p>
      <w:pPr>
        <w:jc w:val="center"/>
        <w:spacing w:line="360" w:lineRule="auto"/>
        <w:tabs>
          <w:tab w:val="left" w:pos="315" w:leader="none"/>
          <w:tab w:val="center" w:pos="4153" w:leader="none"/>
        </w:tabs>
        <w:rPr>
          <w:rFonts w:ascii="黑体" w:eastAsia="黑体"/>
          <w:b/>
          <w:color w:val="auto"/>
          <w:sz w:val="52"/>
          <w:szCs w:val="52"/>
          <w:highlight w:val="none"/>
        </w:rPr>
      </w:pPr>
      <w:r>
        <w:rPr>
          <w:rFonts w:hint="eastAsia" w:ascii="黑体" w:eastAsia="黑体"/>
          <w:b/>
          <w:color w:val="auto"/>
          <w:sz w:val="52"/>
          <w:szCs w:val="52"/>
          <w:highlight w:val="none"/>
        </w:rPr>
        <w:t xml:space="preserve">目    录</w:t>
      </w:r>
      <w:r/>
    </w:p>
    <w:sdt>
      <w:sdtPr>
        <w15:appearance w15:val="boundingBox"/>
        <w15:color w:val="dbdbdb"/>
        <w:id w:val="147478775"/>
        <w:docPartObj>
          <w:docPartGallery w:val="Table of Contents"/>
          <w:docPartUnique w:val="true"/>
        </w:docPartObj>
        <w:rPr>
          <w:rFonts w:ascii="宋体" w:hAnsi="宋体"/>
          <w:color w:val="auto"/>
          <w:highlight w:val="none"/>
        </w:rPr>
      </w:sdtPr>
      <w:sdtContent>
        <w:p>
          <w:pPr>
            <w:jc w:val="center"/>
            <w:rPr>
              <w:color w:val="auto"/>
              <w:highlight w:val="none"/>
            </w:rPr>
          </w:pPr>
          <w:r>
            <w:rPr>
              <w:color w:val="auto"/>
              <w:highlight w:val="none"/>
            </w:rPr>
          </w:r>
          <w:r/>
        </w:p>
        <w:p>
          <w:pPr>
            <w:pStyle w:val="933"/>
            <w:tabs>
              <w:tab w:val="right" w:pos="10189" w:leader="dot"/>
            </w:tabs>
            <w:rPr>
              <w:sz w:val="36"/>
              <w:szCs w:val="44"/>
            </w:rPr>
          </w:pPr>
          <w:r>
            <w:rPr>
              <w:color w:val="auto"/>
              <w:sz w:val="36"/>
              <w:szCs w:val="44"/>
              <w:highlight w:val="none"/>
            </w:rPr>
            <w:fldChar w:fldCharType="begin"/>
          </w:r>
          <w:r>
            <w:rPr>
              <w:color w:val="auto"/>
              <w:sz w:val="36"/>
              <w:szCs w:val="44"/>
              <w:highlight w:val="none"/>
            </w:rPr>
            <w:instrText xml:space="preserve">TOC \o "1-1" \h \u </w:instrText>
          </w:r>
          <w:r>
            <w:rPr>
              <w:color w:val="auto"/>
              <w:sz w:val="36"/>
              <w:szCs w:val="44"/>
              <w:highlight w:val="none"/>
            </w:rPr>
            <w:fldChar w:fldCharType="separate"/>
          </w:r>
          <w:r>
            <w:rPr>
              <w:color w:val="auto"/>
              <w:sz w:val="36"/>
              <w:szCs w:val="72"/>
              <w:highlight w:val="none"/>
            </w:rPr>
            <w:fldChar w:fldCharType="begin"/>
          </w:r>
          <w:r>
            <w:rPr>
              <w:sz w:val="36"/>
              <w:szCs w:val="72"/>
              <w:highlight w:val="none"/>
            </w:rPr>
            <w:instrText xml:space="preserve"> HYPERLINK \l _Toc18377 </w:instrText>
          </w:r>
          <w:r>
            <w:rPr>
              <w:sz w:val="36"/>
              <w:szCs w:val="72"/>
              <w:highlight w:val="none"/>
            </w:rPr>
            <w:fldChar w:fldCharType="separate"/>
          </w:r>
          <w:r>
            <w:rPr>
              <w:rFonts w:hint="eastAsia"/>
              <w:bCs/>
              <w:sz w:val="36"/>
              <w:szCs w:val="44"/>
              <w:highlight w:val="none"/>
            </w:rPr>
            <w:t xml:space="preserve">第一章 磋商公告</w:t>
          </w:r>
          <w:r>
            <w:rPr>
              <w:sz w:val="36"/>
              <w:szCs w:val="44"/>
            </w:rPr>
            <w:tab/>
          </w:r>
          <w:r>
            <w:rPr>
              <w:sz w:val="36"/>
              <w:szCs w:val="44"/>
            </w:rPr>
            <w:fldChar w:fldCharType="begin"/>
          </w:r>
          <w:r>
            <w:rPr>
              <w:sz w:val="36"/>
              <w:szCs w:val="44"/>
            </w:rPr>
            <w:instrText xml:space="preserve"> PAGEREF _Toc18377 \h </w:instrText>
          </w:r>
          <w:r>
            <w:rPr>
              <w:sz w:val="36"/>
              <w:szCs w:val="44"/>
            </w:rPr>
            <w:fldChar w:fldCharType="separate"/>
          </w:r>
          <w:r>
            <w:rPr>
              <w:sz w:val="36"/>
              <w:szCs w:val="44"/>
            </w:rPr>
            <w:t xml:space="preserve">1</w:t>
          </w:r>
          <w:r>
            <w:rPr>
              <w:sz w:val="36"/>
              <w:szCs w:val="44"/>
            </w:rPr>
            <w:fldChar w:fldCharType="end"/>
          </w:r>
          <w:r>
            <w:rPr>
              <w:color w:val="auto"/>
              <w:sz w:val="36"/>
              <w:szCs w:val="72"/>
              <w:highlight w:val="none"/>
            </w:rPr>
            <w:fldChar w:fldCharType="end"/>
          </w:r>
          <w:r/>
        </w:p>
        <w:p>
          <w:pPr>
            <w:pStyle w:val="933"/>
            <w:tabs>
              <w:tab w:val="right" w:pos="10189" w:leader="dot"/>
            </w:tabs>
            <w:rPr>
              <w:sz w:val="36"/>
              <w:szCs w:val="44"/>
            </w:rPr>
          </w:pPr>
          <w:r>
            <w:rPr>
              <w:color w:val="auto"/>
              <w:sz w:val="36"/>
              <w:szCs w:val="52"/>
              <w:highlight w:val="none"/>
            </w:rPr>
            <w:fldChar w:fldCharType="begin"/>
          </w:r>
          <w:r>
            <w:rPr>
              <w:sz w:val="36"/>
              <w:szCs w:val="52"/>
              <w:highlight w:val="none"/>
            </w:rPr>
            <w:instrText xml:space="preserve"> HYPERLINK \l _Toc32082 </w:instrText>
          </w:r>
          <w:r>
            <w:rPr>
              <w:sz w:val="36"/>
              <w:szCs w:val="52"/>
              <w:highlight w:val="none"/>
            </w:rPr>
            <w:fldChar w:fldCharType="separate"/>
          </w:r>
          <w:r>
            <w:rPr>
              <w:rFonts w:hint="eastAsia"/>
              <w:bCs/>
              <w:sz w:val="36"/>
              <w:szCs w:val="44"/>
              <w:highlight w:val="none"/>
            </w:rPr>
            <w:t xml:space="preserve">第二章 磋商须知</w:t>
          </w:r>
          <w:r>
            <w:rPr>
              <w:sz w:val="36"/>
              <w:szCs w:val="44"/>
            </w:rPr>
            <w:tab/>
          </w:r>
          <w:r>
            <w:rPr>
              <w:sz w:val="36"/>
              <w:szCs w:val="44"/>
            </w:rPr>
            <w:fldChar w:fldCharType="begin"/>
          </w:r>
          <w:r>
            <w:rPr>
              <w:sz w:val="36"/>
              <w:szCs w:val="44"/>
            </w:rPr>
            <w:instrText xml:space="preserve"> PAGEREF _Toc32082 \h </w:instrText>
          </w:r>
          <w:r>
            <w:rPr>
              <w:sz w:val="36"/>
              <w:szCs w:val="44"/>
            </w:rPr>
            <w:fldChar w:fldCharType="separate"/>
          </w:r>
          <w:r>
            <w:rPr>
              <w:sz w:val="36"/>
              <w:szCs w:val="44"/>
            </w:rPr>
            <w:t xml:space="preserve">6</w:t>
          </w:r>
          <w:r>
            <w:rPr>
              <w:sz w:val="36"/>
              <w:szCs w:val="44"/>
            </w:rPr>
            <w:fldChar w:fldCharType="end"/>
          </w:r>
          <w:r>
            <w:rPr>
              <w:color w:val="auto"/>
              <w:sz w:val="36"/>
              <w:szCs w:val="52"/>
              <w:highlight w:val="none"/>
            </w:rPr>
            <w:fldChar w:fldCharType="end"/>
          </w:r>
          <w:r/>
        </w:p>
        <w:p>
          <w:pPr>
            <w:pStyle w:val="933"/>
            <w:tabs>
              <w:tab w:val="right" w:pos="10189" w:leader="dot"/>
            </w:tabs>
            <w:rPr>
              <w:sz w:val="36"/>
              <w:szCs w:val="44"/>
            </w:rPr>
          </w:pPr>
          <w:r>
            <w:rPr>
              <w:color w:val="auto"/>
              <w:sz w:val="36"/>
              <w:szCs w:val="52"/>
              <w:highlight w:val="none"/>
            </w:rPr>
            <w:fldChar w:fldCharType="begin"/>
          </w:r>
          <w:r>
            <w:rPr>
              <w:sz w:val="36"/>
              <w:szCs w:val="52"/>
              <w:highlight w:val="none"/>
            </w:rPr>
            <w:instrText xml:space="preserve"> HYPERLINK \l _Toc31405 </w:instrText>
          </w:r>
          <w:r>
            <w:rPr>
              <w:sz w:val="36"/>
              <w:szCs w:val="52"/>
              <w:highlight w:val="none"/>
            </w:rPr>
            <w:fldChar w:fldCharType="separate"/>
          </w:r>
          <w:r>
            <w:rPr>
              <w:rFonts w:hint="eastAsia"/>
              <w:bCs/>
              <w:sz w:val="36"/>
              <w:szCs w:val="44"/>
              <w:highlight w:val="none"/>
            </w:rPr>
            <w:t xml:space="preserve">第三章 采购内容</w:t>
          </w:r>
          <w:r>
            <w:rPr>
              <w:sz w:val="36"/>
              <w:szCs w:val="44"/>
            </w:rPr>
            <w:tab/>
          </w:r>
          <w:r>
            <w:rPr>
              <w:sz w:val="36"/>
              <w:szCs w:val="44"/>
            </w:rPr>
            <w:fldChar w:fldCharType="begin"/>
          </w:r>
          <w:r>
            <w:rPr>
              <w:sz w:val="36"/>
              <w:szCs w:val="44"/>
            </w:rPr>
            <w:instrText xml:space="preserve"> PAGEREF _Toc31405 \h </w:instrText>
          </w:r>
          <w:r>
            <w:rPr>
              <w:sz w:val="36"/>
              <w:szCs w:val="44"/>
            </w:rPr>
            <w:fldChar w:fldCharType="separate"/>
          </w:r>
          <w:r>
            <w:rPr>
              <w:sz w:val="36"/>
              <w:szCs w:val="44"/>
            </w:rPr>
            <w:t xml:space="preserve">13</w:t>
          </w:r>
          <w:r>
            <w:rPr>
              <w:sz w:val="36"/>
              <w:szCs w:val="44"/>
            </w:rPr>
            <w:fldChar w:fldCharType="end"/>
          </w:r>
          <w:r>
            <w:rPr>
              <w:color w:val="auto"/>
              <w:sz w:val="36"/>
              <w:szCs w:val="52"/>
              <w:highlight w:val="none"/>
            </w:rPr>
            <w:fldChar w:fldCharType="end"/>
          </w:r>
          <w:r/>
        </w:p>
        <w:p>
          <w:pPr>
            <w:pStyle w:val="933"/>
            <w:tabs>
              <w:tab w:val="right" w:pos="10189" w:leader="dot"/>
            </w:tabs>
            <w:rPr>
              <w:sz w:val="36"/>
              <w:szCs w:val="44"/>
            </w:rPr>
          </w:pPr>
          <w:r>
            <w:rPr>
              <w:color w:val="auto"/>
              <w:sz w:val="36"/>
              <w:szCs w:val="52"/>
              <w:highlight w:val="none"/>
            </w:rPr>
            <w:fldChar w:fldCharType="begin"/>
          </w:r>
          <w:r>
            <w:rPr>
              <w:sz w:val="36"/>
              <w:szCs w:val="52"/>
              <w:highlight w:val="none"/>
            </w:rPr>
            <w:instrText xml:space="preserve"> HYPERLINK \l _Toc19564 </w:instrText>
          </w:r>
          <w:r>
            <w:rPr>
              <w:sz w:val="36"/>
              <w:szCs w:val="52"/>
              <w:highlight w:val="none"/>
            </w:rPr>
            <w:fldChar w:fldCharType="separate"/>
          </w:r>
          <w:r>
            <w:rPr>
              <w:rFonts w:hint="eastAsia"/>
              <w:bCs/>
              <w:sz w:val="36"/>
              <w:szCs w:val="44"/>
              <w:highlight w:val="none"/>
            </w:rPr>
            <w:t xml:space="preserve">第四章 评审方法及评分标准</w:t>
          </w:r>
          <w:r>
            <w:rPr>
              <w:sz w:val="36"/>
              <w:szCs w:val="44"/>
            </w:rPr>
            <w:tab/>
          </w:r>
          <w:r>
            <w:rPr>
              <w:sz w:val="36"/>
              <w:szCs w:val="44"/>
            </w:rPr>
            <w:fldChar w:fldCharType="begin"/>
          </w:r>
          <w:r>
            <w:rPr>
              <w:sz w:val="36"/>
              <w:szCs w:val="44"/>
            </w:rPr>
            <w:instrText xml:space="preserve"> PAGEREF _Toc19564 \h </w:instrText>
          </w:r>
          <w:r>
            <w:rPr>
              <w:sz w:val="36"/>
              <w:szCs w:val="44"/>
            </w:rPr>
            <w:fldChar w:fldCharType="separate"/>
          </w:r>
          <w:r>
            <w:rPr>
              <w:sz w:val="36"/>
              <w:szCs w:val="44"/>
            </w:rPr>
            <w:t xml:space="preserve">21</w:t>
          </w:r>
          <w:r>
            <w:rPr>
              <w:sz w:val="36"/>
              <w:szCs w:val="44"/>
            </w:rPr>
            <w:fldChar w:fldCharType="end"/>
          </w:r>
          <w:r>
            <w:rPr>
              <w:color w:val="auto"/>
              <w:sz w:val="36"/>
              <w:szCs w:val="52"/>
              <w:highlight w:val="none"/>
            </w:rPr>
            <w:fldChar w:fldCharType="end"/>
          </w:r>
          <w:r/>
        </w:p>
        <w:p>
          <w:pPr>
            <w:pStyle w:val="933"/>
            <w:tabs>
              <w:tab w:val="right" w:pos="10189" w:leader="dot"/>
            </w:tabs>
            <w:rPr>
              <w:sz w:val="36"/>
              <w:szCs w:val="44"/>
            </w:rPr>
          </w:pPr>
          <w:r>
            <w:rPr>
              <w:color w:val="auto"/>
              <w:sz w:val="36"/>
              <w:szCs w:val="52"/>
              <w:highlight w:val="none"/>
            </w:rPr>
            <w:fldChar w:fldCharType="begin"/>
          </w:r>
          <w:r>
            <w:rPr>
              <w:sz w:val="36"/>
              <w:szCs w:val="52"/>
              <w:highlight w:val="none"/>
            </w:rPr>
            <w:instrText xml:space="preserve"> HYPERLINK \l _Toc8867 </w:instrText>
          </w:r>
          <w:r>
            <w:rPr>
              <w:sz w:val="36"/>
              <w:szCs w:val="52"/>
              <w:highlight w:val="none"/>
            </w:rPr>
            <w:fldChar w:fldCharType="separate"/>
          </w:r>
          <w:r>
            <w:rPr>
              <w:rFonts w:hint="eastAsia"/>
              <w:bCs/>
              <w:sz w:val="36"/>
              <w:szCs w:val="44"/>
              <w:highlight w:val="none"/>
            </w:rPr>
            <w:t xml:space="preserve">第五章 合同主要条款及格式</w:t>
          </w:r>
          <w:r>
            <w:rPr>
              <w:sz w:val="36"/>
              <w:szCs w:val="44"/>
            </w:rPr>
            <w:tab/>
          </w:r>
          <w:r>
            <w:rPr>
              <w:sz w:val="36"/>
              <w:szCs w:val="44"/>
            </w:rPr>
            <w:fldChar w:fldCharType="begin"/>
          </w:r>
          <w:r>
            <w:rPr>
              <w:sz w:val="36"/>
              <w:szCs w:val="44"/>
            </w:rPr>
            <w:instrText xml:space="preserve"> PAGEREF _Toc8867 \h </w:instrText>
          </w:r>
          <w:r>
            <w:rPr>
              <w:sz w:val="36"/>
              <w:szCs w:val="44"/>
            </w:rPr>
            <w:fldChar w:fldCharType="separate"/>
          </w:r>
          <w:r>
            <w:rPr>
              <w:sz w:val="36"/>
              <w:szCs w:val="44"/>
            </w:rPr>
            <w:t xml:space="preserve">24</w:t>
          </w:r>
          <w:r>
            <w:rPr>
              <w:sz w:val="36"/>
              <w:szCs w:val="44"/>
            </w:rPr>
            <w:fldChar w:fldCharType="end"/>
          </w:r>
          <w:r>
            <w:rPr>
              <w:color w:val="auto"/>
              <w:sz w:val="36"/>
              <w:szCs w:val="52"/>
              <w:highlight w:val="none"/>
            </w:rPr>
            <w:fldChar w:fldCharType="end"/>
          </w:r>
          <w:r/>
        </w:p>
        <w:p>
          <w:pPr>
            <w:pStyle w:val="933"/>
            <w:tabs>
              <w:tab w:val="right" w:pos="10189" w:leader="dot"/>
            </w:tabs>
          </w:pPr>
          <w:r>
            <w:rPr>
              <w:color w:val="auto"/>
              <w:sz w:val="36"/>
              <w:szCs w:val="52"/>
              <w:highlight w:val="none"/>
            </w:rPr>
            <w:fldChar w:fldCharType="begin"/>
          </w:r>
          <w:r>
            <w:rPr>
              <w:sz w:val="36"/>
              <w:szCs w:val="52"/>
              <w:highlight w:val="none"/>
            </w:rPr>
            <w:instrText xml:space="preserve"> HYPERLINK \l _Toc4880 </w:instrText>
          </w:r>
          <w:r>
            <w:rPr>
              <w:sz w:val="36"/>
              <w:szCs w:val="52"/>
              <w:highlight w:val="none"/>
            </w:rPr>
            <w:fldChar w:fldCharType="separate"/>
          </w:r>
          <w:r>
            <w:rPr>
              <w:rFonts w:hint="eastAsia"/>
              <w:bCs/>
              <w:sz w:val="36"/>
              <w:szCs w:val="44"/>
              <w:highlight w:val="none"/>
            </w:rPr>
            <w:t xml:space="preserve">第六章  磋商响应文件格式</w:t>
          </w:r>
          <w:r>
            <w:rPr>
              <w:sz w:val="36"/>
              <w:szCs w:val="44"/>
            </w:rPr>
            <w:tab/>
          </w:r>
          <w:r>
            <w:rPr>
              <w:sz w:val="36"/>
              <w:szCs w:val="44"/>
            </w:rPr>
            <w:fldChar w:fldCharType="begin"/>
          </w:r>
          <w:r>
            <w:rPr>
              <w:sz w:val="36"/>
              <w:szCs w:val="44"/>
            </w:rPr>
            <w:instrText xml:space="preserve"> PAGEREF _Toc4880 \h </w:instrText>
          </w:r>
          <w:r>
            <w:rPr>
              <w:sz w:val="36"/>
              <w:szCs w:val="44"/>
            </w:rPr>
            <w:fldChar w:fldCharType="separate"/>
          </w:r>
          <w:r>
            <w:rPr>
              <w:sz w:val="36"/>
              <w:szCs w:val="44"/>
            </w:rPr>
            <w:t xml:space="preserve">33</w:t>
          </w:r>
          <w:r>
            <w:rPr>
              <w:sz w:val="36"/>
              <w:szCs w:val="44"/>
            </w:rPr>
            <w:fldChar w:fldCharType="end"/>
          </w:r>
          <w:r>
            <w:rPr>
              <w:color w:val="auto"/>
              <w:sz w:val="36"/>
              <w:szCs w:val="52"/>
              <w:highlight w:val="none"/>
            </w:rPr>
            <w:fldChar w:fldCharType="end"/>
          </w:r>
          <w:r/>
        </w:p>
        <w:p>
          <w:pPr>
            <w:spacing w:line="360" w:lineRule="auto"/>
            <w:rPr>
              <w:color w:val="auto"/>
              <w:highlight w:val="none"/>
            </w:rPr>
          </w:pPr>
          <w:r>
            <w:rPr>
              <w:color w:val="auto"/>
              <w:szCs w:val="32"/>
              <w:highlight w:val="none"/>
            </w:rPr>
            <w:fldChar w:fldCharType="end"/>
          </w:r>
          <w:r/>
        </w:p>
      </w:sdtContent>
    </w:sdt>
    <w:p>
      <w:pPr>
        <w:rPr>
          <w:color w:val="auto"/>
          <w:highlight w:val="none"/>
        </w:rPr>
      </w:pPr>
      <w:r>
        <w:rPr>
          <w:color w:val="auto"/>
          <w:highlight w:val="none"/>
        </w:rPr>
      </w:r>
      <w:r/>
    </w:p>
    <w:p>
      <w:pPr>
        <w:pStyle w:val="905"/>
        <w:jc w:val="center"/>
        <w:rPr>
          <w:b/>
          <w:bCs/>
          <w:color w:val="auto"/>
          <w:highlight w:val="none"/>
        </w:rPr>
        <w:sectPr>
          <w:footerReference w:type="default" r:id="rId11"/>
          <w:footnotePr/>
          <w:endnotePr/>
          <w:type w:val="nextPage"/>
          <w:pgSz w:w="11906" w:h="16838" w:orient="portrait"/>
          <w:pgMar w:top="1440" w:right="748" w:bottom="1440" w:left="969" w:header="851" w:footer="992" w:gutter="0"/>
          <w:pgNumType w:start="1"/>
          <w:cols w:num="1" w:sep="0" w:space="1701" w:equalWidth="1"/>
          <w:docGrid w:linePitch="360"/>
        </w:sectPr>
      </w:pPr>
      <w:r>
        <w:rPr>
          <w:b/>
          <w:bCs/>
          <w:color w:val="auto"/>
          <w:highlight w:val="none"/>
        </w:rPr>
      </w:r>
      <w:r/>
    </w:p>
    <w:p>
      <w:pPr>
        <w:pStyle w:val="905"/>
        <w:jc w:val="center"/>
        <w:rPr>
          <w:rFonts w:ascii="sans-serif" w:hAnsi="sans-serif" w:eastAsia="sans-serif" w:cs="sans-serif"/>
          <w:color w:val="auto"/>
          <w:highlight w:val="none"/>
        </w:rPr>
      </w:pPr>
      <w:r/>
      <w:bookmarkStart w:id="1" w:name="_Toc18377"/>
      <w:r>
        <w:rPr>
          <w:rFonts w:hint="eastAsia"/>
          <w:b/>
          <w:bCs/>
          <w:color w:val="auto"/>
          <w:highlight w:val="none"/>
        </w:rPr>
        <w:t xml:space="preserve">第一章 磋商公告</w:t>
      </w:r>
      <w:bookmarkEnd w:id="1"/>
      <w:r/>
      <w:r/>
    </w:p>
    <w:p>
      <w:pPr>
        <w:jc w:val="left"/>
        <w:spacing w:line="360" w:lineRule="auto"/>
        <w:rPr>
          <w:rFonts w:ascii="宋体" w:hAnsi="宋体" w:cs="宋体"/>
          <w:color w:val="auto"/>
          <w:sz w:val="24"/>
          <w:szCs w:val="22"/>
          <w:highlight w:val="none"/>
        </w:rPr>
        <w:pBdr>
          <w:top w:val="single" w:color="000000" w:sz="4" w:space="1"/>
          <w:left w:val="single" w:color="000000" w:sz="4" w:space="4"/>
          <w:bottom w:val="single" w:color="000000" w:sz="4" w:space="1"/>
          <w:right w:val="single" w:color="000000" w:sz="4" w:space="4"/>
        </w:pBdr>
      </w:pPr>
      <w:r/>
      <w:bookmarkStart w:id="2" w:name="XMDW_1"/>
      <w:r>
        <w:rPr>
          <w:rFonts w:hint="eastAsia" w:ascii="宋体" w:hAnsi="宋体" w:cs="宋体"/>
          <w:color w:val="auto"/>
          <w:sz w:val="24"/>
          <w:szCs w:val="22"/>
          <w:highlight w:val="none"/>
          <w:lang w:bidi="ar"/>
        </w:rPr>
        <w:t xml:space="preserve">项目概况</w:t>
      </w:r>
      <w:r/>
    </w:p>
    <w:p>
      <w:pPr>
        <w:ind w:firstLine="480"/>
        <w:jc w:val="left"/>
        <w:spacing w:line="360" w:lineRule="auto"/>
        <w:rPr>
          <w:rFonts w:ascii="宋体" w:hAnsi="宋体" w:cs="宋体"/>
          <w:color w:val="auto"/>
          <w:sz w:val="24"/>
          <w:szCs w:val="22"/>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2"/>
          <w:highlight w:val="none"/>
          <w:u w:val="single"/>
          <w:lang w:eastAsia="zh-CN" w:bidi="ar"/>
        </w:rPr>
        <w:t xml:space="preserve">苏州工业园区2026年度工贸领域企业第三方安全生产指导服务</w:t>
      </w:r>
      <w:r>
        <w:rPr>
          <w:rFonts w:hint="eastAsia" w:ascii="宋体" w:hAnsi="宋体" w:cs="宋体"/>
          <w:color w:val="auto"/>
          <w:sz w:val="24"/>
          <w:szCs w:val="22"/>
          <w:highlight w:val="none"/>
          <w:lang w:bidi="ar"/>
        </w:rPr>
        <w:t xml:space="preserve">采购项目的潜在供应商应在</w:t>
      </w:r>
      <w:r>
        <w:rPr>
          <w:rFonts w:hint="eastAsia" w:ascii="宋体" w:hAnsi="宋体" w:cs="宋体"/>
          <w:color w:val="auto"/>
          <w:sz w:val="24"/>
          <w:szCs w:val="22"/>
          <w:highlight w:val="none"/>
          <w:u w:val="single"/>
          <w:lang w:bidi="ar"/>
        </w:rPr>
        <w:t xml:space="preserve">苏采云</w:t>
      </w:r>
      <w:r>
        <w:rPr>
          <w:rFonts w:hint="eastAsia" w:ascii="宋体" w:hAnsi="宋体" w:cs="宋体"/>
          <w:color w:val="auto"/>
          <w:sz w:val="24"/>
          <w:szCs w:val="22"/>
          <w:highlight w:val="none"/>
          <w:lang w:bidi="ar"/>
        </w:rPr>
        <w:t xml:space="preserve">获取采购文件，并于</w:t>
      </w:r>
      <w:r>
        <w:rPr>
          <w:rFonts w:hint="eastAsia" w:ascii="宋体" w:hAnsi="宋体" w:cs="宋体"/>
          <w:bCs/>
          <w:color w:val="auto"/>
          <w:sz w:val="24"/>
          <w:szCs w:val="22"/>
          <w:highlight w:val="none"/>
          <w:u w:val="single"/>
          <w:lang w:bidi="ar"/>
        </w:rPr>
        <w:t xml:space="preserve">202</w:t>
      </w:r>
      <w:r>
        <w:rPr>
          <w:rFonts w:hint="eastAsia" w:ascii="宋体" w:hAnsi="宋体" w:cs="宋体"/>
          <w:bCs/>
          <w:color w:val="auto"/>
          <w:sz w:val="24"/>
          <w:szCs w:val="22"/>
          <w:highlight w:val="none"/>
          <w:u w:val="single"/>
          <w:lang w:val="en-US" w:eastAsia="zh-CN" w:bidi="ar"/>
        </w:rPr>
        <w:t xml:space="preserve">6</w:t>
      </w:r>
      <w:r>
        <w:rPr>
          <w:rFonts w:hint="eastAsia" w:ascii="宋体" w:hAnsi="宋体" w:cs="宋体"/>
          <w:bCs/>
          <w:color w:val="auto"/>
          <w:sz w:val="24"/>
          <w:szCs w:val="22"/>
          <w:highlight w:val="none"/>
          <w:u w:val="single"/>
          <w:lang w:bidi="ar"/>
        </w:rPr>
        <w:t xml:space="preserve">年</w:t>
      </w:r>
      <w:r>
        <w:rPr>
          <w:rFonts w:hint="eastAsia" w:ascii="宋体" w:hAnsi="宋体" w:cs="宋体"/>
          <w:bCs/>
          <w:color w:val="auto"/>
          <w:sz w:val="24"/>
          <w:szCs w:val="22"/>
          <w:highlight w:val="none"/>
          <w:u w:val="single"/>
          <w:lang w:val="en-US" w:eastAsia="zh-CN" w:bidi="ar"/>
        </w:rPr>
        <w:t xml:space="preserve">3</w:t>
      </w:r>
      <w:r>
        <w:rPr>
          <w:rFonts w:hint="eastAsia" w:ascii="宋体" w:hAnsi="宋体" w:cs="宋体"/>
          <w:bCs/>
          <w:color w:val="auto"/>
          <w:sz w:val="24"/>
          <w:szCs w:val="22"/>
          <w:highlight w:val="none"/>
          <w:u w:val="single"/>
          <w:lang w:bidi="ar"/>
        </w:rPr>
        <w:t xml:space="preserve">月</w:t>
      </w:r>
      <w:r>
        <w:rPr>
          <w:rFonts w:hint="eastAsia" w:ascii="宋体" w:hAnsi="宋体" w:cs="宋体"/>
          <w:bCs/>
          <w:color w:val="auto"/>
          <w:sz w:val="24"/>
          <w:szCs w:val="22"/>
          <w:highlight w:val="none"/>
          <w:u w:val="single"/>
          <w:lang w:val="en-US" w:eastAsia="zh-CN" w:bidi="ar"/>
        </w:rPr>
        <w:t xml:space="preserve">20</w:t>
      </w:r>
      <w:r>
        <w:rPr>
          <w:rFonts w:hint="eastAsia" w:ascii="宋体" w:hAnsi="宋体" w:cs="宋体"/>
          <w:bCs/>
          <w:color w:val="auto"/>
          <w:sz w:val="24"/>
          <w:szCs w:val="22"/>
          <w:highlight w:val="none"/>
          <w:u w:val="single"/>
          <w:lang w:bidi="ar"/>
        </w:rPr>
        <w:t xml:space="preserve">日09点30分</w:t>
      </w:r>
      <w:r>
        <w:rPr>
          <w:rFonts w:hint="eastAsia" w:ascii="宋体" w:hAnsi="宋体" w:cs="宋体"/>
          <w:bCs/>
          <w:color w:val="auto"/>
          <w:sz w:val="24"/>
          <w:szCs w:val="22"/>
          <w:highlight w:val="none"/>
          <w:lang w:bidi="ar"/>
        </w:rPr>
        <w:t xml:space="preserve">（北京时间）前提交响应文件</w:t>
      </w:r>
      <w:r>
        <w:rPr>
          <w:rFonts w:hint="eastAsia" w:ascii="宋体" w:hAnsi="宋体" w:cs="宋体"/>
          <w:color w:val="auto"/>
          <w:sz w:val="24"/>
          <w:szCs w:val="22"/>
          <w:highlight w:val="none"/>
          <w:lang w:bidi="ar"/>
        </w:rPr>
        <w:t xml:space="preserve">。</w:t>
      </w:r>
      <w:r/>
    </w:p>
    <w:p>
      <w:pPr>
        <w:pStyle w:val="1109"/>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一、项目基本情况</w:t>
      </w:r>
      <w:r/>
    </w:p>
    <w:p>
      <w:pPr>
        <w:pStyle w:val="1109"/>
        <w:ind w:firstLine="48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rPr>
        <w:t xml:space="preserve">项目编号：</w:t>
      </w:r>
      <w:r>
        <w:rPr>
          <w:rFonts w:hint="eastAsia" w:ascii="宋体" w:hAnsi="宋体" w:eastAsia="宋体" w:cs="宋体"/>
          <w:color w:val="auto"/>
          <w:sz w:val="24"/>
          <w:highlight w:val="none"/>
          <w:lang w:eastAsia="zh-CN"/>
        </w:rPr>
        <w:t xml:space="preserve">JSZC-320591-CJZT-C2026-0001</w:t>
      </w:r>
      <w:r/>
    </w:p>
    <w:p>
      <w:pPr>
        <w:pStyle w:val="1109"/>
        <w:ind w:firstLine="48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2.项目名称：</w:t>
      </w:r>
      <w:r>
        <w:rPr>
          <w:rFonts w:hint="eastAsia" w:ascii="宋体" w:hAnsi="宋体" w:eastAsia="宋体" w:cs="宋体"/>
          <w:color w:val="auto"/>
          <w:sz w:val="24"/>
          <w:highlight w:val="none"/>
          <w:lang w:eastAsia="zh-CN"/>
        </w:rPr>
        <w:t xml:space="preserve">苏州工业园区2026年度工贸领域企业第三方安全生产指导服务</w:t>
      </w:r>
      <w:r/>
    </w:p>
    <w:p>
      <w:pPr>
        <w:pStyle w:val="1109"/>
        <w:ind w:firstLine="48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3.采购方式：竞争性磋商</w:t>
      </w:r>
      <w:r/>
    </w:p>
    <w:p>
      <w:pPr>
        <w:pStyle w:val="1109"/>
        <w:ind w:firstLine="48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4.预算总金额：人民币</w:t>
      </w:r>
      <w:r>
        <w:rPr>
          <w:rFonts w:hint="eastAsia" w:ascii="宋体" w:hAnsi="宋体" w:eastAsia="宋体" w:cs="宋体"/>
          <w:color w:val="auto"/>
          <w:sz w:val="24"/>
          <w:highlight w:val="none"/>
          <w:lang w:val="en-US" w:eastAsia="zh-CN"/>
        </w:rPr>
        <w:t xml:space="preserve">壹佰壹拾</w:t>
      </w:r>
      <w:r>
        <w:rPr>
          <w:rFonts w:hint="eastAsia" w:ascii="宋体" w:hAnsi="宋体" w:eastAsia="宋体" w:cs="宋体"/>
          <w:color w:val="auto"/>
          <w:sz w:val="24"/>
          <w:highlight w:val="none"/>
        </w:rPr>
        <w:t xml:space="preserve">万元整（￥</w:t>
      </w: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rPr>
        <w:t xml:space="preserve">00000.00）</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标段一预算：人民币</w:t>
      </w:r>
      <w:r>
        <w:rPr>
          <w:rFonts w:hint="eastAsia" w:ascii="宋体" w:hAnsi="宋体" w:cs="宋体"/>
          <w:color w:val="auto"/>
          <w:sz w:val="24"/>
          <w:highlight w:val="none"/>
          <w:lang w:val="en-US" w:eastAsia="zh-CN"/>
        </w:rPr>
        <w:t xml:space="preserve">叁拾</w:t>
      </w:r>
      <w:r>
        <w:rPr>
          <w:rFonts w:hint="eastAsia" w:ascii="宋体" w:hAnsi="宋体" w:cs="宋体"/>
          <w:color w:val="auto"/>
          <w:sz w:val="24"/>
          <w:highlight w:val="none"/>
        </w:rPr>
        <w:t xml:space="preserve">万元整（￥</w:t>
      </w: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rPr>
        <w:t xml:space="preserve">0000.00）；</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标段二预算：人民币</w:t>
      </w:r>
      <w:r>
        <w:rPr>
          <w:rFonts w:hint="eastAsia" w:ascii="宋体" w:hAnsi="宋体" w:cs="宋体"/>
          <w:color w:val="auto"/>
          <w:sz w:val="24"/>
          <w:highlight w:val="none"/>
          <w:lang w:val="en-US" w:eastAsia="zh-CN"/>
        </w:rPr>
        <w:t xml:space="preserve">叁拾</w:t>
      </w:r>
      <w:r>
        <w:rPr>
          <w:rFonts w:hint="eastAsia" w:ascii="宋体" w:hAnsi="宋体" w:cs="宋体"/>
          <w:color w:val="auto"/>
          <w:sz w:val="24"/>
          <w:highlight w:val="none"/>
        </w:rPr>
        <w:t xml:space="preserve">万元整（￥</w:t>
      </w: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rPr>
        <w:t xml:space="preserve">0000.00）；</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标段三预算：人民币</w:t>
      </w:r>
      <w:r>
        <w:rPr>
          <w:rFonts w:hint="eastAsia" w:ascii="宋体" w:hAnsi="宋体" w:cs="宋体"/>
          <w:color w:val="auto"/>
          <w:sz w:val="24"/>
          <w:highlight w:val="none"/>
          <w:lang w:val="en-US" w:eastAsia="zh-CN"/>
        </w:rPr>
        <w:t xml:space="preserve">贰拾伍</w:t>
      </w:r>
      <w:r>
        <w:rPr>
          <w:rFonts w:hint="eastAsia" w:ascii="宋体" w:hAnsi="宋体" w:cs="宋体"/>
          <w:color w:val="auto"/>
          <w:sz w:val="24"/>
          <w:highlight w:val="none"/>
        </w:rPr>
        <w:t xml:space="preserve">万元整（￥</w:t>
      </w:r>
      <w:r>
        <w:rPr>
          <w:rFonts w:hint="eastAsia" w:ascii="宋体" w:hAnsi="宋体" w:cs="宋体"/>
          <w:color w:val="auto"/>
          <w:sz w:val="24"/>
          <w:highlight w:val="none"/>
          <w:lang w:val="en-US" w:eastAsia="zh-CN"/>
        </w:rPr>
        <w:t xml:space="preserve">25</w:t>
      </w:r>
      <w:r>
        <w:rPr>
          <w:rFonts w:hint="eastAsia" w:ascii="宋体" w:hAnsi="宋体" w:cs="宋体"/>
          <w:color w:val="auto"/>
          <w:sz w:val="24"/>
          <w:highlight w:val="none"/>
        </w:rPr>
        <w:t xml:space="preserve">0000.00）；</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标段四预算：人民币</w:t>
      </w:r>
      <w:r>
        <w:rPr>
          <w:rFonts w:hint="eastAsia" w:ascii="宋体" w:hAnsi="宋体" w:cs="宋体"/>
          <w:color w:val="auto"/>
          <w:sz w:val="24"/>
          <w:highlight w:val="none"/>
          <w:lang w:val="en-US" w:eastAsia="zh-CN"/>
        </w:rPr>
        <w:t xml:space="preserve">贰拾伍</w:t>
      </w:r>
      <w:r>
        <w:rPr>
          <w:rFonts w:hint="eastAsia" w:ascii="宋体" w:hAnsi="宋体" w:cs="宋体"/>
          <w:color w:val="auto"/>
          <w:sz w:val="24"/>
          <w:highlight w:val="none"/>
        </w:rPr>
        <w:t xml:space="preserve">万元整（￥</w:t>
      </w:r>
      <w:r>
        <w:rPr>
          <w:rFonts w:hint="eastAsia" w:ascii="宋体" w:hAnsi="宋体" w:cs="宋体"/>
          <w:color w:val="auto"/>
          <w:sz w:val="24"/>
          <w:highlight w:val="none"/>
          <w:lang w:val="en-US" w:eastAsia="zh-CN"/>
        </w:rPr>
        <w:t xml:space="preserve">25</w:t>
      </w:r>
      <w:r>
        <w:rPr>
          <w:rFonts w:hint="eastAsia" w:ascii="宋体" w:hAnsi="宋体" w:cs="宋体"/>
          <w:color w:val="auto"/>
          <w:sz w:val="24"/>
          <w:highlight w:val="none"/>
        </w:rPr>
        <w:t xml:space="preserve">0000.00）；</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最高限价：</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标段一</w:t>
      </w:r>
      <w:r>
        <w:rPr>
          <w:rFonts w:ascii="SimSun" w:hAnsi="SimSun" w:eastAsia="SimSun" w:cs="SimSun"/>
          <w:color w:val="000000"/>
          <w:sz w:val="24"/>
        </w:rPr>
        <w:t xml:space="preserve">最高限价</w:t>
      </w:r>
      <w:r>
        <w:rPr>
          <w:rFonts w:hint="eastAsia" w:ascii="宋体" w:hAnsi="宋体" w:cs="宋体"/>
          <w:color w:val="auto"/>
          <w:sz w:val="24"/>
          <w:highlight w:val="none"/>
        </w:rPr>
        <w:t xml:space="preserve">：人民币</w:t>
      </w:r>
      <w:r>
        <w:rPr>
          <w:rFonts w:hint="eastAsia" w:ascii="宋体" w:hAnsi="宋体" w:cs="宋体"/>
          <w:color w:val="auto"/>
          <w:sz w:val="24"/>
          <w:highlight w:val="none"/>
          <w:lang w:val="en-US" w:eastAsia="zh-CN"/>
        </w:rPr>
        <w:t xml:space="preserve">叁拾</w:t>
      </w:r>
      <w:r>
        <w:rPr>
          <w:rFonts w:hint="eastAsia" w:ascii="宋体" w:hAnsi="宋体" w:cs="宋体"/>
          <w:color w:val="auto"/>
          <w:sz w:val="24"/>
          <w:highlight w:val="none"/>
        </w:rPr>
        <w:t xml:space="preserve">万元整（￥</w:t>
      </w: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rPr>
        <w:t xml:space="preserve">0000.00）；</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标段二</w:t>
      </w:r>
      <w:r>
        <w:rPr>
          <w:rFonts w:ascii="SimSun" w:hAnsi="SimSun" w:eastAsia="SimSun" w:cs="SimSun"/>
          <w:color w:val="000000"/>
          <w:sz w:val="24"/>
        </w:rPr>
        <w:t xml:space="preserve">最高限价</w:t>
      </w:r>
      <w:r>
        <w:rPr>
          <w:rFonts w:hint="eastAsia" w:ascii="宋体" w:hAnsi="宋体" w:cs="宋体"/>
          <w:color w:val="auto"/>
          <w:sz w:val="24"/>
          <w:highlight w:val="none"/>
        </w:rPr>
        <w:t xml:space="preserve">：人民币</w:t>
      </w:r>
      <w:r>
        <w:rPr>
          <w:rFonts w:hint="eastAsia" w:ascii="宋体" w:hAnsi="宋体" w:cs="宋体"/>
          <w:color w:val="auto"/>
          <w:sz w:val="24"/>
          <w:highlight w:val="none"/>
          <w:lang w:val="en-US" w:eastAsia="zh-CN"/>
        </w:rPr>
        <w:t xml:space="preserve">叁拾</w:t>
      </w:r>
      <w:r>
        <w:rPr>
          <w:rFonts w:hint="eastAsia" w:ascii="宋体" w:hAnsi="宋体" w:cs="宋体"/>
          <w:color w:val="auto"/>
          <w:sz w:val="24"/>
          <w:highlight w:val="none"/>
        </w:rPr>
        <w:t xml:space="preserve">万元整（￥</w:t>
      </w: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rPr>
        <w:t xml:space="preserve">0000.00）；</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标段三</w:t>
      </w:r>
      <w:r>
        <w:rPr>
          <w:rFonts w:ascii="SimSun" w:hAnsi="SimSun" w:eastAsia="SimSun" w:cs="SimSun"/>
          <w:color w:val="000000"/>
          <w:sz w:val="24"/>
        </w:rPr>
        <w:t xml:space="preserve">最高限价</w:t>
      </w:r>
      <w:r>
        <w:rPr>
          <w:rFonts w:hint="eastAsia" w:ascii="宋体" w:hAnsi="宋体" w:cs="宋体"/>
          <w:color w:val="auto"/>
          <w:sz w:val="24"/>
          <w:highlight w:val="none"/>
        </w:rPr>
        <w:t xml:space="preserve">：人民币</w:t>
      </w:r>
      <w:r>
        <w:rPr>
          <w:rFonts w:hint="eastAsia" w:ascii="宋体" w:hAnsi="宋体" w:cs="宋体"/>
          <w:color w:val="auto"/>
          <w:sz w:val="24"/>
          <w:highlight w:val="none"/>
          <w:lang w:val="en-US" w:eastAsia="zh-CN"/>
        </w:rPr>
        <w:t xml:space="preserve">贰拾伍</w:t>
      </w:r>
      <w:r>
        <w:rPr>
          <w:rFonts w:hint="eastAsia" w:ascii="宋体" w:hAnsi="宋体" w:cs="宋体"/>
          <w:color w:val="auto"/>
          <w:sz w:val="24"/>
          <w:highlight w:val="none"/>
        </w:rPr>
        <w:t xml:space="preserve">万元整（￥</w:t>
      </w:r>
      <w:r>
        <w:rPr>
          <w:rFonts w:hint="eastAsia" w:ascii="宋体" w:hAnsi="宋体" w:cs="宋体"/>
          <w:color w:val="auto"/>
          <w:sz w:val="24"/>
          <w:highlight w:val="none"/>
          <w:lang w:val="en-US" w:eastAsia="zh-CN"/>
        </w:rPr>
        <w:t xml:space="preserve">25</w:t>
      </w:r>
      <w:r>
        <w:rPr>
          <w:rFonts w:hint="eastAsia" w:ascii="宋体" w:hAnsi="宋体" w:cs="宋体"/>
          <w:color w:val="auto"/>
          <w:sz w:val="24"/>
          <w:highlight w:val="none"/>
        </w:rPr>
        <w:t xml:space="preserve">0000.00）；</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标段四</w:t>
      </w:r>
      <w:r>
        <w:rPr>
          <w:rFonts w:ascii="SimSun" w:hAnsi="SimSun" w:eastAsia="SimSun" w:cs="SimSun"/>
          <w:color w:val="000000"/>
          <w:sz w:val="24"/>
        </w:rPr>
        <w:t xml:space="preserve">最高限价</w:t>
      </w:r>
      <w:r>
        <w:rPr>
          <w:rFonts w:hint="eastAsia" w:ascii="宋体" w:hAnsi="宋体" w:cs="宋体"/>
          <w:color w:val="auto"/>
          <w:sz w:val="24"/>
          <w:highlight w:val="none"/>
        </w:rPr>
        <w:t xml:space="preserve">：人民币</w:t>
      </w:r>
      <w:r>
        <w:rPr>
          <w:rFonts w:hint="eastAsia" w:ascii="宋体" w:hAnsi="宋体" w:cs="宋体"/>
          <w:color w:val="auto"/>
          <w:sz w:val="24"/>
          <w:highlight w:val="none"/>
          <w:lang w:val="en-US" w:eastAsia="zh-CN"/>
        </w:rPr>
        <w:t xml:space="preserve">贰拾伍</w:t>
      </w:r>
      <w:r>
        <w:rPr>
          <w:rFonts w:hint="eastAsia" w:ascii="宋体" w:hAnsi="宋体" w:cs="宋体"/>
          <w:color w:val="auto"/>
          <w:sz w:val="24"/>
          <w:highlight w:val="none"/>
        </w:rPr>
        <w:t xml:space="preserve">万元整（￥</w:t>
      </w:r>
      <w:r>
        <w:rPr>
          <w:rFonts w:hint="eastAsia" w:ascii="宋体" w:hAnsi="宋体" w:cs="宋体"/>
          <w:color w:val="auto"/>
          <w:sz w:val="24"/>
          <w:highlight w:val="none"/>
          <w:lang w:val="en-US" w:eastAsia="zh-CN"/>
        </w:rPr>
        <w:t xml:space="preserve">25</w:t>
      </w:r>
      <w:r>
        <w:rPr>
          <w:rFonts w:hint="eastAsia" w:ascii="宋体" w:hAnsi="宋体" w:cs="宋体"/>
          <w:color w:val="auto"/>
          <w:sz w:val="24"/>
          <w:highlight w:val="none"/>
        </w:rPr>
        <w:t xml:space="preserve">0000.00）；</w:t>
      </w:r>
      <w:r/>
    </w:p>
    <w:p>
      <w:pPr>
        <w:pStyle w:val="1109"/>
        <w:ind w:firstLine="48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5.采购需求：</w:t>
      </w:r>
      <w:r/>
    </w:p>
    <w:p>
      <w:pPr>
        <w:pStyle w:val="1109"/>
        <w:ind w:firstLine="480"/>
        <w:spacing w:line="360" w:lineRule="auto"/>
        <w:widowControl/>
        <w:rPr>
          <w:rFonts w:ascii="宋体" w:hAnsi="宋体" w:eastAsia="宋体"/>
          <w:color w:val="auto"/>
          <w:sz w:val="24"/>
          <w:szCs w:val="22"/>
          <w:highlight w:val="none"/>
        </w:rPr>
      </w:pPr>
      <w:r>
        <w:rPr>
          <w:rFonts w:hint="eastAsia" w:ascii="宋体" w:hAnsi="宋体" w:eastAsia="宋体"/>
          <w:color w:val="auto"/>
          <w:sz w:val="24"/>
          <w:szCs w:val="22"/>
          <w:highlight w:val="none"/>
        </w:rPr>
        <w:t xml:space="preserve">5.1项目概况：</w:t>
      </w:r>
      <w:r/>
    </w:p>
    <w:tbl>
      <w:tblPr>
        <w:tblStyle w:val="915"/>
        <w:tblW w:w="9444" w:type="dxa"/>
        <w:jc w:val="center"/>
        <w:tblLayout w:type="autofit"/>
        <w:tblCellMar>
          <w:left w:w="108" w:type="dxa"/>
          <w:top w:w="0" w:type="dxa"/>
          <w:right w:w="108" w:type="dxa"/>
          <w:bottom w:w="0" w:type="dxa"/>
        </w:tblCellMar>
        <w:tblLook w:val="04A0" w:firstRow="1" w:lastRow="0" w:firstColumn="1" w:lastColumn="0" w:noHBand="0" w:noVBand="1"/>
      </w:tblPr>
      <w:tblGrid>
        <w:gridCol w:w="1258"/>
        <w:gridCol w:w="1626"/>
        <w:gridCol w:w="2930"/>
        <w:gridCol w:w="992"/>
        <w:gridCol w:w="1246"/>
        <w:gridCol w:w="1392"/>
      </w:tblGrid>
      <w:tr>
        <w:trPr>
          <w:jc w:val="center"/>
          <w:trHeight w:val="453"/>
        </w:trPr>
        <w:tc>
          <w:tcPr>
            <w:tcBorders>
              <w:top w:val="single" w:color="000000" w:sz="8" w:space="0"/>
              <w:left w:val="single" w:color="000000" w:sz="8" w:space="0"/>
              <w:bottom w:val="single" w:color="000000" w:sz="8" w:space="0"/>
              <w:right w:val="single" w:color="000000" w:sz="8" w:space="0"/>
            </w:tcBorders>
            <w:tcW w:w="1258" w:type="dxa"/>
            <w:vAlign w:val="center"/>
            <w:textDirection w:val="lrTb"/>
            <w:noWrap w:val="false"/>
          </w:tcPr>
          <w:p>
            <w:pPr>
              <w:jc w:val="center"/>
              <w:widowControl/>
              <w:rPr>
                <w:rFonts w:ascii="宋体" w:hAnsi="宋体" w:cs="宋体"/>
                <w:b/>
                <w:bCs/>
                <w:color w:val="auto"/>
                <w:sz w:val="24"/>
              </w:rPr>
            </w:pPr>
            <w:r>
              <w:rPr>
                <w:rFonts w:hint="eastAsia" w:ascii="宋体" w:hAnsi="宋体" w:cs="宋体"/>
                <w:b/>
                <w:bCs/>
                <w:color w:val="auto"/>
                <w:sz w:val="24"/>
              </w:rPr>
              <w:t xml:space="preserve">序号</w:t>
            </w:r>
            <w:r/>
          </w:p>
        </w:tc>
        <w:tc>
          <w:tcPr>
            <w:tcBorders>
              <w:top w:val="single" w:color="000000" w:sz="8" w:space="0"/>
              <w:left w:val="none" w:color="000000" w:sz="4" w:space="0"/>
              <w:bottom w:val="single" w:color="000000" w:sz="8" w:space="0"/>
              <w:right w:val="single" w:color="000000" w:sz="8" w:space="0"/>
            </w:tcBorders>
            <w:tcW w:w="1626" w:type="dxa"/>
            <w:vAlign w:val="center"/>
            <w:textDirection w:val="lrTb"/>
            <w:noWrap w:val="false"/>
          </w:tcPr>
          <w:p>
            <w:pPr>
              <w:jc w:val="center"/>
              <w:widowControl/>
              <w:rPr>
                <w:rFonts w:ascii="宋体" w:hAnsi="宋体" w:cs="宋体"/>
                <w:b/>
                <w:bCs/>
                <w:color w:val="auto"/>
                <w:sz w:val="24"/>
              </w:rPr>
            </w:pPr>
            <w:r>
              <w:rPr>
                <w:rFonts w:hint="eastAsia" w:ascii="宋体" w:hAnsi="宋体" w:cs="宋体"/>
                <w:b/>
                <w:bCs/>
                <w:color w:val="auto"/>
                <w:sz w:val="24"/>
              </w:rPr>
              <w:t xml:space="preserve">项目名称</w:t>
            </w:r>
            <w:r/>
          </w:p>
        </w:tc>
        <w:tc>
          <w:tcPr>
            <w:tcBorders>
              <w:top w:val="single" w:color="000000" w:sz="8" w:space="0"/>
              <w:left w:val="none" w:color="000000" w:sz="4" w:space="0"/>
              <w:bottom w:val="single" w:color="000000" w:sz="8" w:space="0"/>
              <w:right w:val="single" w:color="000000" w:sz="8" w:space="0"/>
            </w:tcBorders>
            <w:tcW w:w="2930" w:type="dxa"/>
            <w:vAlign w:val="center"/>
            <w:textDirection w:val="lrTb"/>
            <w:noWrap w:val="false"/>
          </w:tcPr>
          <w:p>
            <w:pPr>
              <w:jc w:val="center"/>
              <w:widowControl/>
              <w:rPr>
                <w:rFonts w:ascii="宋体" w:hAnsi="宋体" w:cs="宋体"/>
                <w:b/>
                <w:bCs/>
                <w:color w:val="auto"/>
                <w:sz w:val="24"/>
              </w:rPr>
            </w:pPr>
            <w:r>
              <w:rPr>
                <w:rFonts w:hint="eastAsia" w:ascii="宋体" w:hAnsi="宋体" w:cs="宋体"/>
                <w:b/>
                <w:bCs/>
                <w:color w:val="auto"/>
                <w:sz w:val="24"/>
              </w:rPr>
              <w:t xml:space="preserve">服务综合要求</w:t>
            </w:r>
            <w:r/>
          </w:p>
        </w:tc>
        <w:tc>
          <w:tcPr>
            <w:tcBorders>
              <w:top w:val="single" w:color="000000" w:sz="8"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ascii="宋体" w:hAnsi="宋体" w:cs="宋体"/>
                <w:b/>
                <w:bCs/>
                <w:color w:val="auto"/>
                <w:sz w:val="24"/>
              </w:rPr>
            </w:pPr>
            <w:r>
              <w:rPr>
                <w:rFonts w:hint="eastAsia" w:ascii="宋体" w:hAnsi="宋体" w:cs="宋体"/>
                <w:b/>
                <w:bCs/>
                <w:color w:val="auto"/>
                <w:sz w:val="24"/>
              </w:rPr>
              <w:t xml:space="preserve">服务企业数</w:t>
            </w:r>
            <w:r/>
          </w:p>
        </w:tc>
        <w:tc>
          <w:tcPr>
            <w:tcBorders>
              <w:top w:val="single" w:color="000000" w:sz="8" w:space="0"/>
              <w:left w:val="none" w:color="000000" w:sz="4" w:space="0"/>
              <w:bottom w:val="single" w:color="000000" w:sz="8" w:space="0"/>
              <w:right w:val="single" w:color="000000" w:sz="8" w:space="0"/>
            </w:tcBorders>
            <w:tcW w:w="1246" w:type="dxa"/>
            <w:vAlign w:val="center"/>
            <w:textDirection w:val="lrTb"/>
            <w:noWrap w:val="false"/>
          </w:tcPr>
          <w:p>
            <w:pPr>
              <w:jc w:val="center"/>
              <w:widowControl/>
              <w:rPr>
                <w:rFonts w:ascii="宋体" w:hAnsi="宋体" w:cs="宋体"/>
                <w:b/>
                <w:bCs/>
                <w:color w:val="auto"/>
                <w:szCs w:val="21"/>
              </w:rPr>
            </w:pPr>
            <w:r>
              <w:rPr>
                <w:rFonts w:hint="eastAsia" w:ascii="宋体" w:hAnsi="宋体" w:cs="宋体"/>
                <w:b/>
                <w:bCs/>
                <w:color w:val="auto"/>
                <w:szCs w:val="21"/>
              </w:rPr>
              <w:t xml:space="preserve">预算单价</w:t>
            </w:r>
            <w:r/>
          </w:p>
        </w:tc>
        <w:tc>
          <w:tcPr>
            <w:tcBorders>
              <w:top w:val="single" w:color="000000" w:sz="8" w:space="0"/>
              <w:left w:val="none" w:color="000000" w:sz="4" w:space="0"/>
              <w:bottom w:val="single" w:color="000000" w:sz="8" w:space="0"/>
              <w:right w:val="single" w:color="000000" w:sz="8" w:space="0"/>
            </w:tcBorders>
            <w:tcW w:w="1392" w:type="dxa"/>
            <w:vAlign w:val="center"/>
            <w:textDirection w:val="lrTb"/>
            <w:noWrap w:val="false"/>
          </w:tcPr>
          <w:p>
            <w:pPr>
              <w:jc w:val="center"/>
              <w:widowControl/>
              <w:rPr>
                <w:rFonts w:ascii="宋体" w:hAnsi="宋体" w:cs="宋体"/>
                <w:b/>
                <w:bCs/>
                <w:color w:val="auto"/>
                <w:szCs w:val="21"/>
              </w:rPr>
            </w:pPr>
            <w:r>
              <w:rPr>
                <w:rFonts w:hint="eastAsia" w:ascii="宋体" w:hAnsi="宋体" w:cs="宋体"/>
                <w:b/>
                <w:bCs/>
                <w:color w:val="auto"/>
                <w:szCs w:val="21"/>
              </w:rPr>
              <w:t xml:space="preserve">预算总价（元）</w:t>
            </w:r>
            <w:r/>
          </w:p>
        </w:tc>
      </w:tr>
      <w:tr>
        <w:trPr>
          <w:jc w:val="center"/>
          <w:trHeight w:val="997"/>
        </w:trPr>
        <w:tc>
          <w:tcPr>
            <w:tcBorders>
              <w:top w:val="none" w:color="000000" w:sz="4" w:space="0"/>
              <w:left w:val="single" w:color="000000" w:sz="8" w:space="0"/>
              <w:bottom w:val="single" w:color="000000" w:sz="8" w:space="0"/>
              <w:right w:val="single" w:color="000000" w:sz="8" w:space="0"/>
            </w:tcBorders>
            <w:tcW w:w="1258" w:type="dxa"/>
            <w:vAlign w:val="center"/>
            <w:textDirection w:val="lrTb"/>
            <w:noWrap w:val="false"/>
          </w:tcPr>
          <w:p>
            <w:pPr>
              <w:jc w:val="center"/>
              <w:widowControl/>
              <w:rPr>
                <w:rFonts w:ascii="宋体" w:hAnsi="宋体" w:cs="宋体"/>
                <w:b/>
                <w:bCs/>
                <w:color w:val="auto"/>
                <w:sz w:val="24"/>
              </w:rPr>
            </w:pPr>
            <w:r>
              <w:rPr>
                <w:rFonts w:hint="eastAsia" w:ascii="宋体" w:hAnsi="宋体" w:cs="宋体"/>
                <w:b/>
                <w:bCs/>
                <w:color w:val="auto"/>
                <w:sz w:val="24"/>
              </w:rPr>
              <w:t xml:space="preserve">标段一</w:t>
            </w:r>
            <w:r/>
          </w:p>
        </w:tc>
        <w:tc>
          <w:tcPr>
            <w:tcBorders>
              <w:top w:val="none" w:color="000000" w:sz="4" w:space="0"/>
              <w:left w:val="none" w:color="000000" w:sz="4" w:space="0"/>
              <w:bottom w:val="single" w:color="000000" w:sz="8" w:space="0"/>
              <w:right w:val="single" w:color="000000" w:sz="8" w:space="0"/>
            </w:tcBorders>
            <w:tcW w:w="1626"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苏州工业园区</w:t>
            </w:r>
            <w:r>
              <w:rPr>
                <w:color w:val="auto"/>
                <w:sz w:val="24"/>
              </w:rPr>
              <w:t xml:space="preserve">202</w:t>
            </w:r>
            <w:r>
              <w:rPr>
                <w:rFonts w:hint="eastAsia"/>
                <w:color w:val="auto"/>
                <w:sz w:val="24"/>
                <w:lang w:val="en-US" w:eastAsia="zh-CN"/>
              </w:rPr>
              <w:t xml:space="preserve">6</w:t>
            </w:r>
            <w:r>
              <w:rPr>
                <w:rFonts w:ascii="宋体" w:hAnsi="宋体" w:cs="宋体"/>
                <w:color w:val="auto"/>
                <w:sz w:val="24"/>
              </w:rPr>
              <w:t xml:space="preserve">年度工贸领域企业第三方安全生产指导服务标段一</w:t>
            </w:r>
            <w:r/>
          </w:p>
        </w:tc>
        <w:tc>
          <w:tcPr>
            <w:tcBorders>
              <w:top w:val="none" w:color="000000" w:sz="4" w:space="0"/>
              <w:left w:val="none" w:color="000000" w:sz="4" w:space="0"/>
              <w:bottom w:val="single" w:color="000000" w:sz="8" w:space="0"/>
              <w:right w:val="single" w:color="000000" w:sz="8" w:space="0"/>
            </w:tcBorders>
            <w:tcW w:w="293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对园区粉尘涉爆、金属熔融、危化品使用、电镀、加热、锂电池等重点行业领域企业开展第三方核查服务指导暨</w:t>
            </w:r>
            <w:r>
              <w:rPr>
                <w:rFonts w:hint="eastAsia" w:ascii="宋体" w:hAnsi="宋体" w:cs="宋体"/>
                <w:color w:val="auto"/>
                <w:sz w:val="24"/>
                <w:lang w:eastAsia="zh-CN"/>
              </w:rPr>
              <w:t xml:space="preserve">工艺和设备安全性评估</w:t>
            </w:r>
            <w:r>
              <w:rPr>
                <w:rFonts w:hint="eastAsia" w:ascii="宋体" w:hAnsi="宋体" w:cs="宋体"/>
                <w:color w:val="auto"/>
                <w:sz w:val="24"/>
              </w:rPr>
              <w:t xml:space="preserve">（项目一）</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color w:val="auto"/>
                <w:sz w:val="24"/>
              </w:rPr>
            </w:pPr>
            <w:r>
              <w:rPr>
                <w:rFonts w:hint="eastAsia" w:ascii="宋体" w:hAnsi="宋体"/>
                <w:color w:val="auto"/>
                <w:sz w:val="24"/>
                <w:lang w:val="en-US" w:eastAsia="zh-CN"/>
              </w:rPr>
              <w:t xml:space="preserve">50</w:t>
            </w:r>
            <w:r>
              <w:rPr>
                <w:rFonts w:ascii="宋体" w:hAnsi="宋体"/>
                <w:color w:val="auto"/>
                <w:sz w:val="24"/>
              </w:rPr>
              <w:t xml:space="preserve">家</w:t>
            </w:r>
            <w:r/>
          </w:p>
        </w:tc>
        <w:tc>
          <w:tcPr>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widowControl/>
              <w:rPr>
                <w:color w:val="auto"/>
                <w:sz w:val="24"/>
              </w:rPr>
            </w:pPr>
            <w:r>
              <w:rPr>
                <w:rFonts w:hint="eastAsia" w:ascii="宋体" w:hAnsi="宋体"/>
                <w:color w:val="auto"/>
                <w:sz w:val="24"/>
                <w:lang w:val="en-US" w:eastAsia="zh-CN"/>
              </w:rPr>
              <w:t xml:space="preserve">6000</w:t>
            </w:r>
            <w:r>
              <w:rPr>
                <w:rFonts w:ascii="宋体" w:hAnsi="宋体"/>
                <w:color w:val="auto"/>
                <w:sz w:val="24"/>
              </w:rPr>
              <w:t xml:space="preserve">元</w:t>
            </w:r>
            <w:r>
              <w:rPr>
                <w:color w:val="auto"/>
                <w:sz w:val="24"/>
              </w:rPr>
              <w:t xml:space="preserve">/</w:t>
            </w:r>
            <w:r>
              <w:rPr>
                <w:rFonts w:ascii="宋体" w:hAnsi="宋体"/>
                <w:color w:val="auto"/>
                <w:sz w:val="24"/>
              </w:rPr>
              <w:t xml:space="preserve">家</w:t>
            </w:r>
            <w:r/>
          </w:p>
        </w:tc>
        <w:tc>
          <w:tcPr>
            <w:tcBorders>
              <w:top w:val="none" w:color="000000" w:sz="4" w:space="0"/>
              <w:left w:val="none" w:color="000000" w:sz="4" w:space="0"/>
              <w:bottom w:val="single" w:color="000000" w:sz="8" w:space="0"/>
              <w:right w:val="single" w:color="000000" w:sz="8" w:space="0"/>
            </w:tcBorders>
            <w:tcW w:w="1392" w:type="dxa"/>
            <w:vAlign w:val="center"/>
            <w:textDirection w:val="lrTb"/>
            <w:noWrap w:val="false"/>
          </w:tcPr>
          <w:p>
            <w:pPr>
              <w:jc w:val="center"/>
              <w:widowControl/>
              <w:rPr>
                <w:color w:val="auto"/>
                <w:sz w:val="24"/>
              </w:rPr>
            </w:pPr>
            <w:r>
              <w:rPr>
                <w:rFonts w:hint="eastAsia" w:ascii="宋体" w:hAnsi="宋体"/>
                <w:color w:val="auto"/>
                <w:sz w:val="24"/>
                <w:lang w:val="en-US" w:eastAsia="zh-CN"/>
              </w:rPr>
              <w:t xml:space="preserve">300000</w:t>
            </w:r>
            <w:r>
              <w:rPr>
                <w:rFonts w:ascii="宋体" w:hAnsi="宋体"/>
                <w:color w:val="auto"/>
                <w:sz w:val="24"/>
              </w:rPr>
              <w:t xml:space="preserve">元</w:t>
            </w:r>
            <w:r/>
          </w:p>
        </w:tc>
      </w:tr>
      <w:tr>
        <w:trPr>
          <w:jc w:val="center"/>
          <w:trHeight w:val="770"/>
        </w:trPr>
        <w:tc>
          <w:tcPr>
            <w:tcBorders>
              <w:top w:val="none" w:color="000000" w:sz="4" w:space="0"/>
              <w:left w:val="single" w:color="000000" w:sz="8" w:space="0"/>
              <w:bottom w:val="single" w:color="000000" w:sz="8" w:space="0"/>
              <w:right w:val="single" w:color="000000" w:sz="8" w:space="0"/>
            </w:tcBorders>
            <w:tcW w:w="1258" w:type="dxa"/>
            <w:vAlign w:val="center"/>
            <w:textDirection w:val="lrTb"/>
            <w:noWrap w:val="false"/>
          </w:tcPr>
          <w:p>
            <w:pPr>
              <w:jc w:val="center"/>
              <w:widowControl/>
              <w:rPr>
                <w:rFonts w:ascii="宋体" w:hAnsi="宋体" w:cs="宋体"/>
                <w:b/>
                <w:bCs/>
                <w:color w:val="auto"/>
                <w:sz w:val="24"/>
              </w:rPr>
            </w:pPr>
            <w:r>
              <w:rPr>
                <w:rFonts w:hint="eastAsia" w:ascii="宋体" w:hAnsi="宋体" w:cs="宋体"/>
                <w:b/>
                <w:bCs/>
                <w:color w:val="auto"/>
                <w:sz w:val="24"/>
              </w:rPr>
              <w:t xml:space="preserve">标段二</w:t>
            </w:r>
            <w:r/>
          </w:p>
        </w:tc>
        <w:tc>
          <w:tcPr>
            <w:tcBorders>
              <w:top w:val="none" w:color="000000" w:sz="4" w:space="0"/>
              <w:left w:val="none" w:color="000000" w:sz="4" w:space="0"/>
              <w:bottom w:val="single" w:color="000000" w:sz="8" w:space="0"/>
              <w:right w:val="single" w:color="000000" w:sz="8" w:space="0"/>
            </w:tcBorders>
            <w:tcW w:w="1626"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苏州工业园区</w:t>
            </w:r>
            <w:r>
              <w:rPr>
                <w:color w:val="auto"/>
                <w:sz w:val="24"/>
              </w:rPr>
              <w:t xml:space="preserve">202</w:t>
            </w:r>
            <w:r>
              <w:rPr>
                <w:rFonts w:hint="eastAsia"/>
                <w:color w:val="auto"/>
                <w:sz w:val="24"/>
                <w:lang w:val="en-US" w:eastAsia="zh-CN"/>
              </w:rPr>
              <w:t xml:space="preserve">6</w:t>
            </w:r>
            <w:r>
              <w:rPr>
                <w:rFonts w:ascii="宋体" w:hAnsi="宋体" w:cs="宋体"/>
                <w:color w:val="auto"/>
                <w:sz w:val="24"/>
              </w:rPr>
              <w:t xml:space="preserve">年度工贸领域企业第三方安全生产指导服务标段二</w:t>
            </w:r>
            <w:r/>
          </w:p>
        </w:tc>
        <w:tc>
          <w:tcPr>
            <w:tcBorders>
              <w:top w:val="none" w:color="000000" w:sz="4" w:space="0"/>
              <w:left w:val="none" w:color="000000" w:sz="4" w:space="0"/>
              <w:bottom w:val="single" w:color="000000" w:sz="8" w:space="0"/>
              <w:right w:val="single" w:color="000000" w:sz="8" w:space="0"/>
            </w:tcBorders>
            <w:tcW w:w="293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对园区粉尘涉爆、金属熔融、危化品使用、电镀、加热、锂电池等重点行业领域企业开展第三方核查服务指导暨</w:t>
            </w:r>
            <w:r>
              <w:rPr>
                <w:rFonts w:hint="eastAsia" w:ascii="宋体" w:hAnsi="宋体" w:cs="宋体"/>
                <w:color w:val="auto"/>
                <w:sz w:val="24"/>
                <w:lang w:eastAsia="zh-CN"/>
              </w:rPr>
              <w:t xml:space="preserve">工艺和设备安全性评估</w:t>
            </w:r>
            <w:r>
              <w:rPr>
                <w:rFonts w:hint="eastAsia" w:ascii="宋体" w:hAnsi="宋体" w:cs="宋体"/>
                <w:color w:val="auto"/>
                <w:sz w:val="24"/>
              </w:rPr>
              <w:t xml:space="preserve">（项目二）</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color w:val="auto"/>
                <w:sz w:val="24"/>
              </w:rPr>
            </w:pPr>
            <w:r>
              <w:rPr>
                <w:rFonts w:hint="eastAsia" w:ascii="宋体" w:hAnsi="宋体"/>
                <w:color w:val="auto"/>
                <w:sz w:val="24"/>
                <w:lang w:val="en-US" w:eastAsia="zh-CN"/>
              </w:rPr>
              <w:t xml:space="preserve">50</w:t>
            </w:r>
            <w:r>
              <w:rPr>
                <w:rFonts w:ascii="宋体" w:hAnsi="宋体"/>
                <w:color w:val="auto"/>
                <w:sz w:val="24"/>
              </w:rPr>
              <w:t xml:space="preserve">家</w:t>
            </w:r>
            <w:r/>
          </w:p>
        </w:tc>
        <w:tc>
          <w:tcPr>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widowControl/>
              <w:rPr>
                <w:color w:val="auto"/>
                <w:sz w:val="24"/>
              </w:rPr>
            </w:pPr>
            <w:r>
              <w:rPr>
                <w:rFonts w:hint="eastAsia" w:ascii="宋体" w:hAnsi="宋体"/>
                <w:color w:val="auto"/>
                <w:sz w:val="24"/>
                <w:lang w:val="en-US" w:eastAsia="zh-CN"/>
              </w:rPr>
              <w:t xml:space="preserve">6000</w:t>
            </w:r>
            <w:r>
              <w:rPr>
                <w:rFonts w:ascii="宋体" w:hAnsi="宋体"/>
                <w:color w:val="auto"/>
                <w:sz w:val="24"/>
              </w:rPr>
              <w:t xml:space="preserve">元</w:t>
            </w:r>
            <w:r>
              <w:rPr>
                <w:color w:val="auto"/>
                <w:sz w:val="24"/>
              </w:rPr>
              <w:t xml:space="preserve">/</w:t>
            </w:r>
            <w:r>
              <w:rPr>
                <w:rFonts w:ascii="宋体" w:hAnsi="宋体"/>
                <w:color w:val="auto"/>
                <w:sz w:val="24"/>
              </w:rPr>
              <w:t xml:space="preserve">家</w:t>
            </w:r>
            <w:r/>
          </w:p>
        </w:tc>
        <w:tc>
          <w:tcPr>
            <w:tcBorders>
              <w:top w:val="none" w:color="000000" w:sz="4" w:space="0"/>
              <w:left w:val="none" w:color="000000" w:sz="4" w:space="0"/>
              <w:bottom w:val="single" w:color="000000" w:sz="8" w:space="0"/>
              <w:right w:val="single" w:color="000000" w:sz="8" w:space="0"/>
            </w:tcBorders>
            <w:tcW w:w="1392" w:type="dxa"/>
            <w:vAlign w:val="center"/>
            <w:textDirection w:val="lrTb"/>
            <w:noWrap w:val="false"/>
          </w:tcPr>
          <w:p>
            <w:pPr>
              <w:jc w:val="center"/>
              <w:widowControl/>
              <w:rPr>
                <w:color w:val="auto"/>
                <w:sz w:val="24"/>
              </w:rPr>
            </w:pPr>
            <w:r>
              <w:rPr>
                <w:rFonts w:hint="eastAsia" w:ascii="宋体" w:hAnsi="宋体"/>
                <w:color w:val="auto"/>
                <w:sz w:val="24"/>
                <w:lang w:val="en-US" w:eastAsia="zh-CN"/>
              </w:rPr>
              <w:t xml:space="preserve">300000</w:t>
            </w:r>
            <w:r>
              <w:rPr>
                <w:rFonts w:ascii="宋体" w:hAnsi="宋体"/>
                <w:color w:val="auto"/>
                <w:sz w:val="24"/>
              </w:rPr>
              <w:t xml:space="preserve">元</w:t>
            </w:r>
            <w:r/>
          </w:p>
        </w:tc>
      </w:tr>
      <w:tr>
        <w:trPr>
          <w:jc w:val="center"/>
          <w:trHeight w:val="1148"/>
        </w:trPr>
        <w:tc>
          <w:tcPr>
            <w:tcBorders>
              <w:top w:val="none" w:color="000000" w:sz="4" w:space="0"/>
              <w:left w:val="single" w:color="000000" w:sz="8" w:space="0"/>
              <w:bottom w:val="single" w:color="000000" w:sz="8" w:space="0"/>
              <w:right w:val="single" w:color="000000" w:sz="8" w:space="0"/>
            </w:tcBorders>
            <w:tcW w:w="1258" w:type="dxa"/>
            <w:vAlign w:val="center"/>
            <w:textDirection w:val="lrTb"/>
            <w:noWrap w:val="false"/>
          </w:tcPr>
          <w:p>
            <w:pPr>
              <w:jc w:val="center"/>
              <w:widowControl/>
              <w:rPr>
                <w:rFonts w:hint="eastAsia" w:ascii="宋体" w:hAnsi="宋体" w:eastAsia="宋体" w:cs="宋体"/>
                <w:b/>
                <w:bCs/>
                <w:color w:val="auto"/>
                <w:sz w:val="24"/>
                <w:lang w:eastAsia="zh-CN"/>
              </w:rPr>
            </w:pPr>
            <w:r>
              <w:rPr>
                <w:rFonts w:hint="eastAsia" w:ascii="宋体" w:hAnsi="宋体" w:cs="宋体"/>
                <w:b/>
                <w:bCs/>
                <w:color w:val="auto"/>
                <w:sz w:val="24"/>
              </w:rPr>
              <w:t xml:space="preserve">标段</w:t>
            </w:r>
            <w:r>
              <w:rPr>
                <w:rFonts w:hint="eastAsia" w:ascii="宋体" w:hAnsi="宋体" w:cs="宋体"/>
                <w:b/>
                <w:bCs/>
                <w:color w:val="auto"/>
                <w:sz w:val="24"/>
                <w:lang w:eastAsia="zh-CN"/>
              </w:rPr>
              <w:t xml:space="preserve">三</w:t>
            </w:r>
            <w:r/>
          </w:p>
        </w:tc>
        <w:tc>
          <w:tcPr>
            <w:tcBorders>
              <w:top w:val="none" w:color="000000" w:sz="4" w:space="0"/>
              <w:left w:val="none" w:color="000000" w:sz="4" w:space="0"/>
              <w:bottom w:val="single" w:color="000000" w:sz="8" w:space="0"/>
              <w:right w:val="single" w:color="000000" w:sz="8" w:space="0"/>
            </w:tcBorders>
            <w:tcW w:w="1626" w:type="dxa"/>
            <w:vAlign w:val="center"/>
            <w:textDirection w:val="lrTb"/>
            <w:noWrap w:val="false"/>
          </w:tcPr>
          <w:p>
            <w:pPr>
              <w:jc w:val="center"/>
              <w:widowControl/>
              <w:rPr>
                <w:rFonts w:hint="eastAsia" w:ascii="宋体" w:hAnsi="宋体" w:eastAsia="宋体" w:cs="宋体"/>
                <w:color w:val="auto"/>
                <w:sz w:val="24"/>
                <w:lang w:eastAsia="zh-CN"/>
              </w:rPr>
            </w:pPr>
            <w:r>
              <w:rPr>
                <w:rFonts w:hint="eastAsia" w:ascii="宋体" w:hAnsi="宋体" w:cs="宋体"/>
                <w:color w:val="auto"/>
                <w:sz w:val="24"/>
              </w:rPr>
              <w:t xml:space="preserve">苏州工业园区</w:t>
            </w:r>
            <w:r>
              <w:rPr>
                <w:color w:val="auto"/>
                <w:sz w:val="24"/>
              </w:rPr>
              <w:t xml:space="preserve">202</w:t>
            </w:r>
            <w:r>
              <w:rPr>
                <w:rFonts w:hint="eastAsia"/>
                <w:color w:val="auto"/>
                <w:sz w:val="24"/>
                <w:lang w:val="en-US" w:eastAsia="zh-CN"/>
              </w:rPr>
              <w:t xml:space="preserve">6</w:t>
            </w:r>
            <w:r>
              <w:rPr>
                <w:rFonts w:ascii="宋体" w:hAnsi="宋体" w:cs="宋体"/>
                <w:color w:val="auto"/>
                <w:sz w:val="24"/>
              </w:rPr>
              <w:t xml:space="preserve">年度工贸领域企业第三方安全生产指导服务标段</w:t>
            </w:r>
            <w:r>
              <w:rPr>
                <w:rFonts w:hint="eastAsia" w:ascii="宋体" w:hAnsi="宋体" w:cs="宋体"/>
                <w:color w:val="auto"/>
                <w:sz w:val="24"/>
                <w:lang w:eastAsia="zh-CN"/>
              </w:rPr>
              <w:t xml:space="preserve">三</w:t>
            </w:r>
            <w:r/>
          </w:p>
        </w:tc>
        <w:tc>
          <w:tcPr>
            <w:tcBorders>
              <w:top w:val="none" w:color="000000" w:sz="4" w:space="0"/>
              <w:left w:val="none" w:color="000000" w:sz="4" w:space="0"/>
              <w:bottom w:val="single" w:color="000000" w:sz="8" w:space="0"/>
              <w:right w:val="single" w:color="000000" w:sz="8" w:space="0"/>
            </w:tcBorders>
            <w:tcW w:w="293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对园区出租载体（厂中厂）开展第三方核查服务暨安全规范化建设指导</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color w:val="auto"/>
                <w:sz w:val="24"/>
              </w:rPr>
            </w:pPr>
            <w:r>
              <w:rPr>
                <w:rFonts w:hint="eastAsia" w:ascii="宋体" w:hAnsi="宋体"/>
                <w:color w:val="auto"/>
                <w:sz w:val="24"/>
                <w:lang w:val="en-US" w:eastAsia="zh-CN"/>
              </w:rPr>
              <w:t xml:space="preserve">50</w:t>
            </w:r>
            <w:r>
              <w:rPr>
                <w:rFonts w:ascii="宋体" w:hAnsi="宋体"/>
                <w:color w:val="auto"/>
                <w:sz w:val="24"/>
              </w:rPr>
              <w:t xml:space="preserve">家</w:t>
            </w:r>
            <w:r/>
          </w:p>
        </w:tc>
        <w:tc>
          <w:tcPr>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widowControl/>
              <w:rPr>
                <w:color w:val="auto"/>
                <w:sz w:val="24"/>
              </w:rPr>
            </w:pPr>
            <w:r>
              <w:rPr>
                <w:rFonts w:hint="eastAsia" w:ascii="宋体" w:hAnsi="宋体"/>
                <w:color w:val="auto"/>
                <w:sz w:val="24"/>
                <w:lang w:val="en-US" w:eastAsia="zh-CN"/>
              </w:rPr>
              <w:t xml:space="preserve">5000</w:t>
            </w:r>
            <w:r>
              <w:rPr>
                <w:rFonts w:ascii="宋体" w:hAnsi="宋体"/>
                <w:color w:val="auto"/>
                <w:sz w:val="24"/>
              </w:rPr>
              <w:t xml:space="preserve">元</w:t>
            </w:r>
            <w:r>
              <w:rPr>
                <w:color w:val="auto"/>
                <w:sz w:val="24"/>
              </w:rPr>
              <w:t xml:space="preserve">/</w:t>
            </w:r>
            <w:r>
              <w:rPr>
                <w:rFonts w:ascii="宋体" w:hAnsi="宋体"/>
                <w:color w:val="auto"/>
                <w:sz w:val="24"/>
              </w:rPr>
              <w:t xml:space="preserve">家</w:t>
            </w:r>
            <w:r/>
          </w:p>
        </w:tc>
        <w:tc>
          <w:tcPr>
            <w:tcBorders>
              <w:top w:val="none" w:color="000000" w:sz="4" w:space="0"/>
              <w:left w:val="none" w:color="000000" w:sz="4" w:space="0"/>
              <w:bottom w:val="single" w:color="000000" w:sz="8" w:space="0"/>
              <w:right w:val="single" w:color="000000" w:sz="8" w:space="0"/>
            </w:tcBorders>
            <w:tcW w:w="1392" w:type="dxa"/>
            <w:vAlign w:val="center"/>
            <w:textDirection w:val="lrTb"/>
            <w:noWrap w:val="false"/>
          </w:tcPr>
          <w:p>
            <w:pPr>
              <w:jc w:val="center"/>
              <w:widowControl/>
              <w:rPr>
                <w:color w:val="auto"/>
                <w:sz w:val="24"/>
              </w:rPr>
            </w:pPr>
            <w:r>
              <w:rPr>
                <w:rFonts w:hint="eastAsia" w:ascii="宋体" w:hAnsi="宋体"/>
                <w:color w:val="auto"/>
                <w:sz w:val="24"/>
                <w:lang w:val="en-US" w:eastAsia="zh-CN"/>
              </w:rPr>
              <w:t xml:space="preserve">250000</w:t>
            </w:r>
            <w:r>
              <w:rPr>
                <w:rFonts w:ascii="宋体" w:hAnsi="宋体"/>
                <w:color w:val="auto"/>
                <w:sz w:val="24"/>
              </w:rPr>
              <w:t xml:space="preserve">元</w:t>
            </w:r>
            <w:r/>
          </w:p>
        </w:tc>
      </w:tr>
      <w:tr>
        <w:trPr>
          <w:jc w:val="center"/>
          <w:trHeight w:val="725"/>
        </w:trPr>
        <w:tc>
          <w:tcPr>
            <w:tcBorders>
              <w:top w:val="none" w:color="000000" w:sz="4" w:space="0"/>
              <w:left w:val="single" w:color="000000" w:sz="8" w:space="0"/>
              <w:bottom w:val="single" w:color="000000" w:sz="8" w:space="0"/>
              <w:right w:val="single" w:color="000000" w:sz="8" w:space="0"/>
            </w:tcBorders>
            <w:tcW w:w="1258" w:type="dxa"/>
            <w:vAlign w:val="center"/>
            <w:textDirection w:val="lrTb"/>
            <w:noWrap w:val="false"/>
          </w:tcPr>
          <w:p>
            <w:pPr>
              <w:jc w:val="center"/>
              <w:widowControl/>
              <w:rPr>
                <w:rFonts w:hint="eastAsia" w:ascii="宋体" w:hAnsi="宋体" w:eastAsia="宋体" w:cs="宋体"/>
                <w:b/>
                <w:bCs/>
                <w:color w:val="auto"/>
                <w:sz w:val="24"/>
                <w:lang w:eastAsia="zh-CN"/>
              </w:rPr>
            </w:pPr>
            <w:r>
              <w:rPr>
                <w:rFonts w:hint="eastAsia" w:ascii="宋体" w:hAnsi="宋体" w:cs="宋体"/>
                <w:b/>
                <w:bCs/>
                <w:color w:val="auto"/>
                <w:sz w:val="24"/>
              </w:rPr>
              <w:t xml:space="preserve">标段</w:t>
            </w:r>
            <w:r>
              <w:rPr>
                <w:rFonts w:hint="eastAsia" w:ascii="宋体" w:hAnsi="宋体" w:cs="宋体"/>
                <w:b/>
                <w:bCs/>
                <w:color w:val="auto"/>
                <w:sz w:val="24"/>
                <w:lang w:eastAsia="zh-CN"/>
              </w:rPr>
              <w:t xml:space="preserve">四</w:t>
            </w:r>
            <w:r/>
          </w:p>
        </w:tc>
        <w:tc>
          <w:tcPr>
            <w:tcBorders>
              <w:top w:val="none" w:color="000000" w:sz="4" w:space="0"/>
              <w:left w:val="none" w:color="000000" w:sz="4" w:space="0"/>
              <w:bottom w:val="single" w:color="000000" w:sz="8" w:space="0"/>
              <w:right w:val="single" w:color="000000" w:sz="8" w:space="0"/>
            </w:tcBorders>
            <w:tcW w:w="1626" w:type="dxa"/>
            <w:vAlign w:val="center"/>
            <w:textDirection w:val="lrTb"/>
            <w:noWrap w:val="false"/>
          </w:tcPr>
          <w:p>
            <w:pPr>
              <w:jc w:val="center"/>
              <w:widowControl/>
              <w:rPr>
                <w:rFonts w:hint="eastAsia" w:ascii="宋体" w:hAnsi="宋体" w:eastAsia="宋体" w:cs="宋体"/>
                <w:color w:val="auto"/>
                <w:sz w:val="24"/>
                <w:lang w:eastAsia="zh-CN"/>
              </w:rPr>
            </w:pPr>
            <w:r>
              <w:rPr>
                <w:rFonts w:hint="eastAsia" w:ascii="宋体" w:hAnsi="宋体" w:cs="宋体"/>
                <w:color w:val="auto"/>
                <w:sz w:val="24"/>
              </w:rPr>
              <w:t xml:space="preserve">苏州工业园区</w:t>
            </w:r>
            <w:r>
              <w:rPr>
                <w:color w:val="auto"/>
                <w:sz w:val="24"/>
              </w:rPr>
              <w:t xml:space="preserve">202</w:t>
            </w:r>
            <w:r>
              <w:rPr>
                <w:rFonts w:hint="eastAsia"/>
                <w:color w:val="auto"/>
                <w:sz w:val="24"/>
                <w:lang w:val="en-US" w:eastAsia="zh-CN"/>
              </w:rPr>
              <w:t xml:space="preserve">6</w:t>
            </w:r>
            <w:r>
              <w:rPr>
                <w:rFonts w:ascii="宋体" w:hAnsi="宋体" w:cs="宋体"/>
                <w:color w:val="auto"/>
                <w:sz w:val="24"/>
              </w:rPr>
              <w:t xml:space="preserve">年度工贸领域企业第三方安全生产指导服务标段</w:t>
            </w:r>
            <w:r>
              <w:rPr>
                <w:rFonts w:hint="eastAsia" w:ascii="宋体" w:hAnsi="宋体" w:cs="宋体"/>
                <w:color w:val="auto"/>
                <w:sz w:val="24"/>
                <w:lang w:eastAsia="zh-CN"/>
              </w:rPr>
              <w:t xml:space="preserve">四</w:t>
            </w:r>
            <w:r/>
          </w:p>
        </w:tc>
        <w:tc>
          <w:tcPr>
            <w:tcBorders>
              <w:top w:val="none" w:color="000000" w:sz="4" w:space="0"/>
              <w:left w:val="none" w:color="000000" w:sz="4" w:space="0"/>
              <w:bottom w:val="single" w:color="000000" w:sz="8" w:space="0"/>
              <w:right w:val="single" w:color="000000" w:sz="8" w:space="0"/>
            </w:tcBorders>
            <w:tcW w:w="293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对园区上市企业、拟上市企业、苗圃企业、瞪羚企业等重点企业开展安全专项服务</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color w:val="auto"/>
                <w:sz w:val="24"/>
              </w:rPr>
            </w:pPr>
            <w:r>
              <w:rPr>
                <w:rFonts w:hint="eastAsia" w:ascii="宋体" w:hAnsi="宋体"/>
                <w:color w:val="auto"/>
                <w:sz w:val="24"/>
                <w:lang w:val="en-US" w:eastAsia="zh-CN"/>
              </w:rPr>
              <w:t xml:space="preserve">50</w:t>
            </w:r>
            <w:r>
              <w:rPr>
                <w:rFonts w:ascii="宋体" w:hAnsi="宋体"/>
                <w:color w:val="auto"/>
                <w:sz w:val="24"/>
              </w:rPr>
              <w:t xml:space="preserve">家</w:t>
            </w:r>
            <w:r/>
          </w:p>
        </w:tc>
        <w:tc>
          <w:tcPr>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widowControl/>
              <w:rPr>
                <w:color w:val="auto"/>
                <w:sz w:val="24"/>
              </w:rPr>
            </w:pPr>
            <w:r>
              <w:rPr>
                <w:rFonts w:hint="eastAsia" w:ascii="宋体" w:hAnsi="宋体"/>
                <w:color w:val="auto"/>
                <w:sz w:val="24"/>
                <w:lang w:val="en-US" w:eastAsia="zh-CN"/>
              </w:rPr>
              <w:t xml:space="preserve">5000</w:t>
            </w:r>
            <w:r>
              <w:rPr>
                <w:rFonts w:ascii="宋体" w:hAnsi="宋体"/>
                <w:color w:val="auto"/>
                <w:sz w:val="24"/>
              </w:rPr>
              <w:t xml:space="preserve">元</w:t>
            </w:r>
            <w:r>
              <w:rPr>
                <w:color w:val="auto"/>
                <w:sz w:val="24"/>
              </w:rPr>
              <w:t xml:space="preserve">/</w:t>
            </w:r>
            <w:r>
              <w:rPr>
                <w:rFonts w:ascii="宋体" w:hAnsi="宋体"/>
                <w:color w:val="auto"/>
                <w:sz w:val="24"/>
              </w:rPr>
              <w:t xml:space="preserve">家</w:t>
            </w:r>
            <w:r/>
          </w:p>
        </w:tc>
        <w:tc>
          <w:tcPr>
            <w:tcBorders>
              <w:top w:val="none" w:color="000000" w:sz="4" w:space="0"/>
              <w:left w:val="none" w:color="000000" w:sz="4" w:space="0"/>
              <w:bottom w:val="single" w:color="000000" w:sz="8" w:space="0"/>
              <w:right w:val="single" w:color="000000" w:sz="8" w:space="0"/>
            </w:tcBorders>
            <w:tcW w:w="1392" w:type="dxa"/>
            <w:vAlign w:val="center"/>
            <w:textDirection w:val="lrTb"/>
            <w:noWrap w:val="false"/>
          </w:tcPr>
          <w:p>
            <w:pPr>
              <w:jc w:val="center"/>
              <w:widowControl/>
              <w:rPr>
                <w:color w:val="auto"/>
                <w:sz w:val="24"/>
              </w:rPr>
            </w:pPr>
            <w:r>
              <w:rPr>
                <w:rFonts w:hint="eastAsia" w:ascii="宋体" w:hAnsi="宋体"/>
                <w:color w:val="auto"/>
                <w:sz w:val="24"/>
                <w:lang w:val="en-US" w:eastAsia="zh-CN"/>
              </w:rPr>
              <w:t xml:space="preserve">250000</w:t>
            </w:r>
            <w:r>
              <w:rPr>
                <w:rFonts w:ascii="宋体" w:hAnsi="宋体"/>
                <w:color w:val="auto"/>
                <w:sz w:val="24"/>
              </w:rPr>
              <w:t xml:space="preserve">元</w:t>
            </w:r>
            <w:r/>
          </w:p>
        </w:tc>
      </w:tr>
    </w:tbl>
    <w:p>
      <w:pPr>
        <w:pStyle w:val="941"/>
        <w:ind w:firstLine="480"/>
        <w:spacing w:before="0" w:beforeAutospacing="0" w:after="0" w:afterAutospacing="0" w:line="360" w:lineRule="auto"/>
        <w:rPr>
          <w:rFonts w:ascii="宋体" w:hAnsi="宋体"/>
          <w:color w:val="auto"/>
          <w:sz w:val="24"/>
          <w:szCs w:val="22"/>
          <w:highlight w:val="none"/>
        </w:rPr>
      </w:pPr>
      <w:r>
        <w:rPr>
          <w:rFonts w:hint="eastAsia" w:ascii="宋体" w:hAnsi="宋体" w:eastAsia="宋体"/>
          <w:color w:val="auto"/>
          <w:sz w:val="24"/>
          <w:szCs w:val="22"/>
          <w:highlight w:val="none"/>
        </w:rPr>
        <w:t xml:space="preserve">5.2</w:t>
      </w:r>
      <w:r>
        <w:rPr>
          <w:rFonts w:hint="eastAsia" w:ascii="宋体" w:hAnsi="宋体"/>
          <w:color w:val="auto"/>
          <w:sz w:val="24"/>
          <w:szCs w:val="22"/>
          <w:highlight w:val="none"/>
        </w:rPr>
        <w:t xml:space="preserve"> 服务时间：</w:t>
      </w:r>
      <w:r>
        <w:rPr>
          <w:rFonts w:hint="eastAsia"/>
          <w:bCs/>
          <w:color w:val="auto"/>
        </w:rPr>
        <w:t xml:space="preserve">签订合同之日起至202</w:t>
      </w:r>
      <w:r>
        <w:rPr>
          <w:rFonts w:hint="eastAsia"/>
          <w:bCs/>
          <w:color w:val="auto"/>
          <w:lang w:val="en-US" w:eastAsia="zh-CN"/>
        </w:rPr>
        <w:t xml:space="preserve">6</w:t>
      </w:r>
      <w:r>
        <w:rPr>
          <w:rFonts w:hint="eastAsia"/>
          <w:bCs/>
          <w:color w:val="auto"/>
        </w:rPr>
        <w:t xml:space="preserve">年10月31日，其中第一轮检查指导服务需在8月底前完成，第二轮复查和汇总分析报告需在10月31日前完成</w:t>
      </w:r>
      <w:r>
        <w:rPr>
          <w:rFonts w:hint="eastAsia" w:ascii="Times New Roman" w:hAnsi="Times New Roman" w:cs="Times New Roman"/>
          <w:color w:val="auto"/>
          <w:shd w:val="clear" w:color="auto" w:fill="ffffff"/>
        </w:rPr>
        <w:t xml:space="preserve">。</w:t>
      </w:r>
      <w:r>
        <w:rPr>
          <w:rFonts w:hint="eastAsia" w:ascii="宋体" w:hAnsi="宋体"/>
          <w:color w:val="auto"/>
          <w:sz w:val="24"/>
          <w:szCs w:val="22"/>
          <w:highlight w:val="none"/>
        </w:rPr>
        <w:t xml:space="preserve">                </w:t>
      </w:r>
      <w:r/>
    </w:p>
    <w:p>
      <w:pPr>
        <w:pStyle w:val="1109"/>
        <w:ind w:firstLine="48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5.3本项目不接受联合体。</w:t>
      </w:r>
      <w:r/>
    </w:p>
    <w:p>
      <w:pPr>
        <w:pStyle w:val="1109"/>
        <w:ind w:firstLine="48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5.4本项目不允许转包、分包。</w:t>
      </w:r>
      <w:r/>
    </w:p>
    <w:p>
      <w:pPr>
        <w:pStyle w:val="1109"/>
        <w:ind w:firstLine="48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二、申请人的资格要求：</w:t>
      </w:r>
      <w:r/>
    </w:p>
    <w:p>
      <w:pPr>
        <w:pStyle w:val="1109"/>
        <w:ind w:firstLine="48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1.满足《中华人民共和国政府采购法》第二十二条规定；</w:t>
      </w:r>
      <w:r/>
    </w:p>
    <w:p>
      <w:pPr>
        <w:pStyle w:val="1109"/>
        <w:ind w:firstLine="48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（1）具有独立承担民事责任的能力；</w:t>
      </w:r>
      <w:r/>
    </w:p>
    <w:p>
      <w:pPr>
        <w:pStyle w:val="1109"/>
        <w:ind w:firstLine="48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（2）具有良好的商业信誉和健全的财务会计制度；</w:t>
      </w:r>
      <w:r/>
    </w:p>
    <w:p>
      <w:pPr>
        <w:pStyle w:val="1109"/>
        <w:ind w:firstLine="48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（3）具有履行合同所必需的设备和专业技术能力；</w:t>
      </w:r>
      <w:r/>
    </w:p>
    <w:p>
      <w:pPr>
        <w:pStyle w:val="1109"/>
        <w:ind w:firstLine="48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（4）有依法缴纳税收和社会保障资金的良好记录；</w:t>
      </w:r>
      <w:r/>
    </w:p>
    <w:p>
      <w:pPr>
        <w:pStyle w:val="1109"/>
        <w:ind w:firstLine="48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（5）参加政府采购活动前三年内，在经营活动中没有重大违法记录；</w:t>
      </w:r>
      <w:r/>
    </w:p>
    <w:p>
      <w:pPr>
        <w:pStyle w:val="1109"/>
        <w:ind w:firstLine="48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（6）法律、行政法规规定的其他条件。</w:t>
      </w:r>
      <w:r/>
    </w:p>
    <w:p>
      <w:pPr>
        <w:pStyle w:val="1109"/>
        <w:ind w:firstLine="480"/>
        <w:spacing w:line="360" w:lineRule="auto"/>
        <w:widowControl/>
        <w:rPr>
          <w:rFonts w:ascii="宋体" w:hAnsi="宋体" w:eastAsia="宋体" w:cs="宋体"/>
          <w:color w:val="auto"/>
          <w:sz w:val="24"/>
          <w:highlight w:val="none"/>
        </w:rPr>
      </w:pPr>
      <w:r>
        <w:rPr>
          <w:rFonts w:ascii="宋体" w:hAnsi="宋体" w:eastAsia="宋体" w:cs="宋体"/>
          <w:color w:val="auto"/>
          <w:sz w:val="24"/>
          <w:highlight w:val="none"/>
        </w:rPr>
        <w:t xml:space="preserve">2.</w:t>
      </w:r>
      <w:r>
        <w:rPr>
          <w:rFonts w:hint="eastAsia" w:ascii="宋体" w:hAnsi="宋体" w:eastAsia="宋体" w:cs="宋体"/>
          <w:color w:val="auto"/>
          <w:sz w:val="24"/>
          <w:highlight w:val="none"/>
        </w:rPr>
        <w:t xml:space="preserve">落实政府采购政策需满足的资格要求：本项目整体专门面向中小型企业采购，中小微企业参加本项目政府采购活动在响应文件中需出具《中小企业声明函》（详见格式），残疾人福利性单位（监狱企业）供应商提供的残疾人福利性单位声明函（监狱企业证明文件）视同提供了中小企业声明函，所属行业为其他未列明行业。</w:t>
      </w:r>
      <w:r/>
    </w:p>
    <w:p>
      <w:pPr>
        <w:ind w:firstLine="480"/>
        <w:jc w:val="left"/>
        <w:spacing w:line="360" w:lineRule="auto"/>
        <w:rPr>
          <w:rFonts w:ascii="宋体" w:hAnsi="宋体" w:cs="宋体"/>
          <w:color w:val="auto"/>
          <w:sz w:val="24"/>
          <w:highlight w:val="none"/>
        </w:rPr>
      </w:pPr>
      <w:r/>
      <w:bookmarkStart w:id="3" w:name="_Toc28359091"/>
      <w:r/>
      <w:bookmarkEnd w:id="3"/>
      <w:r/>
      <w:bookmarkStart w:id="4" w:name="_Toc28359014"/>
      <w:r>
        <w:rPr>
          <w:rFonts w:hint="eastAsia" w:ascii="宋体" w:hAnsi="宋体" w:cs="宋体"/>
          <w:color w:val="auto"/>
          <w:sz w:val="24"/>
          <w:highlight w:val="none"/>
          <w:lang w:bidi="ar"/>
        </w:rPr>
        <w:t xml:space="preserve">3.</w:t>
      </w:r>
      <w:bookmarkEnd w:id="4"/>
      <w:r>
        <w:rPr>
          <w:rFonts w:hint="eastAsia" w:ascii="宋体" w:hAnsi="宋体" w:cs="宋体"/>
          <w:color w:val="auto"/>
          <w:sz w:val="24"/>
          <w:highlight w:val="none"/>
          <w:lang w:bidi="ar"/>
        </w:rPr>
        <w:t xml:space="preserve">本项目的特定资格要求：</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bidi="ar"/>
        </w:rPr>
        <w:t xml:space="preserve">（1）未被“信用中国”网站（WWW.creditchina.gov.cn）或“中国政府采购网”网站（www.ccgp.gov.cn）列入失信被执行人、重大税收违法案件当事人名单、政府采购严重失信行为记录名单；</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bidi="ar"/>
        </w:rPr>
        <w:t xml:space="preserve">（2）本项目</w:t>
      </w:r>
      <w:r>
        <w:rPr>
          <w:rFonts w:hint="eastAsia" w:ascii="宋体" w:hAnsi="宋体" w:cs="宋体"/>
          <w:color w:val="auto"/>
          <w:sz w:val="24"/>
          <w:highlight w:val="none"/>
          <w:u w:val="single"/>
          <w:lang w:bidi="ar"/>
        </w:rPr>
        <w:t xml:space="preserve">不接受</w:t>
      </w:r>
      <w:r>
        <w:rPr>
          <w:rFonts w:hint="eastAsia" w:ascii="宋体" w:hAnsi="宋体" w:cs="宋体"/>
          <w:color w:val="auto"/>
          <w:sz w:val="24"/>
          <w:highlight w:val="none"/>
          <w:lang w:bidi="ar"/>
        </w:rPr>
        <w:t xml:space="preserve">联合体投标；</w:t>
      </w:r>
      <w:r/>
    </w:p>
    <w:p>
      <w:pPr>
        <w:ind w:firstLine="480"/>
        <w:jc w:val="left"/>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rPr>
          <w:rFonts w:ascii="宋体" w:hAnsi="宋体" w:cs="宋体"/>
          <w:color w:val="auto"/>
          <w:sz w:val="24"/>
          <w:highlight w:val="none"/>
        </w:rPr>
      </w:pPr>
      <w:r/>
      <w:bookmarkStart w:id="5" w:name="_Toc28359092"/>
      <w:r/>
      <w:bookmarkEnd w:id="5"/>
      <w:r/>
      <w:bookmarkStart w:id="6" w:name="_Toc35393632"/>
      <w:r/>
      <w:bookmarkEnd w:id="6"/>
      <w:r/>
      <w:bookmarkStart w:id="7" w:name="_Toc35393801"/>
      <w:r/>
      <w:bookmarkEnd w:id="7"/>
      <w:r/>
      <w:bookmarkStart w:id="8" w:name="_Toc28359015"/>
      <w:r/>
      <w:bookmarkEnd w:id="8"/>
      <w:r/>
      <w:bookmarkStart w:id="9" w:name="_Toc35393789"/>
      <w:r/>
      <w:bookmarkEnd w:id="9"/>
      <w:r/>
      <w:bookmarkStart w:id="10" w:name="_Toc28359001"/>
      <w:r>
        <w:rPr>
          <w:rFonts w:hint="eastAsia" w:ascii="宋体" w:hAnsi="宋体" w:cs="宋体"/>
          <w:color w:val="auto"/>
          <w:sz w:val="24"/>
          <w:highlight w:val="none"/>
          <w:lang w:bidi="ar"/>
        </w:rPr>
        <w:t xml:space="preserve">三、报名及采购文件的获取</w:t>
      </w:r>
      <w:bookmarkEnd w:id="10"/>
      <w:r/>
      <w:r/>
    </w:p>
    <w:p>
      <w:pPr>
        <w:ind w:firstLine="480"/>
        <w:jc w:val="left"/>
        <w:spacing w:line="360" w:lineRule="auto"/>
        <w:rPr>
          <w:rFonts w:ascii="宋体" w:hAnsi="宋体" w:cs="宋体"/>
          <w:color w:val="auto"/>
          <w:sz w:val="24"/>
          <w:highlight w:val="none"/>
        </w:rPr>
      </w:pPr>
      <w:r/>
      <w:bookmarkStart w:id="11" w:name="_Toc35393805"/>
      <w:r/>
      <w:bookmarkEnd w:id="11"/>
      <w:r/>
      <w:bookmarkStart w:id="12" w:name="_Toc28359018"/>
      <w:r/>
      <w:bookmarkEnd w:id="12"/>
      <w:r/>
      <w:bookmarkStart w:id="13" w:name="_Toc35393636"/>
      <w:r/>
      <w:bookmarkEnd w:id="13"/>
      <w:r/>
      <w:bookmarkStart w:id="14" w:name="_Toc28359095"/>
      <w:r/>
      <w:bookmarkEnd w:id="14"/>
      <w:r>
        <w:rPr>
          <w:rFonts w:hint="eastAsia" w:ascii="宋体" w:hAnsi="宋体" w:cs="宋体"/>
          <w:color w:val="auto"/>
          <w:sz w:val="24"/>
          <w:highlight w:val="none"/>
          <w:lang w:bidi="ar"/>
        </w:rPr>
        <w:t xml:space="preserve">1.获取时间：自本公告发布之日起至202</w:t>
      </w:r>
      <w:r>
        <w:rPr>
          <w:rFonts w:hint="eastAsia" w:ascii="宋体" w:hAnsi="宋体" w:cs="宋体"/>
          <w:color w:val="auto"/>
          <w:sz w:val="24"/>
          <w:highlight w:val="none"/>
          <w:lang w:val="en-US" w:eastAsia="zh-CN" w:bidi="ar"/>
        </w:rPr>
        <w:t xml:space="preserve">6</w:t>
      </w:r>
      <w:r>
        <w:rPr>
          <w:rFonts w:hint="eastAsia" w:ascii="宋体" w:hAnsi="宋体" w:cs="宋体"/>
          <w:color w:val="auto"/>
          <w:sz w:val="24"/>
          <w:highlight w:val="none"/>
          <w:lang w:bidi="ar"/>
        </w:rPr>
        <w:t xml:space="preserve">年</w:t>
      </w:r>
      <w:r>
        <w:rPr>
          <w:rFonts w:hint="eastAsia" w:ascii="宋体" w:hAnsi="宋体" w:cs="宋体"/>
          <w:color w:val="auto"/>
          <w:sz w:val="24"/>
          <w:highlight w:val="none"/>
          <w:lang w:val="en-US" w:eastAsia="zh-CN" w:bidi="ar"/>
        </w:rPr>
        <w:t xml:space="preserve">3</w:t>
      </w:r>
      <w:r>
        <w:rPr>
          <w:rFonts w:hint="eastAsia" w:ascii="宋体" w:hAnsi="宋体" w:cs="宋体"/>
          <w:color w:val="auto"/>
          <w:sz w:val="24"/>
          <w:highlight w:val="none"/>
          <w:lang w:bidi="ar"/>
        </w:rPr>
        <w:t xml:space="preserve">月</w:t>
      </w:r>
      <w:r>
        <w:rPr>
          <w:rFonts w:hint="eastAsia" w:ascii="宋体" w:hAnsi="宋体" w:cs="宋体"/>
          <w:color w:val="auto"/>
          <w:sz w:val="24"/>
          <w:highlight w:val="none"/>
          <w:lang w:val="en-US" w:eastAsia="zh-CN" w:bidi="ar"/>
        </w:rPr>
        <w:t xml:space="preserve">18</w:t>
      </w:r>
      <w:r>
        <w:rPr>
          <w:rFonts w:hint="eastAsia" w:ascii="宋体" w:hAnsi="宋体" w:cs="宋体"/>
          <w:color w:val="auto"/>
          <w:sz w:val="24"/>
          <w:highlight w:val="none"/>
          <w:lang w:bidi="ar"/>
        </w:rPr>
        <w:t xml:space="preserve">日</w:t>
      </w:r>
      <w:r/>
    </w:p>
    <w:p>
      <w:pPr>
        <w:pStyle w:val="1121"/>
        <w:ind w:firstLine="480"/>
        <w:spacing w:beforeAutospacing="0" w:afterAutospacing="0" w:line="360" w:lineRule="auto"/>
        <w:rPr>
          <w:color w:val="auto"/>
          <w:highlight w:val="none"/>
          <w:shd w:val="clear" w:color="auto" w:fill="ffffff"/>
        </w:rPr>
      </w:pPr>
      <w:r>
        <w:rPr>
          <w:rFonts w:hint="eastAsia"/>
          <w:color w:val="auto"/>
          <w:highlight w:val="none"/>
          <w:shd w:val="clear" w:color="auto" w:fill="ffffff"/>
        </w:rPr>
        <w:t xml:space="preserve">地点：苏采云系统自行下载</w:t>
      </w:r>
      <w:r/>
    </w:p>
    <w:p>
      <w:pPr>
        <w:pStyle w:val="1121"/>
        <w:ind w:firstLine="480"/>
        <w:spacing w:beforeAutospacing="0" w:afterAutospacing="0" w:line="360" w:lineRule="auto"/>
        <w:rPr>
          <w:color w:val="auto"/>
          <w:highlight w:val="none"/>
          <w:shd w:val="clear" w:color="auto" w:fill="ffffff"/>
        </w:rPr>
      </w:pPr>
      <w:r>
        <w:rPr>
          <w:rFonts w:hint="eastAsia"/>
          <w:color w:val="auto"/>
          <w:highlight w:val="none"/>
          <w:shd w:val="clear" w:color="auto" w:fill="ffffff"/>
        </w:rPr>
        <w:t xml:space="preserve">2.报名方式（网上报名）：</w:t>
      </w:r>
      <w:r/>
    </w:p>
    <w:p>
      <w:pPr>
        <w:pStyle w:val="1121"/>
        <w:ind w:firstLine="480"/>
        <w:spacing w:beforeAutospacing="0" w:afterAutospacing="0" w:line="360" w:lineRule="auto"/>
        <w:rPr>
          <w:color w:val="auto"/>
          <w:highlight w:val="none"/>
          <w:shd w:val="clear" w:color="auto" w:fill="ffffff"/>
        </w:rPr>
      </w:pPr>
      <w:r>
        <w:rPr>
          <w:rFonts w:hint="eastAsia"/>
          <w:color w:val="auto"/>
          <w:highlight w:val="none"/>
          <w:shd w:val="clear" w:color="auto" w:fill="ffffff"/>
        </w:rPr>
        <w:t xml:space="preserve">（1）申领CA证书</w:t>
      </w:r>
      <w:r/>
    </w:p>
    <w:p>
      <w:pPr>
        <w:pStyle w:val="1121"/>
        <w:ind w:firstLine="480"/>
        <w:spacing w:beforeAutospacing="0" w:afterAutospacing="0" w:line="360" w:lineRule="auto"/>
        <w:rPr>
          <w:color w:val="auto"/>
          <w:highlight w:val="none"/>
        </w:rPr>
      </w:pPr>
      <w:r>
        <w:rPr>
          <w:rFonts w:hint="eastAsia"/>
          <w:color w:val="auto"/>
          <w:highlight w:val="none"/>
          <w:shd w:val="clear" w:color="auto" w:fill="ffffff"/>
        </w:rPr>
        <w:t xml:space="preserve">供应商进入“江苏省政府采购”</w:t>
      </w:r>
      <w:r>
        <w:rPr>
          <w:rFonts w:hint="eastAsia"/>
          <w:color w:val="auto"/>
          <w:highlight w:val="none"/>
        </w:rPr>
        <w:t xml:space="preserve">官网首页―“苏采云”―进入“苏采云政府采购一体化平台”―点击“新CA办理指南”。详见《江苏省政府采购数字证书（供应商）数字证书CA及电子签章办理指南》。</w:t>
      </w:r>
      <w:r/>
    </w:p>
    <w:p>
      <w:pPr>
        <w:pStyle w:val="1109"/>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（2）登录报名</w:t>
      </w:r>
      <w:r/>
    </w:p>
    <w:p>
      <w:pPr>
        <w:pStyle w:val="1109"/>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pStyle w:val="1109"/>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（3）在网上报名过程中如有疑问，请及时联系：</w:t>
      </w:r>
      <w:r/>
    </w:p>
    <w:p>
      <w:pPr>
        <w:pStyle w:val="1109"/>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CA技术咨询服务电话：400-608-6099</w:t>
      </w:r>
      <w:r/>
    </w:p>
    <w:p>
      <w:pPr>
        <w:pStyle w:val="1109"/>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电子签章技术咨询服务电话：15380932027 15371015030 13675197356 13675197221</w:t>
      </w:r>
      <w:r/>
    </w:p>
    <w:p>
      <w:pPr>
        <w:pStyle w:val="1109"/>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系统使用指导与咨询：联系电话：13914088964；18261002950（不见面项目）QQ：3048755361、895706745。</w:t>
      </w:r>
      <w:r/>
    </w:p>
    <w:p>
      <w:pPr>
        <w:pStyle w:val="1109"/>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4）依法获取采购文件的方式：报名供应商确认报名后需自行从报名系统里面下载本项目采购文件，报名日期视同为依法获取采购文件日期。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pStyle w:val="1109"/>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（5）截止日期之后下载的采购文件，视为非有效方式且不作为供应商权益受到损害的证明材料和依据。</w:t>
      </w:r>
      <w:r/>
    </w:p>
    <w:p>
      <w:pPr>
        <w:pStyle w:val="1109"/>
        <w:ind w:firstLine="480"/>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3.售价：无</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4.本项目采用网上投标电子评标方式。</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四、响应文件提交</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1.网上响应文件接收截止时间：202</w:t>
      </w:r>
      <w:r>
        <w:rPr>
          <w:rFonts w:hint="eastAsia" w:ascii="宋体" w:hAnsi="宋体" w:cs="宋体"/>
          <w:color w:val="auto"/>
          <w:sz w:val="24"/>
          <w:highlight w:val="none"/>
          <w:lang w:val="en-US" w:eastAsia="zh-CN" w:bidi="ar"/>
        </w:rPr>
        <w:t xml:space="preserve">6</w:t>
      </w:r>
      <w:r>
        <w:rPr>
          <w:rFonts w:hint="eastAsia" w:ascii="宋体" w:hAnsi="宋体" w:cs="宋体"/>
          <w:color w:val="auto"/>
          <w:sz w:val="24"/>
          <w:highlight w:val="none"/>
          <w:lang w:bidi="ar"/>
        </w:rPr>
        <w:t xml:space="preserve">年</w:t>
      </w:r>
      <w:r>
        <w:rPr>
          <w:rFonts w:hint="eastAsia" w:ascii="宋体" w:hAnsi="宋体" w:cs="宋体"/>
          <w:color w:val="auto"/>
          <w:sz w:val="24"/>
          <w:highlight w:val="none"/>
          <w:lang w:val="en-US" w:eastAsia="zh-CN" w:bidi="ar"/>
        </w:rPr>
        <w:t xml:space="preserve">3</w:t>
      </w:r>
      <w:r>
        <w:rPr>
          <w:rFonts w:hint="eastAsia" w:ascii="宋体" w:hAnsi="宋体" w:cs="宋体"/>
          <w:color w:val="auto"/>
          <w:sz w:val="24"/>
          <w:highlight w:val="none"/>
          <w:lang w:bidi="ar"/>
        </w:rPr>
        <w:t xml:space="preserve">月</w:t>
      </w:r>
      <w:r>
        <w:rPr>
          <w:rFonts w:hint="eastAsia" w:ascii="宋体" w:hAnsi="宋体" w:cs="宋体"/>
          <w:color w:val="auto"/>
          <w:sz w:val="24"/>
          <w:highlight w:val="none"/>
          <w:lang w:val="en-US" w:eastAsia="zh-CN" w:bidi="ar"/>
        </w:rPr>
        <w:t xml:space="preserve">20</w:t>
      </w:r>
      <w:r>
        <w:rPr>
          <w:rFonts w:hint="eastAsia" w:ascii="宋体" w:hAnsi="宋体" w:cs="宋体"/>
          <w:color w:val="auto"/>
          <w:sz w:val="24"/>
          <w:highlight w:val="none"/>
          <w:lang w:bidi="ar"/>
        </w:rPr>
        <w:t xml:space="preserve">日09:30（北京时间）</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2.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color w:val="auto"/>
          <w:sz w:val="24"/>
          <w:highlight w:val="none"/>
          <w:lang w:bidi="ar"/>
        </w:rPr>
        <w:t xml:space="preserve">本项目为不见面开标项目，开标阶段供应商在【供应商解密】环节必须使用CA证书解密电子投标文件，如在系统规定的解密时间内未能完成解密的视为放弃投标。</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4.请供应商确保电脑、系统及其他设备（视频输入输出设备等）无误，且开标直至项目结束始终保持系统在线状态。</w:t>
      </w:r>
      <w:r/>
    </w:p>
    <w:p>
      <w:pPr>
        <w:ind w:firstLine="482"/>
        <w:spacing w:line="360" w:lineRule="auto"/>
        <w:rPr>
          <w:rFonts w:ascii="宋体" w:hAnsi="宋体" w:cs="宋体"/>
          <w:bCs/>
          <w:color w:val="auto"/>
          <w:sz w:val="24"/>
          <w:highlight w:val="none"/>
        </w:rPr>
      </w:pPr>
      <w:r>
        <w:rPr>
          <w:rFonts w:hint="eastAsia" w:ascii="宋体" w:hAnsi="宋体" w:cs="宋体"/>
          <w:bCs/>
          <w:color w:val="auto"/>
          <w:sz w:val="24"/>
          <w:highlight w:val="none"/>
          <w:lang w:bidi="ar"/>
        </w:rPr>
        <w:t xml:space="preserve">五、开标有关信息</w:t>
      </w:r>
      <w:r/>
    </w:p>
    <w:p>
      <w:pPr>
        <w:ind w:firstLine="495"/>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1.开标时间：202</w:t>
      </w:r>
      <w:r>
        <w:rPr>
          <w:rFonts w:hint="eastAsia" w:ascii="宋体" w:hAnsi="宋体" w:cs="宋体"/>
          <w:color w:val="auto"/>
          <w:sz w:val="24"/>
          <w:highlight w:val="none"/>
          <w:lang w:val="en-US" w:eastAsia="zh-CN" w:bidi="ar"/>
        </w:rPr>
        <w:t xml:space="preserve">6</w:t>
      </w:r>
      <w:r>
        <w:rPr>
          <w:rFonts w:hint="eastAsia" w:ascii="宋体" w:hAnsi="宋体" w:cs="宋体"/>
          <w:color w:val="auto"/>
          <w:sz w:val="24"/>
          <w:highlight w:val="none"/>
          <w:lang w:bidi="ar"/>
        </w:rPr>
        <w:t xml:space="preserve">年</w:t>
      </w:r>
      <w:r>
        <w:rPr>
          <w:rFonts w:hint="eastAsia" w:ascii="宋体" w:hAnsi="宋体" w:cs="宋体"/>
          <w:color w:val="auto"/>
          <w:sz w:val="24"/>
          <w:highlight w:val="none"/>
          <w:lang w:val="en-US" w:eastAsia="zh-CN" w:bidi="ar"/>
        </w:rPr>
        <w:t xml:space="preserve">3</w:t>
      </w:r>
      <w:r>
        <w:rPr>
          <w:rFonts w:hint="eastAsia" w:ascii="宋体" w:hAnsi="宋体" w:cs="宋体"/>
          <w:color w:val="auto"/>
          <w:sz w:val="24"/>
          <w:highlight w:val="none"/>
          <w:lang w:bidi="ar"/>
        </w:rPr>
        <w:t xml:space="preserve">月</w:t>
      </w:r>
      <w:r>
        <w:rPr>
          <w:rFonts w:hint="eastAsia" w:ascii="宋体" w:hAnsi="宋体" w:cs="宋体"/>
          <w:color w:val="auto"/>
          <w:sz w:val="24"/>
          <w:highlight w:val="none"/>
          <w:lang w:val="en-US" w:eastAsia="zh-CN" w:bidi="ar"/>
        </w:rPr>
        <w:t xml:space="preserve">20</w:t>
      </w:r>
      <w:r>
        <w:rPr>
          <w:rFonts w:hint="eastAsia" w:ascii="宋体" w:hAnsi="宋体" w:cs="宋体"/>
          <w:color w:val="auto"/>
          <w:sz w:val="24"/>
          <w:highlight w:val="none"/>
          <w:lang w:bidi="ar"/>
        </w:rPr>
        <w:t xml:space="preserve">日09:30（北京时间）</w:t>
      </w:r>
      <w:r/>
    </w:p>
    <w:p>
      <w:pPr>
        <w:ind w:firstLine="495"/>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2.开标地点：</w:t>
      </w:r>
      <w:r>
        <w:rPr>
          <w:rFonts w:hint="eastAsia" w:ascii="宋体" w:hAnsi="宋体" w:cs="宋体"/>
          <w:color w:val="auto"/>
          <w:sz w:val="24"/>
          <w:highlight w:val="none"/>
          <w:shd w:val="clear" w:color="auto" w:fill="ffffff"/>
          <w:lang w:bidi="ar"/>
        </w:rPr>
        <w:t xml:space="preserve">苏采云政府采购一体化平台开标大厅（网上不见面开标）。</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六、公告期限</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自本公告发布之日起3个工作日。</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七、其他补充事宜</w:t>
      </w:r>
      <w:r/>
    </w:p>
    <w:p>
      <w:pPr>
        <w:pStyle w:val="1109"/>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1.有关本项目电子投标具体操作方法详见苏采云系统中的客户端使用说明和供应商《操作手册》。</w:t>
      </w:r>
      <w:r/>
    </w:p>
    <w:p>
      <w:pPr>
        <w:pStyle w:val="1109"/>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2.苏州工业园区财政审计局监督电话：0512-66681110。</w:t>
      </w:r>
      <w:r/>
    </w:p>
    <w:p>
      <w:pPr>
        <w:pStyle w:val="1109"/>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3.本项目所属行业为其他未列明行业。</w:t>
      </w:r>
      <w:r/>
    </w:p>
    <w:p>
      <w:pPr>
        <w:pStyle w:val="1109"/>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4.本次采购的相关信息刊登在苏州政府采购网、江苏政府采购网。</w:t>
      </w:r>
      <w:r/>
    </w:p>
    <w:p>
      <w:pPr>
        <w:pStyle w:val="1109"/>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5.本项目获取招标文件截止日期之后仍可以下载招标文件，但截止日期之后下载的招标文件，视为非有效方式且不作为供应商权益受到损害的证明材料和依据。</w:t>
      </w:r>
      <w:r/>
    </w:p>
    <w:p>
      <w:pPr>
        <w:ind w:firstLine="482"/>
        <w:jc w:val="left"/>
        <w:spacing w:line="360" w:lineRule="auto"/>
        <w:rPr>
          <w:rFonts w:ascii="宋体" w:hAnsi="宋体" w:cs="宋体"/>
          <w:b/>
          <w:color w:val="auto"/>
          <w:sz w:val="24"/>
          <w:highlight w:val="none"/>
        </w:rPr>
      </w:pPr>
      <w:r>
        <w:rPr>
          <w:rFonts w:hint="eastAsia" w:ascii="宋体" w:hAnsi="宋体" w:cs="宋体"/>
          <w:b/>
          <w:color w:val="auto"/>
          <w:sz w:val="24"/>
          <w:highlight w:val="none"/>
          <w:lang w:bidi="ar"/>
        </w:rPr>
        <w:t xml:space="preserve">八、凡对本次采购提出询问，请按以下方式联系。</w:t>
      </w:r>
      <w:r/>
    </w:p>
    <w:p>
      <w:pPr>
        <w:ind w:firstLine="480"/>
        <w:jc w:val="left"/>
        <w:spacing w:line="360" w:lineRule="auto"/>
        <w:rPr>
          <w:rFonts w:ascii="宋体" w:hAnsi="宋体" w:cs="宋体"/>
          <w:color w:val="auto"/>
          <w:sz w:val="24"/>
          <w:highlight w:val="none"/>
        </w:rPr>
      </w:pPr>
      <w:r/>
      <w:bookmarkStart w:id="15" w:name="_Toc35393617"/>
      <w:r/>
      <w:bookmarkEnd w:id="15"/>
      <w:r/>
      <w:bookmarkStart w:id="16" w:name="_Toc35393786"/>
      <w:r/>
      <w:bookmarkEnd w:id="16"/>
      <w:r/>
      <w:bookmarkStart w:id="17" w:name="_Toc28359075"/>
      <w:r/>
      <w:bookmarkEnd w:id="17"/>
      <w:r/>
      <w:bookmarkStart w:id="18" w:name="_Toc28358998"/>
      <w:r>
        <w:rPr>
          <w:rFonts w:hint="eastAsia" w:ascii="宋体" w:hAnsi="宋体" w:cs="宋体"/>
          <w:color w:val="auto"/>
          <w:sz w:val="24"/>
          <w:highlight w:val="none"/>
          <w:lang w:bidi="ar"/>
        </w:rPr>
        <w:t xml:space="preserve">1</w:t>
      </w:r>
      <w:bookmarkEnd w:id="18"/>
      <w:r>
        <w:rPr>
          <w:rFonts w:hint="eastAsia" w:ascii="宋体" w:hAnsi="宋体" w:cs="宋体"/>
          <w:color w:val="auto"/>
          <w:sz w:val="24"/>
          <w:highlight w:val="none"/>
          <w:lang w:bidi="ar"/>
        </w:rPr>
        <w:t xml:space="preserve">.采购人信息：</w:t>
      </w:r>
      <w:r/>
    </w:p>
    <w:p>
      <w:pPr>
        <w:pStyle w:val="941"/>
        <w:ind w:firstLine="480"/>
        <w:spacing w:before="0" w:beforeAutospacing="0" w:after="0" w:afterAutospacing="0" w:line="360" w:lineRule="auto"/>
        <w:rPr>
          <w:rFonts w:hint="eastAsia"/>
          <w:shd w:val="clear" w:color="auto" w:fill="ffffff"/>
        </w:rPr>
      </w:pPr>
      <w:r>
        <w:rPr>
          <w:rFonts w:hint="eastAsia"/>
          <w:shd w:val="clear" w:color="auto" w:fill="ffffff"/>
        </w:rPr>
        <w:t xml:space="preserve">名称：苏州工业园区应急管理局</w:t>
      </w:r>
      <w:r/>
    </w:p>
    <w:p>
      <w:pPr>
        <w:pStyle w:val="941"/>
        <w:ind w:firstLine="480"/>
        <w:spacing w:before="0" w:beforeAutospacing="0" w:after="0" w:afterAutospacing="0" w:line="360" w:lineRule="auto"/>
        <w:rPr>
          <w:rFonts w:hint="eastAsia"/>
          <w:shd w:val="clear" w:color="auto" w:fill="ffffff"/>
        </w:rPr>
      </w:pPr>
      <w:r>
        <w:rPr>
          <w:rFonts w:hint="eastAsia"/>
          <w:shd w:val="clear" w:color="auto" w:fill="ffffff"/>
        </w:rPr>
        <w:t xml:space="preserve">联系人：</w:t>
      </w:r>
      <w:r>
        <w:rPr>
          <w:rFonts w:hint="eastAsia"/>
          <w:shd w:val="clear" w:color="auto" w:fill="ffffff"/>
          <w:lang w:eastAsia="zh-CN"/>
        </w:rPr>
        <w:t xml:space="preserve">吕渊</w:t>
      </w:r>
      <w:r>
        <w:rPr>
          <w:rFonts w:hint="eastAsia"/>
          <w:shd w:val="clear" w:color="auto" w:fill="ffffff"/>
        </w:rPr>
        <w:t xml:space="preserve">     </w:t>
      </w:r>
      <w:r/>
    </w:p>
    <w:p>
      <w:pPr>
        <w:pStyle w:val="941"/>
        <w:ind w:firstLine="480"/>
        <w:spacing w:before="0" w:beforeAutospacing="0" w:after="0" w:afterAutospacing="0" w:line="360" w:lineRule="auto"/>
        <w:rPr>
          <w:rFonts w:hint="default" w:eastAsia="宋体"/>
          <w:shd w:val="clear" w:color="auto" w:fill="ffffff"/>
          <w:lang w:val="en-US" w:eastAsia="zh-CN"/>
        </w:rPr>
      </w:pPr>
      <w:r>
        <w:rPr>
          <w:rFonts w:hint="eastAsia"/>
          <w:shd w:val="clear" w:color="auto" w:fill="ffffff"/>
        </w:rPr>
        <w:t xml:space="preserve">联系电话：0512-6668</w:t>
      </w:r>
      <w:r>
        <w:rPr>
          <w:rFonts w:hint="eastAsia"/>
          <w:shd w:val="clear" w:color="auto" w:fill="ffffff"/>
          <w:lang w:val="en-US" w:eastAsia="zh-CN"/>
        </w:rPr>
        <w:t xml:space="preserve">0664</w:t>
      </w:r>
      <w:r/>
    </w:p>
    <w:p>
      <w:pPr>
        <w:pStyle w:val="941"/>
        <w:ind w:firstLine="480"/>
        <w:spacing w:before="0" w:beforeAutospacing="0" w:after="0" w:afterAutospacing="0" w:line="360" w:lineRule="auto"/>
        <w:rPr>
          <w:rFonts w:hint="eastAsia"/>
          <w:shd w:val="clear" w:color="auto" w:fill="ffffff"/>
        </w:rPr>
      </w:pPr>
      <w:r>
        <w:rPr>
          <w:rFonts w:hint="eastAsia"/>
          <w:shd w:val="clear" w:color="auto" w:fill="ffffff"/>
        </w:rPr>
        <w:t xml:space="preserve">地址：苏州工业园区现代大道999号现代大厦6楼</w:t>
      </w:r>
      <w:r/>
    </w:p>
    <w:p>
      <w:pPr>
        <w:ind w:firstLine="480"/>
        <w:jc w:val="left"/>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2.代理机构信息</w:t>
      </w:r>
      <w:r/>
    </w:p>
    <w:p>
      <w:pPr>
        <w:ind w:firstLine="480"/>
        <w:jc w:val="left"/>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名称：苏州市诚捷项目管理有限公司</w:t>
      </w:r>
      <w:r/>
    </w:p>
    <w:p>
      <w:pPr>
        <w:ind w:firstLine="480"/>
        <w:jc w:val="left"/>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地址：苏州高新区狮山路76号604-2-009</w:t>
      </w:r>
      <w:r/>
    </w:p>
    <w:p>
      <w:pPr>
        <w:ind w:firstLine="480"/>
        <w:jc w:val="left"/>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联系人：张晓雯、周云</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电话：18852950723</w:t>
      </w:r>
      <w:bookmarkEnd w:id="2"/>
      <w:r/>
      <w:r/>
    </w:p>
    <w:p>
      <w:pPr>
        <w:pStyle w:val="905"/>
        <w:jc w:val="center"/>
        <w:rPr>
          <w:rFonts w:ascii="sans-serif" w:hAnsi="sans-serif" w:eastAsia="sans-serif" w:cs="sans-serif"/>
          <w:color w:val="auto"/>
          <w:highlight w:val="none"/>
        </w:rPr>
      </w:pPr>
      <w:r>
        <w:rPr>
          <w:rStyle w:val="1125"/>
          <w:rFonts w:hint="eastAsia" w:ascii="宋体" w:hAnsi="宋体" w:cs="宋体"/>
          <w:color w:val="auto"/>
          <w:szCs w:val="43"/>
          <w:highlight w:val="none"/>
        </w:rPr>
        <w:br w:type="page" w:clear="all"/>
      </w:r>
      <w:bookmarkStart w:id="19" w:name="_Toc32082"/>
      <w:r>
        <w:rPr>
          <w:rFonts w:hint="eastAsia"/>
          <w:b/>
          <w:bCs/>
          <w:color w:val="auto"/>
          <w:highlight w:val="none"/>
        </w:rPr>
        <w:t xml:space="preserve">第二章 磋商须知</w:t>
      </w:r>
      <w:bookmarkEnd w:id="19"/>
      <w:r/>
      <w:r/>
    </w:p>
    <w:p>
      <w:pPr>
        <w:ind w:left="735"/>
        <w:jc w:val="left"/>
        <w:spacing w:line="360" w:lineRule="auto"/>
        <w:rPr>
          <w:rFonts w:ascii="宋体" w:hAnsi="宋体" w:cs="宋体"/>
          <w:b/>
          <w:color w:val="auto"/>
          <w:sz w:val="24"/>
          <w:highlight w:val="none"/>
          <w:lang w:bidi="ar"/>
        </w:rPr>
      </w:pPr>
      <w:r>
        <w:rPr>
          <w:rFonts w:hint="eastAsia" w:ascii="宋体" w:hAnsi="宋体" w:cs="宋体"/>
          <w:b/>
          <w:color w:val="auto"/>
          <w:sz w:val="24"/>
          <w:highlight w:val="none"/>
          <w:lang w:bidi="ar"/>
        </w:rPr>
        <w:t xml:space="preserve">一、响应文件的组成及要求（部分格式见附件）</w:t>
      </w:r>
      <w:r/>
    </w:p>
    <w:p>
      <w:pPr>
        <w:ind w:firstLine="482"/>
        <w:jc w:val="left"/>
        <w:spacing w:line="360" w:lineRule="auto"/>
        <w:tabs>
          <w:tab w:val="left" w:pos="463" w:leader="none"/>
        </w:tabs>
        <w:rPr>
          <w:rFonts w:ascii="宋体" w:hAnsi="宋体" w:cs="宋体"/>
          <w:b/>
          <w:bCs/>
          <w:color w:val="auto"/>
          <w:sz w:val="24"/>
          <w:highlight w:val="none"/>
          <w:lang w:bidi="ar"/>
        </w:rPr>
      </w:pPr>
      <w:r>
        <w:rPr>
          <w:rFonts w:hint="eastAsia" w:ascii="宋体" w:hAnsi="宋体" w:cs="宋体"/>
          <w:b/>
          <w:bCs/>
          <w:color w:val="auto"/>
          <w:sz w:val="24"/>
          <w:highlight w:val="none"/>
          <w:lang w:bidi="ar"/>
        </w:rPr>
        <w:t xml:space="preserve">（一）封面</w:t>
      </w:r>
      <w:r/>
    </w:p>
    <w:p>
      <w:pPr>
        <w:ind w:firstLine="482"/>
        <w:jc w:val="left"/>
        <w:spacing w:line="360" w:lineRule="auto"/>
        <w:tabs>
          <w:tab w:val="left" w:pos="463" w:leader="none"/>
        </w:tabs>
        <w:rPr>
          <w:rFonts w:ascii="宋体" w:hAnsi="宋体" w:cs="宋体"/>
          <w:b/>
          <w:bCs/>
          <w:color w:val="auto"/>
          <w:sz w:val="24"/>
          <w:highlight w:val="none"/>
          <w:lang w:bidi="ar"/>
        </w:rPr>
      </w:pPr>
      <w:r>
        <w:rPr>
          <w:rFonts w:hint="eastAsia" w:ascii="宋体" w:hAnsi="宋体" w:cs="宋体"/>
          <w:b/>
          <w:bCs/>
          <w:color w:val="auto"/>
          <w:sz w:val="24"/>
          <w:highlight w:val="none"/>
          <w:lang w:bidi="ar"/>
        </w:rPr>
        <w:t xml:space="preserve">（二）开标一览表</w:t>
      </w:r>
      <w:r/>
    </w:p>
    <w:p>
      <w:pPr>
        <w:ind w:firstLine="482"/>
        <w:jc w:val="left"/>
        <w:spacing w:line="360" w:lineRule="auto"/>
        <w:tabs>
          <w:tab w:val="left" w:pos="463" w:leader="none"/>
        </w:tabs>
        <w:rPr>
          <w:rFonts w:ascii="宋体" w:hAnsi="宋体" w:cs="宋体"/>
          <w:color w:val="auto"/>
          <w:sz w:val="24"/>
          <w:highlight w:val="none"/>
          <w:lang w:bidi="ar"/>
        </w:rPr>
      </w:pPr>
      <w:r>
        <w:rPr>
          <w:rFonts w:hint="eastAsia" w:ascii="宋体" w:hAnsi="宋体" w:cs="宋体"/>
          <w:b/>
          <w:bCs/>
          <w:color w:val="auto"/>
          <w:sz w:val="24"/>
          <w:highlight w:val="none"/>
          <w:lang w:bidi="ar"/>
        </w:rPr>
        <w:t xml:space="preserve">（三）资格性审查资料</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1. 法定代表人授权委托书、委托代理人身份证复印件（如为委托）；</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2. 法定代表人身份证复印件；</w:t>
      </w:r>
      <w:r/>
    </w:p>
    <w:p>
      <w:pPr>
        <w:ind w:firstLine="480"/>
        <w:jc w:val="left"/>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3. 供应商关于资格的声明函；</w:t>
      </w:r>
      <w:r/>
    </w:p>
    <w:p>
      <w:pPr>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4. 磋商响应单位基本情况表；</w:t>
      </w:r>
      <w:r/>
    </w:p>
    <w:p>
      <w:pPr>
        <w:ind w:firstLine="480"/>
        <w:jc w:val="left"/>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5. 资格条件证明材料： </w:t>
      </w:r>
      <w:r/>
    </w:p>
    <w:p>
      <w:pPr>
        <w:ind w:firstLine="480"/>
        <w:jc w:val="left"/>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（1）具有独立承担民事责任的能力证明。包括法人或者其他组织的营业执照等证明文件，自然人的身份证明；</w:t>
      </w:r>
      <w:r/>
    </w:p>
    <w:p>
      <w:pPr>
        <w:ind w:firstLine="480"/>
        <w:jc w:val="left"/>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（2）具有良好的商业信誉和健全的财务会计制度证明。包括但不限于最近一期经审计的财务报告，其他组织、自然人及成立未满一年的法人应提供银行出具的资信证明；</w:t>
      </w:r>
      <w:r/>
    </w:p>
    <w:p>
      <w:pPr>
        <w:ind w:firstLine="480"/>
        <w:jc w:val="left"/>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（3）履行合同所必需的设备和专业技术能力的证明材料或承诺；</w:t>
      </w:r>
      <w:r/>
    </w:p>
    <w:p>
      <w:pPr>
        <w:ind w:firstLine="480"/>
        <w:jc w:val="left"/>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（4）有依法缴纳税收和社会保障资金的良好记录；</w:t>
      </w:r>
      <w:r>
        <w:rPr>
          <w:rFonts w:hint="eastAsia" w:ascii="宋体" w:hAnsi="宋体" w:cs="宋体"/>
          <w:color w:val="auto"/>
          <w:sz w:val="24"/>
          <w:highlight w:val="none"/>
        </w:rPr>
        <w:t xml:space="preserve">如税务登记证（如有）和近三个月内依法缴纳税收的凭据，社会保险登记证和近三个月内依法缴纳社会保险的凭据（专用收据或社会保险缴纳清单）；</w:t>
      </w:r>
      <w:r/>
    </w:p>
    <w:p>
      <w:pPr>
        <w:ind w:firstLine="480"/>
        <w:jc w:val="left"/>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（5）参加政府采购活动前三年内在经营活动中没有重大违法记录的书面声明函；</w:t>
      </w:r>
      <w:r/>
    </w:p>
    <w:p>
      <w:pPr>
        <w:pStyle w:val="1109"/>
        <w:ind w:firstLine="482"/>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（6）提供《中小企业声明函》（详见格式），残疾人福利性单位（监狱企业）供应商提供的残疾人福利性单位声明函（监狱企业证明文件）视同提供了中小企业声明函。未提供的视为未实质性响应。</w:t>
      </w:r>
      <w:r/>
    </w:p>
    <w:p>
      <w:pPr>
        <w:ind w:firstLine="482"/>
        <w:spacing w:line="360" w:lineRule="auto"/>
        <w:rPr>
          <w:rFonts w:ascii="宋体" w:hAnsi="宋体" w:cs="宋体"/>
          <w:b/>
          <w:bCs/>
          <w:color w:val="auto"/>
          <w:sz w:val="24"/>
          <w:highlight w:val="none"/>
          <w:shd w:val="clear" w:color="auto" w:fill="ffffff"/>
        </w:rPr>
      </w:pPr>
      <w:r>
        <w:rPr>
          <w:rFonts w:hint="eastAsia" w:ascii="宋体" w:hAnsi="宋体" w:cs="宋体"/>
          <w:b/>
          <w:bCs/>
          <w:color w:val="auto"/>
          <w:sz w:val="24"/>
          <w:highlight w:val="none"/>
          <w:shd w:val="clear" w:color="auto" w:fill="ffffff"/>
        </w:rPr>
        <w:t xml:space="preserve">（二）符合性审查响应文件：</w:t>
      </w:r>
      <w:r/>
    </w:p>
    <w:p>
      <w:pPr>
        <w:ind w:firstLine="480"/>
        <w:jc w:val="left"/>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1. 磋商响应函；</w:t>
      </w:r>
      <w:r/>
    </w:p>
    <w:p>
      <w:pPr>
        <w:ind w:firstLine="480"/>
        <w:jc w:val="left"/>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2. 磋商报价分析表；</w:t>
      </w:r>
      <w:r/>
    </w:p>
    <w:p>
      <w:pPr>
        <w:ind w:firstLine="480"/>
        <w:jc w:val="left"/>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3. 技术、商务偏离表；</w:t>
      </w:r>
      <w:r/>
    </w:p>
    <w:p>
      <w:pPr>
        <w:ind w:firstLine="480"/>
        <w:jc w:val="left"/>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4. 项目服务人员配置表；</w:t>
      </w:r>
      <w:r/>
    </w:p>
    <w:p>
      <w:pPr>
        <w:ind w:firstLine="480"/>
        <w:jc w:val="left"/>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5. 其他有关符合性证明的文件；</w:t>
      </w:r>
      <w:r/>
    </w:p>
    <w:p>
      <w:pPr>
        <w:ind w:firstLine="482"/>
        <w:jc w:val="left"/>
        <w:spacing w:line="360" w:lineRule="auto"/>
        <w:rPr>
          <w:rFonts w:ascii="宋体" w:hAnsi="宋体" w:cs="宋体"/>
          <w:b/>
          <w:bCs/>
          <w:color w:val="auto"/>
          <w:sz w:val="24"/>
          <w:highlight w:val="none"/>
          <w:shd w:val="clear" w:color="auto" w:fill="ffffff"/>
        </w:rPr>
      </w:pPr>
      <w:r>
        <w:rPr>
          <w:rFonts w:hint="eastAsia" w:ascii="宋体" w:hAnsi="宋体" w:cs="宋体"/>
          <w:b/>
          <w:bCs/>
          <w:color w:val="auto"/>
          <w:sz w:val="24"/>
          <w:highlight w:val="none"/>
          <w:shd w:val="clear" w:color="auto" w:fill="ffffff"/>
          <w:lang w:bidi="ar"/>
        </w:rPr>
        <w:t xml:space="preserve">（三）综合评审响应文件：（采购单位根据项目内容和采购需求确定并予以细化）</w:t>
      </w:r>
      <w:r/>
    </w:p>
    <w:p>
      <w:pPr>
        <w:ind w:firstLine="482"/>
        <w:jc w:val="left"/>
        <w:spacing w:line="360" w:lineRule="auto"/>
        <w:rPr>
          <w:rFonts w:ascii="宋体" w:hAnsi="宋体" w:cs="宋体"/>
          <w:b/>
          <w:bCs/>
          <w:color w:val="auto"/>
          <w:sz w:val="24"/>
          <w:highlight w:val="none"/>
          <w:lang w:bidi="ar"/>
        </w:rPr>
      </w:pPr>
      <w:r>
        <w:rPr>
          <w:rFonts w:hint="eastAsia" w:ascii="宋体" w:hAnsi="宋体" w:cs="宋体"/>
          <w:b/>
          <w:bCs/>
          <w:color w:val="auto"/>
          <w:sz w:val="24"/>
          <w:highlight w:val="none"/>
          <w:lang w:bidi="ar"/>
        </w:rPr>
        <w:t xml:space="preserve">1.响应单位必须提交上述规定的资料，并须按照“响应文件的组成”将相关材料上传至相应模块。否则，响应文件将可能因资格性条件不符或未实质性响应采购文件而被拒绝。</w:t>
      </w:r>
      <w:r/>
    </w:p>
    <w:p>
      <w:pPr>
        <w:ind w:firstLine="482"/>
        <w:jc w:val="left"/>
        <w:spacing w:line="360" w:lineRule="auto"/>
        <w:rPr>
          <w:rFonts w:ascii="宋体" w:hAnsi="宋体" w:cs="宋体"/>
          <w:b/>
          <w:bCs/>
          <w:color w:val="auto"/>
          <w:sz w:val="24"/>
          <w:highlight w:val="none"/>
        </w:rPr>
      </w:pPr>
      <w:r>
        <w:rPr>
          <w:rFonts w:hint="eastAsia" w:ascii="宋体" w:hAnsi="宋体" w:cs="宋体"/>
          <w:b/>
          <w:bCs/>
          <w:color w:val="auto"/>
          <w:sz w:val="24"/>
          <w:highlight w:val="none"/>
          <w:lang w:bidi="ar"/>
        </w:rPr>
        <w:t xml:space="preserve">（四）相关政策性要求：</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1.根据《关于贯彻执行绿色采购、促进残疾人就业和支持监狱企业发展有关政策的通知（苏财购〔2019〕10号）》的通知，若本次采购的产品属于《节能产品政府采购清单》、《环境标志产品政府采购清单》中的品目范围的，依据国家确定的认证机构出具的、处于有效期之内的节能产品、环境标志产品认证证书，对获得证书的产品实施政府优先采购或强制采购（若有）。</w:t>
      </w:r>
      <w:r/>
    </w:p>
    <w:p>
      <w:pPr>
        <w:ind w:firstLine="480"/>
        <w:jc w:val="left"/>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2.本次采购清单中涉及政府采购协议供货产品的，响应单位须按照苏州市政府采购共享江苏省级最新一期的政府采购协议供货中标结果的基础上提供响应产品，其产品及服务必须同时满足采购文件及协议供货的相关要求，描述不一致时从优选择，否则其响应文件将被拒绝（若有）。</w:t>
      </w:r>
      <w:r/>
    </w:p>
    <w:p>
      <w:pPr>
        <w:ind w:firstLine="480"/>
        <w:jc w:val="left"/>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3、关于政府采购促进中小企业发展政策要求：</w:t>
      </w:r>
      <w:r/>
    </w:p>
    <w:p>
      <w:pPr>
        <w:ind w:firstLine="482"/>
        <w:jc w:val="left"/>
        <w:spacing w:line="360" w:lineRule="auto"/>
        <w:rPr>
          <w:rFonts w:ascii="宋体" w:hAnsi="宋体" w:cs="宋体"/>
          <w:b/>
          <w:bCs/>
          <w:color w:val="auto"/>
          <w:sz w:val="24"/>
          <w:highlight w:val="none"/>
          <w:lang w:bidi="ar"/>
        </w:rPr>
      </w:pPr>
      <w:r>
        <w:rPr>
          <w:rFonts w:hint="eastAsia" w:ascii="宋体" w:hAnsi="宋体" w:cs="宋体"/>
          <w:b/>
          <w:bCs/>
          <w:color w:val="auto"/>
          <w:sz w:val="24"/>
          <w:highlight w:val="none"/>
          <w:lang w:bidi="ar"/>
        </w:rPr>
        <w:t xml:space="preserve">3</w:t>
      </w:r>
      <w:r>
        <w:rPr>
          <w:rFonts w:hint="eastAsia" w:ascii="宋体" w:hAnsi="宋体" w:cs="宋体"/>
          <w:b/>
          <w:bCs/>
          <w:color w:val="auto"/>
          <w:sz w:val="24"/>
          <w:highlight w:val="none"/>
          <w:lang w:val="zh-CN" w:bidi="ar"/>
        </w:rPr>
        <w:t xml:space="preserve">.1</w:t>
      </w:r>
      <w:r>
        <w:rPr>
          <w:rFonts w:hint="eastAsia" w:ascii="宋体" w:hAnsi="宋体" w:cs="宋体"/>
          <w:b/>
          <w:bCs/>
          <w:color w:val="auto"/>
          <w:sz w:val="24"/>
          <w:highlight w:val="none"/>
          <w:lang w:bidi="ar"/>
        </w:rPr>
        <w:t xml:space="preserve">本采购项目对应的中小企业划分标准所属行业为：其他未列明行业。</w:t>
      </w:r>
      <w:r/>
    </w:p>
    <w:p>
      <w:pPr>
        <w:ind w:firstLine="480"/>
        <w:jc w:val="left"/>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3.2</w:t>
      </w:r>
      <w:r>
        <w:rPr>
          <w:rFonts w:hint="eastAsia" w:ascii="宋体" w:hAnsi="宋体" w:cs="宋体"/>
          <w:color w:val="auto"/>
          <w:sz w:val="24"/>
          <w:highlight w:val="none"/>
          <w:lang w:val="zh-CN" w:bidi="ar"/>
        </w:rPr>
        <w:t xml:space="preserve">根据《政府采购促进中小企业发展管理办法》（财库〔2020〕46号）</w:t>
      </w:r>
      <w:r>
        <w:rPr>
          <w:rFonts w:hint="eastAsia" w:ascii="宋体" w:hAnsi="宋体" w:cs="宋体"/>
          <w:color w:val="auto"/>
          <w:sz w:val="24"/>
          <w:highlight w:val="none"/>
          <w:lang w:bidi="ar"/>
        </w:rPr>
        <w:t xml:space="preserve">、《中小企业划型标准规定》（工信部联企业〔2011〕300号）、</w:t>
      </w:r>
      <w:r>
        <w:rPr>
          <w:rFonts w:hint="eastAsia" w:ascii="宋体" w:hAnsi="宋体" w:cs="宋体"/>
          <w:color w:val="auto"/>
          <w:sz w:val="24"/>
          <w:highlight w:val="none"/>
          <w:lang w:val="zh-CN" w:bidi="ar"/>
        </w:rPr>
        <w:t xml:space="preserve">《关于做好政府采购支持企业发展有关事项的通知》（苏财购〔2020〕52号）、</w:t>
      </w:r>
      <w:r>
        <w:rPr>
          <w:rFonts w:hint="eastAsia" w:ascii="宋体" w:hAnsi="宋体" w:cs="宋体"/>
          <w:color w:val="auto"/>
          <w:sz w:val="24"/>
          <w:highlight w:val="none"/>
          <w:lang w:bidi="ar"/>
        </w:rPr>
        <w:t xml:space="preserve">《关于促进残疾人就业政府采购政策的通知》（财库〔2017〕141号）、《关于政府采购支持监狱企业发展有关问题的通知》（财库〔2014〕68号）等文件的精神。</w:t>
      </w:r>
      <w:r/>
    </w:p>
    <w:p>
      <w:pPr>
        <w:ind w:firstLine="480"/>
        <w:jc w:val="left"/>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3.3响应文件中小微企业必须提供响应人签署《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响应文件中未提供相关材料、资料的</w:t>
      </w:r>
      <w:r>
        <w:rPr>
          <w:rFonts w:hint="eastAsia" w:ascii="宋体" w:hAnsi="宋体" w:cs="宋体"/>
          <w:bCs/>
          <w:color w:val="auto"/>
          <w:sz w:val="24"/>
          <w:highlight w:val="none"/>
        </w:rPr>
        <w:t xml:space="preserve">视为未实质性响应</w:t>
      </w:r>
      <w:r>
        <w:rPr>
          <w:rFonts w:hint="eastAsia" w:ascii="宋体" w:hAnsi="宋体" w:cs="宋体"/>
          <w:color w:val="auto"/>
          <w:sz w:val="24"/>
          <w:highlight w:val="none"/>
          <w:lang w:bidi="ar"/>
        </w:rPr>
        <w:t xml:space="preserve">。</w:t>
      </w:r>
      <w:r/>
    </w:p>
    <w:p>
      <w:pPr>
        <w:ind w:firstLine="480"/>
        <w:jc w:val="left"/>
        <w:spacing w:line="360" w:lineRule="auto"/>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p>
    <w:p>
      <w:pPr>
        <w:ind w:firstLine="420"/>
        <w:spacing w:line="360" w:lineRule="auto"/>
        <w:rPr>
          <w:rFonts w:hint="eastAsia"/>
          <w:color w:val="000000"/>
          <w:sz w:val="24"/>
          <w:highlight w:val="none"/>
        </w:rPr>
      </w:pPr>
      <w:r>
        <w:rPr>
          <w:rFonts w:hint="eastAsia"/>
          <w:color w:val="000000"/>
          <w:sz w:val="24"/>
          <w:highlight w:val="none"/>
          <w:lang w:val="en-US" w:eastAsia="zh-CN"/>
        </w:rPr>
        <w:t xml:space="preserve">4.</w:t>
      </w:r>
      <w:r>
        <w:rPr>
          <w:rFonts w:hint="eastAsia"/>
          <w:color w:val="000000"/>
          <w:sz w:val="24"/>
          <w:highlight w:val="none"/>
        </w:rPr>
        <w:t xml:space="preserve">政府采购中实施本国产品标准及相关政策</w:t>
      </w:r>
      <w:r/>
    </w:p>
    <w:p>
      <w:pPr>
        <w:ind w:firstLine="420"/>
        <w:spacing w:line="360" w:lineRule="auto"/>
        <w:rPr>
          <w:rFonts w:hint="eastAsia" w:eastAsia="宋体"/>
          <w:color w:val="000000"/>
          <w:sz w:val="24"/>
          <w:highlight w:val="none"/>
          <w:lang w:eastAsia="zh-CN"/>
        </w:rPr>
      </w:pPr>
      <w:r>
        <w:rPr>
          <w:rFonts w:hint="eastAsia"/>
          <w:color w:val="000000"/>
          <w:sz w:val="24"/>
          <w:highlight w:val="none"/>
          <w:lang w:val="en-US" w:eastAsia="zh-CN"/>
        </w:rPr>
        <w:t xml:space="preserve">4.1</w:t>
      </w:r>
      <w:r>
        <w:rPr>
          <w:rFonts w:hint="eastAsia"/>
          <w:color w:val="000000"/>
          <w:sz w:val="24"/>
          <w:highlight w:val="none"/>
        </w:rPr>
        <w:t xml:space="preserve">本项目对采购本国产品给予政策支持</w:t>
      </w:r>
      <w:r>
        <w:rPr>
          <w:rFonts w:hint="eastAsia"/>
          <w:color w:val="000000"/>
          <w:sz w:val="24"/>
          <w:highlight w:val="none"/>
          <w:lang w:eastAsia="zh-CN"/>
        </w:rPr>
        <w:t xml:space="preserve">。</w:t>
      </w:r>
      <w:r/>
    </w:p>
    <w:p>
      <w:pPr>
        <w:ind w:firstLine="420"/>
        <w:spacing w:line="360" w:lineRule="auto"/>
        <w:rPr>
          <w:rFonts w:hint="eastAsia"/>
          <w:color w:val="000000"/>
          <w:sz w:val="24"/>
          <w:highlight w:val="none"/>
        </w:rPr>
      </w:pPr>
      <w:r>
        <w:rPr>
          <w:rFonts w:hint="eastAsia"/>
          <w:color w:val="000000"/>
          <w:sz w:val="24"/>
          <w:highlight w:val="none"/>
          <w:lang w:val="en-US" w:eastAsia="zh-CN"/>
        </w:rPr>
        <w:t xml:space="preserve">4.2</w:t>
      </w:r>
      <w:r>
        <w:rPr>
          <w:rFonts w:hint="eastAsia"/>
          <w:color w:val="000000"/>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highlight w:val="none"/>
        </w:rPr>
        <w:t xml:space="preserve">（若有）。</w:t>
      </w:r>
      <w:r/>
    </w:p>
    <w:p>
      <w:pPr>
        <w:ind w:firstLine="480"/>
        <w:jc w:val="left"/>
        <w:spacing w:line="360" w:lineRule="auto"/>
        <w:rPr>
          <w:rFonts w:hint="eastAsia" w:ascii="宋体" w:hAnsi="宋体"/>
          <w:color w:val="000000"/>
          <w:sz w:val="24"/>
          <w:highlight w:val="none"/>
        </w:rPr>
      </w:pPr>
      <w:r>
        <w:rPr>
          <w:rFonts w:hint="eastAsia"/>
          <w:color w:val="000000"/>
          <w:sz w:val="24"/>
          <w:highlight w:val="none"/>
          <w:lang w:val="en-US" w:eastAsia="zh-CN"/>
        </w:rPr>
        <w:t xml:space="preserve">4.3</w:t>
      </w:r>
      <w:r>
        <w:rPr>
          <w:rFonts w:hint="eastAsia"/>
          <w:color w:val="000000"/>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w:t>
      </w:r>
      <w:r>
        <w:rPr>
          <w:rFonts w:hint="eastAsia" w:ascii="宋体" w:hAnsi="宋体"/>
          <w:color w:val="000000"/>
          <w:sz w:val="24"/>
          <w:highlight w:val="none"/>
        </w:rPr>
        <w:t xml:space="preserve">药品监督管理部门授予的准字号医疗器械注册证的，属于在中国境内生产的产品；其他产品，根据实际情况判断是否在中国境内生产。（若有）。</w:t>
      </w:r>
      <w:r/>
    </w:p>
    <w:p>
      <w:pPr>
        <w:ind w:firstLine="480"/>
        <w:jc w:val="left"/>
        <w:spacing w:line="360" w:lineRule="auto"/>
      </w:pPr>
      <w:r>
        <w:rPr>
          <w:rFonts w:hint="eastAsia" w:hAnsi="宋体"/>
          <w:color w:val="000000"/>
          <w:sz w:val="24"/>
          <w:highlight w:val="none"/>
          <w:lang w:val="en-US" w:eastAsia="zh-CN"/>
        </w:rPr>
        <w:t xml:space="preserve">4</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本项目不涉及</w:t>
      </w:r>
      <w:r>
        <w:rPr>
          <w:rFonts w:hint="eastAsia" w:ascii="宋体" w:hAnsi="宋体"/>
          <w:color w:val="000000"/>
          <w:sz w:val="24"/>
          <w:highlight w:val="none"/>
          <w:lang w:eastAsia="zh-CN"/>
        </w:rPr>
        <w:t xml:space="preserve">）</w:t>
      </w:r>
      <w:r/>
    </w:p>
    <w:p>
      <w:pPr>
        <w:ind w:firstLine="482"/>
        <w:jc w:val="left"/>
        <w:spacing w:line="360" w:lineRule="auto"/>
        <w:rPr>
          <w:rFonts w:ascii="宋体" w:hAnsi="宋体" w:cs="宋体"/>
          <w:b/>
          <w:bCs/>
          <w:color w:val="auto"/>
          <w:sz w:val="24"/>
          <w:highlight w:val="none"/>
        </w:rPr>
      </w:pPr>
      <w:r>
        <w:rPr>
          <w:rFonts w:hint="eastAsia" w:ascii="宋体" w:hAnsi="宋体" w:cs="宋体"/>
          <w:b/>
          <w:bCs/>
          <w:color w:val="auto"/>
          <w:sz w:val="24"/>
          <w:highlight w:val="none"/>
          <w:lang w:bidi="ar"/>
        </w:rPr>
        <w:t xml:space="preserve">（五）电子化磋商要求</w:t>
      </w:r>
      <w:r/>
    </w:p>
    <w:p>
      <w:pPr>
        <w:ind w:firstLine="480"/>
        <w:jc w:val="left"/>
        <w:spacing w:line="360" w:lineRule="auto"/>
        <w:rPr>
          <w:rFonts w:ascii="宋体" w:hAnsi="宋体"/>
          <w:color w:val="auto"/>
          <w:sz w:val="24"/>
          <w:highlight w:val="none"/>
        </w:rPr>
      </w:pPr>
      <w:r>
        <w:rPr>
          <w:rFonts w:hint="eastAsia" w:ascii="宋体" w:hAnsi="宋体" w:cs="宋体"/>
          <w:color w:val="auto"/>
          <w:sz w:val="24"/>
          <w:highlight w:val="none"/>
        </w:rPr>
        <w:t xml:space="preserve">1.系统中下载采购文件后，点击“客户端下载地址”，下载投标文件</w:t>
      </w:r>
      <w:r>
        <w:rPr>
          <w:rFonts w:hint="eastAsia" w:ascii="宋体" w:hAnsi="宋体"/>
          <w:color w:val="auto"/>
          <w:sz w:val="24"/>
          <w:highlight w:val="none"/>
        </w:rPr>
        <w:t xml:space="preserve">客户端，查看客户端使用说明。</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2.将下载的采购文件导入投标文件客户端，按照使用说明完成投标文件的编制和加盖电子签章。</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3.导出制作完成的投标文件，上传至苏采云系统。</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注：具体投标文件编制教程查看苏采云系统中的客户端使用说明和供应商《操作手册》。</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6.5pt;height:56.2pt;mso-wrap-distance-left:0.0pt;mso-wrap-distance-top:0.0pt;mso-wrap-distance-right:0.0pt;mso-wrap-distance-bottom:0.0pt;" filled="f" stroked="f">
            <v:path textboxrect="0,0,0,0"/>
            <v:imagedata r:id="rId17" o:title=""/>
          </v:shape>
          <o:OLEObject DrawAspect="Content" r:id="rId18" ObjectID="_1525044" ProgID="Package" ShapeID="_x0000_i4" Type="Embed"/>
        </w:object>
      </w:r>
      <w:r/>
    </w:p>
    <w:p>
      <w:pPr>
        <w:ind w:firstLine="480"/>
        <w:jc w:val="left"/>
        <w:spacing w:line="360" w:lineRule="auto"/>
        <w:rPr>
          <w:color w:val="auto"/>
          <w:highlight w:val="none"/>
        </w:rPr>
      </w:pPr>
      <w:r>
        <w:rPr>
          <w:rFonts w:hint="eastAsia" w:ascii="宋体" w:hAnsi="宋体"/>
          <w:color w:val="auto"/>
          <w:sz w:val="24"/>
          <w:highlight w:val="none"/>
        </w:rPr>
        <w:t xml:space="preserve">4.响应文件的有效期限为磋商后90天。</w:t>
      </w:r>
      <w:r/>
    </w:p>
    <w:p>
      <w:pPr>
        <w:ind w:firstLine="482"/>
        <w:jc w:val="left"/>
        <w:spacing w:line="360" w:lineRule="auto"/>
        <w:rPr>
          <w:rFonts w:ascii="宋体" w:hAnsi="宋体" w:cs="宋体"/>
          <w:b/>
          <w:color w:val="auto"/>
          <w:sz w:val="24"/>
          <w:highlight w:val="none"/>
        </w:rPr>
      </w:pPr>
      <w:r>
        <w:rPr>
          <w:rFonts w:hint="eastAsia" w:ascii="宋体" w:hAnsi="宋体" w:cs="宋体"/>
          <w:b/>
          <w:color w:val="auto"/>
          <w:sz w:val="24"/>
          <w:highlight w:val="none"/>
          <w:lang w:bidi="ar"/>
        </w:rPr>
        <w:t xml:space="preserve">二、报价说明</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1.响应单位应对所投项目的全部内容进行报价，只投其中部分内容者，其标书将被拒绝。</w:t>
      </w:r>
      <w:r/>
    </w:p>
    <w:p>
      <w:pPr>
        <w:ind w:firstLine="480"/>
        <w:jc w:val="left"/>
        <w:spacing w:line="360" w:lineRule="auto"/>
        <w:tabs>
          <w:tab w:val="left" w:pos="3570" w:leader="none"/>
        </w:tabs>
        <w:rPr>
          <w:rFonts w:ascii="宋体" w:hAnsi="宋体"/>
          <w:color w:val="auto"/>
          <w:sz w:val="24"/>
          <w:highlight w:val="none"/>
        </w:rPr>
      </w:pPr>
      <w:r>
        <w:rPr>
          <w:rFonts w:hint="eastAsia" w:ascii="宋体" w:hAnsi="宋体" w:cs="宋体"/>
          <w:bCs/>
          <w:color w:val="auto"/>
          <w:sz w:val="24"/>
          <w:highlight w:val="none"/>
        </w:rPr>
        <w:t xml:space="preserve">2.报价应包括：</w:t>
      </w:r>
      <w:r>
        <w:rPr>
          <w:rFonts w:hint="eastAsia" w:hAnsi="宋体" w:cs="宋体"/>
          <w:color w:val="auto"/>
          <w:sz w:val="24"/>
          <w:highlight w:val="none"/>
        </w:rPr>
        <w:t xml:space="preserve">提供完成本项目的全部内容，包括但不限于人工、场地、住宿、餐费、保险、劳保、管理、设备、耗材、税费、售后服务费用及为完成整个项目所产生的其它所有费用，以及政策性文件规定及合同包含的所有风险、责任等各项应有费用。除合同约定的价款外，采购单位不再需向成交单位支付其他任何费用。响应单位应对所投项目的全部内容进行报价，只投其中部分内容者，其标书将被拒绝。</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3.不接受响应方任何因遗漏报价而发生的费用追加，因响应方违反《劳动法》等法律法规而造成的连带责任和损失全部由中标方承担。</w:t>
      </w:r>
      <w:r/>
    </w:p>
    <w:p>
      <w:pPr>
        <w:ind w:firstLine="482"/>
        <w:jc w:val="left"/>
        <w:spacing w:line="360" w:lineRule="auto"/>
        <w:rPr>
          <w:rFonts w:ascii="宋体" w:hAnsi="宋体" w:cs="宋体"/>
          <w:b/>
          <w:color w:val="auto"/>
          <w:sz w:val="24"/>
          <w:highlight w:val="none"/>
        </w:rPr>
      </w:pPr>
      <w:r>
        <w:rPr>
          <w:rFonts w:hint="eastAsia" w:ascii="宋体" w:hAnsi="宋体" w:cs="宋体"/>
          <w:b/>
          <w:color w:val="auto"/>
          <w:sz w:val="24"/>
          <w:highlight w:val="none"/>
          <w:lang w:bidi="ar"/>
        </w:rPr>
        <w:t xml:space="preserve">三、磋商程序 </w:t>
      </w:r>
      <w:r/>
    </w:p>
    <w:p>
      <w:pPr>
        <w:ind w:firstLine="480"/>
        <w:spacing w:line="360" w:lineRule="auto"/>
        <w:tabs>
          <w:tab w:val="left" w:pos="753" w:leader="none"/>
        </w:tabs>
        <w:rPr>
          <w:rFonts w:ascii="宋体" w:hAnsi="宋体" w:cs="宋体"/>
          <w:color w:val="auto"/>
          <w:sz w:val="24"/>
          <w:highlight w:val="none"/>
        </w:rPr>
      </w:pPr>
      <w:r>
        <w:rPr>
          <w:rFonts w:hint="eastAsia" w:ascii="宋体" w:hAnsi="宋体" w:cs="宋体"/>
          <w:color w:val="auto"/>
          <w:sz w:val="24"/>
          <w:highlight w:val="none"/>
        </w:rPr>
        <w:t xml:space="preserve">1.采购代理机构按本须知规定的时间、地点主持磋商采购活动。</w:t>
      </w:r>
      <w:r/>
    </w:p>
    <w:p>
      <w:pPr>
        <w:ind w:firstLine="480"/>
        <w:spacing w:line="360" w:lineRule="auto"/>
        <w:tabs>
          <w:tab w:val="left" w:pos="753" w:leader="none"/>
        </w:tabs>
        <w:rPr>
          <w:rFonts w:ascii="宋体" w:hAnsi="宋体" w:cs="宋体"/>
          <w:color w:val="auto"/>
          <w:sz w:val="24"/>
          <w:highlight w:val="none"/>
        </w:rPr>
      </w:pPr>
      <w:r>
        <w:rPr>
          <w:rFonts w:hint="eastAsia" w:ascii="宋体" w:hAnsi="宋体" w:cs="宋体"/>
          <w:color w:val="auto"/>
          <w:sz w:val="24"/>
          <w:highlight w:val="none"/>
        </w:rPr>
        <w:t xml:space="preserve">2.供应商通过“苏采云”系统在线参与磋商活动。供应商应当按照《苏采云系统供应商操作手册》规定在 “苏采云”系统规定的时间内对响应文件进行解密。在磋商响应文件网上递交截止时间止成功解密的磋商供应商少于三家，则本次采购失败。</w:t>
      </w:r>
      <w:r/>
    </w:p>
    <w:p>
      <w:pPr>
        <w:ind w:firstLine="480"/>
        <w:spacing w:line="360" w:lineRule="auto"/>
        <w:tabs>
          <w:tab w:val="left" w:pos="753" w:leader="none"/>
        </w:tabs>
        <w:rPr>
          <w:rFonts w:ascii="宋体" w:hAnsi="宋体" w:cs="宋体"/>
          <w:color w:val="auto"/>
          <w:sz w:val="24"/>
          <w:highlight w:val="none"/>
        </w:rPr>
      </w:pPr>
      <w:r>
        <w:rPr>
          <w:rFonts w:hint="eastAsia" w:ascii="宋体" w:hAnsi="宋体" w:cs="宋体"/>
          <w:color w:val="auto"/>
          <w:sz w:val="24"/>
          <w:highlight w:val="none"/>
        </w:rPr>
        <w:t xml:space="preserve">3.由磋商小组审查供应商解密的响应文件。</w:t>
      </w:r>
      <w:r/>
    </w:p>
    <w:p>
      <w:pPr>
        <w:ind w:firstLine="480"/>
        <w:spacing w:line="360" w:lineRule="auto"/>
        <w:tabs>
          <w:tab w:val="left" w:pos="753" w:leader="none"/>
        </w:tabs>
        <w:rPr>
          <w:rFonts w:ascii="宋体" w:hAnsi="宋体" w:cs="宋体"/>
          <w:color w:val="auto"/>
          <w:sz w:val="24"/>
          <w:highlight w:val="none"/>
        </w:rPr>
      </w:pPr>
      <w:r>
        <w:rPr>
          <w:rFonts w:hint="eastAsia" w:ascii="宋体" w:hAnsi="宋体" w:cs="宋体"/>
          <w:color w:val="auto"/>
          <w:sz w:val="24"/>
          <w:highlight w:val="none"/>
        </w:rPr>
        <w:t xml:space="preserve">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tabs>
          <w:tab w:val="left" w:pos="753" w:leader="none"/>
        </w:tabs>
        <w:rPr>
          <w:rFonts w:ascii="宋体" w:hAnsi="宋体" w:cs="宋体"/>
          <w:color w:val="auto"/>
          <w:sz w:val="24"/>
          <w:highlight w:val="none"/>
        </w:rPr>
      </w:pPr>
      <w:r>
        <w:rPr>
          <w:rFonts w:hint="eastAsia" w:ascii="宋体" w:hAnsi="宋体" w:cs="宋体"/>
          <w:color w:val="auto"/>
          <w:sz w:val="24"/>
          <w:highlight w:val="none"/>
        </w:rPr>
        <w:t xml:space="preserve">5.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firstLine="482"/>
        <w:spacing w:line="360" w:lineRule="auto"/>
        <w:tabs>
          <w:tab w:val="left" w:pos="753" w:leader="none"/>
        </w:tabs>
        <w:rPr>
          <w:rFonts w:ascii="宋体" w:hAnsi="宋体" w:cs="宋体"/>
          <w:color w:val="auto"/>
          <w:sz w:val="24"/>
          <w:highlight w:val="none"/>
        </w:rPr>
      </w:pPr>
      <w:r>
        <w:rPr>
          <w:rFonts w:hint="eastAsia" w:ascii="宋体" w:hAnsi="宋体" w:cs="宋体"/>
          <w:b/>
          <w:color w:val="auto"/>
          <w:sz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color w:val="auto"/>
          <w:sz w:val="24"/>
          <w:highlight w:val="none"/>
        </w:rPr>
        <w:t xml:space="preserve">(</w:t>
      </w:r>
      <w:r>
        <w:rPr>
          <w:rFonts w:hint="eastAsia" w:ascii="宋体" w:hAnsi="宋体" w:cs="宋体"/>
          <w:b/>
          <w:color w:val="auto"/>
          <w:sz w:val="24"/>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numPr>
          <w:ilvl w:val="0"/>
          <w:numId w:val="3"/>
        </w:numPr>
        <w:ind w:firstLine="480"/>
        <w:spacing w:line="360" w:lineRule="auto"/>
        <w:tabs>
          <w:tab w:val="clear" w:pos="312" w:leader="none"/>
          <w:tab w:val="left" w:pos="753" w:leader="none"/>
        </w:tabs>
        <w:rPr>
          <w:rFonts w:ascii="宋体" w:hAnsi="宋体" w:cs="宋体"/>
          <w:b/>
          <w:bCs/>
          <w:color w:val="auto"/>
          <w:sz w:val="24"/>
          <w:highlight w:val="none"/>
        </w:rPr>
      </w:pPr>
      <w:r>
        <w:rPr>
          <w:rFonts w:hint="eastAsia" w:ascii="宋体" w:hAnsi="宋体" w:cs="宋体"/>
          <w:color w:val="auto"/>
          <w:sz w:val="24"/>
          <w:highlight w:val="none"/>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bCs/>
          <w:color w:val="auto"/>
          <w:sz w:val="24"/>
          <w:highlight w:val="none"/>
        </w:rPr>
        <w:t xml:space="preserve">磋商小组通过“苏采云”系统向供应商发布“磋商函”，供应商应当按照要求在“苏采云”系统提交“磋商响应函”并加盖CA电子公章。</w:t>
      </w:r>
      <w:r/>
    </w:p>
    <w:p>
      <w:pPr>
        <w:ind w:firstLine="480"/>
        <w:spacing w:line="360" w:lineRule="auto"/>
        <w:tabs>
          <w:tab w:val="left" w:pos="75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7.政府采购异常低价审查：</w:t>
      </w:r>
      <w:r/>
    </w:p>
    <w:p>
      <w:pPr>
        <w:ind w:firstLine="480"/>
        <w:spacing w:line="360" w:lineRule="auto"/>
        <w:tabs>
          <w:tab w:val="left" w:pos="753"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7.1</w:t>
      </w:r>
      <w:r>
        <w:rPr>
          <w:rFonts w:hint="eastAsia" w:ascii="宋体" w:hAnsi="宋体" w:eastAsia="宋体" w:cs="宋体"/>
          <w:color w:val="auto"/>
          <w:sz w:val="24"/>
          <w:highlight w:val="none"/>
          <w:lang w:val="zh-CN"/>
        </w:rPr>
        <w:t xml:space="preserve">投标（响应）报价低于全部通过符合性审查供应商投标（响应）报价平均值</w:t>
      </w:r>
      <w:r>
        <w:rPr>
          <w:rFonts w:hint="eastAsia" w:ascii="宋体" w:hAnsi="宋体" w:cs="宋体"/>
          <w:color w:val="auto"/>
          <w:sz w:val="24"/>
          <w:highlight w:val="none"/>
          <w:lang w:val="en-US" w:eastAsia="zh-CN"/>
        </w:rPr>
        <w:t xml:space="preserve">65</w:t>
      </w:r>
      <w:r>
        <w:rPr>
          <w:rFonts w:hint="eastAsia" w:ascii="宋体" w:hAnsi="宋体" w:eastAsia="宋体" w:cs="宋体"/>
          <w:color w:val="auto"/>
          <w:sz w:val="24"/>
          <w:highlight w:val="none"/>
          <w:lang w:val="zh-CN"/>
        </w:rPr>
        <w:t xml:space="preserve">%</w:t>
      </w:r>
      <w:r>
        <w:rPr>
          <w:rFonts w:hint="default" w:ascii="宋体" w:hAnsi="宋体" w:eastAsia="宋体" w:cs="宋体"/>
          <w:color w:val="auto"/>
          <w:sz w:val="24"/>
          <w:highlight w:val="none"/>
          <w:lang w:val="zh-CN"/>
        </w:rPr>
        <w:t xml:space="preserve">的，即投标（响应）报价</w:t>
      </w:r>
      <w:r>
        <w:rPr>
          <w:rFonts w:hint="eastAsia" w:ascii="宋体" w:hAnsi="宋体" w:eastAsia="宋体" w:cs="宋体"/>
          <w:color w:val="auto"/>
          <w:sz w:val="24"/>
          <w:highlight w:val="none"/>
          <w:lang w:val="zh-CN"/>
        </w:rPr>
        <w:t xml:space="preserve">&lt;</w:t>
      </w:r>
      <w:r>
        <w:rPr>
          <w:rFonts w:hint="default" w:ascii="宋体" w:hAnsi="宋体" w:eastAsia="宋体" w:cs="宋体"/>
          <w:color w:val="auto"/>
          <w:sz w:val="24"/>
          <w:highlight w:val="none"/>
          <w:lang w:val="zh-CN"/>
        </w:rPr>
        <w:t xml:space="preserve">全部通过符合性审查供应商投标（响应）报价平均值</w:t>
      </w:r>
      <w:r>
        <w:rPr>
          <w:rFonts w:hint="eastAsia" w:ascii="宋体" w:hAnsi="宋体" w:eastAsia="宋体" w:cs="宋体"/>
          <w:color w:val="auto"/>
          <w:sz w:val="24"/>
          <w:highlight w:val="none"/>
          <w:lang w:val="zh-CN"/>
        </w:rPr>
        <w:t xml:space="preserve">×</w:t>
      </w:r>
      <w:r>
        <w:rPr>
          <w:rFonts w:hint="eastAsia" w:ascii="宋体" w:hAnsi="宋体" w:cs="宋体"/>
          <w:color w:val="auto"/>
          <w:sz w:val="24"/>
          <w:highlight w:val="none"/>
          <w:lang w:val="en-US" w:eastAsia="zh-CN"/>
        </w:rPr>
        <w:t xml:space="preserve">65</w:t>
      </w:r>
      <w:r>
        <w:rPr>
          <w:rFonts w:hint="eastAsia" w:ascii="宋体" w:hAnsi="宋体" w:eastAsia="宋体" w:cs="宋体"/>
          <w:color w:val="auto"/>
          <w:sz w:val="24"/>
          <w:highlight w:val="none"/>
          <w:lang w:val="zh-CN"/>
        </w:rPr>
        <w:t xml:space="preserve">%</w:t>
      </w:r>
      <w:r>
        <w:rPr>
          <w:rFonts w:hint="default" w:ascii="宋体" w:hAnsi="宋体" w:eastAsia="宋体" w:cs="宋体"/>
          <w:color w:val="auto"/>
          <w:sz w:val="24"/>
          <w:highlight w:val="none"/>
          <w:lang w:val="zh-CN"/>
        </w:rPr>
        <w:t xml:space="preserve">；</w:t>
      </w:r>
      <w:r/>
    </w:p>
    <w:p>
      <w:pPr>
        <w:ind w:firstLine="480"/>
        <w:spacing w:line="360" w:lineRule="auto"/>
        <w:tabs>
          <w:tab w:val="left" w:pos="753" w:leader="none"/>
        </w:tabs>
        <w:rPr>
          <w:rFonts w:hint="default"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val="zh-CN"/>
        </w:rPr>
        <w:t xml:space="preserve">2</w:t>
      </w:r>
      <w:r>
        <w:rPr>
          <w:rFonts w:hint="default" w:ascii="宋体" w:hAnsi="宋体" w:eastAsia="宋体" w:cs="宋体"/>
          <w:color w:val="auto"/>
          <w:sz w:val="24"/>
          <w:highlight w:val="none"/>
          <w:lang w:val="zh-CN"/>
        </w:rPr>
        <w:t xml:space="preserve">投标（响应）报价低于通过符合性审查的次低报价供应商投标（响应）报价</w:t>
      </w:r>
      <w:r>
        <w:rPr>
          <w:rFonts w:hint="eastAsia" w:ascii="宋体" w:hAnsi="宋体" w:cs="宋体"/>
          <w:color w:val="auto"/>
          <w:sz w:val="24"/>
          <w:highlight w:val="none"/>
          <w:lang w:val="en-US" w:eastAsia="zh-CN"/>
        </w:rPr>
        <w:t xml:space="preserve">65%</w:t>
      </w:r>
      <w:r>
        <w:rPr>
          <w:rFonts w:hint="default" w:ascii="宋体" w:hAnsi="宋体" w:eastAsia="宋体" w:cs="宋体"/>
          <w:color w:val="auto"/>
          <w:sz w:val="24"/>
          <w:highlight w:val="none"/>
          <w:lang w:val="zh-CN"/>
        </w:rPr>
        <w:t xml:space="preserve">的，即投标（响应）报价</w:t>
      </w:r>
      <w:r>
        <w:rPr>
          <w:rFonts w:hint="eastAsia" w:ascii="宋体" w:hAnsi="宋体" w:eastAsia="宋体" w:cs="宋体"/>
          <w:color w:val="auto"/>
          <w:sz w:val="24"/>
          <w:highlight w:val="none"/>
          <w:lang w:val="zh-CN"/>
        </w:rPr>
        <w:t xml:space="preserve">&lt;</w:t>
      </w:r>
      <w:r>
        <w:rPr>
          <w:rFonts w:hint="default" w:ascii="宋体" w:hAnsi="宋体" w:eastAsia="宋体" w:cs="宋体"/>
          <w:color w:val="auto"/>
          <w:sz w:val="24"/>
          <w:highlight w:val="none"/>
          <w:lang w:val="zh-CN"/>
        </w:rPr>
        <w:t xml:space="preserve">通过符合性审查的次低报价供应商投标（响应）报价</w:t>
      </w:r>
      <w:r>
        <w:rPr>
          <w:rFonts w:hint="eastAsia" w:ascii="宋体" w:hAnsi="宋体" w:eastAsia="宋体" w:cs="宋体"/>
          <w:color w:val="auto"/>
          <w:sz w:val="24"/>
          <w:highlight w:val="none"/>
          <w:lang w:val="zh-CN"/>
        </w:rPr>
        <w:t xml:space="preserve">×</w:t>
      </w:r>
      <w:r>
        <w:rPr>
          <w:rFonts w:hint="eastAsia" w:ascii="宋体" w:hAnsi="宋体" w:cs="宋体"/>
          <w:color w:val="auto"/>
          <w:sz w:val="24"/>
          <w:highlight w:val="none"/>
          <w:lang w:val="en-US" w:eastAsia="zh-CN"/>
        </w:rPr>
        <w:t xml:space="preserve">65</w:t>
      </w:r>
      <w:r>
        <w:rPr>
          <w:rFonts w:hint="eastAsia" w:ascii="宋体" w:hAnsi="宋体" w:eastAsia="宋体" w:cs="宋体"/>
          <w:color w:val="auto"/>
          <w:sz w:val="24"/>
          <w:highlight w:val="none"/>
          <w:lang w:val="zh-CN"/>
        </w:rPr>
        <w:t xml:space="preserve">%</w:t>
      </w:r>
      <w:r>
        <w:rPr>
          <w:rFonts w:hint="default" w:ascii="宋体" w:hAnsi="宋体" w:eastAsia="宋体" w:cs="宋体"/>
          <w:color w:val="auto"/>
          <w:sz w:val="24"/>
          <w:highlight w:val="none"/>
          <w:lang w:val="zh-CN"/>
        </w:rPr>
        <w:t xml:space="preserve">；</w:t>
      </w:r>
      <w:r/>
    </w:p>
    <w:p>
      <w:pPr>
        <w:ind w:firstLine="480"/>
        <w:spacing w:line="360" w:lineRule="auto"/>
        <w:tabs>
          <w:tab w:val="left" w:pos="753" w:leader="none"/>
        </w:tabs>
        <w:rPr>
          <w:rFonts w:hint="default"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val="zh-CN"/>
        </w:rPr>
        <w:t xml:space="preserve">3</w:t>
      </w:r>
      <w:r>
        <w:rPr>
          <w:rFonts w:hint="default" w:ascii="宋体" w:hAnsi="宋体" w:eastAsia="宋体" w:cs="宋体"/>
          <w:color w:val="auto"/>
          <w:sz w:val="24"/>
          <w:highlight w:val="none"/>
          <w:lang w:val="zh-CN"/>
        </w:rPr>
        <w:t xml:space="preserve">投标（响应）报价低于采购项目最高限价</w:t>
      </w:r>
      <w:r>
        <w:rPr>
          <w:rFonts w:hint="eastAsia" w:ascii="宋体" w:hAnsi="宋体" w:cs="宋体"/>
          <w:color w:val="auto"/>
          <w:sz w:val="24"/>
          <w:highlight w:val="none"/>
          <w:lang w:val="en-US" w:eastAsia="zh-CN"/>
        </w:rPr>
        <w:t xml:space="preserve">65</w:t>
      </w:r>
      <w:r>
        <w:rPr>
          <w:rFonts w:hint="eastAsia" w:ascii="宋体" w:hAnsi="宋体" w:eastAsia="宋体" w:cs="宋体"/>
          <w:color w:val="auto"/>
          <w:sz w:val="24"/>
          <w:highlight w:val="none"/>
          <w:lang w:val="zh-CN"/>
        </w:rPr>
        <w:t xml:space="preserve">%</w:t>
      </w:r>
      <w:r>
        <w:rPr>
          <w:rFonts w:hint="default" w:ascii="宋体" w:hAnsi="宋体" w:eastAsia="宋体" w:cs="宋体"/>
          <w:color w:val="auto"/>
          <w:sz w:val="24"/>
          <w:highlight w:val="none"/>
          <w:lang w:val="zh-CN"/>
        </w:rPr>
        <w:t xml:space="preserve">的，即投标（响应）报价</w:t>
      </w:r>
      <w:r>
        <w:rPr>
          <w:rFonts w:hint="eastAsia" w:ascii="宋体" w:hAnsi="宋体" w:eastAsia="宋体" w:cs="宋体"/>
          <w:color w:val="auto"/>
          <w:sz w:val="24"/>
          <w:highlight w:val="none"/>
          <w:lang w:val="zh-CN"/>
        </w:rPr>
        <w:t xml:space="preserve">&lt;</w:t>
      </w:r>
      <w:r>
        <w:rPr>
          <w:rFonts w:hint="default" w:ascii="宋体" w:hAnsi="宋体" w:eastAsia="宋体" w:cs="宋体"/>
          <w:color w:val="auto"/>
          <w:sz w:val="24"/>
          <w:highlight w:val="none"/>
          <w:lang w:val="zh-CN"/>
        </w:rPr>
        <w:t xml:space="preserve">采购项目最高限价</w:t>
      </w:r>
      <w:r>
        <w:rPr>
          <w:rFonts w:hint="eastAsia" w:ascii="宋体" w:hAnsi="宋体" w:eastAsia="宋体" w:cs="宋体"/>
          <w:color w:val="auto"/>
          <w:sz w:val="24"/>
          <w:highlight w:val="none"/>
          <w:lang w:val="zh-CN"/>
        </w:rPr>
        <w:t xml:space="preserve">×</w:t>
      </w:r>
      <w:r>
        <w:rPr>
          <w:rFonts w:hint="eastAsia" w:ascii="宋体" w:hAnsi="宋体" w:cs="宋体"/>
          <w:color w:val="auto"/>
          <w:sz w:val="24"/>
          <w:highlight w:val="none"/>
          <w:lang w:val="en-US" w:eastAsia="zh-CN"/>
        </w:rPr>
        <w:t xml:space="preserve">65</w:t>
      </w:r>
      <w:r>
        <w:rPr>
          <w:rFonts w:hint="eastAsia" w:ascii="宋体" w:hAnsi="宋体" w:eastAsia="宋体" w:cs="宋体"/>
          <w:color w:val="auto"/>
          <w:sz w:val="24"/>
          <w:highlight w:val="none"/>
          <w:lang w:val="zh-CN"/>
        </w:rPr>
        <w:t xml:space="preserve">%</w:t>
      </w:r>
      <w:r>
        <w:rPr>
          <w:rFonts w:hint="default" w:ascii="宋体" w:hAnsi="宋体" w:eastAsia="宋体" w:cs="宋体"/>
          <w:color w:val="auto"/>
          <w:sz w:val="24"/>
          <w:highlight w:val="none"/>
          <w:lang w:val="zh-CN"/>
        </w:rPr>
        <w:t xml:space="preserve">；</w:t>
      </w:r>
      <w:r/>
    </w:p>
    <w:p>
      <w:pPr>
        <w:ind w:firstLine="480"/>
        <w:spacing w:line="360" w:lineRule="auto"/>
        <w:tabs>
          <w:tab w:val="left" w:pos="753" w:leader="none"/>
        </w:tabs>
        <w:rPr>
          <w:rFonts w:hint="default"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val="zh-CN"/>
        </w:rPr>
        <w:t xml:space="preserve">4</w:t>
      </w:r>
      <w:r>
        <w:rPr>
          <w:rFonts w:hint="default" w:ascii="宋体" w:hAnsi="宋体" w:eastAsia="宋体" w:cs="宋体"/>
          <w:color w:val="auto"/>
          <w:sz w:val="24"/>
          <w:highlight w:val="none"/>
          <w:lang w:val="zh-CN"/>
        </w:rPr>
        <w:t xml:space="preserve">评审委员会基于专业判断，认为供应商报价过低，有可能影响产品质量或者不能诚信履约的其他情形。</w:t>
      </w:r>
      <w:r/>
    </w:p>
    <w:p>
      <w:pPr>
        <w:ind w:firstLine="480"/>
        <w:spacing w:line="360" w:lineRule="auto"/>
        <w:tabs>
          <w:tab w:val="left" w:pos="753" w:leader="none"/>
        </w:tabs>
        <w:rPr>
          <w:rFonts w:hint="default" w:ascii="宋体" w:hAnsi="宋体" w:eastAsia="宋体" w:cs="宋体"/>
          <w:color w:val="auto"/>
          <w:sz w:val="24"/>
          <w:highlight w:val="none"/>
          <w:lang w:val="zh-CN"/>
        </w:rPr>
      </w:pPr>
      <w:r>
        <w:rPr>
          <w:rFonts w:hint="default" w:ascii="宋体" w:hAnsi="宋体" w:eastAsia="宋体" w:cs="宋体"/>
          <w:color w:val="auto"/>
          <w:sz w:val="24"/>
          <w:highlight w:val="none"/>
          <w:lang w:val="zh-CN"/>
        </w:rPr>
        <w:t xml:space="preserve">相关法律法规对供应商报价有规定的，从其规定。</w:t>
      </w:r>
      <w:r/>
    </w:p>
    <w:p>
      <w:pPr>
        <w:ind w:firstLine="480"/>
        <w:spacing w:line="360" w:lineRule="auto"/>
        <w:tabs>
          <w:tab w:val="left" w:pos="753"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7.5</w:t>
      </w:r>
      <w:r>
        <w:rPr>
          <w:rFonts w:hint="eastAsia" w:ascii="宋体" w:hAnsi="宋体" w:eastAsia="宋体" w:cs="宋体"/>
          <w:color w:val="auto"/>
          <w:sz w:val="24"/>
          <w:highlight w:val="none"/>
          <w:lang w:val="zh-CN"/>
        </w:rPr>
        <w:t xml:space="preserve">评审委员会启动异常低价投标（响应）审查后，属于前述第</w:t>
      </w:r>
      <w:r>
        <w:rPr>
          <w:rFonts w:hint="default" w:ascii="宋体" w:hAnsi="宋体" w:eastAsia="宋体" w:cs="宋体"/>
          <w:color w:val="auto"/>
          <w:sz w:val="24"/>
          <w:highlight w:val="none"/>
          <w:lang w:val="zh-CN"/>
        </w:rPr>
        <w:t xml:space="preserve">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tabs>
          <w:tab w:val="left" w:pos="753" w:leader="none"/>
        </w:tabs>
        <w:rPr>
          <w:rFonts w:hint="eastAsia" w:ascii="宋体" w:hAnsi="宋体" w:eastAsia="宋体" w:cs="宋体"/>
          <w:color w:val="auto"/>
          <w:sz w:val="24"/>
          <w:highlight w:val="none"/>
          <w:lang w:val="en-US" w:eastAsia="zh-CN"/>
        </w:rPr>
      </w:pPr>
      <w:r>
        <w:rPr>
          <w:rFonts w:hint="default" w:ascii="宋体" w:hAnsi="宋体" w:eastAsia="宋体" w:cs="宋体"/>
          <w:color w:val="auto"/>
          <w:sz w:val="24"/>
          <w:highlight w:val="none"/>
          <w:lang w:val="zh-CN"/>
        </w:rPr>
        <w:t xml:space="preserve">评审委员会依据专业经验，参考同类项目中标（成交）价格、类似产品市场价格水平、行业人工费用标准、国家有关部门指导行业</w:t>
      </w:r>
      <w:r>
        <w:rPr>
          <w:rFonts w:hint="default" w:ascii="宋体" w:hAnsi="宋体" w:eastAsia="宋体" w:cs="宋体"/>
          <w:color w:val="auto"/>
          <w:sz w:val="24"/>
          <w:highlight w:val="none"/>
        </w:rPr>
        <w:t xml:space="preserve">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tabs>
          <w:tab w:val="left" w:pos="753" w:leader="none"/>
        </w:tabs>
        <w:rPr>
          <w:rFonts w:ascii="宋体" w:hAnsi="宋体" w:cs="宋体"/>
          <w:color w:val="auto"/>
          <w:sz w:val="24"/>
          <w:highlight w:val="none"/>
        </w:rPr>
      </w:pPr>
      <w:r>
        <w:rPr>
          <w:rFonts w:hint="eastAsia" w:ascii="宋体" w:hAnsi="宋体" w:eastAsia="宋体" w:cs="宋体"/>
          <w:color w:val="auto"/>
          <w:sz w:val="24"/>
          <w:highlight w:val="none"/>
        </w:rPr>
        <w:t xml:space="preserve">8.在磋商过程中，磋商小组可以根据采购文件和磋商情况实质性变动采购需求中的技术、服务要求以及合同草</w:t>
      </w:r>
      <w:r>
        <w:rPr>
          <w:rFonts w:hint="eastAsia" w:ascii="宋体" w:hAnsi="宋体" w:cs="宋体"/>
          <w:color w:val="auto"/>
          <w:sz w:val="24"/>
          <w:highlight w:val="none"/>
        </w:rPr>
        <w:t xml:space="preserve">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spacing w:line="360" w:lineRule="auto"/>
        <w:tabs>
          <w:tab w:val="left" w:pos="753" w:leader="none"/>
        </w:tabs>
        <w:rPr>
          <w:rFonts w:ascii="宋体" w:hAnsi="宋体" w:cs="宋体"/>
          <w:color w:val="auto"/>
          <w:sz w:val="24"/>
          <w:highlight w:val="none"/>
        </w:rPr>
      </w:pPr>
      <w:r>
        <w:rPr>
          <w:rFonts w:hint="eastAsia" w:ascii="宋体" w:hAnsi="宋体" w:cs="宋体"/>
          <w:color w:val="auto"/>
          <w:sz w:val="24"/>
          <w:highlight w:val="none"/>
        </w:rPr>
        <w:t xml:space="preserve">9.供应商应当按照采购文件的变动情况和磋商小组的要求，各供应商应及时关注【评审】环节等待询标澄清进行回复。</w:t>
      </w:r>
      <w:r/>
    </w:p>
    <w:p>
      <w:pPr>
        <w:ind w:firstLine="480"/>
        <w:spacing w:line="360" w:lineRule="auto"/>
        <w:tabs>
          <w:tab w:val="left" w:pos="753" w:leader="none"/>
        </w:tabs>
        <w:rPr>
          <w:rFonts w:ascii="宋体" w:hAnsi="宋体" w:cs="宋体"/>
          <w:color w:val="auto"/>
          <w:sz w:val="24"/>
          <w:highlight w:val="none"/>
        </w:rPr>
      </w:pPr>
      <w:r>
        <w:rPr>
          <w:rFonts w:hint="eastAsia" w:ascii="宋体" w:hAnsi="宋体" w:cs="宋体"/>
          <w:color w:val="auto"/>
          <w:sz w:val="24"/>
          <w:highlight w:val="none"/>
        </w:rPr>
        <w:t xml:space="preserve">10.磋商结束后，</w:t>
      </w:r>
      <w:r>
        <w:rPr>
          <w:rFonts w:hint="eastAsia" w:ascii="宋体" w:hAnsi="宋体" w:cs="宋体"/>
          <w:b/>
          <w:bCs/>
          <w:color w:val="auto"/>
          <w:sz w:val="24"/>
          <w:highlight w:val="none"/>
        </w:rPr>
        <w:t xml:space="preserve">磋商小组将在“苏采云”系统向所有实质性响应的供应商发布“最后报价要求函”及最后报价格式表，要求所有实质性响应的供应商在规定时间内提交最后报价。</w:t>
      </w:r>
      <w:r/>
    </w:p>
    <w:p>
      <w:pPr>
        <w:ind w:firstLine="480"/>
        <w:spacing w:line="360" w:lineRule="auto"/>
        <w:tabs>
          <w:tab w:val="left" w:pos="753" w:leader="none"/>
        </w:tabs>
        <w:rPr>
          <w:rFonts w:ascii="宋体" w:hAnsi="宋体" w:cs="宋体"/>
          <w:color w:val="auto"/>
          <w:sz w:val="24"/>
          <w:highlight w:val="none"/>
        </w:rPr>
      </w:pPr>
      <w:r>
        <w:rPr>
          <w:rFonts w:hint="eastAsia" w:ascii="宋体" w:hAnsi="宋体" w:cs="宋体"/>
          <w:color w:val="auto"/>
          <w:sz w:val="24"/>
          <w:highlight w:val="none"/>
        </w:rPr>
        <w:t xml:space="preserve">11.经磋商确定最终采购需求和提交最后报价的供应商后，由磋商小组采用综合评分法对提交最后报价的供应商的响应文件和最后报价进行综合评分。</w:t>
      </w:r>
      <w:r/>
    </w:p>
    <w:p>
      <w:pPr>
        <w:ind w:firstLine="480"/>
        <w:spacing w:line="360" w:lineRule="auto"/>
        <w:tabs>
          <w:tab w:val="left" w:pos="753" w:leader="none"/>
        </w:tabs>
        <w:rPr>
          <w:rFonts w:ascii="宋体" w:hAnsi="宋体" w:cs="宋体"/>
          <w:color w:val="auto"/>
          <w:sz w:val="24"/>
          <w:highlight w:val="none"/>
        </w:rPr>
      </w:pPr>
      <w:r>
        <w:rPr>
          <w:rFonts w:hint="eastAsia" w:ascii="宋体" w:hAnsi="宋体" w:cs="宋体"/>
          <w:color w:val="auto"/>
          <w:sz w:val="24"/>
          <w:highlight w:val="none"/>
        </w:rPr>
        <w:t xml:space="preserve">12.磋商小组根据磋商成交原则确定成交供应商，并将结果通知所有参加磋商的供应商。</w:t>
      </w:r>
      <w:r/>
    </w:p>
    <w:p>
      <w:pPr>
        <w:ind w:firstLine="480"/>
        <w:spacing w:line="360" w:lineRule="auto"/>
        <w:tabs>
          <w:tab w:val="left" w:pos="753" w:leader="none"/>
        </w:tabs>
        <w:rPr>
          <w:rFonts w:ascii="宋体" w:hAnsi="宋体" w:cs="宋体"/>
          <w:color w:val="auto"/>
          <w:sz w:val="24"/>
          <w:highlight w:val="none"/>
        </w:rPr>
      </w:pPr>
      <w:r>
        <w:rPr>
          <w:rFonts w:hint="eastAsia" w:ascii="宋体" w:hAnsi="宋体" w:cs="宋体"/>
          <w:color w:val="auto"/>
          <w:sz w:val="24"/>
          <w:highlight w:val="none"/>
        </w:rPr>
        <w:t xml:space="preserve">13.如磋商过程中出现本采购文件未尽事宜，由磋商小组根据政府采购有关法律、法规讨论决定。</w:t>
      </w:r>
      <w:r/>
    </w:p>
    <w:p>
      <w:pPr>
        <w:ind w:firstLine="480"/>
        <w:spacing w:line="360" w:lineRule="auto"/>
        <w:tabs>
          <w:tab w:val="left" w:pos="753" w:leader="none"/>
        </w:tabs>
        <w:rPr>
          <w:rFonts w:ascii="宋体" w:hAnsi="宋体" w:cs="宋体"/>
          <w:color w:val="auto"/>
          <w:sz w:val="24"/>
          <w:highlight w:val="none"/>
        </w:rPr>
      </w:pPr>
      <w:r>
        <w:rPr>
          <w:rFonts w:hint="eastAsia" w:ascii="宋体" w:hAnsi="宋体" w:cs="宋体"/>
          <w:color w:val="auto"/>
          <w:sz w:val="24"/>
          <w:highlight w:val="none"/>
          <w:lang w:bidi="ar"/>
        </w:rPr>
        <w:t xml:space="preserve">14.</w:t>
      </w:r>
      <w:r>
        <w:rPr>
          <w:rFonts w:hint="eastAsia" w:ascii="宋体" w:hAnsi="宋体" w:cs="宋体"/>
          <w:color w:val="auto"/>
          <w:sz w:val="24"/>
          <w:highlight w:val="none"/>
        </w:rPr>
        <w:t xml:space="preserve">本项目采用线上二次报价：</w:t>
      </w:r>
      <w:r/>
    </w:p>
    <w:p>
      <w:pPr>
        <w:ind w:firstLine="480"/>
        <w:spacing w:line="360" w:lineRule="auto"/>
        <w:tabs>
          <w:tab w:val="left" w:pos="753" w:leader="none"/>
        </w:tabs>
        <w:rPr>
          <w:rFonts w:ascii="宋体" w:hAnsi="宋体" w:cs="宋体"/>
          <w:color w:val="auto"/>
          <w:sz w:val="24"/>
          <w:highlight w:val="none"/>
        </w:rPr>
      </w:pPr>
      <w:r>
        <w:rPr>
          <w:rFonts w:hint="eastAsia" w:ascii="宋体" w:hAnsi="宋体" w:cs="宋体"/>
          <w:color w:val="auto"/>
          <w:sz w:val="24"/>
          <w:highlight w:val="none"/>
        </w:rPr>
        <w:t xml:space="preserve">登录苏采云系统，评审组长发起最后报价，开标大厅会显示“立即报价”界面，点击【确认报价】提交流程至签</w:t>
      </w:r>
      <w:r>
        <w:rPr>
          <w:rFonts w:hint="eastAsia" w:ascii="宋体" w:hAnsi="宋体" w:cs="宋体"/>
          <w:bCs/>
          <w:color w:val="auto"/>
          <w:sz w:val="24"/>
          <w:highlight w:val="none"/>
        </w:rPr>
        <w:t xml:space="preserve">章环节，供应商点击签章按钮，签章完成后可进行提交。</w:t>
      </w:r>
      <w:r>
        <w:rPr>
          <w:rFonts w:hint="eastAsia" w:ascii="宋体" w:hAnsi="宋体" w:cs="宋体"/>
          <w:b/>
          <w:color w:val="auto"/>
          <w:sz w:val="24"/>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w:t>
      </w:r>
      <w:r/>
    </w:p>
    <w:p>
      <w:pPr>
        <w:ind w:firstLine="408"/>
        <w:spacing w:line="360" w:lineRule="auto"/>
        <w:rPr>
          <w:rFonts w:ascii="宋体" w:hAnsi="宋体" w:cs="宋体"/>
          <w:b/>
          <w:color w:val="auto"/>
          <w:sz w:val="24"/>
          <w:highlight w:val="none"/>
        </w:rPr>
      </w:pPr>
      <w:r>
        <w:rPr>
          <w:rFonts w:hint="eastAsia" w:ascii="宋体" w:hAnsi="宋体" w:cs="宋体"/>
          <w:b/>
          <w:bCs/>
          <w:color w:val="auto"/>
          <w:sz w:val="24"/>
          <w:highlight w:val="none"/>
        </w:rPr>
        <w:t xml:space="preserve">进入项目评审流程后，建议各供应商法定代表人或授权委托人始终保持通讯顺畅，时</w:t>
      </w:r>
      <w:r>
        <w:rPr>
          <w:rFonts w:hint="eastAsia" w:ascii="宋体" w:hAnsi="宋体" w:cs="宋体"/>
          <w:b/>
          <w:color w:val="auto"/>
          <w:sz w:val="24"/>
          <w:highlight w:val="none"/>
        </w:rPr>
        <w:t xml:space="preserve">刻关注不见面开标大厅，不离开不见面开标大厅。</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lang w:bidi="ar"/>
        </w:rPr>
        <w:t xml:space="preserve">关于二次报价的具体操作流程，各供应商请详细阅读《操作手册》。</w:t>
      </w:r>
      <w:r/>
    </w:p>
    <w:p>
      <w:pPr>
        <w:pStyle w:val="1121"/>
        <w:ind w:firstLine="482"/>
        <w:spacing w:beforeAutospacing="0" w:afterAutospacing="0" w:line="360" w:lineRule="auto"/>
        <w:rPr>
          <w:rFonts w:ascii="宋体" w:hAnsi="宋体" w:cs="宋体"/>
          <w:b/>
          <w:color w:val="auto"/>
          <w:highlight w:val="none"/>
        </w:rPr>
      </w:pPr>
      <w:r>
        <w:rPr>
          <w:rFonts w:hint="eastAsia" w:ascii="宋体" w:hAnsi="宋体" w:cs="宋体"/>
          <w:b/>
          <w:color w:val="auto"/>
          <w:highlight w:val="none"/>
          <w:lang w:bidi="ar"/>
        </w:rPr>
        <w:t xml:space="preserve">四、综合说明</w:t>
      </w:r>
      <w:r/>
    </w:p>
    <w:p>
      <w:pPr>
        <w:pStyle w:val="1121"/>
        <w:ind w:firstLine="480"/>
        <w:spacing w:beforeAutospacing="0" w:afterAutospacing="0" w:line="360" w:lineRule="auto"/>
        <w:rPr>
          <w:rFonts w:ascii="宋体" w:hAnsi="宋体" w:cs="宋体"/>
          <w:color w:val="auto"/>
          <w:highlight w:val="none"/>
          <w:lang w:bidi="ar"/>
        </w:rPr>
      </w:pPr>
      <w:r>
        <w:rPr>
          <w:rFonts w:hint="eastAsia" w:ascii="宋体" w:hAnsi="宋体" w:cs="宋体"/>
          <w:color w:val="auto"/>
          <w:highlight w:val="none"/>
          <w:lang w:bidi="ar"/>
        </w:rPr>
        <w:t xml:space="preserve">1.供应商必须说明其是否响应采购文件中提出的全部服务内容与要求，如果以其中某些条款不响应时，应在文件中逐条列出，未列出的视同响应。</w:t>
      </w:r>
      <w:r/>
    </w:p>
    <w:p>
      <w:pPr>
        <w:pStyle w:val="1121"/>
        <w:ind w:firstLine="480"/>
        <w:spacing w:beforeAutospacing="0" w:afterAutospacing="0" w:line="360" w:lineRule="auto"/>
        <w:rPr>
          <w:rFonts w:ascii="宋体" w:hAnsi="宋体" w:cs="宋体"/>
          <w:color w:val="auto"/>
          <w:highlight w:val="none"/>
          <w:lang w:bidi="ar"/>
        </w:rPr>
      </w:pPr>
      <w:r>
        <w:rPr>
          <w:rFonts w:hint="eastAsia" w:ascii="宋体" w:hAnsi="宋体" w:cs="宋体"/>
          <w:color w:val="auto"/>
          <w:highlight w:val="none"/>
          <w:lang w:bidi="ar"/>
        </w:rPr>
        <w:t xml:space="preserve">2.本采购标的对应的中小企业划分标准所属行业为：其他未列明行业。</w:t>
      </w:r>
      <w:r/>
    </w:p>
    <w:p>
      <w:pPr>
        <w:ind w:firstLine="480"/>
        <w:jc w:val="left"/>
        <w:spacing w:line="360" w:lineRule="auto"/>
        <w:rPr>
          <w:rFonts w:ascii="宋体" w:hAnsi="宋体"/>
          <w:color w:val="auto"/>
          <w:sz w:val="24"/>
          <w:highlight w:val="none"/>
        </w:rPr>
      </w:pPr>
      <w:r>
        <w:rPr>
          <w:rFonts w:hint="eastAsia" w:ascii="宋体" w:hAnsi="宋体" w:cs="宋体"/>
          <w:color w:val="auto"/>
          <w:sz w:val="24"/>
          <w:highlight w:val="none"/>
          <w:lang w:bidi="ar"/>
        </w:rPr>
        <w:t xml:space="preserve">3.本项目履约验收按以下标准实施：</w:t>
      </w:r>
      <w:r>
        <w:rPr>
          <w:rFonts w:hint="eastAsia" w:ascii="宋体" w:hAnsi="宋体"/>
          <w:color w:val="auto"/>
          <w:sz w:val="24"/>
          <w:highlight w:val="none"/>
        </w:rPr>
        <w:t xml:space="preserve">按照国家相关标准进行验收。</w:t>
      </w:r>
      <w:r/>
    </w:p>
    <w:p>
      <w:pPr>
        <w:pStyle w:val="1121"/>
        <w:ind w:firstLine="480"/>
        <w:spacing w:beforeAutospacing="0" w:afterAutospacing="0" w:line="360" w:lineRule="auto"/>
        <w:rPr>
          <w:rFonts w:ascii="宋体" w:hAnsi="宋体" w:cs="宋体"/>
          <w:color w:val="auto"/>
          <w:highlight w:val="none"/>
          <w:lang w:bidi="ar"/>
        </w:rPr>
      </w:pPr>
      <w:r>
        <w:rPr>
          <w:rFonts w:hint="eastAsia" w:ascii="宋体" w:hAnsi="宋体" w:cs="宋体"/>
          <w:color w:val="auto"/>
          <w:highlight w:val="none"/>
          <w:lang w:bidi="ar"/>
        </w:rPr>
        <w:t xml:space="preserve">4.履约保证金：无。</w:t>
      </w:r>
      <w:r/>
    </w:p>
    <w:p>
      <w:pPr>
        <w:pStyle w:val="1121"/>
        <w:ind w:firstLine="480"/>
        <w:spacing w:beforeAutospacing="0" w:afterAutospacing="0" w:line="360" w:lineRule="auto"/>
        <w:rPr>
          <w:rFonts w:ascii="宋体" w:hAnsi="宋体" w:cs="宋体"/>
          <w:color w:val="auto"/>
          <w:highlight w:val="none"/>
          <w:lang w:bidi="ar"/>
        </w:rPr>
      </w:pPr>
      <w:r>
        <w:rPr>
          <w:rFonts w:hint="eastAsia" w:ascii="宋体" w:hAnsi="宋体" w:cs="宋体"/>
          <w:color w:val="auto"/>
          <w:highlight w:val="none"/>
          <w:lang w:bidi="ar"/>
        </w:rPr>
        <w:t xml:space="preserve">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hint="eastAsia" w:ascii="宋体" w:hAnsi="宋体" w:cs="宋体"/>
          <w:b/>
          <w:bCs/>
          <w:color w:val="auto"/>
          <w:highlight w:val="none"/>
          <w:lang w:bidi="ar"/>
        </w:rPr>
        <w:t xml:space="preserve">本项目采购人未要求收取履约保证金</w:t>
      </w:r>
      <w:r>
        <w:rPr>
          <w:rFonts w:hint="eastAsia" w:ascii="宋体" w:hAnsi="宋体" w:cs="宋体"/>
          <w:color w:val="auto"/>
          <w:highlight w:val="none"/>
          <w:lang w:bidi="ar"/>
        </w:rPr>
        <w:t xml:space="preserve">。</w:t>
      </w:r>
      <w:r/>
    </w:p>
    <w:p>
      <w:pPr>
        <w:pStyle w:val="1121"/>
        <w:ind w:firstLine="480"/>
        <w:spacing w:beforeAutospacing="0" w:afterAutospacing="0" w:line="360" w:lineRule="auto"/>
        <w:rPr>
          <w:rFonts w:ascii="宋体" w:hAnsi="宋体" w:cs="宋体"/>
          <w:color w:val="auto"/>
          <w:sz w:val="24"/>
          <w:szCs w:val="24"/>
          <w:highlight w:val="none"/>
        </w:rPr>
      </w:pPr>
      <w:r>
        <w:rPr>
          <w:rFonts w:hint="eastAsia" w:ascii="宋体" w:hAnsi="宋体" w:cs="宋体"/>
          <w:color w:val="auto"/>
          <w:highlight w:val="none"/>
          <w:lang w:bidi="ar"/>
        </w:rPr>
        <w:t xml:space="preserve">5.成交服务费：根据苏财购告【2016】31号文件的规定收取成交服务费，成交供应商于领取成交通</w:t>
      </w:r>
      <w:r>
        <w:rPr>
          <w:rFonts w:hint="eastAsia" w:ascii="宋体" w:hAnsi="宋体" w:cs="宋体"/>
          <w:color w:val="auto"/>
          <w:sz w:val="24"/>
          <w:szCs w:val="24"/>
          <w:highlight w:val="none"/>
          <w:lang w:bidi="ar"/>
        </w:rPr>
        <w:t xml:space="preserve">知书时向招标代理机构一次付清。其收取标准按预算金额100万元及以下费率为预算金额的1.5%，预算金</w:t>
      </w:r>
      <w:r>
        <w:rPr>
          <w:rFonts w:hint="eastAsia" w:ascii="宋体" w:hAnsi="宋体" w:cs="宋体"/>
          <w:color w:val="auto"/>
          <w:sz w:val="24"/>
          <w:szCs w:val="24"/>
          <w:highlight w:val="none"/>
          <w:lang w:bidi="ar"/>
        </w:rPr>
        <w:t xml:space="preserve">额100万元-500万费率为预算金额的1.1%，差额累计进行计算。本项目服务费为：</w:t>
      </w:r>
      <w:r>
        <w:rPr>
          <w:rFonts w:ascii="SimSun" w:hAnsi="SimSun" w:eastAsia="SimSun" w:cs="SimSun"/>
          <w:color w:val="000000"/>
          <w:sz w:val="24"/>
          <w:szCs w:val="24"/>
        </w:rPr>
        <w:t xml:space="preserve">标段一：4500.00元，标段二：4500.00元，标段三3750.00元，标段四3750.00元</w:t>
      </w:r>
      <w:r>
        <w:rPr>
          <w:rFonts w:hint="eastAsia" w:ascii="宋体" w:hAnsi="宋体" w:cs="宋体"/>
          <w:color w:val="auto"/>
          <w:sz w:val="24"/>
          <w:szCs w:val="24"/>
          <w:highlight w:val="none"/>
          <w:lang w:bidi="ar"/>
        </w:rPr>
        <w:t xml:space="preserve">。</w:t>
      </w:r>
      <w:r>
        <w:rPr>
          <w:sz w:val="24"/>
          <w:szCs w:val="24"/>
        </w:rPr>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6.磋商说明：</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（1）不符合供应商资格要求，资格审查未通过的，响应无效；</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（2）参加磋商的供应商必须提供磋商代表的身份证明原件扫描件和法人授权委托书原件扫描件（法定代表人为磋商代表的可不提供），否则响应无效；</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（3）最终报价超过采购预算的，响应无效；</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（4）不实质性响应磋商文件的，响应无效；</w:t>
      </w:r>
      <w:r/>
    </w:p>
    <w:p>
      <w:pPr>
        <w:ind w:firstLine="480"/>
        <w:jc w:val="left"/>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（5）实质性响应磋商文件不满三家或进入二次报价的不满三家或二次报价在采购预算内不满三家的，磋商采购失败。</w:t>
      </w:r>
      <w:r/>
    </w:p>
    <w:p>
      <w:pPr>
        <w:ind w:firstLine="480"/>
        <w:jc w:val="left"/>
        <w:spacing w:line="360" w:lineRule="auto"/>
        <w:rPr>
          <w:rFonts w:ascii="宋体" w:hAnsi="宋体" w:cs="宋体"/>
          <w:bCs/>
          <w:color w:val="auto"/>
          <w:sz w:val="24"/>
          <w:szCs w:val="22"/>
          <w:highlight w:val="none"/>
          <w:lang w:bidi="ar"/>
        </w:rPr>
      </w:pPr>
      <w:r>
        <w:rPr>
          <w:rFonts w:hint="eastAsia" w:ascii="宋体" w:hAnsi="宋体" w:cs="宋体"/>
          <w:bCs/>
          <w:color w:val="auto"/>
          <w:sz w:val="24"/>
          <w:szCs w:val="22"/>
          <w:highlight w:val="none"/>
          <w:lang w:bidi="ar"/>
        </w:rPr>
        <w:t xml:space="preserve">（6）响应文件密封和签署不符合要求的，响应文件将被拒绝；</w:t>
      </w:r>
      <w:r/>
    </w:p>
    <w:p>
      <w:pPr>
        <w:pStyle w:val="1119"/>
        <w:spacing w:line="360" w:lineRule="auto"/>
        <w:rPr>
          <w:rFonts w:ascii="宋体" w:hAnsi="宋体" w:cs="宋体"/>
          <w:color w:val="auto"/>
          <w:highlight w:val="none"/>
        </w:rPr>
      </w:pPr>
      <w:r>
        <w:rPr>
          <w:rFonts w:hint="eastAsia" w:ascii="宋体" w:hAnsi="宋体" w:cs="宋体"/>
          <w:color w:val="auto"/>
          <w:highlight w:val="none"/>
        </w:rPr>
        <w:t xml:space="preserve">（7）</w:t>
      </w:r>
      <w:r>
        <w:rPr>
          <w:rFonts w:hint="eastAsia" w:ascii="宋体" w:hAnsi="宋体" w:cs="宋体"/>
          <w:b/>
          <w:bCs/>
          <w:color w:val="auto"/>
          <w:highlight w:val="none"/>
        </w:rPr>
        <w:t xml:space="preserve">供应商机器码（MAC地址）一致的，作为无效响应。</w:t>
      </w:r>
      <w:r/>
    </w:p>
    <w:p>
      <w:pPr>
        <w:pStyle w:val="1119"/>
        <w:spacing w:line="360" w:lineRule="auto"/>
        <w:rPr>
          <w:rFonts w:ascii="宋体" w:hAnsi="宋体" w:cs="宋体"/>
          <w:color w:val="auto"/>
          <w:highlight w:val="none"/>
        </w:rPr>
      </w:pPr>
      <w:r>
        <w:rPr>
          <w:rFonts w:hint="eastAsia" w:ascii="宋体" w:hAnsi="宋体" w:cs="宋体"/>
          <w:color w:val="auto"/>
          <w:highlight w:val="none"/>
        </w:rPr>
        <w:t xml:space="preserve">7.质疑要求：</w:t>
      </w:r>
      <w:r/>
    </w:p>
    <w:p>
      <w:pPr>
        <w:ind w:firstLine="480"/>
        <w:spacing w:line="360" w:lineRule="auto"/>
        <w:tabs>
          <w:tab w:val="left" w:pos="8930" w:leader="none"/>
          <w:tab w:val="left" w:pos="9306" w:leader="none"/>
        </w:tabs>
        <w:rPr>
          <w:rFonts w:ascii="宋体" w:hAnsi="宋体" w:cs="宋体"/>
          <w:bCs/>
          <w:color w:val="auto"/>
          <w:sz w:val="24"/>
          <w:highlight w:val="none"/>
        </w:rPr>
      </w:pPr>
      <w:r>
        <w:rPr>
          <w:rFonts w:hint="eastAsia" w:ascii="宋体" w:hAnsi="宋体" w:cs="宋体"/>
          <w:bCs/>
          <w:color w:val="auto"/>
          <w:sz w:val="24"/>
          <w:highlight w:val="none"/>
        </w:rPr>
        <w:t xml:space="preserve">（1）供应商认为采购文件、采购过程或中标、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80"/>
        <w:spacing w:line="360" w:lineRule="auto"/>
        <w:tabs>
          <w:tab w:val="left" w:pos="8930" w:leader="none"/>
          <w:tab w:val="left" w:pos="9306" w:leader="none"/>
        </w:tabs>
        <w:rPr>
          <w:rFonts w:ascii="宋体" w:hAnsi="宋体" w:cs="宋体"/>
          <w:bCs/>
          <w:color w:val="auto"/>
          <w:sz w:val="24"/>
          <w:highlight w:val="none"/>
        </w:rPr>
      </w:pPr>
      <w:r>
        <w:rPr>
          <w:rFonts w:hint="eastAsia" w:ascii="宋体" w:hAnsi="宋体" w:cs="宋体"/>
          <w:bCs/>
          <w:color w:val="auto"/>
          <w:sz w:val="24"/>
          <w:highlight w:val="none"/>
        </w:rPr>
        <w:t xml:space="preserve">（2）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color w:val="auto"/>
          <w:sz w:val="24"/>
          <w:highlight w:val="none"/>
        </w:rPr>
        <w:t xml:space="preserve">投标供应商确认函</w:t>
      </w:r>
      <w:r>
        <w:rPr>
          <w:rFonts w:hint="eastAsia" w:ascii="宋体" w:hAnsi="宋体" w:cs="宋体"/>
          <w:bCs/>
          <w:color w:val="auto"/>
          <w:sz w:val="24"/>
          <w:highlight w:val="none"/>
        </w:rPr>
        <w:t xml:space="preserve">》）与质疑函一起递交，否则不予受理。</w:t>
      </w:r>
      <w:r/>
    </w:p>
    <w:p>
      <w:pPr>
        <w:ind w:firstLine="480"/>
        <w:spacing w:line="360" w:lineRule="auto"/>
        <w:tabs>
          <w:tab w:val="left" w:pos="8930" w:leader="none"/>
          <w:tab w:val="left" w:pos="9306" w:leader="none"/>
        </w:tabs>
        <w:rPr>
          <w:rFonts w:ascii="宋体" w:hAnsi="宋体" w:cs="宋体"/>
          <w:bCs/>
          <w:color w:val="auto"/>
          <w:sz w:val="24"/>
          <w:highlight w:val="none"/>
        </w:rPr>
      </w:pPr>
      <w:r>
        <w:rPr>
          <w:rFonts w:hint="eastAsia" w:ascii="宋体" w:hAnsi="宋体" w:cs="宋体"/>
          <w:bCs/>
          <w:color w:val="auto"/>
          <w:sz w:val="24"/>
          <w:highlight w:val="none"/>
        </w:rPr>
        <w:t xml:space="preserve">（3）本次采购文件要求供应商在法定质疑期内一次性提出针对同一采购程序环节的质疑。</w:t>
      </w:r>
      <w:r/>
    </w:p>
    <w:p>
      <w:pPr>
        <w:ind w:firstLine="480"/>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（4）供应商提出质疑应当提交质疑函和必要的证明材料。质疑函应当包括下列内容：</w:t>
      </w:r>
      <w:r/>
    </w:p>
    <w:p>
      <w:pPr>
        <w:ind w:firstLine="480"/>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1）供应商的姓名或者名称（以营业执照副本复印件为准）、地址、邮编、联系人及联系电话；</w:t>
      </w:r>
      <w:r/>
    </w:p>
    <w:p>
      <w:pPr>
        <w:ind w:firstLine="480"/>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2）质疑项目的名称、编号；</w:t>
      </w:r>
      <w:r/>
    </w:p>
    <w:p>
      <w:pPr>
        <w:ind w:firstLine="480"/>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3）具体、明确的质疑事项和与质疑事项相关的请求；</w:t>
      </w:r>
      <w:r/>
    </w:p>
    <w:p>
      <w:pPr>
        <w:ind w:firstLine="480"/>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4）事实依据；</w:t>
      </w:r>
      <w:r/>
    </w:p>
    <w:p>
      <w:pPr>
        <w:ind w:firstLine="480"/>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5）必要的法律依据；</w:t>
      </w:r>
      <w:r/>
    </w:p>
    <w:p>
      <w:pPr>
        <w:ind w:firstLine="480"/>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6）提出质疑的日期。</w:t>
      </w:r>
      <w:r/>
    </w:p>
    <w:p>
      <w:pPr>
        <w:ind w:firstLine="480"/>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7）</w:t>
      </w:r>
      <w:r>
        <w:rPr>
          <w:rFonts w:hint="eastAsia" w:ascii="宋体" w:hAnsi="宋体" w:cs="宋体"/>
          <w:bCs/>
          <w:color w:val="auto"/>
          <w:sz w:val="24"/>
          <w:highlight w:val="none"/>
        </w:rPr>
        <w:t xml:space="preserve">供应商参加投标确认函</w:t>
      </w:r>
      <w:r>
        <w:rPr>
          <w:rFonts w:hint="eastAsia" w:ascii="宋体" w:hAnsi="宋体" w:cs="宋体"/>
          <w:color w:val="auto"/>
          <w:sz w:val="24"/>
          <w:highlight w:val="none"/>
        </w:rPr>
        <w:t xml:space="preserve">。</w:t>
      </w:r>
      <w:r/>
    </w:p>
    <w:p>
      <w:pPr>
        <w:ind w:firstLine="480"/>
        <w:spacing w:line="360" w:lineRule="auto"/>
        <w:tabs>
          <w:tab w:val="left" w:pos="8930" w:leader="none"/>
          <w:tab w:val="left" w:pos="9306" w:leader="none"/>
        </w:tabs>
        <w:rPr>
          <w:rFonts w:ascii="宋体" w:hAnsi="宋体" w:cs="宋体"/>
          <w:bCs/>
          <w:color w:val="auto"/>
          <w:sz w:val="24"/>
          <w:highlight w:val="none"/>
        </w:rPr>
      </w:pPr>
      <w:r>
        <w:rPr>
          <w:rFonts w:hint="eastAsia" w:ascii="宋体" w:hAnsi="宋体" w:cs="宋体"/>
          <w:color w:val="auto"/>
          <w:sz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pStyle w:val="1119"/>
        <w:spacing w:line="360" w:lineRule="auto"/>
        <w:rPr>
          <w:rFonts w:ascii="宋体" w:hAnsi="宋体" w:cs="宋体"/>
          <w:color w:val="auto"/>
          <w:highlight w:val="none"/>
        </w:rPr>
      </w:pPr>
      <w:r>
        <w:rPr>
          <w:rFonts w:hint="eastAsia" w:ascii="宋体" w:hAnsi="宋体" w:cs="宋体"/>
          <w:color w:val="auto"/>
          <w:highlight w:val="none"/>
        </w:rPr>
        <w:t xml:space="preserve">8）接受质疑函的方式为邮寄接收（顺丰），同时电话通知代理机构。</w:t>
      </w:r>
      <w:r/>
    </w:p>
    <w:p>
      <w:pPr>
        <w:pStyle w:val="1119"/>
        <w:spacing w:line="360" w:lineRule="auto"/>
        <w:rPr>
          <w:rFonts w:ascii="宋体" w:hAnsi="宋体" w:cs="宋体"/>
          <w:color w:val="auto"/>
          <w:highlight w:val="none"/>
        </w:rPr>
      </w:pPr>
      <w:r>
        <w:rPr>
          <w:rFonts w:hint="eastAsia" w:ascii="宋体" w:hAnsi="宋体" w:cs="宋体"/>
          <w:color w:val="auto"/>
          <w:highlight w:val="none"/>
        </w:rPr>
        <w:t xml:space="preserve">质疑联系部门：业务部-张晓雯</w:t>
      </w:r>
      <w:r/>
    </w:p>
    <w:p>
      <w:pPr>
        <w:pStyle w:val="1119"/>
        <w:spacing w:line="360" w:lineRule="auto"/>
        <w:rPr>
          <w:rFonts w:ascii="宋体" w:hAnsi="宋体" w:cs="宋体"/>
          <w:color w:val="auto"/>
          <w:highlight w:val="none"/>
        </w:rPr>
      </w:pPr>
      <w:r>
        <w:rPr>
          <w:rFonts w:hint="eastAsia" w:ascii="宋体" w:hAnsi="宋体" w:cs="宋体"/>
          <w:color w:val="auto"/>
          <w:highlight w:val="none"/>
        </w:rPr>
        <w:t xml:space="preserve">联系电话：18852950723</w:t>
      </w:r>
      <w:r/>
    </w:p>
    <w:p>
      <w:pPr>
        <w:pStyle w:val="1119"/>
        <w:spacing w:line="360" w:lineRule="auto"/>
        <w:rPr>
          <w:rFonts w:ascii="宋体" w:hAnsi="宋体" w:cs="宋体"/>
          <w:color w:val="auto"/>
          <w:highlight w:val="none"/>
        </w:rPr>
      </w:pPr>
      <w:r>
        <w:rPr>
          <w:rFonts w:hint="eastAsia" w:ascii="宋体" w:hAnsi="宋体" w:cs="宋体"/>
          <w:color w:val="auto"/>
          <w:highlight w:val="none"/>
        </w:rPr>
        <w:t xml:space="preserve">通讯地址：苏州高新区狮山路76号604-2-009。</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8.采购代理机构在成交供应商确定后2个工作日内在“苏州市政府采购网”公告成交结果。</w:t>
      </w:r>
      <w:r/>
    </w:p>
    <w:p>
      <w:pPr>
        <w:ind w:firstLine="480"/>
        <w:jc w:val="left"/>
        <w:spacing w:line="360" w:lineRule="auto"/>
        <w:rPr>
          <w:rFonts w:ascii="宋体" w:hAnsi="宋体" w:cs="宋体"/>
          <w:bCs/>
          <w:color w:val="auto"/>
          <w:sz w:val="24"/>
          <w:highlight w:val="none"/>
        </w:rPr>
      </w:pPr>
      <w:r>
        <w:rPr>
          <w:rFonts w:hint="eastAsia" w:ascii="宋体" w:hAnsi="宋体" w:cs="宋体"/>
          <w:color w:val="auto"/>
          <w:sz w:val="24"/>
          <w:highlight w:val="none"/>
          <w:lang w:bidi="ar"/>
        </w:rPr>
        <w:t xml:space="preserve">（1）发出成交通知书。</w:t>
      </w:r>
      <w:r>
        <w:rPr>
          <w:rFonts w:hint="eastAsia" w:ascii="宋体" w:hAnsi="宋体" w:cs="宋体"/>
          <w:bCs/>
          <w:color w:val="auto"/>
          <w:sz w:val="24"/>
          <w:highlight w:val="none"/>
          <w:lang w:bidi="ar"/>
        </w:rPr>
        <w:t xml:space="preserve">在发布成交公告的同时，向成交供应商发出成交通知书。</w:t>
      </w:r>
      <w:r/>
    </w:p>
    <w:p>
      <w:pPr>
        <w:ind w:firstLine="480"/>
        <w:jc w:val="left"/>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（2）在发出成交通知书的同时，向参与项目评审的未成交供应商发放未成交通知书，告知其评审得分与排名。告知方式为</w:t>
      </w:r>
      <w:r>
        <w:rPr>
          <w:rFonts w:hint="eastAsia" w:ascii="宋体" w:hAnsi="宋体" w:cs="宋体"/>
          <w:color w:val="auto"/>
          <w:sz w:val="24"/>
          <w:highlight w:val="none"/>
          <w:u w:val="single"/>
          <w:lang w:bidi="ar"/>
        </w:rPr>
        <w:t xml:space="preserve">电子邮件</w:t>
      </w:r>
      <w:r>
        <w:rPr>
          <w:rFonts w:hint="eastAsia" w:ascii="宋体" w:hAnsi="宋体" w:cs="宋体"/>
          <w:color w:val="auto"/>
          <w:sz w:val="24"/>
          <w:highlight w:val="none"/>
          <w:lang w:bidi="ar"/>
        </w:rPr>
        <w:t xml:space="preserve">，接收方式以供应商响应文件中《磋商响应声明》所列</w:t>
      </w:r>
      <w:r>
        <w:rPr>
          <w:rFonts w:hint="eastAsia" w:ascii="宋体" w:hAnsi="宋体" w:cs="宋体"/>
          <w:color w:val="auto"/>
          <w:sz w:val="24"/>
          <w:highlight w:val="none"/>
          <w:u w:val="single"/>
          <w:lang w:bidi="ar"/>
        </w:rPr>
        <w:t xml:space="preserve">电子邮件</w:t>
      </w:r>
      <w:r>
        <w:rPr>
          <w:rFonts w:hint="eastAsia" w:ascii="宋体" w:hAnsi="宋体" w:cs="宋体"/>
          <w:color w:val="auto"/>
          <w:sz w:val="24"/>
          <w:highlight w:val="none"/>
          <w:lang w:bidi="ar"/>
        </w:rPr>
        <w:t xml:space="preserve">为准。未成交供应商未按约定的时间和方式获取告知信息的，视为自动放弃并自行承担相应后果。</w:t>
      </w:r>
      <w:r/>
    </w:p>
    <w:p>
      <w:pPr>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9.凡涉及磋商采购文件的补充说明和修改，均以江苏政府采购网、苏州政府采购网上发布的通知为准。</w:t>
      </w:r>
      <w:r/>
    </w:p>
    <w:p>
      <w:pPr>
        <w:rPr>
          <w:color w:val="auto"/>
          <w:highlight w:val="none"/>
        </w:rPr>
      </w:pPr>
      <w:r>
        <w:rPr>
          <w:color w:val="auto"/>
          <w:highlight w:val="none"/>
        </w:rPr>
      </w:r>
      <w:r/>
    </w:p>
    <w:p>
      <w:pPr>
        <w:pStyle w:val="1121"/>
        <w:jc w:val="center"/>
        <w:spacing w:before="75" w:beforeAutospacing="0" w:after="75" w:afterAutospacing="0"/>
        <w:widowControl/>
        <w:rPr>
          <w:rStyle w:val="1125"/>
          <w:rFonts w:ascii="宋体" w:hAnsi="宋体" w:cs="宋体"/>
          <w:color w:val="auto"/>
          <w:sz w:val="43"/>
          <w:szCs w:val="43"/>
          <w:highlight w:val="none"/>
        </w:rPr>
        <w:sectPr>
          <w:footerReference w:type="default" r:id="rId12"/>
          <w:footnotePr/>
          <w:endnotePr/>
          <w:type w:val="nextPage"/>
          <w:pgSz w:w="11906" w:h="16838" w:orient="portrait"/>
          <w:pgMar w:top="1440" w:right="748" w:bottom="1440" w:left="969" w:header="851" w:footer="992" w:gutter="0"/>
          <w:pgNumType w:start="1"/>
          <w:cols w:num="1" w:sep="0" w:space="1701" w:equalWidth="1"/>
          <w:docGrid w:linePitch="360"/>
        </w:sectPr>
      </w:pPr>
      <w:r>
        <w:rPr>
          <w:rFonts w:ascii="宋体" w:hAnsi="宋体" w:cs="宋体"/>
          <w:color w:val="auto"/>
          <w:sz w:val="43"/>
          <w:szCs w:val="43"/>
          <w:highlight w:val="none"/>
        </w:rPr>
      </w:r>
      <w:r/>
    </w:p>
    <w:p>
      <w:pPr>
        <w:pStyle w:val="905"/>
        <w:jc w:val="center"/>
        <w:rPr>
          <w:b/>
          <w:bCs/>
          <w:color w:val="auto"/>
          <w:highlight w:val="none"/>
        </w:rPr>
      </w:pPr>
      <w:r/>
      <w:bookmarkStart w:id="20" w:name="_Toc31405"/>
      <w:r>
        <w:rPr>
          <w:rFonts w:hint="eastAsia"/>
          <w:b/>
          <w:bCs/>
          <w:color w:val="auto"/>
          <w:highlight w:val="none"/>
        </w:rPr>
        <w:t xml:space="preserve">第三章 采购内容</w:t>
      </w:r>
      <w:bookmarkEnd w:id="20"/>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苏州市诚捷项目管理有限公司受</w:t>
      </w:r>
      <w:r>
        <w:rPr>
          <w:rFonts w:hint="eastAsia" w:ascii="宋体" w:hAnsi="宋体" w:cs="宋体"/>
          <w:color w:val="auto"/>
          <w:sz w:val="24"/>
          <w:highlight w:val="none"/>
          <w:u w:val="single"/>
          <w:lang w:eastAsia="zh-CN"/>
        </w:rPr>
        <w:t xml:space="preserve">苏州工业园区应急管理局</w:t>
      </w:r>
      <w:r>
        <w:rPr>
          <w:rFonts w:hint="eastAsia" w:ascii="宋体" w:hAnsi="宋体" w:cs="宋体"/>
          <w:color w:val="auto"/>
          <w:sz w:val="24"/>
          <w:highlight w:val="none"/>
        </w:rPr>
        <w:t xml:space="preserve">的委托，就</w:t>
      </w:r>
      <w:r>
        <w:rPr>
          <w:rFonts w:hint="eastAsia" w:ascii="宋体" w:hAnsi="宋体" w:cs="宋体"/>
          <w:color w:val="auto"/>
          <w:sz w:val="24"/>
          <w:highlight w:val="none"/>
          <w:u w:val="single"/>
          <w:lang w:eastAsia="zh-CN"/>
        </w:rPr>
        <w:t xml:space="preserve">苏州工业园区2026年度工贸领域企业第三方安全生产指导服务</w:t>
      </w:r>
      <w:r>
        <w:rPr>
          <w:rFonts w:hint="eastAsia" w:ascii="宋体" w:hAnsi="宋体" w:cs="宋体"/>
          <w:color w:val="auto"/>
          <w:sz w:val="24"/>
          <w:highlight w:val="none"/>
        </w:rPr>
        <w:t xml:space="preserve">采用竞争性磋商方式进行采购，现欢迎符合相关条件的供应商参加本次磋商采购活动。</w:t>
      </w:r>
      <w:r/>
    </w:p>
    <w:p>
      <w:pPr>
        <w:ind w:firstLine="482"/>
        <w:spacing w:line="360" w:lineRule="auto"/>
        <w:widowControl/>
        <w:rPr>
          <w:rFonts w:hint="eastAsia" w:ascii="宋体" w:hAnsi="宋体" w:eastAsia="宋体" w:cs="宋体"/>
          <w:color w:val="auto"/>
          <w:sz w:val="24"/>
          <w:highlight w:val="none"/>
          <w:lang w:eastAsia="zh-CN"/>
        </w:rPr>
      </w:pPr>
      <w:r>
        <w:rPr>
          <w:rFonts w:hint="eastAsia" w:ascii="宋体" w:hAnsi="宋体" w:cs="宋体"/>
          <w:b/>
          <w:bCs/>
          <w:color w:val="auto"/>
          <w:sz w:val="24"/>
          <w:highlight w:val="none"/>
        </w:rPr>
        <w:t xml:space="preserve">一、项目编号：</w:t>
      </w:r>
      <w:r>
        <w:rPr>
          <w:rFonts w:hint="eastAsia" w:ascii="宋体" w:hAnsi="宋体" w:cs="宋体"/>
          <w:color w:val="auto"/>
          <w:sz w:val="24"/>
          <w:highlight w:val="none"/>
          <w:lang w:eastAsia="zh-CN"/>
        </w:rPr>
        <w:t xml:space="preserve">JSZC-320591-CJZT-C2026-0001</w:t>
      </w:r>
      <w:r/>
    </w:p>
    <w:p>
      <w:pPr>
        <w:ind w:firstLine="482"/>
        <w:spacing w:line="360" w:lineRule="auto"/>
        <w:widowControl/>
        <w:rPr>
          <w:rFonts w:hint="eastAsia" w:ascii="宋体" w:hAnsi="宋体" w:eastAsia="宋体" w:cs="宋体"/>
          <w:color w:val="auto"/>
          <w:sz w:val="24"/>
          <w:highlight w:val="none"/>
          <w:lang w:eastAsia="zh-CN"/>
        </w:rPr>
      </w:pPr>
      <w:r>
        <w:rPr>
          <w:rFonts w:hint="eastAsia" w:ascii="宋体" w:hAnsi="宋体" w:cs="宋体"/>
          <w:b/>
          <w:bCs/>
          <w:color w:val="auto"/>
          <w:sz w:val="24"/>
          <w:highlight w:val="none"/>
        </w:rPr>
        <w:t xml:space="preserve">二、项目名称：</w:t>
      </w:r>
      <w:r>
        <w:rPr>
          <w:rFonts w:hint="eastAsia" w:ascii="宋体" w:hAnsi="宋体" w:cs="宋体"/>
          <w:color w:val="auto"/>
          <w:sz w:val="24"/>
          <w:highlight w:val="none"/>
          <w:lang w:eastAsia="zh-CN"/>
        </w:rPr>
        <w:t xml:space="preserve">苏州工业园区2026年度工贸领域企业第三方安全生产指导服务</w:t>
      </w:r>
      <w:r/>
    </w:p>
    <w:p>
      <w:pPr>
        <w:ind w:firstLine="482"/>
        <w:spacing w:line="360" w:lineRule="auto"/>
        <w:rPr>
          <w:rFonts w:hint="default" w:ascii="宋体" w:hAnsi="宋体" w:eastAsia="宋体" w:cs="宋体"/>
          <w:b/>
          <w:color w:val="auto"/>
          <w:sz w:val="24"/>
          <w:highlight w:val="none"/>
          <w:lang w:val="en-US" w:eastAsia="zh-CN"/>
        </w:rPr>
      </w:pPr>
      <w:r>
        <w:rPr>
          <w:rFonts w:hint="eastAsia" w:ascii="宋体" w:hAnsi="宋体" w:cs="宋体"/>
          <w:b/>
          <w:bCs/>
          <w:color w:val="auto"/>
          <w:sz w:val="24"/>
          <w:highlight w:val="none"/>
        </w:rPr>
        <w:t xml:space="preserve">三、</w:t>
      </w:r>
      <w:r>
        <w:rPr>
          <w:rFonts w:hint="eastAsia" w:ascii="宋体" w:hAnsi="宋体" w:cs="宋体"/>
          <w:b/>
          <w:color w:val="auto"/>
          <w:sz w:val="24"/>
          <w:highlight w:val="none"/>
        </w:rPr>
        <w:t xml:space="preserve">项目</w:t>
      </w:r>
      <w:r>
        <w:rPr>
          <w:rFonts w:hint="eastAsia" w:ascii="宋体" w:hAnsi="宋体" w:cs="宋体"/>
          <w:b/>
          <w:color w:val="auto"/>
          <w:sz w:val="24"/>
          <w:highlight w:val="none"/>
          <w:lang w:val="en-US" w:eastAsia="zh-CN"/>
        </w:rPr>
        <w:t xml:space="preserve">总</w:t>
      </w:r>
      <w:r>
        <w:rPr>
          <w:rFonts w:hint="eastAsia" w:ascii="宋体" w:hAnsi="宋体" w:cs="宋体"/>
          <w:b/>
          <w:color w:val="auto"/>
          <w:sz w:val="24"/>
          <w:highlight w:val="none"/>
        </w:rPr>
        <w:t xml:space="preserve">预算：</w:t>
      </w:r>
      <w:r>
        <w:rPr>
          <w:rFonts w:hint="eastAsia" w:ascii="宋体" w:hAnsi="宋体" w:cs="宋体"/>
          <w:b/>
          <w:color w:val="auto"/>
          <w:sz w:val="24"/>
          <w:highlight w:val="none"/>
          <w:lang w:val="en-US" w:eastAsia="zh-CN"/>
        </w:rPr>
        <w:t xml:space="preserve">人民币壹佰壹拾万元整（￥1100000.00元）</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标段一预算：人民币</w:t>
      </w:r>
      <w:r>
        <w:rPr>
          <w:rFonts w:hint="eastAsia" w:ascii="宋体" w:hAnsi="宋体" w:cs="宋体"/>
          <w:color w:val="auto"/>
          <w:sz w:val="24"/>
          <w:highlight w:val="none"/>
          <w:lang w:val="en-US" w:eastAsia="zh-CN"/>
        </w:rPr>
        <w:t xml:space="preserve">叁拾</w:t>
      </w:r>
      <w:r>
        <w:rPr>
          <w:rFonts w:hint="eastAsia" w:ascii="宋体" w:hAnsi="宋体" w:cs="宋体"/>
          <w:color w:val="auto"/>
          <w:sz w:val="24"/>
          <w:highlight w:val="none"/>
        </w:rPr>
        <w:t xml:space="preserve">万元整（￥</w:t>
      </w: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rPr>
        <w:t xml:space="preserve">0000.00）；</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标段二预算：人民币</w:t>
      </w:r>
      <w:r>
        <w:rPr>
          <w:rFonts w:hint="eastAsia" w:ascii="宋体" w:hAnsi="宋体" w:cs="宋体"/>
          <w:color w:val="auto"/>
          <w:sz w:val="24"/>
          <w:highlight w:val="none"/>
          <w:lang w:val="en-US" w:eastAsia="zh-CN"/>
        </w:rPr>
        <w:t xml:space="preserve">叁拾</w:t>
      </w:r>
      <w:r>
        <w:rPr>
          <w:rFonts w:hint="eastAsia" w:ascii="宋体" w:hAnsi="宋体" w:cs="宋体"/>
          <w:color w:val="auto"/>
          <w:sz w:val="24"/>
          <w:highlight w:val="none"/>
        </w:rPr>
        <w:t xml:space="preserve">万元整（￥</w:t>
      </w: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rPr>
        <w:t xml:space="preserve">0000.00）；</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标段三预算：人民币</w:t>
      </w:r>
      <w:r>
        <w:rPr>
          <w:rFonts w:hint="eastAsia" w:ascii="宋体" w:hAnsi="宋体" w:cs="宋体"/>
          <w:color w:val="auto"/>
          <w:sz w:val="24"/>
          <w:highlight w:val="none"/>
          <w:lang w:val="en-US" w:eastAsia="zh-CN"/>
        </w:rPr>
        <w:t xml:space="preserve">贰拾伍</w:t>
      </w:r>
      <w:r>
        <w:rPr>
          <w:rFonts w:hint="eastAsia" w:ascii="宋体" w:hAnsi="宋体" w:cs="宋体"/>
          <w:color w:val="auto"/>
          <w:sz w:val="24"/>
          <w:highlight w:val="none"/>
        </w:rPr>
        <w:t xml:space="preserve">万元整（￥</w:t>
      </w:r>
      <w:r>
        <w:rPr>
          <w:rFonts w:hint="eastAsia" w:ascii="宋体" w:hAnsi="宋体" w:cs="宋体"/>
          <w:color w:val="auto"/>
          <w:sz w:val="24"/>
          <w:highlight w:val="none"/>
          <w:lang w:val="en-US" w:eastAsia="zh-CN"/>
        </w:rPr>
        <w:t xml:space="preserve">25</w:t>
      </w:r>
      <w:r>
        <w:rPr>
          <w:rFonts w:hint="eastAsia" w:ascii="宋体" w:hAnsi="宋体" w:cs="宋体"/>
          <w:color w:val="auto"/>
          <w:sz w:val="24"/>
          <w:highlight w:val="none"/>
        </w:rPr>
        <w:t xml:space="preserve">0000.00）；</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标段四预算：人民币</w:t>
      </w:r>
      <w:r>
        <w:rPr>
          <w:rFonts w:hint="eastAsia" w:ascii="宋体" w:hAnsi="宋体" w:cs="宋体"/>
          <w:color w:val="auto"/>
          <w:sz w:val="24"/>
          <w:highlight w:val="none"/>
          <w:lang w:val="en-US" w:eastAsia="zh-CN"/>
        </w:rPr>
        <w:t xml:space="preserve">贰拾伍</w:t>
      </w:r>
      <w:r>
        <w:rPr>
          <w:rFonts w:hint="eastAsia" w:ascii="宋体" w:hAnsi="宋体" w:cs="宋体"/>
          <w:color w:val="auto"/>
          <w:sz w:val="24"/>
          <w:highlight w:val="none"/>
        </w:rPr>
        <w:t xml:space="preserve">万元整（￥</w:t>
      </w:r>
      <w:r>
        <w:rPr>
          <w:rFonts w:hint="eastAsia" w:ascii="宋体" w:hAnsi="宋体" w:cs="宋体"/>
          <w:color w:val="auto"/>
          <w:sz w:val="24"/>
          <w:highlight w:val="none"/>
          <w:lang w:val="en-US" w:eastAsia="zh-CN"/>
        </w:rPr>
        <w:t xml:space="preserve">25</w:t>
      </w:r>
      <w:r>
        <w:rPr>
          <w:rFonts w:hint="eastAsia" w:ascii="宋体" w:hAnsi="宋体" w:cs="宋体"/>
          <w:color w:val="auto"/>
          <w:sz w:val="24"/>
          <w:highlight w:val="none"/>
        </w:rPr>
        <w:t xml:space="preserve">0000.00）；</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最高限价：</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标段一</w:t>
      </w:r>
      <w:r>
        <w:rPr>
          <w:rFonts w:ascii="SimSun" w:hAnsi="SimSun" w:eastAsia="SimSun" w:cs="SimSun"/>
          <w:color w:val="000000"/>
          <w:sz w:val="24"/>
        </w:rPr>
        <w:t xml:space="preserve">最高限价</w:t>
      </w:r>
      <w:r>
        <w:rPr>
          <w:rFonts w:hint="eastAsia" w:ascii="宋体" w:hAnsi="宋体" w:cs="宋体"/>
          <w:color w:val="auto"/>
          <w:sz w:val="24"/>
          <w:highlight w:val="none"/>
        </w:rPr>
        <w:t xml:space="preserve">：人民币</w:t>
      </w:r>
      <w:r>
        <w:rPr>
          <w:rFonts w:hint="eastAsia" w:ascii="宋体" w:hAnsi="宋体" w:cs="宋体"/>
          <w:color w:val="auto"/>
          <w:sz w:val="24"/>
          <w:highlight w:val="none"/>
          <w:lang w:val="en-US" w:eastAsia="zh-CN"/>
        </w:rPr>
        <w:t xml:space="preserve">叁拾</w:t>
      </w:r>
      <w:r>
        <w:rPr>
          <w:rFonts w:hint="eastAsia" w:ascii="宋体" w:hAnsi="宋体" w:cs="宋体"/>
          <w:color w:val="auto"/>
          <w:sz w:val="24"/>
          <w:highlight w:val="none"/>
        </w:rPr>
        <w:t xml:space="preserve">万元整（￥</w:t>
      </w: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rPr>
        <w:t xml:space="preserve">0000.00）；</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标段二</w:t>
      </w:r>
      <w:r>
        <w:rPr>
          <w:rFonts w:ascii="SimSun" w:hAnsi="SimSun" w:eastAsia="SimSun" w:cs="SimSun"/>
          <w:color w:val="000000"/>
          <w:sz w:val="24"/>
        </w:rPr>
        <w:t xml:space="preserve">最高限价</w:t>
      </w:r>
      <w:r>
        <w:rPr>
          <w:rFonts w:hint="eastAsia" w:ascii="宋体" w:hAnsi="宋体" w:cs="宋体"/>
          <w:color w:val="auto"/>
          <w:sz w:val="24"/>
          <w:highlight w:val="none"/>
        </w:rPr>
        <w:t xml:space="preserve">：人民币</w:t>
      </w:r>
      <w:r>
        <w:rPr>
          <w:rFonts w:hint="eastAsia" w:ascii="宋体" w:hAnsi="宋体" w:cs="宋体"/>
          <w:color w:val="auto"/>
          <w:sz w:val="24"/>
          <w:highlight w:val="none"/>
          <w:lang w:val="en-US" w:eastAsia="zh-CN"/>
        </w:rPr>
        <w:t xml:space="preserve">叁拾</w:t>
      </w:r>
      <w:r>
        <w:rPr>
          <w:rFonts w:hint="eastAsia" w:ascii="宋体" w:hAnsi="宋体" w:cs="宋体"/>
          <w:color w:val="auto"/>
          <w:sz w:val="24"/>
          <w:highlight w:val="none"/>
        </w:rPr>
        <w:t xml:space="preserve">万元整（￥</w:t>
      </w: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rPr>
        <w:t xml:space="preserve">0000.00）；</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标段三</w:t>
      </w:r>
      <w:r>
        <w:rPr>
          <w:rFonts w:ascii="SimSun" w:hAnsi="SimSun" w:eastAsia="SimSun" w:cs="SimSun"/>
          <w:color w:val="000000"/>
          <w:sz w:val="24"/>
        </w:rPr>
        <w:t xml:space="preserve">最高限价</w:t>
      </w:r>
      <w:r>
        <w:rPr>
          <w:rFonts w:hint="eastAsia" w:ascii="宋体" w:hAnsi="宋体" w:cs="宋体"/>
          <w:color w:val="auto"/>
          <w:sz w:val="24"/>
          <w:highlight w:val="none"/>
        </w:rPr>
        <w:t xml:space="preserve">：人民币</w:t>
      </w:r>
      <w:r>
        <w:rPr>
          <w:rFonts w:hint="eastAsia" w:ascii="宋体" w:hAnsi="宋体" w:cs="宋体"/>
          <w:color w:val="auto"/>
          <w:sz w:val="24"/>
          <w:highlight w:val="none"/>
          <w:lang w:val="en-US" w:eastAsia="zh-CN"/>
        </w:rPr>
        <w:t xml:space="preserve">贰拾伍</w:t>
      </w:r>
      <w:r>
        <w:rPr>
          <w:rFonts w:hint="eastAsia" w:ascii="宋体" w:hAnsi="宋体" w:cs="宋体"/>
          <w:color w:val="auto"/>
          <w:sz w:val="24"/>
          <w:highlight w:val="none"/>
        </w:rPr>
        <w:t xml:space="preserve">万元整（￥</w:t>
      </w:r>
      <w:r>
        <w:rPr>
          <w:rFonts w:hint="eastAsia" w:ascii="宋体" w:hAnsi="宋体" w:cs="宋体"/>
          <w:color w:val="auto"/>
          <w:sz w:val="24"/>
          <w:highlight w:val="none"/>
          <w:lang w:val="en-US" w:eastAsia="zh-CN"/>
        </w:rPr>
        <w:t xml:space="preserve">25</w:t>
      </w:r>
      <w:r>
        <w:rPr>
          <w:rFonts w:hint="eastAsia" w:ascii="宋体" w:hAnsi="宋体" w:cs="宋体"/>
          <w:color w:val="auto"/>
          <w:sz w:val="24"/>
          <w:highlight w:val="none"/>
        </w:rPr>
        <w:t xml:space="preserve">0000.00）；</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highlight w:val="none"/>
        </w:rPr>
        <w:t xml:space="preserve">标段四</w:t>
      </w:r>
      <w:r>
        <w:rPr>
          <w:rFonts w:ascii="SimSun" w:hAnsi="SimSun" w:eastAsia="SimSun" w:cs="SimSun"/>
          <w:color w:val="000000"/>
          <w:sz w:val="24"/>
        </w:rPr>
        <w:t xml:space="preserve">最高限价</w:t>
      </w:r>
      <w:r>
        <w:rPr>
          <w:rFonts w:hint="eastAsia" w:ascii="宋体" w:hAnsi="宋体" w:cs="宋体"/>
          <w:color w:val="auto"/>
          <w:sz w:val="24"/>
          <w:highlight w:val="none"/>
        </w:rPr>
        <w:t xml:space="preserve">：人民币</w:t>
      </w:r>
      <w:r>
        <w:rPr>
          <w:rFonts w:hint="eastAsia" w:ascii="宋体" w:hAnsi="宋体" w:cs="宋体"/>
          <w:color w:val="auto"/>
          <w:sz w:val="24"/>
          <w:highlight w:val="none"/>
          <w:lang w:val="en-US" w:eastAsia="zh-CN"/>
        </w:rPr>
        <w:t xml:space="preserve">贰拾伍</w:t>
      </w:r>
      <w:r>
        <w:rPr>
          <w:rFonts w:hint="eastAsia" w:ascii="宋体" w:hAnsi="宋体" w:cs="宋体"/>
          <w:color w:val="auto"/>
          <w:sz w:val="24"/>
          <w:highlight w:val="none"/>
        </w:rPr>
        <w:t xml:space="preserve">万元整（￥</w:t>
      </w:r>
      <w:r>
        <w:rPr>
          <w:rFonts w:hint="eastAsia" w:ascii="宋体" w:hAnsi="宋体" w:cs="宋体"/>
          <w:color w:val="auto"/>
          <w:sz w:val="24"/>
          <w:highlight w:val="none"/>
          <w:lang w:val="en-US" w:eastAsia="zh-CN"/>
        </w:rPr>
        <w:t xml:space="preserve">25</w:t>
      </w:r>
      <w:r>
        <w:rPr>
          <w:rFonts w:hint="eastAsia" w:ascii="宋体" w:hAnsi="宋体" w:cs="宋体"/>
          <w:color w:val="auto"/>
          <w:sz w:val="24"/>
          <w:highlight w:val="none"/>
        </w:rPr>
        <w:t xml:space="preserve">0000.00）；</w:t>
      </w:r>
      <w:r>
        <w:rPr>
          <w:rFonts w:ascii="宋体" w:hAnsi="宋体" w:cs="宋体"/>
          <w:color w:val="auto"/>
          <w:sz w:val="24"/>
          <w:highlight w:val="none"/>
        </w:rPr>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highlight w:val="none"/>
        </w:rPr>
      </w:r>
      <w:r>
        <w:rPr>
          <w:rFonts w:hint="eastAsia" w:ascii="宋体" w:hAnsi="宋体" w:cs="宋体"/>
          <w:color w:val="auto"/>
          <w:sz w:val="24"/>
          <w:highlight w:val="none"/>
        </w:rPr>
        <w:t xml:space="preserve">四、采购需求：</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（一）工作内容</w:t>
      </w:r>
      <w:r/>
    </w:p>
    <w:tbl>
      <w:tblPr>
        <w:tblStyle w:val="915"/>
        <w:tblW w:w="9444" w:type="dxa"/>
        <w:jc w:val="center"/>
        <w:tblLayout w:type="autofit"/>
        <w:tblCellMar>
          <w:left w:w="108" w:type="dxa"/>
          <w:top w:w="0" w:type="dxa"/>
          <w:right w:w="108" w:type="dxa"/>
          <w:bottom w:w="0" w:type="dxa"/>
        </w:tblCellMar>
        <w:tblLook w:val="04A0" w:firstRow="1" w:lastRow="0" w:firstColumn="1" w:lastColumn="0" w:noHBand="0" w:noVBand="1"/>
      </w:tblPr>
      <w:tblGrid>
        <w:gridCol w:w="1258"/>
        <w:gridCol w:w="1626"/>
        <w:gridCol w:w="2930"/>
        <w:gridCol w:w="992"/>
        <w:gridCol w:w="1246"/>
        <w:gridCol w:w="1392"/>
      </w:tblGrid>
      <w:tr>
        <w:trPr>
          <w:jc w:val="center"/>
          <w:trHeight w:val="453"/>
        </w:trPr>
        <w:tc>
          <w:tcPr>
            <w:tcBorders>
              <w:top w:val="single" w:color="000000" w:sz="8" w:space="0"/>
              <w:left w:val="single" w:color="000000" w:sz="8" w:space="0"/>
              <w:bottom w:val="single" w:color="000000" w:sz="8" w:space="0"/>
              <w:right w:val="single" w:color="000000" w:sz="8" w:space="0"/>
            </w:tcBorders>
            <w:tcW w:w="1258" w:type="dxa"/>
            <w:vAlign w:val="center"/>
            <w:textDirection w:val="lrTb"/>
            <w:noWrap w:val="false"/>
          </w:tcPr>
          <w:p>
            <w:pPr>
              <w:jc w:val="center"/>
              <w:widowControl/>
              <w:rPr>
                <w:rFonts w:ascii="宋体" w:hAnsi="宋体" w:cs="宋体"/>
                <w:b/>
                <w:bCs/>
                <w:color w:val="auto"/>
                <w:sz w:val="24"/>
              </w:rPr>
            </w:pPr>
            <w:r>
              <w:rPr>
                <w:rFonts w:hint="eastAsia" w:ascii="宋体" w:hAnsi="宋体" w:cs="宋体"/>
                <w:b/>
                <w:bCs/>
                <w:color w:val="auto"/>
                <w:sz w:val="24"/>
              </w:rPr>
              <w:t xml:space="preserve">序号</w:t>
            </w:r>
            <w:r/>
          </w:p>
        </w:tc>
        <w:tc>
          <w:tcPr>
            <w:tcBorders>
              <w:top w:val="single" w:color="000000" w:sz="8" w:space="0"/>
              <w:left w:val="none" w:color="000000" w:sz="4" w:space="0"/>
              <w:bottom w:val="single" w:color="000000" w:sz="8" w:space="0"/>
              <w:right w:val="single" w:color="000000" w:sz="8" w:space="0"/>
            </w:tcBorders>
            <w:tcW w:w="1626" w:type="dxa"/>
            <w:vAlign w:val="center"/>
            <w:textDirection w:val="lrTb"/>
            <w:noWrap w:val="false"/>
          </w:tcPr>
          <w:p>
            <w:pPr>
              <w:jc w:val="center"/>
              <w:widowControl/>
              <w:rPr>
                <w:rFonts w:ascii="宋体" w:hAnsi="宋体" w:cs="宋体"/>
                <w:b/>
                <w:bCs/>
                <w:color w:val="auto"/>
                <w:sz w:val="24"/>
              </w:rPr>
            </w:pPr>
            <w:r>
              <w:rPr>
                <w:rFonts w:hint="eastAsia" w:ascii="宋体" w:hAnsi="宋体" w:cs="宋体"/>
                <w:b/>
                <w:bCs/>
                <w:color w:val="auto"/>
                <w:sz w:val="24"/>
              </w:rPr>
              <w:t xml:space="preserve">项目名称</w:t>
            </w:r>
            <w:r/>
          </w:p>
        </w:tc>
        <w:tc>
          <w:tcPr>
            <w:tcBorders>
              <w:top w:val="single" w:color="000000" w:sz="8" w:space="0"/>
              <w:left w:val="none" w:color="000000" w:sz="4" w:space="0"/>
              <w:bottom w:val="single" w:color="000000" w:sz="8" w:space="0"/>
              <w:right w:val="single" w:color="000000" w:sz="8" w:space="0"/>
            </w:tcBorders>
            <w:tcW w:w="2930" w:type="dxa"/>
            <w:vAlign w:val="center"/>
            <w:textDirection w:val="lrTb"/>
            <w:noWrap w:val="false"/>
          </w:tcPr>
          <w:p>
            <w:pPr>
              <w:jc w:val="center"/>
              <w:widowControl/>
              <w:rPr>
                <w:rFonts w:ascii="宋体" w:hAnsi="宋体" w:cs="宋体"/>
                <w:b/>
                <w:bCs/>
                <w:color w:val="auto"/>
                <w:sz w:val="24"/>
              </w:rPr>
            </w:pPr>
            <w:r>
              <w:rPr>
                <w:rFonts w:hint="eastAsia" w:ascii="宋体" w:hAnsi="宋体" w:cs="宋体"/>
                <w:b/>
                <w:bCs/>
                <w:color w:val="auto"/>
                <w:sz w:val="24"/>
              </w:rPr>
              <w:t xml:space="preserve">服务综合要求</w:t>
            </w:r>
            <w:r/>
          </w:p>
        </w:tc>
        <w:tc>
          <w:tcPr>
            <w:tcBorders>
              <w:top w:val="single" w:color="000000" w:sz="8"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ascii="宋体" w:hAnsi="宋体" w:cs="宋体"/>
                <w:b/>
                <w:bCs/>
                <w:color w:val="auto"/>
                <w:sz w:val="24"/>
              </w:rPr>
            </w:pPr>
            <w:r>
              <w:rPr>
                <w:rFonts w:hint="eastAsia" w:ascii="宋体" w:hAnsi="宋体" w:cs="宋体"/>
                <w:b/>
                <w:bCs/>
                <w:color w:val="auto"/>
                <w:sz w:val="24"/>
              </w:rPr>
              <w:t xml:space="preserve">服务企业数</w:t>
            </w:r>
            <w:r/>
          </w:p>
        </w:tc>
        <w:tc>
          <w:tcPr>
            <w:tcBorders>
              <w:top w:val="single" w:color="000000" w:sz="8" w:space="0"/>
              <w:left w:val="none" w:color="000000" w:sz="4" w:space="0"/>
              <w:bottom w:val="single" w:color="000000" w:sz="8" w:space="0"/>
              <w:right w:val="single" w:color="000000" w:sz="8" w:space="0"/>
            </w:tcBorders>
            <w:tcW w:w="1246" w:type="dxa"/>
            <w:vAlign w:val="center"/>
            <w:textDirection w:val="lrTb"/>
            <w:noWrap w:val="false"/>
          </w:tcPr>
          <w:p>
            <w:pPr>
              <w:jc w:val="center"/>
              <w:widowControl/>
              <w:rPr>
                <w:rFonts w:ascii="宋体" w:hAnsi="宋体" w:cs="宋体"/>
                <w:b/>
                <w:bCs/>
                <w:color w:val="auto"/>
                <w:szCs w:val="21"/>
              </w:rPr>
            </w:pPr>
            <w:r>
              <w:rPr>
                <w:rFonts w:hint="eastAsia" w:ascii="宋体" w:hAnsi="宋体" w:cs="宋体"/>
                <w:b/>
                <w:bCs/>
                <w:color w:val="auto"/>
                <w:szCs w:val="21"/>
              </w:rPr>
              <w:t xml:space="preserve">预算单价</w:t>
            </w:r>
            <w:r/>
          </w:p>
        </w:tc>
        <w:tc>
          <w:tcPr>
            <w:tcBorders>
              <w:top w:val="single" w:color="000000" w:sz="8" w:space="0"/>
              <w:left w:val="none" w:color="000000" w:sz="4" w:space="0"/>
              <w:bottom w:val="single" w:color="000000" w:sz="8" w:space="0"/>
              <w:right w:val="single" w:color="000000" w:sz="8" w:space="0"/>
            </w:tcBorders>
            <w:tcW w:w="1392" w:type="dxa"/>
            <w:vAlign w:val="center"/>
            <w:textDirection w:val="lrTb"/>
            <w:noWrap w:val="false"/>
          </w:tcPr>
          <w:p>
            <w:pPr>
              <w:jc w:val="center"/>
              <w:widowControl/>
              <w:rPr>
                <w:rFonts w:ascii="宋体" w:hAnsi="宋体" w:cs="宋体"/>
                <w:b/>
                <w:bCs/>
                <w:color w:val="auto"/>
                <w:szCs w:val="21"/>
              </w:rPr>
            </w:pPr>
            <w:r>
              <w:rPr>
                <w:rFonts w:hint="eastAsia" w:ascii="宋体" w:hAnsi="宋体" w:cs="宋体"/>
                <w:b/>
                <w:bCs/>
                <w:color w:val="auto"/>
                <w:szCs w:val="21"/>
              </w:rPr>
              <w:t xml:space="preserve">预算总价（元）</w:t>
            </w:r>
            <w:r/>
          </w:p>
        </w:tc>
      </w:tr>
      <w:tr>
        <w:trPr>
          <w:jc w:val="center"/>
          <w:trHeight w:val="997"/>
        </w:trPr>
        <w:tc>
          <w:tcPr>
            <w:tcBorders>
              <w:top w:val="none" w:color="000000" w:sz="4" w:space="0"/>
              <w:left w:val="single" w:color="000000" w:sz="8" w:space="0"/>
              <w:bottom w:val="single" w:color="000000" w:sz="8" w:space="0"/>
              <w:right w:val="single" w:color="000000" w:sz="8" w:space="0"/>
            </w:tcBorders>
            <w:tcW w:w="1258" w:type="dxa"/>
            <w:vAlign w:val="center"/>
            <w:textDirection w:val="lrTb"/>
            <w:noWrap w:val="false"/>
          </w:tcPr>
          <w:p>
            <w:pPr>
              <w:jc w:val="center"/>
              <w:widowControl/>
              <w:rPr>
                <w:rFonts w:ascii="宋体" w:hAnsi="宋体" w:cs="宋体"/>
                <w:b/>
                <w:bCs/>
                <w:color w:val="auto"/>
                <w:sz w:val="24"/>
              </w:rPr>
            </w:pPr>
            <w:r>
              <w:rPr>
                <w:rFonts w:hint="eastAsia" w:ascii="宋体" w:hAnsi="宋体" w:cs="宋体"/>
                <w:b/>
                <w:bCs/>
                <w:color w:val="auto"/>
                <w:sz w:val="24"/>
              </w:rPr>
              <w:t xml:space="preserve">标段一</w:t>
            </w:r>
            <w:r/>
          </w:p>
        </w:tc>
        <w:tc>
          <w:tcPr>
            <w:tcBorders>
              <w:top w:val="none" w:color="000000" w:sz="4" w:space="0"/>
              <w:left w:val="none" w:color="000000" w:sz="4" w:space="0"/>
              <w:bottom w:val="single" w:color="000000" w:sz="8" w:space="0"/>
              <w:right w:val="single" w:color="000000" w:sz="8" w:space="0"/>
            </w:tcBorders>
            <w:tcW w:w="1626"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苏州工业园区</w:t>
            </w:r>
            <w:r>
              <w:rPr>
                <w:color w:val="auto"/>
                <w:sz w:val="24"/>
              </w:rPr>
              <w:t xml:space="preserve">202</w:t>
            </w:r>
            <w:r>
              <w:rPr>
                <w:rFonts w:hint="eastAsia"/>
                <w:color w:val="auto"/>
                <w:sz w:val="24"/>
                <w:lang w:val="en-US" w:eastAsia="zh-CN"/>
              </w:rPr>
              <w:t xml:space="preserve">6</w:t>
            </w:r>
            <w:r>
              <w:rPr>
                <w:rFonts w:ascii="宋体" w:hAnsi="宋体" w:cs="宋体"/>
                <w:color w:val="auto"/>
                <w:sz w:val="24"/>
              </w:rPr>
              <w:t xml:space="preserve">年度工贸领域企业第三方安全生产指导服务标段一</w:t>
            </w:r>
            <w:r/>
          </w:p>
        </w:tc>
        <w:tc>
          <w:tcPr>
            <w:tcBorders>
              <w:top w:val="none" w:color="000000" w:sz="4" w:space="0"/>
              <w:left w:val="none" w:color="000000" w:sz="4" w:space="0"/>
              <w:bottom w:val="single" w:color="000000" w:sz="8" w:space="0"/>
              <w:right w:val="single" w:color="000000" w:sz="8" w:space="0"/>
            </w:tcBorders>
            <w:tcW w:w="293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对园区粉尘涉爆、金属熔融、危化品使用、电镀、加热、锂电池等重点行业领域企业开展第三方核查服务指导暨</w:t>
            </w:r>
            <w:r>
              <w:rPr>
                <w:rFonts w:hint="eastAsia" w:ascii="宋体" w:hAnsi="宋体" w:cs="宋体"/>
                <w:color w:val="auto"/>
                <w:sz w:val="24"/>
                <w:lang w:eastAsia="zh-CN"/>
              </w:rPr>
              <w:t xml:space="preserve">工艺和设备安全性评估</w:t>
            </w:r>
            <w:r>
              <w:rPr>
                <w:rFonts w:hint="eastAsia" w:ascii="宋体" w:hAnsi="宋体" w:cs="宋体"/>
                <w:color w:val="auto"/>
                <w:sz w:val="24"/>
              </w:rPr>
              <w:t xml:space="preserve">（项目一）</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color w:val="auto"/>
                <w:sz w:val="24"/>
              </w:rPr>
            </w:pPr>
            <w:r>
              <w:rPr>
                <w:rFonts w:hint="eastAsia" w:ascii="宋体" w:hAnsi="宋体"/>
                <w:color w:val="auto"/>
                <w:sz w:val="24"/>
                <w:lang w:val="en-US" w:eastAsia="zh-CN"/>
              </w:rPr>
              <w:t xml:space="preserve">50</w:t>
            </w:r>
            <w:r>
              <w:rPr>
                <w:rFonts w:ascii="宋体" w:hAnsi="宋体"/>
                <w:color w:val="auto"/>
                <w:sz w:val="24"/>
              </w:rPr>
              <w:t xml:space="preserve">家</w:t>
            </w:r>
            <w:r/>
          </w:p>
        </w:tc>
        <w:tc>
          <w:tcPr>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widowControl/>
              <w:rPr>
                <w:color w:val="auto"/>
                <w:sz w:val="24"/>
              </w:rPr>
            </w:pPr>
            <w:r>
              <w:rPr>
                <w:rFonts w:hint="eastAsia" w:ascii="宋体" w:hAnsi="宋体"/>
                <w:color w:val="auto"/>
                <w:sz w:val="24"/>
                <w:lang w:val="en-US" w:eastAsia="zh-CN"/>
              </w:rPr>
              <w:t xml:space="preserve">6000</w:t>
            </w:r>
            <w:r>
              <w:rPr>
                <w:rFonts w:ascii="宋体" w:hAnsi="宋体"/>
                <w:color w:val="auto"/>
                <w:sz w:val="24"/>
              </w:rPr>
              <w:t xml:space="preserve">元</w:t>
            </w:r>
            <w:r>
              <w:rPr>
                <w:color w:val="auto"/>
                <w:sz w:val="24"/>
              </w:rPr>
              <w:t xml:space="preserve">/</w:t>
            </w:r>
            <w:r>
              <w:rPr>
                <w:rFonts w:ascii="宋体" w:hAnsi="宋体"/>
                <w:color w:val="auto"/>
                <w:sz w:val="24"/>
              </w:rPr>
              <w:t xml:space="preserve">家</w:t>
            </w:r>
            <w:r/>
          </w:p>
        </w:tc>
        <w:tc>
          <w:tcPr>
            <w:tcBorders>
              <w:top w:val="none" w:color="000000" w:sz="4" w:space="0"/>
              <w:left w:val="none" w:color="000000" w:sz="4" w:space="0"/>
              <w:bottom w:val="single" w:color="000000" w:sz="8" w:space="0"/>
              <w:right w:val="single" w:color="000000" w:sz="8" w:space="0"/>
            </w:tcBorders>
            <w:tcW w:w="1392" w:type="dxa"/>
            <w:vAlign w:val="center"/>
            <w:textDirection w:val="lrTb"/>
            <w:noWrap w:val="false"/>
          </w:tcPr>
          <w:p>
            <w:pPr>
              <w:jc w:val="center"/>
              <w:widowControl/>
              <w:rPr>
                <w:color w:val="auto"/>
                <w:sz w:val="24"/>
              </w:rPr>
            </w:pPr>
            <w:r>
              <w:rPr>
                <w:rFonts w:hint="eastAsia" w:ascii="宋体" w:hAnsi="宋体"/>
                <w:color w:val="auto"/>
                <w:sz w:val="24"/>
                <w:lang w:val="en-US" w:eastAsia="zh-CN"/>
              </w:rPr>
              <w:t xml:space="preserve">300000</w:t>
            </w:r>
            <w:r>
              <w:rPr>
                <w:rFonts w:ascii="宋体" w:hAnsi="宋体"/>
                <w:color w:val="auto"/>
                <w:sz w:val="24"/>
              </w:rPr>
              <w:t xml:space="preserve">元</w:t>
            </w:r>
            <w:r/>
          </w:p>
        </w:tc>
      </w:tr>
      <w:tr>
        <w:trPr>
          <w:jc w:val="center"/>
          <w:trHeight w:val="770"/>
        </w:trPr>
        <w:tc>
          <w:tcPr>
            <w:tcBorders>
              <w:top w:val="none" w:color="000000" w:sz="4" w:space="0"/>
              <w:left w:val="single" w:color="000000" w:sz="8" w:space="0"/>
              <w:bottom w:val="single" w:color="000000" w:sz="8" w:space="0"/>
              <w:right w:val="single" w:color="000000" w:sz="8" w:space="0"/>
            </w:tcBorders>
            <w:tcW w:w="1258" w:type="dxa"/>
            <w:vAlign w:val="center"/>
            <w:textDirection w:val="lrTb"/>
            <w:noWrap w:val="false"/>
          </w:tcPr>
          <w:p>
            <w:pPr>
              <w:jc w:val="center"/>
              <w:widowControl/>
              <w:rPr>
                <w:rFonts w:ascii="宋体" w:hAnsi="宋体" w:cs="宋体"/>
                <w:b/>
                <w:bCs/>
                <w:color w:val="auto"/>
                <w:sz w:val="24"/>
              </w:rPr>
            </w:pPr>
            <w:r>
              <w:rPr>
                <w:rFonts w:hint="eastAsia" w:ascii="宋体" w:hAnsi="宋体" w:cs="宋体"/>
                <w:b/>
                <w:bCs/>
                <w:color w:val="auto"/>
                <w:sz w:val="24"/>
              </w:rPr>
              <w:t xml:space="preserve">标段二</w:t>
            </w:r>
            <w:r/>
          </w:p>
        </w:tc>
        <w:tc>
          <w:tcPr>
            <w:tcBorders>
              <w:top w:val="none" w:color="000000" w:sz="4" w:space="0"/>
              <w:left w:val="none" w:color="000000" w:sz="4" w:space="0"/>
              <w:bottom w:val="single" w:color="000000" w:sz="8" w:space="0"/>
              <w:right w:val="single" w:color="000000" w:sz="8" w:space="0"/>
            </w:tcBorders>
            <w:tcW w:w="1626"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苏州工业园区</w:t>
            </w:r>
            <w:r>
              <w:rPr>
                <w:color w:val="auto"/>
                <w:sz w:val="24"/>
              </w:rPr>
              <w:t xml:space="preserve">202</w:t>
            </w:r>
            <w:r>
              <w:rPr>
                <w:rFonts w:hint="eastAsia"/>
                <w:color w:val="auto"/>
                <w:sz w:val="24"/>
                <w:lang w:val="en-US" w:eastAsia="zh-CN"/>
              </w:rPr>
              <w:t xml:space="preserve">6</w:t>
            </w:r>
            <w:r>
              <w:rPr>
                <w:rFonts w:ascii="宋体" w:hAnsi="宋体" w:cs="宋体"/>
                <w:color w:val="auto"/>
                <w:sz w:val="24"/>
              </w:rPr>
              <w:t xml:space="preserve">年度工贸领域企业第三方安全生产指导服务标段二</w:t>
            </w:r>
            <w:r/>
          </w:p>
        </w:tc>
        <w:tc>
          <w:tcPr>
            <w:tcBorders>
              <w:top w:val="none" w:color="000000" w:sz="4" w:space="0"/>
              <w:left w:val="none" w:color="000000" w:sz="4" w:space="0"/>
              <w:bottom w:val="single" w:color="000000" w:sz="8" w:space="0"/>
              <w:right w:val="single" w:color="000000" w:sz="8" w:space="0"/>
            </w:tcBorders>
            <w:tcW w:w="293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对园区粉尘涉爆、金属熔融、危化品使用、电镀、加热、锂电池等重点行业领域企业开展第三方核查服务指导暨</w:t>
            </w:r>
            <w:r>
              <w:rPr>
                <w:rFonts w:hint="eastAsia" w:ascii="宋体" w:hAnsi="宋体" w:cs="宋体"/>
                <w:color w:val="auto"/>
                <w:sz w:val="24"/>
                <w:lang w:eastAsia="zh-CN"/>
              </w:rPr>
              <w:t xml:space="preserve">工艺和设备安全性评估</w:t>
            </w:r>
            <w:r>
              <w:rPr>
                <w:rFonts w:hint="eastAsia" w:ascii="宋体" w:hAnsi="宋体" w:cs="宋体"/>
                <w:color w:val="auto"/>
                <w:sz w:val="24"/>
              </w:rPr>
              <w:t xml:space="preserve">（项目二）</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color w:val="auto"/>
                <w:sz w:val="24"/>
              </w:rPr>
            </w:pPr>
            <w:r>
              <w:rPr>
                <w:rFonts w:hint="eastAsia" w:ascii="宋体" w:hAnsi="宋体"/>
                <w:color w:val="auto"/>
                <w:sz w:val="24"/>
                <w:lang w:val="en-US" w:eastAsia="zh-CN"/>
              </w:rPr>
              <w:t xml:space="preserve">50</w:t>
            </w:r>
            <w:r>
              <w:rPr>
                <w:rFonts w:ascii="宋体" w:hAnsi="宋体"/>
                <w:color w:val="auto"/>
                <w:sz w:val="24"/>
              </w:rPr>
              <w:t xml:space="preserve">家</w:t>
            </w:r>
            <w:r/>
          </w:p>
        </w:tc>
        <w:tc>
          <w:tcPr>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widowControl/>
              <w:rPr>
                <w:color w:val="auto"/>
                <w:sz w:val="24"/>
              </w:rPr>
            </w:pPr>
            <w:r>
              <w:rPr>
                <w:rFonts w:hint="eastAsia" w:ascii="宋体" w:hAnsi="宋体"/>
                <w:color w:val="auto"/>
                <w:sz w:val="24"/>
                <w:lang w:val="en-US" w:eastAsia="zh-CN"/>
              </w:rPr>
              <w:t xml:space="preserve">6000</w:t>
            </w:r>
            <w:r>
              <w:rPr>
                <w:rFonts w:ascii="宋体" w:hAnsi="宋体"/>
                <w:color w:val="auto"/>
                <w:sz w:val="24"/>
              </w:rPr>
              <w:t xml:space="preserve">元</w:t>
            </w:r>
            <w:r>
              <w:rPr>
                <w:color w:val="auto"/>
                <w:sz w:val="24"/>
              </w:rPr>
              <w:t xml:space="preserve">/</w:t>
            </w:r>
            <w:r>
              <w:rPr>
                <w:rFonts w:ascii="宋体" w:hAnsi="宋体"/>
                <w:color w:val="auto"/>
                <w:sz w:val="24"/>
              </w:rPr>
              <w:t xml:space="preserve">家</w:t>
            </w:r>
            <w:r/>
          </w:p>
        </w:tc>
        <w:tc>
          <w:tcPr>
            <w:tcBorders>
              <w:top w:val="none" w:color="000000" w:sz="4" w:space="0"/>
              <w:left w:val="none" w:color="000000" w:sz="4" w:space="0"/>
              <w:bottom w:val="single" w:color="000000" w:sz="8" w:space="0"/>
              <w:right w:val="single" w:color="000000" w:sz="8" w:space="0"/>
            </w:tcBorders>
            <w:tcW w:w="1392" w:type="dxa"/>
            <w:vAlign w:val="center"/>
            <w:textDirection w:val="lrTb"/>
            <w:noWrap w:val="false"/>
          </w:tcPr>
          <w:p>
            <w:pPr>
              <w:jc w:val="center"/>
              <w:widowControl/>
              <w:rPr>
                <w:color w:val="auto"/>
                <w:sz w:val="24"/>
              </w:rPr>
            </w:pPr>
            <w:r>
              <w:rPr>
                <w:rFonts w:hint="eastAsia" w:ascii="宋体" w:hAnsi="宋体"/>
                <w:color w:val="auto"/>
                <w:sz w:val="24"/>
                <w:lang w:val="en-US" w:eastAsia="zh-CN"/>
              </w:rPr>
              <w:t xml:space="preserve">300000</w:t>
            </w:r>
            <w:r>
              <w:rPr>
                <w:rFonts w:ascii="宋体" w:hAnsi="宋体"/>
                <w:color w:val="auto"/>
                <w:sz w:val="24"/>
              </w:rPr>
              <w:t xml:space="preserve">元</w:t>
            </w:r>
            <w:r/>
          </w:p>
        </w:tc>
      </w:tr>
      <w:tr>
        <w:trPr>
          <w:jc w:val="center"/>
          <w:trHeight w:val="1148"/>
        </w:trPr>
        <w:tc>
          <w:tcPr>
            <w:tcBorders>
              <w:top w:val="none" w:color="000000" w:sz="4" w:space="0"/>
              <w:left w:val="single" w:color="000000" w:sz="8" w:space="0"/>
              <w:bottom w:val="single" w:color="000000" w:sz="8" w:space="0"/>
              <w:right w:val="single" w:color="000000" w:sz="8" w:space="0"/>
            </w:tcBorders>
            <w:tcW w:w="1258" w:type="dxa"/>
            <w:vAlign w:val="center"/>
            <w:textDirection w:val="lrTb"/>
            <w:noWrap w:val="false"/>
          </w:tcPr>
          <w:p>
            <w:pPr>
              <w:jc w:val="center"/>
              <w:widowControl/>
              <w:rPr>
                <w:rFonts w:hint="eastAsia" w:ascii="宋体" w:hAnsi="宋体" w:eastAsia="宋体" w:cs="宋体"/>
                <w:b/>
                <w:bCs/>
                <w:color w:val="auto"/>
                <w:sz w:val="24"/>
                <w:lang w:eastAsia="zh-CN"/>
              </w:rPr>
            </w:pPr>
            <w:r>
              <w:rPr>
                <w:rFonts w:hint="eastAsia" w:ascii="宋体" w:hAnsi="宋体" w:cs="宋体"/>
                <w:b/>
                <w:bCs/>
                <w:color w:val="auto"/>
                <w:sz w:val="24"/>
              </w:rPr>
              <w:t xml:space="preserve">标段</w:t>
            </w:r>
            <w:r>
              <w:rPr>
                <w:rFonts w:hint="eastAsia" w:ascii="宋体" w:hAnsi="宋体" w:cs="宋体"/>
                <w:b/>
                <w:bCs/>
                <w:color w:val="auto"/>
                <w:sz w:val="24"/>
                <w:lang w:eastAsia="zh-CN"/>
              </w:rPr>
              <w:t xml:space="preserve">三</w:t>
            </w:r>
            <w:r/>
          </w:p>
        </w:tc>
        <w:tc>
          <w:tcPr>
            <w:tcBorders>
              <w:top w:val="none" w:color="000000" w:sz="4" w:space="0"/>
              <w:left w:val="none" w:color="000000" w:sz="4" w:space="0"/>
              <w:bottom w:val="single" w:color="000000" w:sz="8" w:space="0"/>
              <w:right w:val="single" w:color="000000" w:sz="8" w:space="0"/>
            </w:tcBorders>
            <w:tcW w:w="1626" w:type="dxa"/>
            <w:vAlign w:val="center"/>
            <w:textDirection w:val="lrTb"/>
            <w:noWrap w:val="false"/>
          </w:tcPr>
          <w:p>
            <w:pPr>
              <w:jc w:val="center"/>
              <w:widowControl/>
              <w:rPr>
                <w:rFonts w:hint="eastAsia" w:ascii="宋体" w:hAnsi="宋体" w:eastAsia="宋体" w:cs="宋体"/>
                <w:color w:val="auto"/>
                <w:sz w:val="24"/>
                <w:lang w:eastAsia="zh-CN"/>
              </w:rPr>
            </w:pPr>
            <w:r>
              <w:rPr>
                <w:rFonts w:hint="eastAsia" w:ascii="宋体" w:hAnsi="宋体" w:cs="宋体"/>
                <w:color w:val="auto"/>
                <w:sz w:val="24"/>
              </w:rPr>
              <w:t xml:space="preserve">苏州工业园区</w:t>
            </w:r>
            <w:r>
              <w:rPr>
                <w:color w:val="auto"/>
                <w:sz w:val="24"/>
              </w:rPr>
              <w:t xml:space="preserve">202</w:t>
            </w:r>
            <w:r>
              <w:rPr>
                <w:rFonts w:hint="eastAsia"/>
                <w:color w:val="auto"/>
                <w:sz w:val="24"/>
                <w:lang w:val="en-US" w:eastAsia="zh-CN"/>
              </w:rPr>
              <w:t xml:space="preserve">6</w:t>
            </w:r>
            <w:r>
              <w:rPr>
                <w:rFonts w:ascii="宋体" w:hAnsi="宋体" w:cs="宋体"/>
                <w:color w:val="auto"/>
                <w:sz w:val="24"/>
              </w:rPr>
              <w:t xml:space="preserve">年度工贸领域企业第三方安全生产指导服务标段</w:t>
            </w:r>
            <w:r>
              <w:rPr>
                <w:rFonts w:hint="eastAsia" w:ascii="宋体" w:hAnsi="宋体" w:cs="宋体"/>
                <w:color w:val="auto"/>
                <w:sz w:val="24"/>
                <w:lang w:eastAsia="zh-CN"/>
              </w:rPr>
              <w:t xml:space="preserve">三</w:t>
            </w:r>
            <w:r/>
          </w:p>
        </w:tc>
        <w:tc>
          <w:tcPr>
            <w:tcBorders>
              <w:top w:val="none" w:color="000000" w:sz="4" w:space="0"/>
              <w:left w:val="none" w:color="000000" w:sz="4" w:space="0"/>
              <w:bottom w:val="single" w:color="000000" w:sz="8" w:space="0"/>
              <w:right w:val="single" w:color="000000" w:sz="8" w:space="0"/>
            </w:tcBorders>
            <w:tcW w:w="293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对园区出租载体（厂中厂）开展第三方核查服务暨安全规范化建设指导</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color w:val="auto"/>
                <w:sz w:val="24"/>
              </w:rPr>
            </w:pPr>
            <w:r>
              <w:rPr>
                <w:rFonts w:hint="eastAsia" w:ascii="宋体" w:hAnsi="宋体"/>
                <w:color w:val="auto"/>
                <w:sz w:val="24"/>
                <w:lang w:val="en-US" w:eastAsia="zh-CN"/>
              </w:rPr>
              <w:t xml:space="preserve">50</w:t>
            </w:r>
            <w:r>
              <w:rPr>
                <w:rFonts w:ascii="宋体" w:hAnsi="宋体"/>
                <w:color w:val="auto"/>
                <w:sz w:val="24"/>
              </w:rPr>
              <w:t xml:space="preserve">家</w:t>
            </w:r>
            <w:r/>
          </w:p>
        </w:tc>
        <w:tc>
          <w:tcPr>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widowControl/>
              <w:rPr>
                <w:color w:val="auto"/>
                <w:sz w:val="24"/>
              </w:rPr>
            </w:pPr>
            <w:r>
              <w:rPr>
                <w:rFonts w:hint="eastAsia" w:ascii="宋体" w:hAnsi="宋体"/>
                <w:color w:val="auto"/>
                <w:sz w:val="24"/>
                <w:lang w:val="en-US" w:eastAsia="zh-CN"/>
              </w:rPr>
              <w:t xml:space="preserve">5000</w:t>
            </w:r>
            <w:r>
              <w:rPr>
                <w:rFonts w:ascii="宋体" w:hAnsi="宋体"/>
                <w:color w:val="auto"/>
                <w:sz w:val="24"/>
              </w:rPr>
              <w:t xml:space="preserve">元</w:t>
            </w:r>
            <w:r>
              <w:rPr>
                <w:color w:val="auto"/>
                <w:sz w:val="24"/>
              </w:rPr>
              <w:t xml:space="preserve">/</w:t>
            </w:r>
            <w:r>
              <w:rPr>
                <w:rFonts w:ascii="宋体" w:hAnsi="宋体"/>
                <w:color w:val="auto"/>
                <w:sz w:val="24"/>
              </w:rPr>
              <w:t xml:space="preserve">家</w:t>
            </w:r>
            <w:r/>
          </w:p>
        </w:tc>
        <w:tc>
          <w:tcPr>
            <w:tcBorders>
              <w:top w:val="none" w:color="000000" w:sz="4" w:space="0"/>
              <w:left w:val="none" w:color="000000" w:sz="4" w:space="0"/>
              <w:bottom w:val="single" w:color="000000" w:sz="8" w:space="0"/>
              <w:right w:val="single" w:color="000000" w:sz="8" w:space="0"/>
            </w:tcBorders>
            <w:tcW w:w="1392" w:type="dxa"/>
            <w:vAlign w:val="center"/>
            <w:textDirection w:val="lrTb"/>
            <w:noWrap w:val="false"/>
          </w:tcPr>
          <w:p>
            <w:pPr>
              <w:jc w:val="center"/>
              <w:widowControl/>
              <w:rPr>
                <w:color w:val="auto"/>
                <w:sz w:val="24"/>
              </w:rPr>
            </w:pPr>
            <w:r>
              <w:rPr>
                <w:rFonts w:hint="eastAsia" w:ascii="宋体" w:hAnsi="宋体"/>
                <w:color w:val="auto"/>
                <w:sz w:val="24"/>
                <w:lang w:val="en-US" w:eastAsia="zh-CN"/>
              </w:rPr>
              <w:t xml:space="preserve">250000</w:t>
            </w:r>
            <w:r>
              <w:rPr>
                <w:rFonts w:ascii="宋体" w:hAnsi="宋体"/>
                <w:color w:val="auto"/>
                <w:sz w:val="24"/>
              </w:rPr>
              <w:t xml:space="preserve">元</w:t>
            </w:r>
            <w:r/>
          </w:p>
        </w:tc>
      </w:tr>
      <w:tr>
        <w:trPr>
          <w:jc w:val="center"/>
          <w:trHeight w:val="725"/>
        </w:trPr>
        <w:tc>
          <w:tcPr>
            <w:tcBorders>
              <w:top w:val="none" w:color="000000" w:sz="4" w:space="0"/>
              <w:left w:val="single" w:color="000000" w:sz="8" w:space="0"/>
              <w:bottom w:val="single" w:color="000000" w:sz="8" w:space="0"/>
              <w:right w:val="single" w:color="000000" w:sz="8" w:space="0"/>
            </w:tcBorders>
            <w:tcW w:w="1258" w:type="dxa"/>
            <w:vAlign w:val="center"/>
            <w:textDirection w:val="lrTb"/>
            <w:noWrap w:val="false"/>
          </w:tcPr>
          <w:p>
            <w:pPr>
              <w:jc w:val="center"/>
              <w:widowControl/>
              <w:rPr>
                <w:rFonts w:hint="eastAsia" w:ascii="宋体" w:hAnsi="宋体" w:eastAsia="宋体" w:cs="宋体"/>
                <w:b/>
                <w:bCs/>
                <w:color w:val="auto"/>
                <w:sz w:val="24"/>
                <w:lang w:eastAsia="zh-CN"/>
              </w:rPr>
            </w:pPr>
            <w:r>
              <w:rPr>
                <w:rFonts w:hint="eastAsia" w:ascii="宋体" w:hAnsi="宋体" w:cs="宋体"/>
                <w:b/>
                <w:bCs/>
                <w:color w:val="auto"/>
                <w:sz w:val="24"/>
              </w:rPr>
              <w:t xml:space="preserve">标段</w:t>
            </w:r>
            <w:r>
              <w:rPr>
                <w:rFonts w:hint="eastAsia" w:ascii="宋体" w:hAnsi="宋体" w:cs="宋体"/>
                <w:b/>
                <w:bCs/>
                <w:color w:val="auto"/>
                <w:sz w:val="24"/>
                <w:lang w:eastAsia="zh-CN"/>
              </w:rPr>
              <w:t xml:space="preserve">四</w:t>
            </w:r>
            <w:r/>
          </w:p>
        </w:tc>
        <w:tc>
          <w:tcPr>
            <w:tcBorders>
              <w:top w:val="none" w:color="000000" w:sz="4" w:space="0"/>
              <w:left w:val="none" w:color="000000" w:sz="4" w:space="0"/>
              <w:bottom w:val="single" w:color="000000" w:sz="8" w:space="0"/>
              <w:right w:val="single" w:color="000000" w:sz="8" w:space="0"/>
            </w:tcBorders>
            <w:tcW w:w="1626" w:type="dxa"/>
            <w:vAlign w:val="center"/>
            <w:textDirection w:val="lrTb"/>
            <w:noWrap w:val="false"/>
          </w:tcPr>
          <w:p>
            <w:pPr>
              <w:jc w:val="center"/>
              <w:widowControl/>
              <w:rPr>
                <w:rFonts w:hint="eastAsia" w:ascii="宋体" w:hAnsi="宋体" w:eastAsia="宋体" w:cs="宋体"/>
                <w:color w:val="auto"/>
                <w:sz w:val="24"/>
                <w:lang w:eastAsia="zh-CN"/>
              </w:rPr>
            </w:pPr>
            <w:r>
              <w:rPr>
                <w:rFonts w:hint="eastAsia" w:ascii="宋体" w:hAnsi="宋体" w:cs="宋体"/>
                <w:color w:val="auto"/>
                <w:sz w:val="24"/>
              </w:rPr>
              <w:t xml:space="preserve">苏州工业园区</w:t>
            </w:r>
            <w:r>
              <w:rPr>
                <w:color w:val="auto"/>
                <w:sz w:val="24"/>
              </w:rPr>
              <w:t xml:space="preserve">202</w:t>
            </w:r>
            <w:r>
              <w:rPr>
                <w:rFonts w:hint="eastAsia"/>
                <w:color w:val="auto"/>
                <w:sz w:val="24"/>
                <w:lang w:val="en-US" w:eastAsia="zh-CN"/>
              </w:rPr>
              <w:t xml:space="preserve">6</w:t>
            </w:r>
            <w:r>
              <w:rPr>
                <w:rFonts w:ascii="宋体" w:hAnsi="宋体" w:cs="宋体"/>
                <w:color w:val="auto"/>
                <w:sz w:val="24"/>
              </w:rPr>
              <w:t xml:space="preserve">年度工贸领域企业第三方安全生产指导服务标段</w:t>
            </w:r>
            <w:r>
              <w:rPr>
                <w:rFonts w:hint="eastAsia" w:ascii="宋体" w:hAnsi="宋体" w:cs="宋体"/>
                <w:color w:val="auto"/>
                <w:sz w:val="24"/>
                <w:lang w:eastAsia="zh-CN"/>
              </w:rPr>
              <w:t xml:space="preserve">四</w:t>
            </w:r>
            <w:r/>
          </w:p>
        </w:tc>
        <w:tc>
          <w:tcPr>
            <w:tcBorders>
              <w:top w:val="none" w:color="000000" w:sz="4" w:space="0"/>
              <w:left w:val="none" w:color="000000" w:sz="4" w:space="0"/>
              <w:bottom w:val="single" w:color="000000" w:sz="8" w:space="0"/>
              <w:right w:val="single" w:color="000000" w:sz="8" w:space="0"/>
            </w:tcBorders>
            <w:tcW w:w="293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对园区上市企业、拟上市企业、苗圃企业、瞪羚企业等重点企业开展安全专项服务</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color w:val="auto"/>
                <w:sz w:val="24"/>
              </w:rPr>
            </w:pPr>
            <w:r>
              <w:rPr>
                <w:rFonts w:hint="eastAsia" w:ascii="宋体" w:hAnsi="宋体"/>
                <w:color w:val="auto"/>
                <w:sz w:val="24"/>
                <w:lang w:val="en-US" w:eastAsia="zh-CN"/>
              </w:rPr>
              <w:t xml:space="preserve">50</w:t>
            </w:r>
            <w:r>
              <w:rPr>
                <w:rFonts w:ascii="宋体" w:hAnsi="宋体"/>
                <w:color w:val="auto"/>
                <w:sz w:val="24"/>
              </w:rPr>
              <w:t xml:space="preserve">家</w:t>
            </w:r>
            <w:r/>
          </w:p>
        </w:tc>
        <w:tc>
          <w:tcPr>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widowControl/>
              <w:rPr>
                <w:color w:val="auto"/>
                <w:sz w:val="24"/>
              </w:rPr>
            </w:pPr>
            <w:r>
              <w:rPr>
                <w:rFonts w:hint="eastAsia" w:ascii="宋体" w:hAnsi="宋体"/>
                <w:color w:val="auto"/>
                <w:sz w:val="24"/>
                <w:lang w:val="en-US" w:eastAsia="zh-CN"/>
              </w:rPr>
              <w:t xml:space="preserve">5000</w:t>
            </w:r>
            <w:r>
              <w:rPr>
                <w:rFonts w:ascii="宋体" w:hAnsi="宋体"/>
                <w:color w:val="auto"/>
                <w:sz w:val="24"/>
              </w:rPr>
              <w:t xml:space="preserve">元</w:t>
            </w:r>
            <w:r>
              <w:rPr>
                <w:color w:val="auto"/>
                <w:sz w:val="24"/>
              </w:rPr>
              <w:t xml:space="preserve">/</w:t>
            </w:r>
            <w:r>
              <w:rPr>
                <w:rFonts w:ascii="宋体" w:hAnsi="宋体"/>
                <w:color w:val="auto"/>
                <w:sz w:val="24"/>
              </w:rPr>
              <w:t xml:space="preserve">家</w:t>
            </w:r>
            <w:r/>
          </w:p>
        </w:tc>
        <w:tc>
          <w:tcPr>
            <w:tcBorders>
              <w:top w:val="none" w:color="000000" w:sz="4" w:space="0"/>
              <w:left w:val="none" w:color="000000" w:sz="4" w:space="0"/>
              <w:bottom w:val="single" w:color="000000" w:sz="8" w:space="0"/>
              <w:right w:val="single" w:color="000000" w:sz="8" w:space="0"/>
            </w:tcBorders>
            <w:tcW w:w="1392" w:type="dxa"/>
            <w:vAlign w:val="center"/>
            <w:textDirection w:val="lrTb"/>
            <w:noWrap w:val="false"/>
          </w:tcPr>
          <w:p>
            <w:pPr>
              <w:jc w:val="center"/>
              <w:widowControl/>
              <w:rPr>
                <w:color w:val="auto"/>
                <w:sz w:val="24"/>
              </w:rPr>
            </w:pPr>
            <w:r>
              <w:rPr>
                <w:rFonts w:hint="eastAsia" w:ascii="宋体" w:hAnsi="宋体"/>
                <w:color w:val="auto"/>
                <w:sz w:val="24"/>
                <w:lang w:val="en-US" w:eastAsia="zh-CN"/>
              </w:rPr>
              <w:t xml:space="preserve">250000</w:t>
            </w:r>
            <w:r>
              <w:rPr>
                <w:rFonts w:ascii="宋体" w:hAnsi="宋体"/>
                <w:color w:val="auto"/>
                <w:sz w:val="24"/>
              </w:rPr>
              <w:t xml:space="preserve">元</w:t>
            </w:r>
            <w:r/>
          </w:p>
        </w:tc>
      </w:tr>
    </w:tbl>
    <w:p>
      <w:pPr>
        <w:ind w:firstLine="480"/>
        <w:spacing w:line="360" w:lineRule="auto"/>
        <w:tabs>
          <w:tab w:val="left" w:pos="420" w:leader="none"/>
          <w:tab w:val="left" w:pos="525" w:leader="none"/>
        </w:tabs>
        <w:rPr>
          <w:rFonts w:hint="eastAsia" w:ascii="宋体" w:hAnsi="宋体" w:cs="宋体"/>
          <w:sz w:val="24"/>
          <w:shd w:val="clear" w:color="auto" w:fill="ffffff"/>
        </w:rPr>
      </w:pPr>
      <w:r>
        <w:rPr>
          <w:rFonts w:hint="eastAsia" w:ascii="宋体" w:hAnsi="宋体" w:cs="宋体"/>
          <w:color w:val="auto"/>
          <w:sz w:val="24"/>
          <w:highlight w:val="none"/>
        </w:rPr>
        <w:t xml:space="preserve">注：响应单位在营业范围内，具有安全服务、安全评价、安全咨</w:t>
      </w:r>
      <w:r>
        <w:rPr>
          <w:rFonts w:hint="eastAsia" w:ascii="宋体" w:hAnsi="宋体" w:cs="宋体"/>
          <w:sz w:val="24"/>
        </w:rPr>
        <w:t xml:space="preserve">询等相关业务内容。</w:t>
      </w:r>
      <w:r/>
    </w:p>
    <w:p>
      <w:pPr>
        <w:ind w:left="-2" w:firstLine="482"/>
        <w:spacing w:line="360" w:lineRule="auto"/>
        <w:rPr>
          <w:rFonts w:ascii="宋体" w:hAnsi="宋体" w:cs="宋体"/>
          <w:b/>
          <w:color w:val="auto"/>
          <w:sz w:val="24"/>
        </w:rPr>
      </w:pPr>
      <w:r>
        <w:rPr>
          <w:rFonts w:hint="eastAsia" w:ascii="宋体" w:hAnsi="宋体" w:cs="宋体"/>
          <w:b/>
          <w:sz w:val="24"/>
        </w:rPr>
        <w:t xml:space="preserve">（一）</w:t>
      </w:r>
      <w:r>
        <w:rPr>
          <w:rFonts w:hint="eastAsia" w:ascii="宋体" w:hAnsi="宋体" w:cs="宋体"/>
          <w:b/>
          <w:color w:val="auto"/>
          <w:sz w:val="24"/>
        </w:rPr>
        <w:t xml:space="preserve">服务内容要求</w:t>
      </w:r>
      <w:r/>
    </w:p>
    <w:p>
      <w:pPr>
        <w:ind w:left="-2" w:firstLine="486"/>
        <w:spacing w:line="360" w:lineRule="auto"/>
        <w:rPr>
          <w:rFonts w:hint="eastAsia" w:ascii="宋体" w:hAnsi="宋体" w:eastAsia="宋体" w:cs="宋体"/>
          <w:bCs/>
          <w:color w:val="000000"/>
          <w:sz w:val="24"/>
          <w:highlight w:val="none"/>
          <w:lang w:eastAsia="zh-CN"/>
        </w:rPr>
      </w:pPr>
      <w:r>
        <w:rPr>
          <w:rFonts w:hint="eastAsia" w:ascii="宋体" w:hAnsi="宋体" w:cs="宋体"/>
          <w:b/>
          <w:bCs/>
          <w:color w:val="000000"/>
          <w:sz w:val="24"/>
          <w:highlight w:val="none"/>
        </w:rPr>
        <w:t xml:space="preserve">1.标段一</w:t>
      </w:r>
      <w:r>
        <w:rPr>
          <w:rFonts w:hint="eastAsia" w:ascii="宋体" w:hAnsi="宋体" w:cs="宋体"/>
          <w:b/>
          <w:bCs/>
          <w:color w:val="000000"/>
          <w:sz w:val="24"/>
          <w:highlight w:val="none"/>
          <w:lang w:eastAsia="zh-CN"/>
        </w:rPr>
        <w:t xml:space="preserve">和</w:t>
      </w:r>
      <w:r>
        <w:rPr>
          <w:rFonts w:hint="eastAsia" w:ascii="宋体" w:hAnsi="宋体" w:cs="宋体"/>
          <w:b/>
          <w:bCs/>
          <w:color w:val="000000"/>
          <w:sz w:val="24"/>
          <w:highlight w:val="none"/>
        </w:rPr>
        <w:t xml:space="preserve">标段</w:t>
      </w:r>
      <w:r>
        <w:rPr>
          <w:rFonts w:hint="eastAsia" w:ascii="宋体" w:hAnsi="宋体" w:cs="宋体"/>
          <w:b/>
          <w:bCs/>
          <w:color w:val="000000"/>
          <w:sz w:val="24"/>
          <w:highlight w:val="none"/>
          <w:lang w:eastAsia="zh-CN"/>
        </w:rPr>
        <w:t xml:space="preserve">二</w:t>
      </w:r>
      <w:r>
        <w:rPr>
          <w:rFonts w:hint="eastAsia" w:ascii="宋体" w:hAnsi="宋体" w:cs="宋体"/>
          <w:b/>
          <w:bCs/>
          <w:color w:val="000000"/>
          <w:sz w:val="24"/>
          <w:highlight w:val="none"/>
        </w:rPr>
        <w:t xml:space="preserve">：</w:t>
      </w:r>
      <w:r>
        <w:rPr>
          <w:rFonts w:hint="eastAsia" w:ascii="宋体" w:hAnsi="宋体" w:cs="宋体"/>
          <w:bCs/>
          <w:color w:val="000000"/>
          <w:sz w:val="24"/>
          <w:highlight w:val="none"/>
        </w:rPr>
        <w:t xml:space="preserve">根据年度工作重点以及《关于印发2025年苏州市工贸重点企业指导服务实施方案的通知》（苏应急〔2025〕18号）</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省安委会印发</w:t>
      </w:r>
      <w:r>
        <w:rPr>
          <w:rFonts w:hint="eastAsia" w:ascii="仿宋" w:hAnsi="仿宋" w:eastAsia="仿宋" w:cs="仿宋"/>
          <w:bCs/>
          <w:color w:val="000000"/>
          <w:sz w:val="24"/>
          <w:highlight w:val="none"/>
        </w:rPr>
        <w:t xml:space="preserve">&lt;</w:t>
      </w:r>
      <w:r>
        <w:rPr>
          <w:rFonts w:hint="eastAsia" w:ascii="宋体" w:hAnsi="宋体" w:cs="宋体"/>
          <w:bCs/>
          <w:color w:val="000000"/>
          <w:sz w:val="24"/>
          <w:highlight w:val="none"/>
        </w:rPr>
        <w:t xml:space="preserve">关于推进安全生产“六化”建设的实施方案（试行）</w:t>
      </w:r>
      <w:r>
        <w:rPr>
          <w:rFonts w:hint="eastAsia" w:ascii="仿宋" w:hAnsi="仿宋" w:eastAsia="仿宋" w:cs="仿宋"/>
          <w:bCs/>
          <w:color w:val="000000"/>
          <w:sz w:val="24"/>
          <w:highlight w:val="none"/>
        </w:rPr>
        <w:t xml:space="preserve">&gt;</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的通知等相关文件，以提升企业本质安全、消除安全风险隐患为目标导向，借助第三方专业力量，系统评估企业安全生产管理情况，切实消除一批问题隐患，强化对重点行业领域设备设施、生产工艺、风险报告、作业安全、日常管理、“线上线下”任务开展等</w:t>
      </w:r>
      <w:r>
        <w:rPr>
          <w:rFonts w:ascii="宋体" w:hAnsi="宋体" w:cs="宋体"/>
          <w:bCs/>
          <w:color w:val="000000"/>
          <w:sz w:val="24"/>
          <w:highlight w:val="none"/>
        </w:rPr>
        <w:t xml:space="preserve">方面的安全生产</w:t>
      </w:r>
      <w:r>
        <w:rPr>
          <w:rFonts w:hint="eastAsia" w:ascii="宋体" w:hAnsi="宋体" w:cs="宋体"/>
          <w:bCs/>
          <w:color w:val="000000"/>
          <w:sz w:val="24"/>
          <w:highlight w:val="none"/>
        </w:rPr>
        <w:t xml:space="preserve">监管。核查服务内容主要包括三个方面。</w:t>
      </w:r>
      <w:r>
        <w:rPr>
          <w:rFonts w:hint="eastAsia" w:ascii="宋体" w:hAnsi="宋体" w:cs="宋体"/>
          <w:b/>
          <w:bCs/>
          <w:color w:val="000000"/>
          <w:sz w:val="24"/>
          <w:highlight w:val="none"/>
        </w:rPr>
        <w:t xml:space="preserve">一是基础安全管理</w:t>
      </w:r>
      <w:r>
        <w:rPr>
          <w:rFonts w:hint="eastAsia" w:ascii="宋体" w:hAnsi="宋体" w:cs="宋体"/>
          <w:bCs/>
          <w:color w:val="000000"/>
          <w:sz w:val="24"/>
          <w:highlight w:val="none"/>
        </w:rPr>
        <w:t xml:space="preserve">。如，企业的风险辨识报告、风险检查表单、现场管理、教育培训、作业审批、应急预案和演练，以及“SIP安全3</w:t>
      </w:r>
      <w:r>
        <w:rPr>
          <w:rFonts w:ascii="宋体" w:hAnsi="宋体" w:cs="宋体"/>
          <w:bCs/>
          <w:color w:val="000000"/>
          <w:sz w:val="24"/>
          <w:highlight w:val="none"/>
        </w:rPr>
        <w:t xml:space="preserve">60</w:t>
      </w:r>
      <w:r>
        <w:rPr>
          <w:rFonts w:hint="eastAsia" w:ascii="宋体" w:hAnsi="宋体" w:cs="宋体"/>
          <w:bCs/>
          <w:color w:val="000000"/>
          <w:sz w:val="24"/>
          <w:highlight w:val="none"/>
        </w:rPr>
        <w:t xml:space="preserve">”系统中企业制度文件上传、标签化基础信息填报、班前班后五分钟开展、</w:t>
      </w:r>
      <w:r>
        <w:rPr>
          <w:rFonts w:hint="eastAsia" w:ascii="宋体" w:hAnsi="宋体" w:cs="宋体"/>
          <w:bCs/>
          <w:color w:val="000000"/>
          <w:sz w:val="24"/>
          <w:highlight w:val="none"/>
          <w:lang w:eastAsia="zh-CN"/>
        </w:rPr>
        <w:t xml:space="preserve">疏散通道走一次开展、</w:t>
      </w:r>
      <w:r>
        <w:rPr>
          <w:rFonts w:hint="eastAsia" w:ascii="宋体" w:hAnsi="宋体" w:cs="宋体"/>
          <w:bCs/>
          <w:color w:val="000000"/>
          <w:sz w:val="24"/>
          <w:highlight w:val="none"/>
        </w:rPr>
        <w:t xml:space="preserve">企业</w:t>
      </w:r>
      <w:r>
        <w:rPr>
          <w:rFonts w:hint="eastAsia" w:ascii="宋体" w:hAnsi="宋体" w:cs="宋体"/>
          <w:bCs/>
          <w:color w:val="000000"/>
          <w:sz w:val="24"/>
          <w:highlight w:val="none"/>
          <w:lang w:eastAsia="zh-CN"/>
        </w:rPr>
        <w:t xml:space="preserve">安全生产“六化”建设</w:t>
      </w:r>
      <w:r>
        <w:rPr>
          <w:rFonts w:hint="eastAsia" w:ascii="宋体" w:hAnsi="宋体" w:cs="宋体"/>
          <w:bCs/>
          <w:color w:val="000000"/>
          <w:sz w:val="24"/>
          <w:highlight w:val="none"/>
        </w:rPr>
        <w:t xml:space="preserve">等方面。</w:t>
      </w:r>
      <w:r>
        <w:rPr>
          <w:rFonts w:hint="eastAsia" w:ascii="宋体" w:hAnsi="宋体" w:cs="宋体"/>
          <w:b/>
          <w:bCs/>
          <w:color w:val="000000"/>
          <w:sz w:val="24"/>
          <w:highlight w:val="none"/>
        </w:rPr>
        <w:t xml:space="preserve">二是现场安全诊断。</w:t>
      </w:r>
      <w:r>
        <w:rPr>
          <w:rFonts w:hint="eastAsia" w:ascii="宋体" w:hAnsi="宋体" w:cs="宋体"/>
          <w:bCs/>
          <w:color w:val="000000"/>
          <w:sz w:val="24"/>
          <w:highlight w:val="none"/>
        </w:rPr>
        <w:t xml:space="preserve">突出企业本质安全管理核查，尤其是重点部位，如涉爆粉尘产生场所及除尘器、金属熔融</w:t>
      </w:r>
      <w:r>
        <w:rPr>
          <w:rFonts w:hint="eastAsia" w:ascii="宋体" w:hAnsi="宋体" w:cs="宋体"/>
          <w:bCs/>
          <w:color w:val="000000"/>
          <w:sz w:val="24"/>
          <w:highlight w:val="none"/>
          <w:lang w:eastAsia="zh-CN"/>
        </w:rPr>
        <w:t xml:space="preserve">铸造</w:t>
      </w:r>
      <w:r>
        <w:rPr>
          <w:rFonts w:hint="eastAsia" w:ascii="宋体" w:hAnsi="宋体" w:cs="宋体"/>
          <w:bCs/>
          <w:color w:val="000000"/>
          <w:sz w:val="24"/>
          <w:highlight w:val="none"/>
        </w:rPr>
        <w:t xml:space="preserve">工艺场所、</w:t>
      </w:r>
      <w:r>
        <w:rPr>
          <w:rFonts w:hint="eastAsia" w:ascii="宋体" w:hAnsi="宋体" w:cs="宋体"/>
          <w:bCs/>
          <w:color w:val="000000"/>
          <w:sz w:val="24"/>
          <w:highlight w:val="none"/>
          <w:lang w:eastAsia="zh-CN"/>
        </w:rPr>
        <w:t xml:space="preserve">铝镁</w:t>
      </w:r>
      <w:r>
        <w:rPr>
          <w:rFonts w:hint="eastAsia" w:ascii="宋体" w:hAnsi="宋体" w:cs="宋体"/>
          <w:bCs/>
          <w:color w:val="000000"/>
          <w:sz w:val="24"/>
          <w:highlight w:val="none"/>
        </w:rPr>
        <w:t xml:space="preserve">机加工设备及废物处置、有限空间、危化品中间库</w:t>
      </w:r>
      <w:r>
        <w:rPr>
          <w:rFonts w:hint="eastAsia" w:ascii="宋体" w:hAnsi="宋体" w:cs="宋体"/>
          <w:bCs/>
          <w:color w:val="000000"/>
          <w:sz w:val="24"/>
          <w:highlight w:val="none"/>
          <w:lang w:val="en-US" w:eastAsia="zh-CN"/>
        </w:rPr>
        <w:t xml:space="preserve"> </w:t>
      </w:r>
      <w:r>
        <w:rPr>
          <w:rFonts w:hint="eastAsia" w:ascii="宋体" w:hAnsi="宋体" w:cs="宋体"/>
          <w:bCs/>
          <w:color w:val="000000"/>
          <w:sz w:val="24"/>
          <w:highlight w:val="none"/>
        </w:rPr>
        <w:t xml:space="preserve">和储存柜、喷漆工艺、加热工艺、老旧设施、危险作业等管理情况，厂房租赁管理、出租方和承租方责任落实、SIP安全3</w:t>
      </w:r>
      <w:r>
        <w:rPr>
          <w:rFonts w:ascii="宋体" w:hAnsi="宋体" w:cs="宋体"/>
          <w:bCs/>
          <w:color w:val="000000"/>
          <w:sz w:val="24"/>
          <w:highlight w:val="none"/>
        </w:rPr>
        <w:t xml:space="preserve">60系统入库纳管</w:t>
      </w:r>
      <w:r>
        <w:rPr>
          <w:rFonts w:hint="eastAsia" w:ascii="宋体" w:hAnsi="宋体" w:cs="宋体"/>
          <w:bCs/>
          <w:color w:val="000000"/>
          <w:sz w:val="24"/>
          <w:highlight w:val="none"/>
        </w:rPr>
        <w:t xml:space="preserve">，劳密企业、</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厂中厂</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中烟感喷淋及</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一键警报</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疏散装置等技防设施应用的专项检查核查，提出专业整改意见，形成核查服务指导报告，为园区应急管理部门提供监管执法参考和督查检查依据。</w:t>
      </w:r>
      <w:r>
        <w:rPr>
          <w:rFonts w:hint="eastAsia" w:ascii="宋体" w:hAnsi="宋体" w:cs="宋体"/>
          <w:b/>
          <w:bCs/>
          <w:color w:val="000000"/>
          <w:sz w:val="24"/>
          <w:highlight w:val="none"/>
        </w:rPr>
        <w:t xml:space="preserve">三是工艺和设备安全风险评估。</w:t>
      </w:r>
      <w:r>
        <w:rPr>
          <w:rFonts w:hint="eastAsia" w:ascii="宋体" w:hAnsi="宋体" w:cs="宋体"/>
          <w:bCs/>
          <w:color w:val="000000"/>
          <w:sz w:val="24"/>
          <w:highlight w:val="none"/>
        </w:rPr>
        <w:t xml:space="preserve">针对涉及金属熔融、粉尘涉爆、喷漆、加热、电镀等重点区域、重点工段的，</w:t>
      </w:r>
      <w:r>
        <w:rPr>
          <w:rFonts w:hint="eastAsia" w:ascii="宋体" w:hAnsi="宋体" w:cs="宋体"/>
          <w:bCs/>
          <w:color w:val="000000"/>
          <w:sz w:val="24"/>
          <w:highlight w:val="none"/>
          <w:lang w:eastAsia="zh-CN"/>
        </w:rPr>
        <w:t xml:space="preserve">根据</w:t>
      </w:r>
      <w:r>
        <w:rPr>
          <w:rFonts w:hint="eastAsia" w:ascii="宋体" w:hAnsi="宋体" w:cs="宋体"/>
          <w:bCs/>
          <w:color w:val="000000"/>
          <w:sz w:val="24"/>
          <w:highlight w:val="none"/>
        </w:rPr>
        <w:t xml:space="preserve">《一般工业企业危险与可操作性分析</w:t>
      </w:r>
      <w:r>
        <w:rPr>
          <w:rFonts w:hint="default"/>
          <w:bCs/>
          <w:color w:val="000000"/>
          <w:sz w:val="24"/>
          <w:highlight w:val="none"/>
        </w:rPr>
        <w:t xml:space="preserve">(HAZOP)</w:t>
      </w:r>
      <w:r>
        <w:rPr>
          <w:rFonts w:hint="eastAsia" w:ascii="宋体" w:hAnsi="宋体" w:cs="宋体"/>
          <w:bCs/>
          <w:color w:val="000000"/>
          <w:sz w:val="24"/>
          <w:highlight w:val="none"/>
        </w:rPr>
        <w:t xml:space="preserve">总则》等标准规范开展工艺和设备</w:t>
      </w:r>
      <w:r>
        <w:rPr>
          <w:rFonts w:hint="eastAsia" w:ascii="宋体" w:hAnsi="宋体" w:cs="宋体"/>
          <w:bCs/>
          <w:color w:val="000000"/>
          <w:sz w:val="24"/>
          <w:highlight w:val="none"/>
          <w:lang w:eastAsia="zh-CN"/>
        </w:rPr>
        <w:t xml:space="preserve">安全性评估，对风险较高的企业提出安全改进措施，推动企业对重点工艺和设备进行提档升级。</w:t>
      </w:r>
      <w:r/>
    </w:p>
    <w:p>
      <w:pPr>
        <w:ind w:left="-2" w:firstLine="486"/>
        <w:spacing w:line="360" w:lineRule="auto"/>
        <w:rPr>
          <w:rFonts w:hint="eastAsia" w:ascii="宋体" w:hAnsi="宋体" w:cs="宋体"/>
          <w:bCs/>
          <w:color w:val="000000"/>
          <w:sz w:val="24"/>
          <w:highlight w:val="none"/>
        </w:rPr>
      </w:pPr>
      <w:r>
        <w:rPr>
          <w:rFonts w:ascii="宋体" w:hAnsi="宋体" w:cs="宋体"/>
          <w:b/>
          <w:bCs/>
          <w:color w:val="000000"/>
          <w:sz w:val="24"/>
          <w:highlight w:val="none"/>
        </w:rPr>
        <w:t xml:space="preserve">以上服务内容</w:t>
      </w:r>
      <w:r>
        <w:rPr>
          <w:rFonts w:ascii="宋体" w:hAnsi="宋体" w:cs="宋体"/>
          <w:bCs/>
          <w:color w:val="000000"/>
          <w:sz w:val="24"/>
          <w:highlight w:val="none"/>
        </w:rPr>
        <w:t xml:space="preserve">一般包含但不限于：</w:t>
      </w:r>
      <w:r/>
    </w:p>
    <w:p>
      <w:pPr>
        <w:ind w:left="-2" w:firstLine="486"/>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（1）风险报告核查。根据工业企业较大以上风险目录，全面辨识和分析生产、存储和人员作业过程等厂区中潜在的危险、 有害因素，核查工业企业风险报告完成质量，提出问题整改建议。 </w:t>
      </w:r>
      <w:r/>
    </w:p>
    <w:p>
      <w:pPr>
        <w:ind w:left="-2" w:firstLine="486"/>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2</w:t>
      </w:r>
      <w:r>
        <w:rPr>
          <w:rFonts w:hint="eastAsia" w:ascii="宋体" w:hAnsi="宋体" w:cs="宋体"/>
          <w:bCs/>
          <w:color w:val="000000"/>
          <w:sz w:val="24"/>
          <w:highlight w:val="none"/>
        </w:rPr>
        <w:t xml:space="preserve">）管理体系指导。管理体系涵盖企业安全相关的所有管理制度、操作规程等。同时，结合监管要求，核查企业“SIP安全360”系统中企业制度文件上传、标签化基础信息填报、班前班后五分钟开展、事项库专项任务完成情况；企业安全管理全员化（全员安全责任制</w:t>
      </w:r>
      <w:r>
        <w:rPr>
          <w:rFonts w:hint="eastAsia" w:ascii="宋体" w:hAnsi="宋体" w:cs="宋体"/>
          <w:bCs/>
          <w:color w:val="000000"/>
          <w:sz w:val="24"/>
          <w:highlight w:val="none"/>
          <w:lang w:eastAsia="zh-CN"/>
        </w:rPr>
        <w:t xml:space="preserve">、安全教育培训、事故隐患内部报告奖励</w:t>
      </w:r>
      <w:r>
        <w:rPr>
          <w:rFonts w:hint="eastAsia" w:ascii="宋体" w:hAnsi="宋体" w:cs="宋体"/>
          <w:bCs/>
          <w:color w:val="000000"/>
          <w:sz w:val="24"/>
          <w:highlight w:val="none"/>
        </w:rPr>
        <w:t xml:space="preserve">）、实体化（安全管理机构建设及人员配备）、手册化（</w:t>
      </w:r>
      <w:r>
        <w:rPr>
          <w:rFonts w:hint="eastAsia" w:ascii="宋体" w:hAnsi="宋体" w:cs="宋体"/>
          <w:bCs/>
          <w:color w:val="000000"/>
          <w:sz w:val="24"/>
          <w:highlight w:val="none"/>
          <w:lang w:eastAsia="zh-CN"/>
        </w:rPr>
        <w:t xml:space="preserve">应急演练</w:t>
      </w:r>
      <w:r>
        <w:rPr>
          <w:rFonts w:hint="eastAsia" w:ascii="宋体" w:hAnsi="宋体" w:cs="宋体"/>
          <w:bCs/>
          <w:color w:val="000000"/>
          <w:sz w:val="24"/>
          <w:highlight w:val="none"/>
        </w:rPr>
        <w:t xml:space="preserve">手册</w:t>
      </w:r>
      <w:r>
        <w:rPr>
          <w:rFonts w:hint="eastAsia" w:ascii="宋体" w:hAnsi="宋体" w:cs="宋体"/>
          <w:bCs/>
          <w:color w:val="000000"/>
          <w:sz w:val="24"/>
          <w:highlight w:val="none"/>
          <w:lang w:eastAsia="zh-CN"/>
        </w:rPr>
        <w:t xml:space="preserve">编制及使用</w:t>
      </w:r>
      <w:r>
        <w:rPr>
          <w:rFonts w:hint="eastAsia" w:ascii="宋体" w:hAnsi="宋体" w:cs="宋体"/>
          <w:bCs/>
          <w:color w:val="000000"/>
          <w:sz w:val="24"/>
          <w:highlight w:val="none"/>
        </w:rPr>
        <w:t xml:space="preserve">）等方面</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同时，对企业“关键少数”开展考试抽查，参与编制企业岗位安全手册模板。</w:t>
      </w:r>
      <w:r/>
    </w:p>
    <w:p>
      <w:pPr>
        <w:ind w:left="-2" w:firstLine="486"/>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3</w:t>
      </w:r>
      <w:r>
        <w:rPr>
          <w:rFonts w:hint="eastAsia" w:ascii="宋体" w:hAnsi="宋体" w:cs="宋体"/>
          <w:bCs/>
          <w:color w:val="000000"/>
          <w:sz w:val="24"/>
          <w:highlight w:val="none"/>
        </w:rPr>
        <w:t xml:space="preserve">）安全综合诊断。根据《安全生产法》《江苏省安全生产条例》《</w:t>
      </w:r>
      <w:r>
        <w:rPr>
          <w:rFonts w:hint="eastAsia" w:ascii="宋体" w:hAnsi="宋体" w:cs="宋体"/>
          <w:bCs/>
          <w:color w:val="000000"/>
          <w:sz w:val="24"/>
          <w:highlight w:val="none"/>
          <w:lang w:eastAsia="zh-CN"/>
        </w:rPr>
        <w:t xml:space="preserve">苏州市</w:t>
      </w:r>
      <w:r>
        <w:rPr>
          <w:rFonts w:hint="eastAsia" w:ascii="宋体" w:hAnsi="宋体" w:cs="宋体"/>
          <w:bCs/>
          <w:color w:val="000000"/>
          <w:sz w:val="24"/>
          <w:highlight w:val="none"/>
        </w:rPr>
        <w:t xml:space="preserve">安全生产条例》《工贸行业重大生产安全事故隐患判定标准》等法律法规标准规范和工作导则，对工贸重点企业开展全面核查，对重点工艺环节、组织机构安全职责、相关安全规章制度、岗位作业人员安全、教育与培训、设备设施运行安全管理、危险作业管理、现场安全管理、隐患排查与风险管控、事故应急管理及处置等方面进行全面综合的安全诊断。  </w:t>
      </w:r>
      <w:r/>
    </w:p>
    <w:p>
      <w:pPr>
        <w:ind w:left="-2" w:firstLine="486"/>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4</w:t>
      </w:r>
      <w:r>
        <w:rPr>
          <w:rFonts w:hint="eastAsia" w:ascii="宋体" w:hAnsi="宋体" w:cs="宋体"/>
          <w:bCs/>
          <w:color w:val="000000"/>
          <w:sz w:val="24"/>
          <w:highlight w:val="none"/>
        </w:rPr>
        <w:t xml:space="preserve">）现场隐患排查。指导治理内容要重点突出企业本质安全管理核查，尤其是重点部位（如涉爆粉尘产生场所及除尘器、</w:t>
      </w:r>
      <w:r>
        <w:rPr>
          <w:rFonts w:hint="eastAsia" w:ascii="宋体" w:hAnsi="宋体" w:cs="宋体"/>
          <w:bCs/>
          <w:color w:val="000000"/>
          <w:sz w:val="24"/>
          <w:highlight w:val="none"/>
          <w:lang w:eastAsia="zh-CN"/>
        </w:rPr>
        <w:t xml:space="preserve">金属熔融铸造</w:t>
      </w:r>
      <w:r>
        <w:rPr>
          <w:rFonts w:hint="eastAsia" w:ascii="宋体" w:hAnsi="宋体" w:cs="宋体"/>
          <w:bCs/>
          <w:color w:val="000000"/>
          <w:sz w:val="24"/>
          <w:highlight w:val="none"/>
        </w:rPr>
        <w:t xml:space="preserve">工艺场所、</w:t>
      </w:r>
      <w:r>
        <w:rPr>
          <w:rFonts w:hint="eastAsia" w:ascii="宋体" w:hAnsi="宋体" w:cs="宋体"/>
          <w:bCs/>
          <w:color w:val="000000"/>
          <w:sz w:val="24"/>
          <w:highlight w:val="none"/>
          <w:lang w:eastAsia="zh-CN"/>
        </w:rPr>
        <w:t xml:space="preserve">铝镁</w:t>
      </w:r>
      <w:r>
        <w:rPr>
          <w:rFonts w:hint="eastAsia" w:ascii="宋体" w:hAnsi="宋体" w:cs="宋体"/>
          <w:bCs/>
          <w:color w:val="000000"/>
          <w:sz w:val="24"/>
          <w:highlight w:val="none"/>
        </w:rPr>
        <w:t xml:space="preserve">机加工设备及废物处置、加热工段、喷漆工段、有限空间、危险作业及委外作业的管理情况，厂房租赁管理、出租方和承租方责任落实，劳密企业、</w:t>
      </w:r>
      <w:r>
        <w:rPr>
          <w:rFonts w:hint="eastAsia" w:ascii="宋体" w:hAnsi="宋体" w:cs="宋体"/>
          <w:bCs/>
          <w:color w:val="000000"/>
          <w:sz w:val="24"/>
          <w:highlight w:val="none"/>
          <w:lang w:eastAsia="zh-CN"/>
        </w:rPr>
        <w:t xml:space="preserve">“厂中厂”</w:t>
      </w:r>
      <w:r>
        <w:rPr>
          <w:rFonts w:hint="eastAsia" w:ascii="宋体" w:hAnsi="宋体" w:cs="宋体"/>
          <w:bCs/>
          <w:color w:val="000000"/>
          <w:sz w:val="24"/>
          <w:highlight w:val="none"/>
        </w:rPr>
        <w:t xml:space="preserve">中烟感喷淋及</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一键警报</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疏散装置等技防设施应用）的专项核查，要依法依规、全面细致对企业现场安全情况开展深度指导治理，</w:t>
      </w:r>
      <w:r>
        <w:rPr>
          <w:rFonts w:hint="eastAsia" w:ascii="宋体" w:hAnsi="宋体" w:cs="宋体"/>
          <w:bCs/>
          <w:color w:val="000000"/>
          <w:sz w:val="24"/>
          <w:highlight w:val="none"/>
          <w:lang w:eastAsia="zh-CN"/>
        </w:rPr>
        <w:t xml:space="preserve">特别是要重点对照新标准、团标的要求，关注与旧的标准规范变化的地方，企业是否符合要求，</w:t>
      </w:r>
      <w:r>
        <w:rPr>
          <w:rFonts w:hint="eastAsia" w:ascii="宋体" w:hAnsi="宋体" w:cs="宋体"/>
          <w:bCs/>
          <w:color w:val="000000"/>
          <w:sz w:val="24"/>
          <w:highlight w:val="none"/>
        </w:rPr>
        <w:t xml:space="preserve">突出专业化能力建设。</w:t>
      </w:r>
      <w:r/>
    </w:p>
    <w:p>
      <w:pPr>
        <w:ind w:left="-2" w:firstLine="486"/>
        <w:spacing w:line="360" w:lineRule="auto"/>
        <w:rPr>
          <w:rFonts w:ascii="宋体" w:hAnsi="宋体" w:cs="宋体"/>
          <w:bCs/>
          <w:color w:val="000000"/>
          <w:sz w:val="24"/>
          <w:highlight w:val="none"/>
        </w:rPr>
      </w:pPr>
      <w:r>
        <w:rPr>
          <w:rFonts w:ascii="宋体" w:hAnsi="宋体" w:cs="宋体"/>
          <w:b w:val="0"/>
          <w:bCs w:val="0"/>
          <w:color w:val="000000"/>
          <w:sz w:val="24"/>
          <w:highlight w:val="none"/>
        </w:rPr>
        <w:t xml:space="preserve">（5）工艺和设备</w:t>
      </w:r>
      <w:r>
        <w:rPr>
          <w:rFonts w:hint="eastAsia" w:ascii="宋体" w:hAnsi="宋体" w:cs="宋体"/>
          <w:b w:val="0"/>
          <w:bCs w:val="0"/>
          <w:color w:val="000000"/>
          <w:sz w:val="24"/>
          <w:highlight w:val="none"/>
          <w:lang w:eastAsia="zh-CN"/>
        </w:rPr>
        <w:t xml:space="preserve">安全性评估</w:t>
      </w:r>
      <w:r>
        <w:rPr>
          <w:rFonts w:ascii="宋体" w:hAnsi="宋体" w:cs="宋体"/>
          <w:b w:val="0"/>
          <w:bCs w:val="0"/>
          <w:color w:val="000000"/>
          <w:sz w:val="24"/>
          <w:highlight w:val="none"/>
        </w:rPr>
        <w:t xml:space="preserve">。</w:t>
      </w:r>
      <w:r>
        <w:rPr>
          <w:rFonts w:hint="eastAsia" w:ascii="宋体" w:hAnsi="宋体" w:cs="宋体"/>
          <w:bCs/>
          <w:color w:val="000000"/>
          <w:sz w:val="24"/>
          <w:highlight w:val="none"/>
        </w:rPr>
        <w:t xml:space="preserve">针对金属熔融、粉尘涉爆、喷漆、加热、电镀等重点区域、重点工段</w:t>
      </w:r>
      <w:r>
        <w:rPr>
          <w:rFonts w:hint="eastAsia" w:ascii="宋体" w:hAnsi="宋体" w:cs="宋体"/>
          <w:bCs/>
          <w:color w:val="000000"/>
          <w:sz w:val="24"/>
          <w:highlight w:val="none"/>
          <w:lang w:eastAsia="zh-CN"/>
        </w:rPr>
        <w:t xml:space="preserve">，根据《一般工业企业危险与可操作性分析(HAZOP)总则》等标准规范，开展重点工艺、设备安全风险评估，</w:t>
      </w:r>
      <w:r>
        <w:rPr>
          <w:rFonts w:hint="eastAsia" w:ascii="宋体" w:hAnsi="宋体" w:cs="宋体"/>
          <w:bCs/>
          <w:color w:val="000000"/>
          <w:sz w:val="24"/>
          <w:highlight w:val="none"/>
        </w:rPr>
        <w:t xml:space="preserve">通过设置目标、收集参数、模型分析等技术路径，评估企业重点工段的工艺安全水平、设备安全水平、岗位人员作业安全水平等，多维度分析评估，提出风险针对性管控措施和整改建议。（如，</w:t>
      </w:r>
      <w:r>
        <w:rPr>
          <w:rFonts w:hint="eastAsia"/>
          <w:color w:val="000000"/>
          <w:sz w:val="24"/>
          <w:highlight w:val="none"/>
        </w:rPr>
        <w:t xml:space="preserve">对重点工段从工艺、设备、物料、参数、监控措施、作业方式等方面进行调研；从工艺、设备、管理、人员等方面进行定性定量分析、风险分级及改进管控措施制定等</w:t>
      </w:r>
      <w:r>
        <w:rPr>
          <w:rFonts w:hint="eastAsia" w:ascii="宋体" w:hAnsi="宋体" w:cs="宋体"/>
          <w:bCs/>
          <w:color w:val="000000"/>
          <w:sz w:val="24"/>
          <w:highlight w:val="none"/>
        </w:rPr>
        <w:t xml:space="preserve">）</w:t>
      </w:r>
      <w:r/>
    </w:p>
    <w:p>
      <w:pPr>
        <w:ind w:left="-2" w:firstLine="486"/>
        <w:spacing w:line="360" w:lineRule="auto"/>
        <w:rPr>
          <w:rFonts w:ascii="宋体" w:hAnsi="宋体" w:cs="宋体"/>
          <w:bCs/>
          <w:color w:val="000000"/>
          <w:sz w:val="24"/>
          <w:highlight w:val="none"/>
        </w:rPr>
      </w:pPr>
      <w:r>
        <w:rPr>
          <w:rFonts w:hint="eastAsia" w:ascii="宋体" w:hAnsi="宋体" w:cs="宋体"/>
          <w:b w:val="0"/>
          <w:bCs w:val="0"/>
          <w:color w:val="000000"/>
          <w:sz w:val="24"/>
          <w:highlight w:val="none"/>
        </w:rPr>
        <w:t xml:space="preserve">（</w:t>
      </w:r>
      <w:r>
        <w:rPr>
          <w:rFonts w:ascii="宋体" w:hAnsi="宋体" w:cs="宋体"/>
          <w:b w:val="0"/>
          <w:bCs w:val="0"/>
          <w:color w:val="000000"/>
          <w:sz w:val="24"/>
          <w:highlight w:val="none"/>
        </w:rPr>
        <w:t xml:space="preserve">6</w:t>
      </w:r>
      <w:r>
        <w:rPr>
          <w:rFonts w:hint="eastAsia" w:ascii="宋体" w:hAnsi="宋体" w:cs="宋体"/>
          <w:b w:val="0"/>
          <w:bCs w:val="0"/>
          <w:color w:val="000000"/>
          <w:sz w:val="24"/>
          <w:highlight w:val="none"/>
        </w:rPr>
        <w:t xml:space="preserve">）跟踪问题闭环。针</w:t>
      </w:r>
      <w:r>
        <w:rPr>
          <w:rFonts w:hint="eastAsia" w:ascii="宋体" w:hAnsi="宋体" w:cs="宋体"/>
          <w:bCs/>
          <w:color w:val="000000"/>
          <w:sz w:val="24"/>
          <w:highlight w:val="none"/>
        </w:rPr>
        <w:t xml:space="preserve">对以上内容，制定指导治理清单，开展核查指导服务，提出整改意见，形成《XX 企业安全生产指导治理报告》，明确是否符合相关标准规范、是否存在重大隐患，并对各企业重点事项整改情况进行闭环确认，为苏州工业园区应急管理局提供监管执法和督查检查依据，同时配合开展相关专项培训。为方便工作，现场检查指导和闭环复查可依托“SIP安全3</w:t>
      </w:r>
      <w:r>
        <w:rPr>
          <w:rFonts w:ascii="宋体" w:hAnsi="宋体" w:cs="宋体"/>
          <w:bCs/>
          <w:color w:val="000000"/>
          <w:sz w:val="24"/>
          <w:highlight w:val="none"/>
        </w:rPr>
        <w:t xml:space="preserve">60</w:t>
      </w:r>
      <w:r>
        <w:rPr>
          <w:rFonts w:hint="eastAsia" w:ascii="宋体" w:hAnsi="宋体" w:cs="宋体"/>
          <w:bCs/>
          <w:color w:val="000000"/>
          <w:sz w:val="24"/>
          <w:highlight w:val="none"/>
        </w:rPr>
        <w:t xml:space="preserve">系统”进行，服务单位要严格遵守工作约定和数据保密要求。 </w:t>
      </w:r>
      <w:r/>
    </w:p>
    <w:p>
      <w:pPr>
        <w:ind w:left="-2" w:firstLine="486"/>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7</w:t>
      </w:r>
      <w:r>
        <w:rPr>
          <w:rFonts w:hint="eastAsia" w:ascii="宋体" w:hAnsi="宋体" w:cs="宋体"/>
          <w:bCs/>
          <w:color w:val="000000"/>
          <w:sz w:val="24"/>
          <w:highlight w:val="none"/>
        </w:rPr>
        <w:t xml:space="preserve">) 形成“一企一档”。汇总所有企业的基本信息、隐患问题及整改情况、工艺和设备安全风险评估报告等，并形成《苏州工业园区工贸领域企业安全生产指导治理报告》一份。 同时，建立企业核查指导情况“一企一档”，辅助监管执法人员指导企业标本兼治提升。</w:t>
      </w:r>
      <w:r/>
    </w:p>
    <w:p>
      <w:pPr>
        <w:ind w:firstLine="486"/>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8</w:t>
      </w:r>
      <w:r>
        <w:rPr>
          <w:rFonts w:hint="eastAsia" w:ascii="宋体" w:hAnsi="宋体" w:cs="宋体"/>
          <w:bCs/>
          <w:color w:val="000000"/>
          <w:sz w:val="24"/>
          <w:highlight w:val="none"/>
        </w:rPr>
        <w:t xml:space="preserve">）标本兼治提升。指导企业开展安全生产标准化建设，指导企业强化风险辨识管控措施，提升本质安全水平。</w:t>
      </w:r>
      <w:r/>
    </w:p>
    <w:p>
      <w:pPr>
        <w:ind w:left="-2" w:firstLine="486"/>
        <w:spacing w:line="360" w:lineRule="auto"/>
        <w:rPr>
          <w:rFonts w:ascii="宋体" w:hAnsi="宋体" w:cs="宋体"/>
          <w:bCs/>
          <w:color w:val="000000"/>
          <w:sz w:val="24"/>
          <w:highlight w:val="none"/>
        </w:rPr>
      </w:pPr>
      <w:r>
        <w:rPr>
          <w:rFonts w:ascii="宋体" w:hAnsi="宋体" w:cs="宋体"/>
          <w:bCs/>
          <w:color w:val="000000"/>
          <w:sz w:val="24"/>
          <w:highlight w:val="none"/>
        </w:rPr>
        <w:t xml:space="preserve">（9）</w:t>
      </w:r>
      <w:r>
        <w:rPr>
          <w:rFonts w:hint="eastAsia" w:ascii="宋体" w:hAnsi="宋体" w:cs="宋体"/>
          <w:bCs/>
          <w:color w:val="000000"/>
          <w:sz w:val="24"/>
          <w:highlight w:val="none"/>
        </w:rPr>
        <w:t xml:space="preserve">双方协商确定的其他内容。</w:t>
      </w:r>
      <w:r/>
    </w:p>
    <w:p>
      <w:pPr>
        <w:ind w:left="-2" w:firstLine="486"/>
        <w:spacing w:line="360" w:lineRule="auto"/>
        <w:rPr>
          <w:rFonts w:hint="eastAsia" w:ascii="宋体" w:hAnsi="宋体" w:cs="宋体"/>
          <w:bCs/>
          <w:color w:val="000000"/>
          <w:sz w:val="24"/>
          <w:highlight w:val="none"/>
        </w:rPr>
      </w:pPr>
      <w:r>
        <w:rPr>
          <w:rFonts w:hint="eastAsia" w:ascii="宋体" w:hAnsi="宋体" w:cs="宋体"/>
          <w:b/>
          <w:bCs/>
          <w:color w:val="000000"/>
          <w:sz w:val="24"/>
          <w:highlight w:val="none"/>
        </w:rPr>
        <w:t xml:space="preserve">2</w:t>
      </w:r>
      <w:r>
        <w:rPr>
          <w:rFonts w:ascii="宋体" w:hAnsi="宋体" w:cs="宋体"/>
          <w:b/>
          <w:bCs/>
          <w:color w:val="000000"/>
          <w:sz w:val="24"/>
          <w:highlight w:val="none"/>
        </w:rPr>
        <w:t xml:space="preserve">.标段</w:t>
      </w:r>
      <w:r>
        <w:rPr>
          <w:rFonts w:hint="eastAsia" w:ascii="宋体" w:hAnsi="宋体" w:cs="宋体"/>
          <w:b/>
          <w:bCs/>
          <w:color w:val="000000"/>
          <w:sz w:val="24"/>
          <w:highlight w:val="none"/>
          <w:lang w:eastAsia="zh-CN"/>
        </w:rPr>
        <w:t xml:space="preserve">三</w:t>
      </w:r>
      <w:r>
        <w:rPr>
          <w:rFonts w:ascii="宋体" w:hAnsi="宋体" w:cs="宋体"/>
          <w:b/>
          <w:bCs/>
          <w:color w:val="000000"/>
          <w:sz w:val="24"/>
          <w:highlight w:val="none"/>
        </w:rPr>
        <w:t xml:space="preserve">：</w:t>
      </w:r>
      <w:r>
        <w:rPr>
          <w:rFonts w:ascii="宋体" w:hAnsi="宋体" w:cs="宋体"/>
          <w:bCs/>
          <w:color w:val="000000"/>
          <w:sz w:val="24"/>
          <w:highlight w:val="none"/>
        </w:rPr>
        <w:t xml:space="preserve">一般围绕工业出租载体（厂中厂）安全规范化建设开展安全专项核查指导，包括但不限于：法律法规、规章落实情况；现场安全隐患排查治理；出租方、承租方安全职责落实；厂区安全规范化建设；安全生产“六化”建设；“线上</w:t>
      </w:r>
      <w:r>
        <w:rPr>
          <w:rFonts w:hint="eastAsia" w:ascii="宋体" w:hAnsi="宋体" w:cs="宋体"/>
          <w:bCs/>
          <w:color w:val="000000"/>
          <w:sz w:val="24"/>
          <w:highlight w:val="none"/>
        </w:rPr>
        <w:t xml:space="preserve">+线下</w:t>
      </w:r>
      <w:r>
        <w:rPr>
          <w:rFonts w:ascii="宋体" w:hAnsi="宋体" w:cs="宋体"/>
          <w:bCs/>
          <w:color w:val="000000"/>
          <w:sz w:val="24"/>
          <w:highlight w:val="none"/>
        </w:rPr>
        <w:t xml:space="preserve">”专项任务完成情况核查；应急预案编制、应急演练开展情况等。可参考</w:t>
      </w:r>
      <w:r>
        <w:rPr>
          <w:rFonts w:hint="eastAsia" w:ascii="宋体" w:hAnsi="宋体" w:cs="宋体"/>
          <w:bCs/>
          <w:color w:val="000000"/>
          <w:sz w:val="24"/>
          <w:highlight w:val="none"/>
          <w:lang w:eastAsia="zh-CN"/>
        </w:rPr>
        <w:t xml:space="preserve">江苏省地标《“厂中厂”安全管理规范》、《苏州市工业领域租赁厂房经营企业(“厂中厂”)安全管理指引(试行)》、</w:t>
      </w:r>
      <w:r>
        <w:rPr>
          <w:rFonts w:ascii="宋体" w:hAnsi="宋体" w:cs="宋体"/>
          <w:bCs/>
          <w:color w:val="000000"/>
          <w:sz w:val="24"/>
          <w:highlight w:val="none"/>
        </w:rPr>
        <w:t xml:space="preserve">市级群租厂房标准化建设、园区载体标准化建设方案</w:t>
      </w:r>
      <w:r>
        <w:rPr>
          <w:rFonts w:hint="eastAsia" w:ascii="宋体" w:hAnsi="宋体" w:cs="宋体"/>
          <w:bCs/>
          <w:color w:val="000000"/>
          <w:sz w:val="24"/>
          <w:highlight w:val="none"/>
          <w:lang w:eastAsia="zh-CN"/>
        </w:rPr>
        <w:t xml:space="preserve">等</w:t>
      </w:r>
      <w:r>
        <w:rPr>
          <w:rFonts w:ascii="宋体" w:hAnsi="宋体" w:cs="宋体"/>
          <w:bCs/>
          <w:color w:val="000000"/>
          <w:sz w:val="24"/>
          <w:highlight w:val="none"/>
        </w:rPr>
        <w:t xml:space="preserve">开展。</w:t>
      </w:r>
      <w:r/>
    </w:p>
    <w:p>
      <w:pPr>
        <w:ind w:left="-2" w:firstLine="486"/>
        <w:spacing w:line="360" w:lineRule="auto"/>
        <w:rPr>
          <w:rFonts w:hint="eastAsia" w:ascii="宋体" w:hAnsi="宋体" w:cs="宋体"/>
          <w:bCs/>
          <w:color w:val="000000"/>
          <w:sz w:val="24"/>
          <w:highlight w:val="none"/>
        </w:rPr>
      </w:pPr>
      <w:r>
        <w:rPr>
          <w:rFonts w:ascii="宋体" w:hAnsi="宋体" w:cs="宋体"/>
          <w:b/>
          <w:bCs/>
          <w:color w:val="000000"/>
          <w:sz w:val="24"/>
          <w:highlight w:val="none"/>
        </w:rPr>
        <w:t xml:space="preserve">3.标段</w:t>
      </w:r>
      <w:r>
        <w:rPr>
          <w:rFonts w:hint="eastAsia" w:ascii="宋体" w:hAnsi="宋体" w:cs="宋体"/>
          <w:b/>
          <w:bCs/>
          <w:color w:val="000000"/>
          <w:sz w:val="24"/>
          <w:highlight w:val="none"/>
          <w:lang w:eastAsia="zh-CN"/>
        </w:rPr>
        <w:t xml:space="preserve">四</w:t>
      </w:r>
      <w:r>
        <w:rPr>
          <w:rFonts w:ascii="宋体" w:hAnsi="宋体" w:cs="宋体"/>
          <w:b/>
          <w:bCs/>
          <w:color w:val="000000"/>
          <w:sz w:val="24"/>
          <w:highlight w:val="none"/>
        </w:rPr>
        <w:t xml:space="preserve">：</w:t>
      </w:r>
      <w:r>
        <w:rPr>
          <w:rFonts w:ascii="宋体" w:hAnsi="宋体" w:cs="宋体"/>
          <w:b w:val="0"/>
          <w:bCs w:val="0"/>
          <w:color w:val="000000"/>
          <w:sz w:val="24"/>
          <w:highlight w:val="none"/>
        </w:rPr>
        <w:t xml:space="preserve">一般围绕</w:t>
      </w:r>
      <w:r>
        <w:rPr>
          <w:rFonts w:hint="eastAsia" w:ascii="宋体" w:hAnsi="宋体" w:cs="宋体"/>
          <w:b w:val="0"/>
          <w:bCs w:val="0"/>
          <w:color w:val="000000"/>
          <w:sz w:val="24"/>
          <w:highlight w:val="none"/>
        </w:rPr>
        <w:t xml:space="preserve">园区上市、拟上市、苗圃企业、瞪羚企业等开展安全专项服务指导，</w:t>
      </w:r>
      <w:r>
        <w:rPr>
          <w:rFonts w:ascii="宋体" w:hAnsi="宋体" w:cs="宋体"/>
          <w:b w:val="0"/>
          <w:bCs w:val="0"/>
          <w:color w:val="000000"/>
          <w:sz w:val="24"/>
          <w:highlight w:val="none"/>
        </w:rPr>
        <w:t xml:space="preserve">服务内容一般包括但不限于：（</w:t>
      </w:r>
      <w:r>
        <w:rPr>
          <w:rFonts w:hint="eastAsia" w:ascii="宋体" w:hAnsi="宋体" w:cs="宋体"/>
          <w:b w:val="0"/>
          <w:bCs w:val="0"/>
          <w:color w:val="000000"/>
          <w:sz w:val="24"/>
          <w:highlight w:val="none"/>
        </w:rPr>
        <w:t xml:space="preserve">1</w:t>
      </w:r>
      <w:r>
        <w:rPr>
          <w:rFonts w:ascii="宋体" w:hAnsi="宋体" w:cs="宋体"/>
          <w:b w:val="0"/>
          <w:bCs w:val="0"/>
          <w:color w:val="000000"/>
          <w:sz w:val="24"/>
          <w:highlight w:val="none"/>
        </w:rPr>
        <w:t xml:space="preserve">）安全生产风险隐患减量服务</w:t>
      </w:r>
      <w:r>
        <w:rPr>
          <w:rFonts w:hint="eastAsia" w:ascii="宋体" w:hAnsi="宋体" w:cs="宋体"/>
          <w:b w:val="0"/>
          <w:bCs w:val="0"/>
          <w:color w:val="000000"/>
          <w:sz w:val="24"/>
          <w:highlight w:val="none"/>
        </w:rPr>
        <w:t xml:space="preserve">。指导企业开展风险辨识报告，排查现场隐患，完善安全管理体系建设等。（2）安全生产“三同时”等政策文件宣贯；（</w:t>
      </w:r>
      <w:r>
        <w:rPr>
          <w:rFonts w:ascii="宋体" w:hAnsi="宋体" w:cs="宋体"/>
          <w:b w:val="0"/>
          <w:bCs w:val="0"/>
          <w:color w:val="000000"/>
          <w:sz w:val="24"/>
          <w:highlight w:val="none"/>
        </w:rPr>
        <w:t xml:space="preserve">3</w:t>
      </w:r>
      <w:r>
        <w:rPr>
          <w:rFonts w:hint="eastAsia" w:ascii="宋体" w:hAnsi="宋体" w:cs="宋体"/>
          <w:b w:val="0"/>
          <w:bCs w:val="0"/>
          <w:color w:val="000000"/>
          <w:sz w:val="24"/>
          <w:highlight w:val="none"/>
        </w:rPr>
        <w:t xml:space="preserve">）危化品储存使用等高风险位置安全管理；（</w:t>
      </w:r>
      <w:r>
        <w:rPr>
          <w:rFonts w:ascii="宋体" w:hAnsi="宋体" w:cs="宋体"/>
          <w:b w:val="0"/>
          <w:bCs w:val="0"/>
          <w:color w:val="000000"/>
          <w:sz w:val="24"/>
          <w:highlight w:val="none"/>
        </w:rPr>
        <w:t xml:space="preserve">4</w:t>
      </w:r>
      <w:r>
        <w:rPr>
          <w:rFonts w:hint="eastAsia" w:ascii="宋体" w:hAnsi="宋体" w:cs="宋体"/>
          <w:b w:val="0"/>
          <w:bCs w:val="0"/>
          <w:color w:val="000000"/>
          <w:sz w:val="24"/>
          <w:highlight w:val="none"/>
        </w:rPr>
        <w:t xml:space="preserve">）</w:t>
      </w:r>
      <w:r>
        <w:rPr>
          <w:rFonts w:hint="eastAsia" w:ascii="宋体" w:hAnsi="宋体" w:cs="宋体"/>
          <w:b w:val="0"/>
          <w:bCs w:val="0"/>
          <w:color w:val="000000"/>
          <w:sz w:val="24"/>
          <w:highlight w:val="none"/>
          <w:lang w:eastAsia="zh-CN"/>
        </w:rPr>
        <w:t xml:space="preserve">全员安全生产责任制和安全生产管理体系建设</w:t>
      </w:r>
      <w:r>
        <w:rPr>
          <w:rFonts w:hint="eastAsia" w:ascii="宋体" w:hAnsi="宋体" w:cs="宋体"/>
          <w:b w:val="0"/>
          <w:bCs w:val="0"/>
          <w:color w:val="000000"/>
          <w:sz w:val="24"/>
          <w:highlight w:val="none"/>
        </w:rPr>
        <w:t xml:space="preserve">；</w:t>
      </w:r>
      <w:r>
        <w:rPr>
          <w:rFonts w:hint="eastAsia" w:ascii="宋体" w:hAnsi="宋体" w:cs="宋体"/>
          <w:bCs/>
          <w:color w:val="000000"/>
          <w:sz w:val="24"/>
          <w:highlight w:val="none"/>
        </w:rPr>
        <w:t xml:space="preserve">（5）特殊作业安全管理；（6）指导企业开展</w:t>
      </w:r>
      <w:r>
        <w:rPr>
          <w:rFonts w:hint="eastAsia" w:ascii="宋体" w:hAnsi="宋体" w:cs="宋体"/>
          <w:bCs/>
          <w:color w:val="000000"/>
          <w:sz w:val="24"/>
          <w:highlight w:val="none"/>
          <w:lang w:eastAsia="zh-CN"/>
        </w:rPr>
        <w:t xml:space="preserve">安全生产“六化”</w:t>
      </w:r>
      <w:r>
        <w:rPr>
          <w:rFonts w:hint="eastAsia" w:ascii="宋体" w:hAnsi="宋体" w:cs="宋体"/>
          <w:bCs/>
          <w:color w:val="000000"/>
          <w:sz w:val="24"/>
          <w:highlight w:val="none"/>
        </w:rPr>
        <w:t xml:space="preserve">等，推动企业本质安全提升；（7）配合开展相关领域本质安全提升的研究探索。根据园区应急局委托，开展专项专题培训指导、安全文化宣教以及其他协商确定的安全服务等。服务可通过“线上+线下”的方式进行，相关单位要严格遵守工作约定和数据保密要求。</w:t>
      </w:r>
      <w:r/>
    </w:p>
    <w:p>
      <w:pPr>
        <w:ind w:left="-2" w:firstLine="486"/>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标段一至标段四相关服务单位应按照安全生产监管部门要求，协同开展如下事项：(一)开展法律法规宣传培训。组织一线监管执法人员和工贸重点企业主要负责人、安全管理人员、有限空间和特殊作业监护人员等开展教育培训，宣贯重大事故隐患判定标准和有限空间、粉尘涉爆、金属冶炼等重点领域法律法规和工作要求，加强典型事故警示教育，提高企业从业人员、一线监管人员发现问题和解决问题的强烈意愿和能力水平。(二)</w:t>
      </w:r>
      <w:r>
        <w:rPr>
          <w:rFonts w:hint="eastAsia" w:ascii="宋体" w:hAnsi="宋体" w:cs="宋体"/>
          <w:bCs/>
          <w:color w:val="000000"/>
          <w:sz w:val="24"/>
          <w:highlight w:val="none"/>
          <w:lang w:val="en-US" w:eastAsia="zh-CN"/>
        </w:rPr>
        <w:t xml:space="preserve">开展企业现场会诊。通过访谈问卷、现场查看等方式抽选部分重点企业开展现场会诊，拍摄隐患场景，加强与企业沟通交流、答疑解惑，会诊过程中邀请同类型企业参与，达到“服务一家、指导一片”的效果。会诊后形成重大事故隐患和突出问题清单，指导帮助企业闭环整改，落实风险管控措施。(三)开展集中讲评反馈。通过线上和线下相结合方式，开展集中讲评反馈，剖析会诊发现的重大事故隐患和典型问题，指导相关企业举一反三排查整改同类问题隐患。(四)开展优秀企业培育。结合指导服务工作，培育安全生产优秀企业、中小企业管理规范化企业，挖掘优秀经验。</w:t>
      </w:r>
      <w:r/>
    </w:p>
    <w:p>
      <w:pPr>
        <w:ind w:firstLine="486"/>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(二)服务指导频次和重点内容要求 </w:t>
      </w:r>
      <w:r/>
    </w:p>
    <w:p>
      <w:pPr>
        <w:ind w:left="-2" w:firstLine="486"/>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2.1（1）安全生产服务指导频次：每家不少于 2 次，其中针对重点领域的核查不少于 1 次，整改闭环复查不少于 1 次； </w:t>
      </w:r>
      <w:r/>
    </w:p>
    <w:p>
      <w:pPr>
        <w:ind w:left="-2" w:firstLine="486"/>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（2）工作人员视企业规模大小安排专家开展现场安全指导治理：不低于 3 人。指导治理专家必须包括一名高级职称或省市专家。拟投入人员未受到各级应急管理部门的行政处罚。 </w:t>
      </w:r>
      <w:r/>
    </w:p>
    <w:p>
      <w:pPr>
        <w:ind w:left="-2" w:firstLine="486"/>
        <w:spacing w:line="360" w:lineRule="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（3）本次核查定点服务要突出现场工艺和设备设施，对现场安全状况进行重点核查指导。</w:t>
      </w:r>
      <w:r>
        <w:rPr>
          <w:rFonts w:hint="eastAsia" w:ascii="宋体" w:hAnsi="宋体" w:cs="宋体"/>
          <w:bCs/>
          <w:color w:val="000000"/>
          <w:sz w:val="24"/>
          <w:highlight w:val="none"/>
          <w:lang w:eastAsia="zh-CN"/>
        </w:rPr>
        <w:t xml:space="preserve">核查前要先通过“</w:t>
      </w:r>
      <w:r>
        <w:rPr>
          <w:rFonts w:hint="eastAsia" w:ascii="宋体" w:hAnsi="宋体" w:cs="宋体"/>
          <w:bCs/>
          <w:color w:val="000000"/>
          <w:sz w:val="24"/>
          <w:highlight w:val="none"/>
          <w:lang w:val="en-US" w:eastAsia="zh-CN"/>
        </w:rPr>
        <w:t xml:space="preserve">SIP安全360系统</w:t>
      </w:r>
      <w:r>
        <w:rPr>
          <w:rFonts w:hint="eastAsia" w:ascii="宋体" w:hAnsi="宋体" w:cs="宋体"/>
          <w:bCs/>
          <w:color w:val="000000"/>
          <w:sz w:val="24"/>
          <w:highlight w:val="none"/>
          <w:lang w:eastAsia="zh-CN"/>
        </w:rPr>
        <w:t xml:space="preserve">”了解企业的基础信息，包括生产工艺、风险情况等。</w:t>
      </w:r>
      <w:r/>
    </w:p>
    <w:p>
      <w:pPr>
        <w:ind w:left="-2" w:firstLine="486"/>
        <w:spacing w:line="360" w:lineRule="auto"/>
        <w:rPr>
          <w:rFonts w:hint="eastAsia" w:ascii="宋体" w:hAnsi="宋体" w:cs="宋体"/>
          <w:bCs/>
          <w:color w:val="000000"/>
          <w:sz w:val="24"/>
          <w:highlight w:val="none"/>
          <w:lang w:eastAsia="zh-CN"/>
        </w:rPr>
      </w:pP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lang w:eastAsia="zh-CN"/>
        </w:rPr>
        <w:t xml:space="preserve">）第三方核查人员不得单独入企开展指导服务，需至少一名监管执法人员陪同。</w:t>
      </w:r>
      <w:r/>
    </w:p>
    <w:p>
      <w:pPr>
        <w:ind w:left="-2" w:firstLine="486"/>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2.2 现场服务指导：核查企业生产现场，尤其是重点部位（涉爆粉尘产生场所及除尘器、</w:t>
      </w:r>
      <w:r>
        <w:rPr>
          <w:rFonts w:hint="eastAsia" w:ascii="宋体" w:hAnsi="宋体" w:cs="宋体"/>
          <w:bCs/>
          <w:color w:val="000000"/>
          <w:sz w:val="24"/>
          <w:highlight w:val="none"/>
          <w:lang w:eastAsia="zh-CN"/>
        </w:rPr>
        <w:t xml:space="preserve">金属熔融</w:t>
      </w:r>
      <w:r>
        <w:rPr>
          <w:rFonts w:hint="eastAsia" w:ascii="宋体" w:hAnsi="宋体" w:cs="宋体"/>
          <w:bCs/>
          <w:color w:val="000000"/>
          <w:sz w:val="24"/>
          <w:highlight w:val="none"/>
        </w:rPr>
        <w:t xml:space="preserve">工艺场所、</w:t>
      </w:r>
      <w:r>
        <w:rPr>
          <w:rFonts w:hint="eastAsia" w:ascii="宋体" w:hAnsi="宋体" w:cs="宋体"/>
          <w:bCs/>
          <w:color w:val="000000"/>
          <w:sz w:val="24"/>
          <w:highlight w:val="none"/>
          <w:lang w:eastAsia="zh-CN"/>
        </w:rPr>
        <w:t xml:space="preserve">铝镁</w:t>
      </w:r>
      <w:r>
        <w:rPr>
          <w:rFonts w:hint="eastAsia" w:ascii="宋体" w:hAnsi="宋体" w:cs="宋体"/>
          <w:bCs/>
          <w:color w:val="000000"/>
          <w:sz w:val="24"/>
          <w:highlight w:val="none"/>
        </w:rPr>
        <w:t xml:space="preserve">机加工、木质加工、危化品储存及使用场所、液氨存储及使用场所、劳动密集场所等风险部位，涉及“厂中厂”的，核对承租企业），存在的问题和隐患，督促企业闭环整改，形成现场核查专篇，专篇内容包括：存在的问题和隐患描述（附照片），法律法规（标准规范等）依据，是否属于重大隐患的判定，整改措施建议（需明确可行的具体措施），督促企业闭环整改并附整改完成报告（附照片）。</w:t>
      </w:r>
      <w:r/>
    </w:p>
    <w:p>
      <w:pPr>
        <w:ind w:left="-2" w:firstLine="486"/>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w:t>
      </w:r>
      <w:r>
        <w:rPr>
          <w:rFonts w:ascii="宋体" w:hAnsi="宋体" w:cs="宋体"/>
          <w:bCs/>
          <w:color w:val="000000"/>
          <w:sz w:val="24"/>
          <w:highlight w:val="none"/>
        </w:rPr>
        <w:t xml:space="preserve">.3 工艺</w:t>
      </w:r>
      <w:r>
        <w:rPr>
          <w:rFonts w:hint="eastAsia" w:ascii="宋体" w:hAnsi="宋体" w:cs="宋体"/>
          <w:bCs/>
          <w:color w:val="000000"/>
          <w:sz w:val="24"/>
          <w:highlight w:val="none"/>
          <w:lang w:eastAsia="zh-CN"/>
        </w:rPr>
        <w:t xml:space="preserve">和设备</w:t>
      </w:r>
      <w:r>
        <w:rPr>
          <w:rFonts w:ascii="宋体" w:hAnsi="宋体" w:cs="宋体"/>
          <w:bCs/>
          <w:color w:val="000000"/>
          <w:sz w:val="24"/>
          <w:highlight w:val="none"/>
        </w:rPr>
        <w:t xml:space="preserve">安全</w:t>
      </w:r>
      <w:r>
        <w:rPr>
          <w:rFonts w:hint="eastAsia" w:ascii="宋体" w:hAnsi="宋体" w:cs="宋体"/>
          <w:bCs/>
          <w:color w:val="000000"/>
          <w:sz w:val="24"/>
          <w:highlight w:val="none"/>
          <w:lang w:eastAsia="zh-CN"/>
        </w:rPr>
        <w:t xml:space="preserve">性</w:t>
      </w:r>
      <w:r>
        <w:rPr>
          <w:rFonts w:ascii="宋体" w:hAnsi="宋体" w:cs="宋体"/>
          <w:bCs/>
          <w:color w:val="000000"/>
          <w:sz w:val="24"/>
          <w:highlight w:val="none"/>
        </w:rPr>
        <w:t xml:space="preserve">评估：</w:t>
      </w:r>
      <w:r>
        <w:rPr>
          <w:rFonts w:hint="eastAsia" w:ascii="宋体" w:hAnsi="宋体" w:cs="宋体"/>
          <w:bCs/>
          <w:color w:val="000000"/>
          <w:sz w:val="24"/>
          <w:highlight w:val="none"/>
        </w:rPr>
        <w:t xml:space="preserve">针对金属熔融、粉尘涉爆、喷漆、加热、电镀等重点区域、重点工段</w:t>
      </w:r>
      <w:r>
        <w:rPr>
          <w:rFonts w:hint="eastAsia" w:ascii="宋体" w:hAnsi="宋体" w:cs="宋体"/>
          <w:bCs/>
          <w:color w:val="000000"/>
          <w:sz w:val="24"/>
          <w:highlight w:val="none"/>
          <w:lang w:eastAsia="zh-CN"/>
        </w:rPr>
        <w:t xml:space="preserve">，根据《一般工业企业危险与可操作性</w:t>
      </w:r>
      <w:r>
        <w:rPr>
          <w:rFonts w:hint="default" w:ascii="Times New Roman" w:hAnsi="Times New Roman" w:cs="Times New Roman"/>
          <w:bCs/>
          <w:color w:val="000000"/>
          <w:sz w:val="24"/>
          <w:highlight w:val="none"/>
          <w:lang w:eastAsia="zh-CN"/>
        </w:rPr>
        <w:t xml:space="preserve">分析(HAZOP)总</w:t>
      </w:r>
      <w:r>
        <w:rPr>
          <w:rFonts w:hint="eastAsia" w:ascii="宋体" w:hAnsi="宋体" w:cs="宋体"/>
          <w:bCs/>
          <w:color w:val="000000"/>
          <w:sz w:val="24"/>
          <w:highlight w:val="none"/>
          <w:lang w:eastAsia="zh-CN"/>
        </w:rPr>
        <w:t xml:space="preserve">则》等标准规范，开展重点工艺、设备安全风险评估，</w:t>
      </w:r>
      <w:r>
        <w:rPr>
          <w:rFonts w:hint="eastAsia" w:ascii="宋体" w:hAnsi="宋体" w:cs="宋体"/>
          <w:bCs/>
          <w:color w:val="000000"/>
          <w:sz w:val="24"/>
          <w:highlight w:val="none"/>
        </w:rPr>
        <w:t xml:space="preserve">通过设置目标、收集参数、模型分析等技术路径，评估企业重点工段的工艺安全水平、设备安全水平、岗位人员作业安全水平等，多维度分析评估，提出风险针对性管控措施和整改建议，形成工艺</w:t>
      </w:r>
      <w:r>
        <w:rPr>
          <w:rFonts w:hint="eastAsia" w:ascii="宋体" w:hAnsi="宋体" w:cs="宋体"/>
          <w:bCs/>
          <w:color w:val="000000"/>
          <w:sz w:val="24"/>
          <w:highlight w:val="none"/>
          <w:lang w:eastAsia="zh-CN"/>
        </w:rPr>
        <w:t xml:space="preserve">和设备</w:t>
      </w:r>
      <w:r>
        <w:rPr>
          <w:rFonts w:hint="eastAsia" w:ascii="宋体" w:hAnsi="宋体" w:cs="宋体"/>
          <w:bCs/>
          <w:color w:val="000000"/>
          <w:sz w:val="24"/>
          <w:highlight w:val="none"/>
        </w:rPr>
        <w:t xml:space="preserve">安全评估“一企一档”。（如，</w:t>
      </w:r>
      <w:r>
        <w:rPr>
          <w:rFonts w:hint="eastAsia"/>
          <w:color w:val="000000"/>
          <w:sz w:val="24"/>
          <w:highlight w:val="none"/>
        </w:rPr>
        <w:t xml:space="preserve">对重点工段从工艺、设备、物料、参数、监控措施、作业方式等方面进行数据采集；从工艺、设备、管理、人员等方面进行定性定量分析、风险分级及改进管控措施制定等</w:t>
      </w:r>
      <w:r>
        <w:rPr>
          <w:rFonts w:hint="eastAsia" w:ascii="宋体" w:hAnsi="宋体" w:cs="宋体"/>
          <w:bCs/>
          <w:color w:val="000000"/>
          <w:sz w:val="24"/>
          <w:highlight w:val="none"/>
        </w:rPr>
        <w:t xml:space="preserve">）</w:t>
      </w:r>
      <w:r/>
    </w:p>
    <w:p>
      <w:pPr>
        <w:ind w:left="-2" w:firstLine="486"/>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w:t>
      </w:r>
      <w:r>
        <w:rPr>
          <w:rFonts w:ascii="宋体" w:hAnsi="宋体" w:cs="宋体"/>
          <w:bCs/>
          <w:color w:val="000000"/>
          <w:sz w:val="24"/>
          <w:highlight w:val="none"/>
        </w:rPr>
        <w:t xml:space="preserve">4</w:t>
      </w:r>
      <w:r>
        <w:rPr>
          <w:rFonts w:hint="eastAsia" w:ascii="宋体" w:hAnsi="宋体" w:cs="宋体"/>
          <w:bCs/>
          <w:color w:val="000000"/>
          <w:sz w:val="24"/>
          <w:highlight w:val="none"/>
        </w:rPr>
        <w:t xml:space="preserve"> 涉企信息掌握：适当向企业了解工艺水平、生产线先进性、设备年限、产品市场前景、产业上下游配套（进出口）等，以及企业面积、亩产税收、员工数量、学历分布、人员流动性等涉企信息，评估企业自主安全管理能力。 </w:t>
      </w:r>
      <w:r/>
    </w:p>
    <w:p>
      <w:pPr>
        <w:ind w:left="-2" w:firstLine="486"/>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w:t>
      </w:r>
      <w:r>
        <w:rPr>
          <w:rFonts w:ascii="宋体" w:hAnsi="宋体" w:cs="宋体"/>
          <w:bCs/>
          <w:color w:val="000000"/>
          <w:sz w:val="24"/>
          <w:highlight w:val="none"/>
        </w:rPr>
        <w:t xml:space="preserve">5</w:t>
      </w:r>
      <w:r>
        <w:rPr>
          <w:rFonts w:hint="eastAsia" w:ascii="宋体" w:hAnsi="宋体" w:cs="宋体"/>
          <w:bCs/>
          <w:color w:val="000000"/>
          <w:sz w:val="24"/>
          <w:highlight w:val="none"/>
        </w:rPr>
        <w:t xml:space="preserve"> 管理服务指导：结合服务内容要求，对企业的安全生产管理，尤其是承包商作业、危险作业、“六防（防机械伤害、防触电、防高处坠落、防坍塌、防物体打击、防火灾等）”、“三化”、“线上+线下”等管理方面开展指导治理，结合企业风险报告系统填报、“SIP安全3</w:t>
      </w:r>
      <w:r>
        <w:rPr>
          <w:rFonts w:ascii="宋体" w:hAnsi="宋体" w:cs="宋体"/>
          <w:bCs/>
          <w:color w:val="000000"/>
          <w:sz w:val="24"/>
          <w:highlight w:val="none"/>
        </w:rPr>
        <w:t xml:space="preserve">60</w:t>
      </w:r>
      <w:r>
        <w:rPr>
          <w:rFonts w:hint="eastAsia" w:ascii="宋体" w:hAnsi="宋体" w:cs="宋体"/>
          <w:bCs/>
          <w:color w:val="000000"/>
          <w:sz w:val="24"/>
          <w:highlight w:val="none"/>
          <w:lang w:eastAsia="zh-CN"/>
        </w:rPr>
        <w:t xml:space="preserve">系统</w:t>
      </w:r>
      <w:r>
        <w:rPr>
          <w:rFonts w:hint="eastAsia" w:ascii="宋体" w:hAnsi="宋体" w:cs="宋体"/>
          <w:bCs/>
          <w:color w:val="000000"/>
          <w:sz w:val="24"/>
          <w:highlight w:val="none"/>
        </w:rPr>
        <w:t xml:space="preserve">”风险管理模块对企业安全生产风险辨识的全面性和准确性进行指导治理，形成管理核查专篇描述，专篇内容包括：存在的问题和隐患描述（附材料），法律法规（标准规范）依据，是否属于重大隐患的判定，整改措施建议（需明确可行的具体措施），督促企业闭环整改并附整改完成报告（附材料）。 </w:t>
      </w:r>
      <w:r/>
    </w:p>
    <w:p>
      <w:pPr>
        <w:ind w:left="-2" w:firstLine="486"/>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w:t>
      </w:r>
      <w:r>
        <w:rPr>
          <w:rFonts w:ascii="宋体" w:hAnsi="宋体" w:cs="宋体"/>
          <w:bCs/>
          <w:color w:val="000000"/>
          <w:sz w:val="24"/>
          <w:highlight w:val="none"/>
        </w:rPr>
        <w:t xml:space="preserve">6</w:t>
      </w:r>
      <w:r>
        <w:rPr>
          <w:rFonts w:hint="eastAsia" w:ascii="宋体" w:hAnsi="宋体" w:cs="宋体"/>
          <w:bCs/>
          <w:color w:val="000000"/>
          <w:sz w:val="24"/>
          <w:highlight w:val="none"/>
        </w:rPr>
        <w:t xml:space="preserve"> 重大危险隐患核查：判定企业是否存在重大危险隐患和较大以上风险，如有，开展安全管理及重大危险源现场的深度指导治理，形成核查专篇，专篇内容包括：存在的问题和隐患描述（附材料）</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法律法规（标准规范等）依据，整改措施建议（需明确可行的具体措施），督促企业闭环整改并附整改完成报告（附材料）。 </w:t>
      </w:r>
      <w:r/>
    </w:p>
    <w:p>
      <w:pPr>
        <w:ind w:left="-2" w:firstLine="486"/>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w:t>
      </w:r>
      <w:r>
        <w:rPr>
          <w:rFonts w:ascii="宋体" w:hAnsi="宋体" w:cs="宋体"/>
          <w:bCs/>
          <w:color w:val="000000"/>
          <w:sz w:val="24"/>
          <w:highlight w:val="none"/>
        </w:rPr>
        <w:t xml:space="preserve">7</w:t>
      </w:r>
      <w:r>
        <w:rPr>
          <w:rFonts w:hint="eastAsia" w:ascii="宋体" w:hAnsi="宋体" w:cs="宋体"/>
          <w:bCs/>
          <w:color w:val="000000"/>
          <w:sz w:val="24"/>
          <w:highlight w:val="none"/>
        </w:rPr>
        <w:t xml:space="preserve"> 服务指导和核查反馈：企业核查结束，召集企业主要负责人、安全管理人员、其他管理人员召开核查反馈会议，列出问题点并逐项提出整改措施及建议，配合园区应急管理部门跟踪企业问题及隐患的整改落实，及时录入</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SIP安全360系统</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。同时，纸质反馈记录还应包括时间、地点、问题汇总以及与会人员签字。</w:t>
      </w:r>
      <w:r/>
    </w:p>
    <w:p>
      <w:pPr>
        <w:ind w:left="-2" w:firstLine="486"/>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w:t>
      </w:r>
      <w:r>
        <w:rPr>
          <w:rFonts w:ascii="宋体" w:hAnsi="宋体" w:cs="宋体"/>
          <w:bCs/>
          <w:color w:val="000000"/>
          <w:sz w:val="24"/>
          <w:highlight w:val="none"/>
        </w:rPr>
        <w:t xml:space="preserve">.8 针对上市、拟上市等重点企业的安全指导服务，除了对企业现场进行风险隐患减量服务以外，应注重安全生产政策宣贯、文件解读、管理体系健全、</w:t>
      </w:r>
      <w:r>
        <w:rPr>
          <w:rFonts w:hint="eastAsia" w:ascii="宋体" w:hAnsi="宋体" w:cs="宋体"/>
          <w:bCs/>
          <w:color w:val="000000"/>
          <w:sz w:val="24"/>
          <w:highlight w:val="none"/>
          <w:lang w:eastAsia="zh-CN"/>
        </w:rPr>
        <w:t xml:space="preserve">安全规范化建设、</w:t>
      </w:r>
      <w:r>
        <w:rPr>
          <w:rFonts w:ascii="宋体" w:hAnsi="宋体" w:cs="宋体"/>
          <w:bCs/>
          <w:color w:val="000000"/>
          <w:sz w:val="24"/>
          <w:highlight w:val="none"/>
        </w:rPr>
        <w:t xml:space="preserve">本质安全提升、IPO上市安全生产指导、信息化系统完善等工作；针对涉及重点工艺的，同步开展工艺安全性分析，指导企业本质安全提升。</w:t>
      </w:r>
      <w:r/>
    </w:p>
    <w:p>
      <w:pPr>
        <w:ind w:left="-2" w:firstLine="486"/>
        <w:spacing w:line="360" w:lineRule="auto"/>
        <w:rPr>
          <w:rFonts w:ascii="宋体" w:hAnsi="宋体" w:cs="宋体"/>
          <w:b/>
          <w:bCs/>
          <w:color w:val="000000"/>
          <w:sz w:val="24"/>
          <w:highlight w:val="none"/>
        </w:rPr>
      </w:pPr>
      <w:r>
        <w:rPr>
          <w:rFonts w:ascii="宋体" w:hAnsi="宋体" w:cs="宋体"/>
          <w:b/>
          <w:bCs/>
          <w:color w:val="000000"/>
          <w:sz w:val="24"/>
          <w:highlight w:val="none"/>
        </w:rPr>
        <w:t xml:space="preserve">（三）</w:t>
      </w:r>
      <w:r>
        <w:rPr>
          <w:rFonts w:hint="eastAsia" w:ascii="宋体" w:hAnsi="宋体" w:cs="宋体"/>
          <w:b/>
          <w:bCs/>
          <w:color w:val="000000"/>
          <w:sz w:val="24"/>
          <w:highlight w:val="none"/>
        </w:rPr>
        <w:t xml:space="preserve">人员力量</w:t>
      </w:r>
      <w:r>
        <w:rPr>
          <w:rFonts w:ascii="宋体" w:hAnsi="宋体" w:cs="宋体"/>
          <w:b/>
          <w:bCs/>
          <w:color w:val="000000"/>
          <w:sz w:val="24"/>
          <w:highlight w:val="none"/>
        </w:rPr>
        <w:t xml:space="preserve">要求：</w:t>
      </w:r>
      <w:r/>
    </w:p>
    <w:p>
      <w:pPr>
        <w:ind w:left="-2" w:firstLine="486"/>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项目负责人1人、项目技术负责人1人，项目技术服务人员不少于15人。涉及重点监管领域工艺和设备安全分析评估的，单个企业专家组的技术服务人员一般不少于5人（含数据分析评估人数。一般现场指导不少于3人）。</w:t>
      </w:r>
      <w:r/>
    </w:p>
    <w:p>
      <w:pPr>
        <w:ind w:left="-2" w:firstLine="486"/>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2.在项目实施过程中，未经采购人批准，供应商不得随意更换项目组成员。如果采购人认为技术服务人员不具备本次服务工作所需的技术能力，有权随时要求供应商对该成员进行更换。</w:t>
      </w:r>
      <w:r/>
    </w:p>
    <w:p>
      <w:pPr>
        <w:ind w:left="-2" w:firstLine="482"/>
        <w:spacing w:line="360" w:lineRule="auto"/>
        <w:rPr>
          <w:rFonts w:ascii="宋体" w:hAnsi="宋体" w:cs="宋体"/>
          <w:b/>
          <w:sz w:val="24"/>
        </w:rPr>
      </w:pPr>
      <w:r>
        <w:rPr>
          <w:rFonts w:hint="eastAsia" w:ascii="宋体" w:hAnsi="宋体" w:cs="宋体"/>
          <w:b/>
          <w:sz w:val="24"/>
        </w:rPr>
        <w:t xml:space="preserve">（四）工作进度要求 </w:t>
      </w:r>
      <w:r/>
    </w:p>
    <w:p>
      <w:pPr>
        <w:ind w:left="-2" w:firstLine="480"/>
        <w:spacing w:line="360" w:lineRule="auto"/>
        <w:rPr>
          <w:rFonts w:ascii="宋体" w:hAnsi="宋体" w:cs="宋体"/>
          <w:bCs/>
          <w:color w:val="auto"/>
          <w:sz w:val="24"/>
        </w:rPr>
      </w:pPr>
      <w:r>
        <w:rPr>
          <w:rFonts w:hint="eastAsia" w:ascii="宋体" w:hAnsi="宋体" w:cs="宋体"/>
          <w:bCs/>
          <w:sz w:val="24"/>
        </w:rPr>
        <w:t xml:space="preserve">（1）服务单位根据企业规模及特点，提前制订指导治理计划、明确人员数量、专业配置，</w:t>
      </w:r>
      <w:r>
        <w:rPr>
          <w:rFonts w:hint="eastAsia" w:ascii="宋体" w:hAnsi="宋体" w:cs="宋体"/>
          <w:bCs/>
          <w:color w:val="auto"/>
          <w:sz w:val="24"/>
        </w:rPr>
        <w:t xml:space="preserve">确定企业名单，制定安全指导治理清单； </w:t>
      </w:r>
      <w:r/>
    </w:p>
    <w:p>
      <w:pPr>
        <w:ind w:left="-2" w:firstLine="480"/>
        <w:spacing w:line="360" w:lineRule="auto"/>
        <w:rPr>
          <w:rFonts w:ascii="宋体" w:hAnsi="宋体" w:cs="宋体"/>
          <w:bCs/>
          <w:color w:val="auto"/>
          <w:sz w:val="24"/>
        </w:rPr>
      </w:pPr>
      <w:r>
        <w:rPr>
          <w:rFonts w:hint="eastAsia" w:ascii="宋体" w:hAnsi="宋体" w:cs="宋体"/>
          <w:bCs/>
          <w:color w:val="auto"/>
          <w:sz w:val="24"/>
        </w:rPr>
        <w:t xml:space="preserve">（2）服务单位对各企业开展核查工作，同步编写专题指导服务报告； </w:t>
      </w:r>
      <w:r/>
    </w:p>
    <w:p>
      <w:pPr>
        <w:ind w:left="-2" w:firstLine="480"/>
        <w:spacing w:line="360" w:lineRule="auto"/>
        <w:rPr>
          <w:rFonts w:ascii="宋体" w:hAnsi="宋体" w:cs="宋体"/>
          <w:bCs/>
          <w:color w:val="auto"/>
          <w:sz w:val="24"/>
        </w:rPr>
      </w:pPr>
      <w:r>
        <w:rPr>
          <w:rFonts w:hint="eastAsia" w:ascii="宋体" w:hAnsi="宋体" w:cs="宋体"/>
          <w:bCs/>
          <w:color w:val="auto"/>
          <w:sz w:val="24"/>
        </w:rPr>
        <w:t xml:space="preserve">（3）服务单位对各企业开展隐患闭环复核工作； </w:t>
      </w:r>
      <w:r/>
    </w:p>
    <w:p>
      <w:pPr>
        <w:ind w:left="-2" w:firstLine="480"/>
        <w:spacing w:line="360" w:lineRule="auto"/>
        <w:rPr>
          <w:rFonts w:hint="eastAsia" w:ascii="宋体" w:hAnsi="宋体" w:cs="宋体"/>
          <w:b/>
          <w:color w:val="auto"/>
          <w:sz w:val="24"/>
          <w:highlight w:val="none"/>
        </w:rPr>
      </w:pPr>
      <w:r>
        <w:rPr>
          <w:rFonts w:hint="eastAsia" w:ascii="宋体" w:hAnsi="宋体" w:cs="宋体"/>
          <w:bCs/>
          <w:color w:val="auto"/>
          <w:sz w:val="24"/>
        </w:rPr>
        <w:t xml:space="preserve">服务时间：签订合同之日起至202</w:t>
      </w:r>
      <w:r>
        <w:rPr>
          <w:rFonts w:hint="eastAsia" w:ascii="宋体" w:hAnsi="宋体" w:cs="宋体"/>
          <w:bCs/>
          <w:color w:val="auto"/>
          <w:sz w:val="24"/>
          <w:lang w:val="en-US" w:eastAsia="zh-CN"/>
        </w:rPr>
        <w:t xml:space="preserve">6</w:t>
      </w:r>
      <w:r>
        <w:rPr>
          <w:rFonts w:hint="eastAsia" w:ascii="宋体" w:hAnsi="宋体" w:cs="宋体"/>
          <w:bCs/>
          <w:color w:val="auto"/>
          <w:sz w:val="24"/>
        </w:rPr>
        <w:t xml:space="preserve">年10月31日，其中第一轮检查指导服务需在8月底前完成，第二轮复查和汇总分析报告需在10月31日前完成。</w:t>
      </w:r>
      <w:r/>
    </w:p>
    <w:p>
      <w:pPr>
        <w:ind w:firstLine="482"/>
        <w:jc w:val="left"/>
        <w:spacing w:line="360" w:lineRule="auto"/>
        <w:tabs>
          <w:tab w:val="left" w:pos="420" w:leader="none"/>
          <w:tab w:val="left" w:pos="525" w:leader="none"/>
          <w:tab w:val="left" w:pos="3840" w:leader="none"/>
        </w:tabs>
        <w:rPr>
          <w:rFonts w:ascii="宋体" w:hAnsi="宋体" w:cs="宋体"/>
          <w:b/>
          <w:color w:val="auto"/>
          <w:sz w:val="24"/>
          <w:highlight w:val="none"/>
        </w:rPr>
      </w:pPr>
      <w:r>
        <w:rPr>
          <w:rFonts w:hint="eastAsia" w:ascii="宋体" w:hAnsi="宋体" w:cs="宋体"/>
          <w:b/>
          <w:color w:val="auto"/>
          <w:sz w:val="24"/>
          <w:highlight w:val="none"/>
        </w:rPr>
        <w:t xml:space="preserve">五、</w:t>
      </w:r>
      <w:r>
        <w:rPr>
          <w:rFonts w:hint="eastAsia" w:ascii="宋体" w:hAnsi="宋体" w:cs="宋体"/>
          <w:b/>
          <w:color w:val="auto"/>
          <w:sz w:val="24"/>
          <w:highlight w:val="none"/>
          <w:lang w:val="zh-CN"/>
        </w:rPr>
        <w:t xml:space="preserve">其他要求：</w:t>
      </w:r>
      <w:r/>
    </w:p>
    <w:p>
      <w:pPr>
        <w:ind w:firstLine="480"/>
        <w:spacing w:line="360" w:lineRule="auto"/>
        <w:rPr>
          <w:rFonts w:hint="eastAsia" w:ascii="宋体" w:hAnsi="宋体" w:cs="宋体"/>
          <w:sz w:val="24"/>
        </w:rPr>
      </w:pPr>
      <w:r>
        <w:rPr>
          <w:rFonts w:hint="eastAsia" w:ascii="宋体" w:hAnsi="宋体" w:cs="宋体"/>
          <w:color w:val="auto"/>
          <w:sz w:val="24"/>
        </w:rPr>
        <w:t xml:space="preserve">1、</w:t>
      </w:r>
      <w:r>
        <w:rPr>
          <w:rFonts w:hint="eastAsia" w:ascii="宋体" w:hAnsi="宋体" w:cs="宋体"/>
          <w:sz w:val="24"/>
        </w:rPr>
        <w:t xml:space="preserve">供应商提供的响应文件内容须真实、准确、有效，如提供虚假材料或对采购文件所要求说明的情况故意隐瞒或虚报，则视为非实质性响应，已中标的将取消中标资格，并按《中华人民共和国政府采购法》第七十七条的相关办法处理。</w:t>
      </w:r>
      <w:r/>
    </w:p>
    <w:p>
      <w:pPr>
        <w:ind w:firstLine="480"/>
        <w:spacing w:line="360" w:lineRule="auto"/>
        <w:rPr>
          <w:rFonts w:hint="eastAsia"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响应单位必须按照《劳动法》及苏州市的有关规定配置工作人员数量，并支付工资、国假加班费和交纳正常的社会保险，不得安排工作人员超时限加班。响应供应商在本项目的人员报价中须包含人员工资和社保费用，其中人员工资部分和社保缴费部分不得低于项目所在行政区域的当前最低缴费标准，供应商在报价时应将在服务期限内人员工资和社保费用进行调整的情况包含在内，采购人不再为此承担任何费用和责任。相关服务人员与采购人无任何劳动人事关系，用工事宜由成交供应商负责。</w:t>
      </w:r>
      <w:r/>
    </w:p>
    <w:p>
      <w:pPr>
        <w:ind w:firstLine="480"/>
        <w:spacing w:line="360" w:lineRule="auto"/>
        <w:rPr>
          <w:rFonts w:hint="eastAsia" w:ascii="宋体" w:hAnsi="宋体" w:cs="宋体"/>
          <w:sz w:val="24"/>
        </w:rPr>
      </w:pPr>
      <w:r>
        <w:rPr>
          <w:rFonts w:hint="eastAsia" w:ascii="宋体" w:hAnsi="宋体" w:cs="宋体"/>
          <w:sz w:val="24"/>
          <w:lang w:val="en-US" w:eastAsia="zh-CN"/>
        </w:rPr>
        <w:t xml:space="preserve">3</w:t>
      </w:r>
      <w:r>
        <w:rPr>
          <w:rFonts w:hint="eastAsia" w:ascii="宋体" w:hAnsi="宋体" w:cs="宋体"/>
          <w:sz w:val="24"/>
        </w:rPr>
        <w:t xml:space="preserve">、响应单位应对所投项目的全部内容进行报价，只投其中部分内容者，则视为非实质性响应，采购人除支付本次采购项目的成交金额外不再承担其他任何费用。</w:t>
      </w:r>
      <w:r/>
    </w:p>
    <w:p>
      <w:pPr>
        <w:ind w:firstLine="480"/>
        <w:spacing w:line="360" w:lineRule="auto"/>
        <w:rPr>
          <w:rFonts w:hint="eastAsia" w:ascii="宋体" w:hAnsi="宋体" w:cs="宋体"/>
          <w:sz w:val="24"/>
        </w:rPr>
      </w:pPr>
      <w:r>
        <w:rPr>
          <w:rFonts w:hint="eastAsia" w:ascii="宋体" w:hAnsi="宋体" w:cs="宋体"/>
          <w:sz w:val="24"/>
        </w:rPr>
        <w:t xml:space="preserve">5、供应商对货物或服务缺陷不予更正，采购人有权另请其他单位更正，所发生的费用在供应商提交的中扣除，如不足以补偿更正金额，采购人有权对不足部分提出的补偿。</w:t>
      </w:r>
      <w:r/>
    </w:p>
    <w:p>
      <w:pPr>
        <w:ind w:firstLine="480"/>
        <w:spacing w:line="360" w:lineRule="auto"/>
        <w:rPr>
          <w:rFonts w:hint="eastAsia" w:ascii="宋体" w:hAnsi="宋体" w:cs="宋体"/>
          <w:sz w:val="24"/>
        </w:rPr>
      </w:pPr>
      <w:r>
        <w:rPr>
          <w:rFonts w:hint="eastAsia" w:ascii="宋体" w:hAnsi="宋体" w:cs="宋体"/>
          <w:sz w:val="24"/>
        </w:rPr>
        <w:t xml:space="preserve">6、在服务期限内，如遇政策性最低工资调整、社保费用调整或国家法定节假日加班，相关费用均由成交单位承担。</w:t>
      </w:r>
      <w:r/>
    </w:p>
    <w:p>
      <w:pPr>
        <w:ind w:firstLine="480"/>
        <w:spacing w:line="360" w:lineRule="auto"/>
        <w:rPr>
          <w:rFonts w:hint="eastAsia" w:ascii="宋体" w:hAnsi="宋体" w:cs="宋体"/>
          <w:sz w:val="24"/>
        </w:rPr>
      </w:pPr>
      <w:r>
        <w:rPr>
          <w:rFonts w:hint="eastAsia" w:ascii="宋体" w:hAnsi="宋体" w:cs="宋体"/>
          <w:sz w:val="24"/>
        </w:rPr>
        <w:t xml:space="preserve">7、成交单位须按照本采购文件的要求对该采购项目进行服务工作。</w:t>
      </w:r>
      <w:r/>
    </w:p>
    <w:p>
      <w:pPr>
        <w:ind w:firstLine="480"/>
        <w:spacing w:line="360" w:lineRule="auto"/>
        <w:rPr>
          <w:rFonts w:hint="eastAsia" w:ascii="宋体" w:hAnsi="宋体" w:cs="宋体"/>
          <w:sz w:val="24"/>
        </w:rPr>
      </w:pPr>
      <w:r>
        <w:rPr>
          <w:rFonts w:hint="eastAsia" w:ascii="宋体" w:hAnsi="宋体" w:cs="宋体"/>
          <w:sz w:val="24"/>
        </w:rPr>
        <w:t xml:space="preserve">8、如遇服务范围内有大的调整情况，采购单位将提前告知成交单位，合同内容经双方协商调整。</w:t>
      </w:r>
      <w:r/>
    </w:p>
    <w:p>
      <w:pPr>
        <w:pStyle w:val="949"/>
        <w:ind w:firstLine="420"/>
        <w:spacing w:line="360" w:lineRule="auto"/>
        <w:rPr>
          <w:rFonts w:hint="eastAsia" w:hAnsi="宋体" w:cs="宋体"/>
          <w:sz w:val="24"/>
          <w:szCs w:val="24"/>
        </w:rPr>
      </w:pPr>
      <w:r>
        <w:rPr>
          <w:rFonts w:hint="eastAsia" w:hAnsi="宋体" w:cs="宋体"/>
          <w:sz w:val="24"/>
          <w:szCs w:val="24"/>
        </w:rPr>
        <w:t xml:space="preserve">9、若成交单位工作人员在服务期间内出现的工伤及其他意外事故，均由成交单位自行负责，采购人不承担任何责任。</w:t>
      </w:r>
      <w:r/>
    </w:p>
    <w:p>
      <w:pPr>
        <w:pStyle w:val="949"/>
        <w:ind w:firstLine="420"/>
        <w:spacing w:line="360" w:lineRule="auto"/>
        <w:rPr>
          <w:rFonts w:hint="eastAsia" w:hAnsi="宋体" w:cs="宋体"/>
          <w:sz w:val="24"/>
          <w:szCs w:val="24"/>
        </w:rPr>
      </w:pPr>
      <w:r>
        <w:rPr>
          <w:rFonts w:hint="eastAsia" w:hAnsi="宋体" w:cs="宋体"/>
          <w:sz w:val="24"/>
          <w:szCs w:val="24"/>
        </w:rPr>
        <w:t xml:space="preserve">10、成交单位配备的相关服务人员与采购单位无任何劳动人事关系，用工事宜由成交单位负责。</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.关于政府采购促进中小企业发展政策要求：</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.1根据《政府采购促进中小企业发展管理办法》、《关于做好政府采购支持企业发展有关事项的通知</w:t>
      </w:r>
      <w:r>
        <w:rPr>
          <w:rFonts w:hint="eastAsia" w:ascii="宋体" w:hAnsi="宋体" w:cs="宋体"/>
          <w:color w:val="auto"/>
          <w:sz w:val="24"/>
          <w:highlight w:val="none"/>
        </w:rPr>
        <w:t xml:space="preserve">》（苏财购〔2020〕52号）、《关于促进残疾人就业政府采购政策的通知》（财库〔2017〕141号）、《关于政府采购支持监狱企业发展有关问题的通知》（财库〔2014〕68号）等文件的精神，对属于小微企业、监狱企业、残疾人企业给予价格评审加分。响应单位为小型和微型企业其价格在评审时给予20%的扣除，残疾人企业和监狱企业的，其价格在评审时给予20%的扣除，用扣除后的价格参与评审，如扣除后的价格为最低价的，则作为评审基准价，如中标价格则以实际响应报价为准。残疾人企业和监狱企业属于小型、微型企业的，不重复享受政策。</w:t>
      </w:r>
      <w:r>
        <w:rPr>
          <w:rFonts w:hint="eastAsia" w:ascii="宋体" w:hAnsi="宋体" w:cs="宋体"/>
          <w:b/>
          <w:bCs/>
          <w:color w:val="auto"/>
          <w:sz w:val="24"/>
          <w:highlight w:val="none"/>
        </w:rPr>
        <w:t xml:space="preserve">本项目为专门面向中小企业采购，将不再享受价格评审加分。</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2响应文件中小微企业必须提供响应人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响应文件中未提供相关材料、资料的，不享受评审优惠政策。</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.无论磋商过程中的做法和结果如何，供应商自行承担所有与参加磋商有关的全部费用。</w:t>
      </w:r>
      <w:r/>
    </w:p>
    <w:p>
      <w:pPr>
        <w:ind w:firstLine="480"/>
        <w:jc w:val="left"/>
        <w:spacing w:line="360" w:lineRule="auto"/>
        <w:widowControl/>
        <w:rPr>
          <w:rFonts w:ascii="宋体" w:hAnsi="宋体" w:cs="宋体"/>
          <w:color w:val="auto"/>
          <w:sz w:val="24"/>
          <w:highlight w:val="none"/>
        </w:rPr>
        <w:sectPr>
          <w:footnotePr/>
          <w:endnotePr/>
          <w:type w:val="nextPage"/>
          <w:pgSz w:w="11906" w:h="16838" w:orient="portrait"/>
          <w:pgMar w:top="1440" w:right="748" w:bottom="1440" w:left="970" w:header="624" w:footer="510" w:gutter="113"/>
          <w:cols w:num="1" w:sep="0" w:space="1701" w:equalWidth="1"/>
          <w:docGrid w:linePitch="360"/>
          <w:titlePg/>
        </w:sectPr>
      </w:pP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.凡涉及磋商采购文件的补充说明和修改，均以苏州政府采购网上发布的通知为准</w:t>
      </w:r>
      <w:r/>
    </w:p>
    <w:p>
      <w:pPr>
        <w:pStyle w:val="905"/>
        <w:jc w:val="center"/>
        <w:rPr>
          <w:b/>
          <w:bCs/>
          <w:color w:val="auto"/>
          <w:highlight w:val="none"/>
        </w:rPr>
      </w:pPr>
      <w:r/>
      <w:bookmarkStart w:id="21" w:name="_Toc19564"/>
      <w:r>
        <w:rPr>
          <w:rFonts w:hint="eastAsia"/>
          <w:b/>
          <w:bCs/>
          <w:color w:val="auto"/>
          <w:highlight w:val="none"/>
        </w:rPr>
        <w:t xml:space="preserve">第四章 评审方法及评分标准</w:t>
      </w:r>
      <w:bookmarkEnd w:id="21"/>
      <w:r/>
      <w:r/>
    </w:p>
    <w:p>
      <w:pPr>
        <w:ind w:firstLine="420"/>
        <w:spacing w:line="360" w:lineRule="auto"/>
        <w:tabs>
          <w:tab w:val="left" w:pos="2870" w:leader="none"/>
        </w:tabs>
        <w:rPr>
          <w:rFonts w:ascii="宋体" w:hAnsi="宋体" w:cs="宋体"/>
          <w:b/>
          <w:color w:val="auto"/>
          <w:sz w:val="24"/>
          <w:highlight w:val="none"/>
        </w:rPr>
      </w:pPr>
      <w:r>
        <w:rPr>
          <w:rFonts w:hint="eastAsia" w:ascii="宋体" w:hAnsi="宋体" w:cs="宋体"/>
          <w:b/>
          <w:color w:val="auto"/>
          <w:sz w:val="24"/>
          <w:highlight w:val="none"/>
        </w:rPr>
        <w:t xml:space="preserve">一、评审方法</w:t>
      </w:r>
      <w:r/>
    </w:p>
    <w:p>
      <w:pPr>
        <w:ind w:firstLine="480"/>
        <w:spacing w:line="360" w:lineRule="auto"/>
        <w:rPr>
          <w:rFonts w:hint="eastAsia" w:ascii="宋体" w:hAnsi="宋体" w:cs="Arial Unicode MS"/>
          <w:color w:val="auto"/>
          <w:sz w:val="24"/>
          <w:szCs w:val="24"/>
          <w:highlight w:val="none"/>
        </w:rPr>
      </w:pPr>
      <w:r>
        <w:rPr>
          <w:rFonts w:hint="eastAsia" w:ascii="宋体" w:hAnsi="宋体" w:cs="Arial Unicode MS"/>
          <w:color w:val="auto"/>
          <w:sz w:val="24"/>
          <w:highlight w:val="none"/>
        </w:rPr>
        <w:t xml:space="preserve">1、磋商小组构成:3人(其中采购人代表1名)。除采购人代表外的评标专家确定方式:江苏省综合评标专家库中随机抽取。</w:t>
      </w:r>
      <w:r/>
    </w:p>
    <w:p>
      <w:pPr>
        <w:ind w:firstLine="480"/>
        <w:spacing w:line="360" w:lineRule="auto"/>
        <w:rPr>
          <w:rFonts w:ascii="宋体" w:hAnsi="宋体" w:cs="Arial Unicode MS"/>
          <w:b w:val="0"/>
          <w:bCs w:val="0"/>
          <w:color w:val="auto"/>
          <w:sz w:val="24"/>
          <w:szCs w:val="24"/>
          <w:highlight w:val="none"/>
        </w:rPr>
      </w:pPr>
      <w:r>
        <w:rPr>
          <w:rFonts w:hint="eastAsia" w:ascii="宋体" w:hAnsi="宋体" w:cs="Arial Unicode MS"/>
          <w:color w:val="auto"/>
          <w:sz w:val="24"/>
          <w:highlight w:val="none"/>
        </w:rPr>
        <w:t xml:space="preserve">2、</w:t>
      </w:r>
      <w:r>
        <w:rPr>
          <w:rFonts w:ascii="SimSun" w:hAnsi="SimSun" w:eastAsia="SimSun" w:cs="SimSun"/>
          <w:color w:val="000000"/>
          <w:sz w:val="24"/>
        </w:rPr>
        <w:t xml:space="preserve">本项目共分为4个标段，根据最终总得分排名，每个标段中标单位为一名。投标单位可选择其中一个或多个标段投标，标段开标顺序按标段号顺序确定，但只能就其中一个标段中标，中标标段按标段号顺序。进入每个标段评审的实质性响应且具有得标权的投标单位不得少于三家，如不足三家，应认定该标段采购失败。已递交某标段投标文件且实质性响应采购需求，但已在前期标段评审中获得了采购文件规定的得标上限数的供应商，不再具有该标段的得标权，不计入该标段的实质性响应供应商数量内（投标文件不再参与评审），也不具备本次招标如有废标标段再次挂牌的投标资</w:t>
      </w:r>
      <w:r>
        <w:rPr>
          <w:rFonts w:ascii="SimSun" w:hAnsi="SimSun" w:eastAsia="SimSun" w:cs="SimSun"/>
          <w:color w:val="000000"/>
          <w:sz w:val="24"/>
        </w:rPr>
        <w:t xml:space="preserve">格</w:t>
      </w:r>
      <w:r>
        <w:rPr>
          <w:rFonts w:ascii="SimSun" w:hAnsi="SimSun" w:eastAsia="SimSun" w:cs="SimSun"/>
          <w:b w:val="0"/>
          <w:bCs w:val="0"/>
          <w:color w:val="000000"/>
          <w:sz w:val="24"/>
        </w:rPr>
        <w:t xml:space="preserve">。</w:t>
      </w:r>
      <w:r>
        <w:rPr>
          <w:rFonts w:hint="eastAsia" w:ascii="宋体" w:hAnsi="宋体" w:cs="Arial Unicode MS"/>
          <w:b w:val="0"/>
          <w:bCs w:val="0"/>
          <w:color w:val="auto"/>
          <w:sz w:val="24"/>
          <w:highlight w:val="none"/>
        </w:rPr>
      </w:r>
      <w:r/>
    </w:p>
    <w:p>
      <w:pPr>
        <w:ind w:firstLine="480"/>
        <w:spacing w:line="360" w:lineRule="auto"/>
        <w:rPr>
          <w:rFonts w:ascii="宋体" w:hAnsi="宋体" w:cs="宋体"/>
          <w:color w:val="auto"/>
          <w:sz w:val="24"/>
          <w:highlight w:val="none"/>
          <w:lang w:val="zh-TW"/>
        </w:rPr>
      </w:pPr>
      <w:r>
        <w:rPr>
          <w:rFonts w:hint="eastAsia" w:ascii="宋体" w:hAnsi="宋体" w:cs="Arial Unicode MS"/>
          <w:color w:val="auto"/>
          <w:sz w:val="24"/>
          <w:highlight w:val="none"/>
        </w:rPr>
        <w:t xml:space="preserve">3</w:t>
      </w:r>
      <w:r>
        <w:rPr>
          <w:rFonts w:ascii="宋体" w:hAnsi="宋体" w:cs="宋体"/>
          <w:color w:val="auto"/>
          <w:sz w:val="24"/>
          <w:highlight w:val="none"/>
          <w:lang w:val="zh-TW"/>
        </w:rPr>
        <w:t xml:space="preserve">、经磋商确定最终采购需求和提交最后报价的供应商后，由磋商小组采用综合评分法对提交最后报价的供应商的响应文件和最后报价进行综合评分。</w:t>
      </w:r>
      <w:r>
        <w:rPr>
          <w:rFonts w:hint="eastAsia" w:ascii="宋体" w:hAnsi="宋体" w:cs="宋体"/>
          <w:color w:val="auto"/>
          <w:sz w:val="24"/>
          <w:highlight w:val="none"/>
          <w:lang w:val="zh-TW"/>
        </w:rPr>
        <w:t xml:space="preserve">以评标总得分由高到低进行排名。</w:t>
      </w:r>
      <w:r/>
    </w:p>
    <w:p>
      <w:pPr>
        <w:ind w:firstLine="480"/>
        <w:spacing w:line="360" w:lineRule="auto"/>
        <w:rPr>
          <w:rFonts w:ascii="宋体" w:hAnsi="宋体" w:cs="Arial Unicode MS"/>
          <w:color w:val="auto"/>
          <w:sz w:val="24"/>
          <w:highlight w:val="none"/>
        </w:rPr>
      </w:pPr>
      <w:r>
        <w:rPr>
          <w:rFonts w:hint="eastAsia" w:ascii="宋体" w:hAnsi="宋体" w:cs="Arial Unicode MS"/>
          <w:color w:val="auto"/>
          <w:sz w:val="24"/>
          <w:highlight w:val="none"/>
        </w:rPr>
        <w:t xml:space="preserve">4</w:t>
      </w:r>
      <w:r>
        <w:rPr>
          <w:rFonts w:ascii="宋体" w:hAnsi="宋体" w:cs="宋体"/>
          <w:color w:val="auto"/>
          <w:sz w:val="24"/>
          <w:highlight w:val="none"/>
          <w:lang w:val="zh-TW"/>
        </w:rPr>
        <w:t xml:space="preserve">、综合评分法是指响应文件满足磋商文件全部实质性要求且按评审因素的量化指标评审得分最高的供应商为成交候选供应商的评审方法。</w:t>
      </w:r>
      <w:r/>
    </w:p>
    <w:p>
      <w:pPr>
        <w:ind w:firstLine="480"/>
        <w:spacing w:line="360" w:lineRule="auto"/>
        <w:rPr>
          <w:rFonts w:ascii="宋体" w:hAnsi="宋体" w:cs="Arial Unicode MS"/>
          <w:color w:val="auto"/>
          <w:sz w:val="24"/>
          <w:highlight w:val="none"/>
        </w:rPr>
      </w:pPr>
      <w:r>
        <w:rPr>
          <w:rFonts w:hint="eastAsia" w:ascii="宋体" w:hAnsi="宋体" w:cs="Arial Unicode MS"/>
          <w:color w:val="auto"/>
          <w:sz w:val="24"/>
          <w:highlight w:val="none"/>
        </w:rPr>
        <w:t xml:space="preserve">5</w:t>
      </w:r>
      <w:r>
        <w:rPr>
          <w:rFonts w:ascii="宋体" w:hAnsi="宋体" w:cs="宋体"/>
          <w:color w:val="auto"/>
          <w:sz w:val="24"/>
          <w:highlight w:val="none"/>
          <w:lang w:val="zh-TW"/>
        </w:rPr>
        <w:t xml:space="preserve">、评审时，磋商小组各成员应当独立对每个有效响应的文件进行评价、打分，然后汇总每个供应商每项评分因素的得分。</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6、对评委的评分(除价格分外)进行统计汇总，直接算术平均计算得分；计算出每个响应单位的得分，加上价格得分即为每个响应单位的综合得分。 </w:t>
      </w:r>
      <w:r/>
    </w:p>
    <w:p>
      <w:pPr>
        <w:ind w:firstLine="468"/>
        <w:spacing w:line="360" w:lineRule="auto"/>
        <w:rPr>
          <w:rFonts w:ascii="宋体" w:hAnsi="宋体" w:cs="宋体"/>
          <w:color w:val="auto"/>
          <w:sz w:val="24"/>
          <w:highlight w:val="none"/>
        </w:rPr>
      </w:pPr>
      <w:r>
        <w:rPr>
          <w:rFonts w:hint="eastAsia" w:ascii="宋体" w:hAnsi="宋体" w:cs="宋体"/>
          <w:color w:val="auto"/>
          <w:sz w:val="24"/>
          <w:highlight w:val="none"/>
        </w:rPr>
        <w:t xml:space="preserve">7、如出现评标总得分最高的响应单位有两个或两个以上的，以响应报价较低者优先作为成交候选人，如果响应报价也相同的，则由代理机构组织以抽签方式确定成交候选人。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8、针对中小型企业残疾人企业和监狱企业的评审：</w:t>
      </w:r>
      <w:r/>
    </w:p>
    <w:p>
      <w:pPr>
        <w:ind w:firstLine="48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如响应单位为小型和微型企业，其价格在评审时给予20%的扣除，残疾人企业和监狱企业的，其价格在评审时给予20%的扣除；扣除后的价格参与价格评审。</w:t>
      </w:r>
      <w:r>
        <w:rPr>
          <w:rFonts w:hint="eastAsia" w:ascii="宋体" w:hAnsi="宋体" w:cs="宋体"/>
          <w:b/>
          <w:bCs/>
          <w:color w:val="auto"/>
          <w:sz w:val="24"/>
          <w:highlight w:val="none"/>
        </w:rPr>
        <w:t xml:space="preserve">本项目为专门面向中小企业采购，将不再享受价格评审加分。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响应文件中小微企业必须提供响应人签署《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响应文件中未提供相关材料、资料的，不享受评审优惠政策。本项目为专门面向中小企业采购，将不再享受价格评审加分。</w:t>
      </w:r>
      <w:r/>
    </w:p>
    <w:p>
      <w:pPr>
        <w:numPr>
          <w:ilvl w:val="0"/>
          <w:numId w:val="0"/>
        </w:numPr>
        <w:spacing w:line="360" w:lineRule="auto"/>
        <w:rPr>
          <w:b/>
          <w:bCs/>
          <w:sz w:val="24"/>
        </w:rPr>
      </w:pPr>
      <w:r>
        <w:rPr>
          <w:rFonts w:hint="eastAsia" w:ascii="宋体" w:hAnsi="宋体" w:cs="宋体"/>
          <w:b/>
          <w:color w:val="auto"/>
          <w:sz w:val="24"/>
          <w:highlight w:val="none"/>
        </w:rPr>
        <w:t xml:space="preserve">二、评分标准</w:t>
      </w:r>
      <w:r>
        <w:rPr>
          <w:rFonts w:hint="eastAsia"/>
          <w:b/>
          <w:bCs/>
          <w:sz w:val="24"/>
        </w:rPr>
        <w:t xml:space="preserve">（1至</w:t>
      </w:r>
      <w:r>
        <w:rPr>
          <w:rFonts w:hint="eastAsia"/>
          <w:b/>
          <w:bCs/>
          <w:sz w:val="24"/>
          <w:lang w:val="en-US" w:eastAsia="zh-CN"/>
        </w:rPr>
        <w:t xml:space="preserve">4</w:t>
      </w:r>
      <w:r>
        <w:rPr>
          <w:rFonts w:hint="eastAsia"/>
          <w:b/>
          <w:bCs/>
          <w:sz w:val="24"/>
        </w:rPr>
        <w:t xml:space="preserve">标段）</w:t>
      </w:r>
      <w:r/>
    </w:p>
    <w:p>
      <w:pPr>
        <w:ind w:firstLine="486"/>
        <w:spacing w:line="360" w:lineRule="auto"/>
        <w:rPr>
          <w:b/>
          <w:color w:val="000000"/>
          <w:sz w:val="24"/>
          <w:highlight w:val="none"/>
        </w:rPr>
      </w:pPr>
      <w:r>
        <w:rPr>
          <w:b/>
          <w:color w:val="000000"/>
          <w:sz w:val="24"/>
          <w:highlight w:val="none"/>
        </w:rPr>
        <w:t xml:space="preserve">（一）价格基准分：（20分）</w:t>
      </w:r>
      <w:r/>
    </w:p>
    <w:p>
      <w:pPr>
        <w:ind w:firstLine="486"/>
        <w:spacing w:line="360" w:lineRule="auto"/>
        <w:rPr>
          <w:color w:val="000000"/>
          <w:sz w:val="24"/>
          <w:highlight w:val="none"/>
        </w:rPr>
      </w:pPr>
      <w:r>
        <w:rPr>
          <w:color w:val="000000"/>
          <w:sz w:val="24"/>
          <w:highlight w:val="none"/>
        </w:rPr>
        <w:t xml:space="preserve">第一步：投标报价低于或等于财政预算价的，为有效报价。超财政预算的投标报价为无效报价。无效报价的投标文件不进行评审，也不得标。</w:t>
      </w:r>
      <w:r/>
    </w:p>
    <w:p>
      <w:pPr>
        <w:ind w:firstLine="486"/>
        <w:spacing w:line="360" w:lineRule="auto"/>
        <w:rPr>
          <w:color w:val="000000"/>
          <w:sz w:val="24"/>
          <w:highlight w:val="none"/>
        </w:rPr>
      </w:pPr>
      <w:r>
        <w:rPr>
          <w:color w:val="000000"/>
          <w:sz w:val="24"/>
          <w:highlight w:val="none"/>
        </w:rPr>
        <w:t xml:space="preserve">第二步：在所有有效投标报价中满足招标文件要求，且投标价格最低的投标报价为评标基准价，其价格分为20分，其他投标人的价格分按照下列公式计算（计算结果四舍五入保留两位小数）：</w:t>
      </w:r>
      <w:r/>
    </w:p>
    <w:p>
      <w:pPr>
        <w:ind w:firstLine="486"/>
        <w:spacing w:line="360" w:lineRule="auto"/>
        <w:rPr>
          <w:color w:val="000000"/>
          <w:sz w:val="24"/>
          <w:highlight w:val="none"/>
        </w:rPr>
      </w:pPr>
      <w:r>
        <w:rPr>
          <w:color w:val="000000"/>
          <w:sz w:val="24"/>
          <w:highlight w:val="none"/>
        </w:rPr>
        <w:t xml:space="preserve">公式：投标报价得分=（评标基准价/投标报价）×20。</w:t>
      </w:r>
      <w:r/>
    </w:p>
    <w:p>
      <w:pPr>
        <w:ind w:firstLine="486"/>
        <w:spacing w:line="360" w:lineRule="auto"/>
        <w:rPr>
          <w:rFonts w:ascii="宋体" w:hAnsi="宋体" w:cs="宋体"/>
          <w:bCs/>
          <w:color w:val="000000"/>
          <w:sz w:val="24"/>
          <w:highlight w:val="none"/>
        </w:rPr>
        <w:outlineLvl w:val="0"/>
      </w:pPr>
      <w:r/>
      <w:bookmarkStart w:id="22" w:name="_Toc20139"/>
      <w:r>
        <w:rPr>
          <w:rFonts w:hint="eastAsia" w:ascii="宋体" w:hAnsi="宋体" w:cs="宋体"/>
          <w:bCs/>
          <w:color w:val="000000"/>
          <w:sz w:val="24"/>
          <w:highlight w:val="none"/>
        </w:rPr>
        <w:t xml:space="preserve">（二）针对本项目的技术服务能力（最高为80分）</w:t>
      </w:r>
      <w:bookmarkEnd w:id="22"/>
      <w:r/>
      <w:r/>
    </w:p>
    <w:p>
      <w:pPr>
        <w:ind w:firstLine="486"/>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1、工作方案 （</w:t>
      </w:r>
      <w:r>
        <w:rPr>
          <w:rFonts w:hint="eastAsia" w:ascii="宋体" w:hAnsi="宋体" w:cs="宋体"/>
          <w:bCs/>
          <w:color w:val="000000"/>
          <w:sz w:val="24"/>
          <w:highlight w:val="none"/>
          <w:lang w:val="en-US" w:eastAsia="zh-CN"/>
        </w:rPr>
        <w:t xml:space="preserve">22</w:t>
      </w:r>
      <w:r>
        <w:rPr>
          <w:rFonts w:hint="eastAsia" w:ascii="宋体" w:hAnsi="宋体" w:cs="宋体"/>
          <w:bCs/>
          <w:color w:val="000000"/>
          <w:sz w:val="24"/>
          <w:highlight w:val="none"/>
        </w:rPr>
        <w:t xml:space="preserve">分）</w:t>
      </w:r>
      <w:r/>
    </w:p>
    <w:p>
      <w:pPr>
        <w:ind w:firstLine="486"/>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1.1</w:t>
      </w:r>
      <w:r>
        <w:rPr>
          <w:rFonts w:hint="eastAsia" w:ascii="宋体" w:hAnsi="宋体" w:cs="宋体"/>
          <w:bCs/>
          <w:color w:val="000000"/>
          <w:sz w:val="24"/>
          <w:highlight w:val="none"/>
          <w:lang w:eastAsia="zh-CN"/>
        </w:rPr>
        <w:t xml:space="preserve"> </w:t>
      </w:r>
      <w:r>
        <w:rPr>
          <w:rFonts w:hint="eastAsia" w:ascii="宋体" w:hAnsi="宋体" w:cs="宋体"/>
          <w:bCs/>
          <w:color w:val="000000"/>
          <w:sz w:val="24"/>
          <w:highlight w:val="none"/>
        </w:rPr>
        <w:t xml:space="preserve">现场评审整体方案（标段1-标段</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应</w:t>
      </w:r>
      <w:r>
        <w:rPr>
          <w:rFonts w:hint="eastAsia" w:ascii="宋体" w:hAnsi="宋体" w:cs="宋体"/>
          <w:bCs/>
          <w:color w:val="000000"/>
          <w:sz w:val="24"/>
          <w:highlight w:val="none"/>
          <w:lang w:eastAsia="zh-CN"/>
        </w:rPr>
        <w:t xml:space="preserve">包含</w:t>
      </w:r>
      <w:r>
        <w:rPr>
          <w:rFonts w:hint="eastAsia" w:ascii="宋体" w:hAnsi="宋体" w:cs="宋体"/>
          <w:bCs/>
          <w:color w:val="000000"/>
          <w:sz w:val="24"/>
          <w:highlight w:val="none"/>
        </w:rPr>
        <w:t xml:space="preserve">工艺和设备</w:t>
      </w:r>
      <w:r>
        <w:rPr>
          <w:rFonts w:hint="eastAsia" w:ascii="宋体" w:hAnsi="宋体" w:cs="宋体"/>
          <w:bCs/>
          <w:color w:val="000000"/>
          <w:sz w:val="24"/>
          <w:highlight w:val="none"/>
          <w:lang w:eastAsia="zh-CN"/>
        </w:rPr>
        <w:t xml:space="preserve">安全风险评估</w:t>
      </w:r>
      <w:r>
        <w:rPr>
          <w:rFonts w:hint="eastAsia" w:ascii="宋体" w:hAnsi="宋体" w:cs="宋体"/>
          <w:bCs/>
          <w:color w:val="000000"/>
          <w:sz w:val="24"/>
          <w:highlight w:val="none"/>
        </w:rPr>
        <w:t xml:space="preserve">方案）：（</w:t>
      </w:r>
      <w:r>
        <w:rPr>
          <w:rFonts w:hint="eastAsia" w:ascii="宋体" w:hAnsi="宋体" w:cs="宋体"/>
          <w:bCs/>
          <w:color w:val="000000"/>
          <w:sz w:val="24"/>
          <w:highlight w:val="none"/>
          <w:lang w:val="en-US" w:eastAsia="zh-CN"/>
        </w:rPr>
        <w:t xml:space="preserve">10</w:t>
      </w:r>
      <w:r>
        <w:rPr>
          <w:rFonts w:hint="eastAsia" w:ascii="宋体" w:hAnsi="宋体" w:cs="宋体"/>
          <w:bCs/>
          <w:color w:val="000000"/>
          <w:sz w:val="24"/>
          <w:highlight w:val="none"/>
        </w:rPr>
        <w:t xml:space="preserve">分）</w:t>
      </w:r>
      <w:r/>
    </w:p>
    <w:p>
      <w:pPr>
        <w:ind w:firstLine="486"/>
        <w:spacing w:line="360" w:lineRule="auto"/>
        <w:rPr>
          <w:rFonts w:hint="eastAsia" w:ascii="宋体" w:hAnsi="宋体" w:cs="宋体"/>
          <w:bCs/>
          <w:color w:val="auto"/>
          <w:sz w:val="24"/>
          <w:highlight w:val="none"/>
          <w:lang w:eastAsia="zh-CN"/>
        </w:rPr>
      </w:pPr>
      <w:r>
        <w:rPr>
          <w:rFonts w:hint="eastAsia" w:ascii="宋体" w:hAnsi="宋体" w:cs="宋体"/>
          <w:bCs/>
          <w:color w:val="000000"/>
          <w:sz w:val="24"/>
          <w:highlight w:val="none"/>
          <w:lang w:eastAsia="zh-CN"/>
        </w:rPr>
        <w:t xml:space="preserve">投标人需依据招标文件要求，提供具体详实的项目现场评审整体方案（标段1-标段</w:t>
      </w:r>
      <w:r>
        <w:rPr>
          <w:rFonts w:hint="eastAsia" w:ascii="宋体" w:hAnsi="宋体" w:cs="宋体"/>
          <w:bCs/>
          <w:color w:val="000000"/>
          <w:sz w:val="24"/>
          <w:highlight w:val="none"/>
          <w:lang w:val="en-US" w:eastAsia="zh-CN"/>
        </w:rPr>
        <w:t xml:space="preserve">2包含工艺和设备安全风险评估工作实施方案）。方案内容完整、科学合理、先进可行且表述清晰准确的，得10分；内容较为完</w:t>
      </w:r>
      <w:r>
        <w:rPr>
          <w:rFonts w:hint="eastAsia" w:ascii="宋体" w:hAnsi="宋体" w:cs="宋体"/>
          <w:bCs/>
          <w:color w:val="auto"/>
          <w:sz w:val="24"/>
          <w:highlight w:val="none"/>
          <w:lang w:val="en-US" w:eastAsia="zh-CN"/>
        </w:rPr>
        <w:t xml:space="preserve">整、科学且可行性较好的，得5分；内容基本科学但科学性、可行性一般的，得2分；方案不完整或未提供的，不得分。本项最高得10分。</w:t>
      </w:r>
      <w:r/>
    </w:p>
    <w:p>
      <w:pPr>
        <w:ind w:firstLine="486"/>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1.2、组织计划、进度保障措施方案：（6分）</w:t>
      </w:r>
      <w:r/>
    </w:p>
    <w:p>
      <w:pPr>
        <w:ind w:firstLine="486"/>
        <w:spacing w:line="360" w:lineRule="auto"/>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 xml:space="preserve">工作方案中</w:t>
      </w:r>
      <w:r>
        <w:rPr>
          <w:rFonts w:hint="eastAsia" w:ascii="宋体" w:hAnsi="宋体" w:cs="宋体"/>
          <w:bCs/>
          <w:color w:val="auto"/>
          <w:sz w:val="24"/>
          <w:highlight w:val="none"/>
          <w:lang w:val="en-US" w:eastAsia="zh-CN"/>
        </w:rPr>
        <w:t xml:space="preserve">组织时间计划安排合理、</w:t>
      </w:r>
      <w:r>
        <w:rPr>
          <w:rFonts w:hint="eastAsia"/>
          <w:color w:val="auto"/>
          <w:sz w:val="24"/>
          <w:highlight w:val="none"/>
          <w:lang w:val="en-US" w:eastAsia="zh-CN"/>
        </w:rPr>
        <w:t xml:space="preserve">进度保障措施清晰准确的得6分，方案合理性与准确性较好的得4分，方案基本可行但科学性一般的得2分，方案不完整或未提供的不得分。本项最高</w:t>
      </w:r>
      <w:r>
        <w:rPr>
          <w:rFonts w:hint="eastAsia" w:ascii="宋体" w:hAnsi="宋体" w:cs="宋体"/>
          <w:bCs/>
          <w:color w:val="auto"/>
          <w:sz w:val="24"/>
          <w:highlight w:val="none"/>
          <w:lang w:val="en-US" w:eastAsia="zh-CN"/>
        </w:rPr>
        <w:t xml:space="preserve">6分。</w:t>
      </w:r>
      <w:r/>
    </w:p>
    <w:p>
      <w:pPr>
        <w:ind w:firstLine="486"/>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1.3、评审过程质量管控方案：（6分）</w:t>
      </w:r>
      <w:r/>
    </w:p>
    <w:p>
      <w:pPr>
        <w:ind w:firstLine="486"/>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工作方案中结合本项目需求设定的诊断要点，</w:t>
      </w:r>
      <w:r>
        <w:rPr>
          <w:rFonts w:hint="eastAsia" w:ascii="宋体" w:hAnsi="宋体" w:cs="宋体"/>
          <w:bCs/>
          <w:color w:val="auto"/>
          <w:sz w:val="24"/>
          <w:highlight w:val="none"/>
          <w:lang w:eastAsia="zh-CN"/>
        </w:rPr>
        <w:t xml:space="preserve">明确质量管控</w:t>
      </w:r>
      <w:r>
        <w:rPr>
          <w:rFonts w:hint="eastAsia" w:ascii="宋体" w:hAnsi="宋体" w:cs="宋体"/>
          <w:bCs/>
          <w:color w:val="auto"/>
          <w:sz w:val="24"/>
          <w:highlight w:val="none"/>
          <w:lang w:val="en-US" w:eastAsia="zh-CN"/>
        </w:rPr>
        <w:t xml:space="preserve">方案</w:t>
      </w:r>
      <w:r>
        <w:rPr>
          <w:rFonts w:hint="eastAsia" w:ascii="宋体" w:hAnsi="宋体" w:cs="宋体"/>
          <w:bCs/>
          <w:color w:val="auto"/>
          <w:sz w:val="24"/>
          <w:highlight w:val="none"/>
          <w:lang w:eastAsia="zh-CN"/>
        </w:rPr>
        <w:t xml:space="preserve">，设立项目质量负责人，统筹评审各环节的质量监督工作</w:t>
      </w:r>
      <w:r>
        <w:rPr>
          <w:rFonts w:hint="eastAsia" w:ascii="宋体" w:hAnsi="宋体" w:cs="宋体"/>
          <w:bCs/>
          <w:color w:val="auto"/>
          <w:sz w:val="24"/>
          <w:highlight w:val="none"/>
          <w:lang w:val="en-US" w:eastAsia="zh-CN"/>
        </w:rPr>
        <w:t xml:space="preserve">等方案，</w:t>
      </w:r>
      <w:r>
        <w:rPr>
          <w:rFonts w:hint="eastAsia" w:ascii="宋体" w:hAnsi="宋体" w:cs="宋体"/>
          <w:bCs/>
          <w:color w:val="auto"/>
          <w:sz w:val="24"/>
          <w:highlight w:val="none"/>
        </w:rPr>
        <w:t xml:space="preserve">清晰准确的得6分，方案合理性、准确性较好得4分，方案基本可行、科学性一般得2分，方案不完整或未提供的不得分。本项最高6分。</w:t>
      </w:r>
      <w:r/>
    </w:p>
    <w:p>
      <w:pPr>
        <w:ind w:firstLine="486"/>
        <w:spacing w:line="360" w:lineRule="auto"/>
        <w:rPr>
          <w:rFonts w:ascii="宋体" w:hAnsi="宋体" w:cs="宋体"/>
          <w:b/>
          <w:color w:val="auto"/>
          <w:sz w:val="24"/>
          <w:highlight w:val="none"/>
        </w:rPr>
      </w:pPr>
      <w:r>
        <w:rPr>
          <w:rFonts w:hint="eastAsia" w:ascii="宋体" w:hAnsi="宋体" w:cs="宋体"/>
          <w:bCs/>
          <w:color w:val="auto"/>
          <w:sz w:val="24"/>
          <w:highlight w:val="none"/>
        </w:rPr>
        <w:t xml:space="preserve">2、拟投入人员比较 （2</w:t>
      </w:r>
      <w:r>
        <w:rPr>
          <w:rFonts w:ascii="宋体" w:hAnsi="宋体" w:cs="宋体"/>
          <w:bCs/>
          <w:color w:val="auto"/>
          <w:sz w:val="24"/>
          <w:highlight w:val="none"/>
        </w:rPr>
        <w:t xml:space="preserve">0</w:t>
      </w:r>
      <w:r>
        <w:rPr>
          <w:rFonts w:hint="eastAsia" w:ascii="宋体" w:hAnsi="宋体" w:cs="宋体"/>
          <w:bCs/>
          <w:color w:val="auto"/>
          <w:sz w:val="24"/>
          <w:highlight w:val="none"/>
        </w:rPr>
        <w:t xml:space="preserve">分）</w:t>
      </w:r>
      <w:r/>
    </w:p>
    <w:p>
      <w:pPr>
        <w:ind w:firstLine="486"/>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2.1项目总负责人具有省级及以上安全生产专家的，得</w:t>
      </w:r>
      <w:r>
        <w:rPr>
          <w:rFonts w:ascii="宋体" w:hAnsi="宋体" w:cs="宋体"/>
          <w:bCs/>
          <w:color w:val="auto"/>
          <w:sz w:val="24"/>
          <w:highlight w:val="none"/>
        </w:rPr>
        <w:t xml:space="preserve">2</w:t>
      </w:r>
      <w:r>
        <w:rPr>
          <w:rFonts w:hint="eastAsia" w:ascii="宋体" w:hAnsi="宋体" w:cs="宋体"/>
          <w:bCs/>
          <w:color w:val="auto"/>
          <w:sz w:val="24"/>
          <w:highlight w:val="none"/>
        </w:rPr>
        <w:t xml:space="preserve">分；具有与本项目相关的化工、冶金、机械、电气、工程等安全相关专业高级技术职称证书的得</w:t>
      </w:r>
      <w:r>
        <w:rPr>
          <w:rFonts w:ascii="宋体" w:hAnsi="宋体" w:cs="宋体"/>
          <w:bCs/>
          <w:color w:val="auto"/>
          <w:sz w:val="24"/>
          <w:highlight w:val="none"/>
        </w:rPr>
        <w:t xml:space="preserve">2</w:t>
      </w:r>
      <w:r>
        <w:rPr>
          <w:rFonts w:hint="eastAsia" w:ascii="宋体" w:hAnsi="宋体" w:cs="宋体"/>
          <w:bCs/>
          <w:color w:val="auto"/>
          <w:sz w:val="24"/>
          <w:highlight w:val="none"/>
        </w:rPr>
        <w:t xml:space="preserve">分。（提供员工劳动合同、身份证、证书复印件。提供国家级、省级安全生产专家库名单（聘书）扫描件</w:t>
      </w:r>
      <w:r>
        <w:rPr>
          <w:rFonts w:hint="eastAsia" w:ascii="宋体" w:hAnsi="宋体" w:cs="宋体"/>
          <w:bCs/>
          <w:color w:val="auto"/>
          <w:sz w:val="24"/>
          <w:highlight w:val="none"/>
          <w:lang w:eastAsia="zh-CN"/>
        </w:rPr>
        <w:t xml:space="preserve">和正式文件</w:t>
      </w:r>
      <w:r>
        <w:rPr>
          <w:rFonts w:hint="eastAsia" w:ascii="宋体" w:hAnsi="宋体" w:cs="宋体"/>
          <w:bCs/>
          <w:color w:val="auto"/>
          <w:sz w:val="24"/>
          <w:highlight w:val="none"/>
        </w:rPr>
        <w:t xml:space="preserve">。）</w:t>
      </w:r>
      <w:r/>
    </w:p>
    <w:p>
      <w:pPr>
        <w:ind w:firstLine="486"/>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2.2拟投入本项目人员中具有化工、冶金、机械、电气、工程等安全相关专业高级技术职称证书的，有1个得2分，最高得</w:t>
      </w:r>
      <w:r>
        <w:rPr>
          <w:rFonts w:ascii="宋体" w:hAnsi="宋体" w:cs="宋体"/>
          <w:bCs/>
          <w:color w:val="auto"/>
          <w:sz w:val="24"/>
          <w:highlight w:val="none"/>
        </w:rPr>
        <w:t xml:space="preserve">10</w:t>
      </w:r>
      <w:r>
        <w:rPr>
          <w:rFonts w:hint="eastAsia" w:ascii="宋体" w:hAnsi="宋体" w:cs="宋体"/>
          <w:bCs/>
          <w:color w:val="auto"/>
          <w:sz w:val="24"/>
          <w:highlight w:val="none"/>
        </w:rPr>
        <w:t xml:space="preserve">分（提供员工劳动合同、身份证、证书复印件。相同专业可重复得分。）。</w:t>
      </w:r>
      <w:r/>
    </w:p>
    <w:p>
      <w:pPr>
        <w:ind w:firstLine="486"/>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2.3拟投入本项目人员中具有注册安全工程师证书的，有1个得</w:t>
      </w:r>
      <w:r>
        <w:rPr>
          <w:rFonts w:ascii="宋体" w:hAnsi="宋体" w:cs="宋体"/>
          <w:bCs/>
          <w:color w:val="auto"/>
          <w:sz w:val="24"/>
          <w:highlight w:val="none"/>
        </w:rPr>
        <w:t xml:space="preserve">0.5</w:t>
      </w:r>
      <w:r>
        <w:rPr>
          <w:rFonts w:hint="eastAsia" w:ascii="宋体" w:hAnsi="宋体" w:cs="宋体"/>
          <w:bCs/>
          <w:color w:val="auto"/>
          <w:sz w:val="24"/>
          <w:highlight w:val="none"/>
        </w:rPr>
        <w:t xml:space="preserve">分，最高得</w:t>
      </w:r>
      <w:r>
        <w:rPr>
          <w:rFonts w:ascii="宋体" w:hAnsi="宋体" w:cs="宋体"/>
          <w:bCs/>
          <w:color w:val="auto"/>
          <w:sz w:val="24"/>
          <w:highlight w:val="none"/>
        </w:rPr>
        <w:t xml:space="preserve">6</w:t>
      </w:r>
      <w:r>
        <w:rPr>
          <w:rFonts w:hint="eastAsia" w:ascii="宋体" w:hAnsi="宋体" w:cs="宋体"/>
          <w:bCs/>
          <w:color w:val="auto"/>
          <w:sz w:val="24"/>
          <w:highlight w:val="none"/>
        </w:rPr>
        <w:t xml:space="preserve">分（提供员工劳动合同、身份证、</w:t>
      </w:r>
      <w:r>
        <w:rPr>
          <w:rFonts w:hint="eastAsia" w:ascii="宋体" w:hAnsi="宋体" w:cs="宋体"/>
          <w:bCs/>
          <w:color w:val="auto"/>
          <w:sz w:val="24"/>
          <w:highlight w:val="none"/>
          <w:lang w:eastAsia="zh-CN"/>
        </w:rPr>
        <w:t xml:space="preserve">电子证书</w:t>
      </w:r>
      <w:r>
        <w:rPr>
          <w:rFonts w:hint="eastAsia" w:ascii="宋体" w:hAnsi="宋体" w:cs="宋体"/>
          <w:bCs/>
          <w:color w:val="auto"/>
          <w:sz w:val="24"/>
          <w:highlight w:val="none"/>
        </w:rPr>
        <w:t xml:space="preserve">）。</w:t>
      </w:r>
      <w:r/>
    </w:p>
    <w:p>
      <w:pPr>
        <w:ind w:left="0" w:right="0" w:firstLine="0"/>
        <w:jc w:val="both"/>
        <w:spacing w:before="0" w:after="0"/>
        <w:rPr>
          <w:rFonts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hint="eastAsia"/>
          <w:b/>
          <w:bCs/>
          <w:color w:val="auto"/>
          <w:sz w:val="24"/>
          <w:szCs w:val="24"/>
          <w:highlight w:val="none"/>
        </w:rPr>
        <w:t xml:space="preserve">    注：</w:t>
      </w:r>
      <w:r>
        <w:rPr>
          <w:rFonts w:ascii="宋体" w:hAnsi="宋体" w:eastAsia="宋体" w:cs="宋体"/>
          <w:b/>
          <w:color w:val="auto"/>
          <w:sz w:val="24"/>
        </w:rPr>
        <w:t xml:space="preserve">响应单位须书面承诺项目投入人员在项目服务阶段，不同时参与其他项目，未承诺的不得分。</w:t>
      </w:r>
      <w:r>
        <w:rPr>
          <w:rFonts w:hint="eastAsia" w:ascii="宋体" w:hAnsi="宋体" w:eastAsia="宋体" w:cs="宋体"/>
          <w:b/>
          <w:color w:val="auto"/>
          <w:sz w:val="24"/>
          <w:lang w:eastAsia="zh-CN"/>
        </w:rPr>
        <w:t xml:space="preserve">以上个人身份信息、资质证明材料均需加盖本单位公章</w:t>
      </w:r>
      <w:r>
        <w:rPr>
          <w:rFonts w:hint="eastAsia" w:ascii="宋体" w:hAnsi="宋体" w:cs="宋体"/>
          <w:b/>
          <w:color w:val="auto"/>
          <w:sz w:val="24"/>
          <w:lang w:eastAsia="zh-CN"/>
        </w:rPr>
        <w:t xml:space="preserve">，</w:t>
      </w:r>
      <w:r>
        <w:rPr>
          <w:rFonts w:hint="eastAsia" w:ascii="宋体" w:hAnsi="宋体" w:eastAsia="宋体" w:cs="宋体"/>
          <w:b/>
          <w:color w:val="auto"/>
          <w:sz w:val="24"/>
          <w:lang w:eastAsia="zh-CN"/>
        </w:rPr>
        <w:t xml:space="preserve">身份证需正反面扫描在同一面。</w:t>
      </w:r>
      <w:r/>
    </w:p>
    <w:p>
      <w:pPr>
        <w:ind w:firstLine="486"/>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3、服务和质量控制（20分）    </w:t>
      </w:r>
      <w:r/>
    </w:p>
    <w:p>
      <w:pPr>
        <w:ind w:firstLine="486"/>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3.1响应单位具有健全的服务质量控制体系，职责明确。清晰准确的得5分，基本满足但有缺失得3分，不满足但略有涉及为一般得1分，差的不得分，最高得5分。</w:t>
      </w:r>
      <w:r/>
    </w:p>
    <w:p>
      <w:pPr>
        <w:ind w:firstLine="486"/>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3.2售后服务方案比较，措施方案清晰准确的得5分；措施方案较清晰准确得3分；措施方案清晰准确度一般得1分；措施方案清晰准确度差或未提供的不得分，最高得5分。</w:t>
      </w:r>
      <w:r/>
    </w:p>
    <w:p>
      <w:pPr>
        <w:ind w:firstLine="486"/>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3.3服务内控机制：含激励机制、监督机制、自我约束机制、信息反馈等的全面性、针对性、时效性，清晰准确的得5分，基本满足但有缺失为良得3分，不满足但略有涉及为一般得1分，差的不得分，最高得5分。</w:t>
      </w:r>
      <w:r/>
    </w:p>
    <w:p>
      <w:pPr>
        <w:ind w:firstLine="486"/>
        <w:spacing w:line="360" w:lineRule="auto"/>
        <w:rPr>
          <w:rFonts w:ascii="宋体" w:hAnsi="宋体" w:eastAsia="宋体" w:cs="宋体"/>
          <w:bCs/>
          <w:color w:val="auto"/>
          <w:szCs w:val="24"/>
          <w:highlight w:val="none"/>
        </w:rPr>
      </w:pPr>
      <w:r>
        <w:rPr>
          <w:rFonts w:hint="eastAsia" w:ascii="宋体" w:hAnsi="宋体" w:cs="宋体"/>
          <w:bCs/>
          <w:color w:val="auto"/>
          <w:sz w:val="24"/>
          <w:highlight w:val="none"/>
        </w:rPr>
        <w:t xml:space="preserve">3.4服务承诺：本项目的技术服务人员能立即响应、应急能力强</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时间短</w:t>
      </w:r>
      <w:r>
        <w:rPr>
          <w:rFonts w:hint="eastAsia" w:ascii="宋体" w:hAnsi="宋体" w:cs="宋体"/>
          <w:bCs/>
          <w:color w:val="auto"/>
          <w:sz w:val="24"/>
          <w:highlight w:val="none"/>
        </w:rPr>
        <w:t xml:space="preserve">得5分，响应</w:t>
      </w:r>
      <w:r>
        <w:rPr>
          <w:rFonts w:hint="eastAsia" w:ascii="宋体" w:hAnsi="宋体" w:cs="宋体"/>
          <w:bCs/>
          <w:color w:val="auto"/>
          <w:sz w:val="24"/>
          <w:highlight w:val="none"/>
          <w:lang w:val="en-US" w:eastAsia="zh-CN"/>
        </w:rPr>
        <w:t xml:space="preserve">时间</w:t>
      </w:r>
      <w:r>
        <w:rPr>
          <w:rFonts w:hint="eastAsia" w:ascii="宋体" w:hAnsi="宋体" w:cs="宋体"/>
          <w:bCs/>
          <w:color w:val="auto"/>
          <w:sz w:val="24"/>
          <w:highlight w:val="none"/>
        </w:rPr>
        <w:t xml:space="preserve">、应急能力较强得3分，响应</w:t>
      </w:r>
      <w:r>
        <w:rPr>
          <w:rFonts w:hint="eastAsia" w:ascii="宋体" w:hAnsi="宋体" w:cs="宋体"/>
          <w:bCs/>
          <w:color w:val="auto"/>
          <w:sz w:val="24"/>
          <w:highlight w:val="none"/>
          <w:lang w:val="en-US" w:eastAsia="zh-CN"/>
        </w:rPr>
        <w:t xml:space="preserve">时间</w:t>
      </w:r>
      <w:r>
        <w:rPr>
          <w:rFonts w:hint="eastAsia" w:ascii="宋体" w:hAnsi="宋体" w:cs="宋体"/>
          <w:bCs/>
          <w:color w:val="auto"/>
          <w:sz w:val="24"/>
          <w:highlight w:val="none"/>
        </w:rPr>
        <w:t xml:space="preserve">、应急能力较弱的得1分（需提供落实方案及办公点位距离园区应急局路线导航等相关证明材料（固定办公地点应提供房产证或租赁合同）</w:t>
      </w:r>
      <w:r>
        <w:rPr>
          <w:rFonts w:hint="eastAsia" w:ascii="宋体" w:hAnsi="宋体" w:cs="宋体"/>
          <w:bCs/>
          <w:color w:val="auto"/>
          <w:sz w:val="24"/>
          <w:highlight w:val="none"/>
          <w:lang w:eastAsia="zh-CN"/>
        </w:rPr>
        <w:t xml:space="preserve">并加盖本单位公章</w:t>
      </w:r>
      <w:r>
        <w:rPr>
          <w:rFonts w:hint="eastAsia" w:ascii="宋体" w:hAnsi="宋体" w:cs="宋体"/>
          <w:bCs/>
          <w:color w:val="auto"/>
          <w:sz w:val="24"/>
          <w:highlight w:val="none"/>
        </w:rPr>
        <w:t xml:space="preserve">，否则不得分）。 最高得5分。        </w:t>
      </w:r>
      <w:r>
        <w:rPr>
          <w:rFonts w:hint="eastAsia"/>
          <w:bCs/>
          <w:color w:val="auto"/>
          <w:szCs w:val="21"/>
          <w:highlight w:val="none"/>
        </w:rPr>
        <w:t xml:space="preserve">            </w:t>
      </w:r>
      <w:r/>
    </w:p>
    <w:p>
      <w:pPr>
        <w:ind w:firstLine="486"/>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4、企业综合实力（</w:t>
      </w:r>
      <w:r>
        <w:rPr>
          <w:rFonts w:hint="eastAsia" w:ascii="宋体" w:hAnsi="宋体" w:cs="宋体"/>
          <w:bCs/>
          <w:color w:val="auto"/>
          <w:sz w:val="24"/>
          <w:highlight w:val="none"/>
          <w:lang w:val="en-US" w:eastAsia="zh-CN"/>
        </w:rPr>
        <w:t xml:space="preserve">18</w:t>
      </w:r>
      <w:r>
        <w:rPr>
          <w:rFonts w:hint="eastAsia" w:ascii="宋体" w:hAnsi="宋体" w:cs="宋体"/>
          <w:bCs/>
          <w:color w:val="auto"/>
          <w:sz w:val="24"/>
          <w:highlight w:val="none"/>
        </w:rPr>
        <w:t xml:space="preserve">分）</w:t>
      </w:r>
      <w:r/>
    </w:p>
    <w:p>
      <w:pPr>
        <w:ind w:firstLine="486"/>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4.1响应单位提供</w:t>
      </w:r>
      <w:r>
        <w:rPr>
          <w:rFonts w:ascii="宋体" w:hAnsi="宋体" w:cs="宋体"/>
          <w:bCs/>
          <w:color w:val="auto"/>
          <w:sz w:val="24"/>
          <w:highlight w:val="none"/>
        </w:rPr>
        <w:t xml:space="preserve">202</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年1月1日至今相关类似业绩，每提供一份得3分，最高得1</w:t>
      </w:r>
      <w:r>
        <w:rPr>
          <w:rFonts w:ascii="宋体" w:hAnsi="宋体" w:cs="宋体"/>
          <w:bCs/>
          <w:color w:val="auto"/>
          <w:sz w:val="24"/>
          <w:highlight w:val="none"/>
        </w:rPr>
        <w:t xml:space="preserve">2</w:t>
      </w:r>
      <w:r>
        <w:rPr>
          <w:rFonts w:hint="eastAsia" w:ascii="宋体" w:hAnsi="宋体" w:cs="宋体"/>
          <w:bCs/>
          <w:color w:val="auto"/>
          <w:sz w:val="24"/>
          <w:highlight w:val="none"/>
        </w:rPr>
        <w:t xml:space="preserve">分。时间以合同签订时间为准，相关类似业绩指工艺安全分析（HAZOP、LOPA分析、SIL验算）、安全仪表系统诊断评估、相关定性定量安全评估咨询服务报告等，与企业安全管理能力提升服务相关的业绩扫描件</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每份需加盖公章</w:t>
      </w:r>
      <w:r>
        <w:rPr>
          <w:rFonts w:hint="eastAsia" w:ascii="宋体" w:hAnsi="宋体" w:cs="宋体"/>
          <w:bCs/>
          <w:color w:val="auto"/>
          <w:sz w:val="24"/>
          <w:highlight w:val="none"/>
        </w:rPr>
        <w:t xml:space="preserve">。</w:t>
      </w:r>
      <w:r/>
    </w:p>
    <w:p>
      <w:pPr>
        <w:ind w:firstLine="486"/>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供应商具有工艺风险分析、设备风险分析、事故风险分析、系统风险分子、风险评估模型等信息化工具（如安全事故风险分析与定量计算软件、hazop分析软件等）支持安全分析评估技术服务的，得</w:t>
      </w:r>
      <w:r>
        <w:rPr>
          <w:rFonts w:ascii="宋体" w:hAnsi="宋体" w:cs="宋体"/>
          <w:bCs/>
          <w:color w:val="auto"/>
          <w:sz w:val="24"/>
          <w:highlight w:val="none"/>
        </w:rPr>
        <w:t xml:space="preserve">6</w:t>
      </w:r>
      <w:r>
        <w:rPr>
          <w:rFonts w:hint="eastAsia" w:ascii="宋体" w:hAnsi="宋体" w:cs="宋体"/>
          <w:bCs/>
          <w:color w:val="auto"/>
          <w:sz w:val="24"/>
          <w:highlight w:val="none"/>
        </w:rPr>
        <w:t xml:space="preserve">分。（注：自有的，可提供盖章材料等书面证明扫描件</w:t>
      </w:r>
      <w:r>
        <w:rPr>
          <w:rFonts w:hint="eastAsia" w:ascii="宋体" w:hAnsi="宋体" w:cs="宋体"/>
          <w:bCs/>
          <w:color w:val="auto"/>
          <w:sz w:val="24"/>
          <w:highlight w:val="none"/>
          <w:lang w:val="en-US" w:eastAsia="zh-CN"/>
        </w:rPr>
        <w:t xml:space="preserve">加盖公章</w:t>
      </w:r>
      <w:r>
        <w:rPr>
          <w:rFonts w:hint="eastAsia" w:ascii="宋体" w:hAnsi="宋体" w:cs="宋体"/>
          <w:bCs/>
          <w:color w:val="auto"/>
          <w:sz w:val="24"/>
          <w:highlight w:val="none"/>
        </w:rPr>
        <w:t xml:space="preserve">；如信息化工具版权非自身所有，需提供与软件版权拥有单位的购买合同（或发票）或授权书扫描件并加盖双方公章，未提供不得分）。</w:t>
      </w:r>
      <w:r/>
    </w:p>
    <w:p>
      <w:pPr>
        <w:ind w:firstLine="480"/>
        <w:jc w:val="left"/>
        <w:spacing w:line="360" w:lineRule="auto"/>
        <w:rPr>
          <w:rFonts w:ascii="宋体" w:hAnsi="宋体" w:cs="宋体"/>
          <w:sz w:val="24"/>
        </w:rPr>
      </w:pPr>
      <w:r>
        <w:rPr>
          <w:rFonts w:ascii="宋体" w:hAnsi="宋体" w:cs="宋体"/>
          <w:sz w:val="24"/>
        </w:rPr>
      </w:r>
      <w:r/>
    </w:p>
    <w:p>
      <w:pPr>
        <w:pStyle w:val="905"/>
        <w:jc w:val="center"/>
        <w:rPr>
          <w:b/>
          <w:bCs/>
          <w:color w:val="auto"/>
          <w:highlight w:val="none"/>
        </w:rPr>
      </w:pPr>
      <w:r>
        <w:rPr>
          <w:rStyle w:val="1125"/>
          <w:rFonts w:hint="eastAsia" w:ascii="宋体" w:hAnsi="宋体" w:cs="宋体"/>
          <w:color w:val="auto"/>
          <w:szCs w:val="21"/>
          <w:highlight w:val="none"/>
        </w:rPr>
        <w:br w:type="page" w:clear="all"/>
      </w:r>
      <w:bookmarkStart w:id="23" w:name="_Toc8867"/>
      <w:r>
        <w:rPr>
          <w:rFonts w:hint="eastAsia"/>
          <w:b/>
          <w:bCs/>
          <w:color w:val="auto"/>
          <w:highlight w:val="none"/>
        </w:rPr>
        <w:t xml:space="preserve">第五章 合同主要条款及格式</w:t>
      </w:r>
      <w:bookmarkEnd w:id="23"/>
      <w:r/>
      <w:r/>
    </w:p>
    <w:p>
      <w:pPr>
        <w:jc w:val="right"/>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采购编号：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委托方（甲方）：</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联系人：</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联系电话：</w:t>
      </w:r>
      <w:r/>
    </w:p>
    <w:p>
      <w:pPr>
        <w:ind w:firstLine="200"/>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受托方（乙方）：</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联系人：</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联系电话：                  </w:t>
      </w:r>
      <w:r/>
    </w:p>
    <w:p>
      <w:pPr>
        <w:pStyle w:val="949"/>
        <w:ind w:firstLine="0"/>
        <w:spacing w:line="360" w:lineRule="auto"/>
        <w:rPr>
          <w:rFonts w:hint="eastAsia" w:hAnsi="宋体" w:cs="宋体"/>
          <w:color w:val="000000"/>
          <w:sz w:val="24"/>
          <w:szCs w:val="24"/>
          <w:highlight w:val="none"/>
        </w:rPr>
      </w:pPr>
      <w:r>
        <w:rPr>
          <w:rFonts w:hint="eastAsia" w:hAnsi="宋体" w:cs="宋体"/>
          <w:color w:val="000000"/>
          <w:sz w:val="24"/>
          <w:szCs w:val="24"/>
          <w:highlight w:val="none"/>
        </w:rPr>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根据苏州市诚捷项目管理有限公司招投标咨询服务有限公司招标编号       号招标文件及该文件的投标文件和成交通知书，甲方和乙方就苏州工业园区202</w:t>
      </w:r>
      <w:r>
        <w:rPr>
          <w:rFonts w:hint="eastAsia"/>
          <w:sz w:val="24"/>
          <w:szCs w:val="24"/>
          <w:lang w:val="en-US" w:eastAsia="zh-CN"/>
        </w:rPr>
        <w:t xml:space="preserve">6</w:t>
      </w:r>
      <w:r>
        <w:rPr>
          <w:rFonts w:hint="eastAsia"/>
          <w:sz w:val="24"/>
          <w:szCs w:val="24"/>
        </w:rPr>
        <w:t xml:space="preserve">年度工贸领域企业第三方安全生产指导服务的成交事宜，签订本合同。</w:t>
      </w:r>
      <w:r/>
    </w:p>
    <w:p>
      <w:pPr>
        <w:ind w:firstLine="480"/>
        <w:keepLines w:val="0"/>
        <w:keepNext w:val="0"/>
        <w:pageBreakBefore w:val="0"/>
        <w:spacing w:line="360" w:lineRule="auto"/>
        <w:widowControl w:val="off"/>
        <w:rPr>
          <w:sz w:val="24"/>
          <w:szCs w:val="24"/>
        </w:rPr>
      </w:pPr>
      <w:r>
        <w:rPr>
          <w:rFonts w:hint="eastAsia"/>
          <w:sz w:val="24"/>
          <w:szCs w:val="24"/>
        </w:rPr>
        <w:t xml:space="preserve">一、定义：以下术语有特定的含义：</w:t>
      </w:r>
      <w:r/>
    </w:p>
    <w:p>
      <w:pPr>
        <w:ind w:firstLine="480"/>
        <w:keepLines w:val="0"/>
        <w:keepNext w:val="0"/>
        <w:pageBreakBefore w:val="0"/>
        <w:spacing w:line="360" w:lineRule="auto"/>
        <w:widowControl w:val="off"/>
        <w:rPr>
          <w:sz w:val="24"/>
          <w:szCs w:val="24"/>
        </w:rPr>
      </w:pPr>
      <w:r>
        <w:rPr>
          <w:rFonts w:hint="eastAsia"/>
          <w:sz w:val="24"/>
          <w:szCs w:val="24"/>
        </w:rPr>
        <w:t xml:space="preserve">“货物”本合同所称货物是指乙方基于其已中标的投标文件而应向甲方提供的符合招标要求规格及功能的苏州工业园区202</w:t>
      </w:r>
      <w:r>
        <w:rPr>
          <w:rFonts w:hint="eastAsia"/>
          <w:sz w:val="24"/>
          <w:szCs w:val="24"/>
          <w:lang w:val="en-US" w:eastAsia="zh-CN"/>
        </w:rPr>
        <w:t xml:space="preserve">6</w:t>
      </w:r>
      <w:r>
        <w:rPr>
          <w:rFonts w:hint="eastAsia"/>
          <w:sz w:val="24"/>
          <w:szCs w:val="24"/>
        </w:rPr>
        <w:t xml:space="preserve">年度工贸领域企业第三方安全生产指导服务及其全部设备及备品备件，它还应包括由乙方送交给甲方的所有的必须文件和与使用及测试有关的应进行的任何规定的服务。</w:t>
      </w:r>
      <w:r/>
    </w:p>
    <w:p>
      <w:pPr>
        <w:ind w:firstLine="480"/>
        <w:keepLines w:val="0"/>
        <w:keepNext w:val="0"/>
        <w:pageBreakBefore w:val="0"/>
        <w:spacing w:line="360" w:lineRule="auto"/>
        <w:widowControl w:val="off"/>
        <w:rPr>
          <w:sz w:val="24"/>
          <w:szCs w:val="24"/>
        </w:rPr>
      </w:pPr>
      <w:r>
        <w:rPr>
          <w:rFonts w:hint="eastAsia"/>
          <w:sz w:val="24"/>
          <w:szCs w:val="24"/>
        </w:rPr>
        <w:t xml:space="preserve">“服务”系指根据合同规定乙方应承担的与供货有关的辅助义务，比如运输、保险以及其它伴随服务，比如安装、调试以及送货上门提供技术援助、培训、配合措施、维修响应和合同中规定乙方应承担的其它义务。</w:t>
      </w:r>
      <w:r/>
    </w:p>
    <w:p>
      <w:pPr>
        <w:ind w:firstLine="480"/>
        <w:keepLines w:val="0"/>
        <w:keepNext w:val="0"/>
        <w:pageBreakBefore w:val="0"/>
        <w:spacing w:line="360" w:lineRule="auto"/>
        <w:widowControl w:val="off"/>
        <w:rPr>
          <w:sz w:val="24"/>
          <w:szCs w:val="24"/>
        </w:rPr>
      </w:pPr>
      <w:r>
        <w:rPr>
          <w:rFonts w:hint="eastAsia"/>
          <w:sz w:val="24"/>
          <w:szCs w:val="24"/>
        </w:rPr>
        <w:t xml:space="preserve">“合同价”系指根据中标的投标文件和合同规定，乙方在正确地履行合同义务后甲方应支付乙方的价款。</w:t>
      </w:r>
      <w:r/>
    </w:p>
    <w:p>
      <w:pPr>
        <w:ind w:firstLine="480"/>
        <w:keepLines w:val="0"/>
        <w:keepNext w:val="0"/>
        <w:pageBreakBefore w:val="0"/>
        <w:spacing w:line="360" w:lineRule="auto"/>
        <w:widowControl w:val="off"/>
        <w:rPr>
          <w:sz w:val="24"/>
          <w:szCs w:val="24"/>
        </w:rPr>
      </w:pPr>
      <w:r>
        <w:rPr>
          <w:rFonts w:hint="eastAsia"/>
          <w:sz w:val="24"/>
          <w:szCs w:val="24"/>
        </w:rPr>
        <w:t xml:space="preserve"> “甲方”系指合同中明确规定的实际购买货物和接受服务单位。</w:t>
      </w:r>
      <w:r/>
    </w:p>
    <w:p>
      <w:pPr>
        <w:ind w:firstLine="480"/>
        <w:keepLines w:val="0"/>
        <w:keepNext w:val="0"/>
        <w:pageBreakBefore w:val="0"/>
        <w:spacing w:line="360" w:lineRule="auto"/>
        <w:widowControl w:val="off"/>
        <w:rPr>
          <w:sz w:val="24"/>
          <w:szCs w:val="24"/>
        </w:rPr>
      </w:pPr>
      <w:r>
        <w:rPr>
          <w:rFonts w:hint="eastAsia"/>
          <w:sz w:val="24"/>
          <w:szCs w:val="24"/>
        </w:rPr>
        <w:t xml:space="preserve"> “乙方”系指合同中规定的提供货物和提供服务的单位。</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 “损失”本合同所指损失是指合同一方因不履行合同义务而遭致另一方及第三方的各种损失及损害的费用，还包括守约方为减轻损害或维护权利而需支付的各种调查费用，车旅费用、律师费用等。</w:t>
      </w:r>
      <w:r/>
    </w:p>
    <w:p>
      <w:pPr>
        <w:numPr>
          <w:ilvl w:val="0"/>
          <w:numId w:val="4"/>
        </w:numPr>
        <w:ind w:firstLine="480"/>
        <w:keepLines w:val="0"/>
        <w:keepNext w:val="0"/>
        <w:pageBreakBefore w:val="0"/>
        <w:spacing w:line="360" w:lineRule="auto"/>
        <w:widowControl w:val="off"/>
        <w:rPr>
          <w:rFonts w:hint="eastAsia"/>
          <w:sz w:val="24"/>
          <w:szCs w:val="24"/>
        </w:rPr>
      </w:pPr>
      <w:r>
        <w:rPr>
          <w:rFonts w:hint="eastAsia"/>
          <w:sz w:val="24"/>
          <w:szCs w:val="24"/>
        </w:rPr>
        <w:t xml:space="preserve">项目名称：苏州工业园区202</w:t>
      </w:r>
      <w:r>
        <w:rPr>
          <w:rFonts w:hint="eastAsia"/>
          <w:sz w:val="24"/>
          <w:szCs w:val="24"/>
          <w:lang w:val="en-US" w:eastAsia="zh-CN"/>
        </w:rPr>
        <w:t xml:space="preserve">6</w:t>
      </w:r>
      <w:r>
        <w:rPr>
          <w:rFonts w:hint="eastAsia"/>
          <w:sz w:val="24"/>
          <w:szCs w:val="24"/>
        </w:rPr>
        <w:t xml:space="preserve">年度工贸领域企业第三方安全生产指导服务</w:t>
      </w:r>
      <w:r/>
    </w:p>
    <w:p>
      <w:pPr>
        <w:numPr>
          <w:ilvl w:val="0"/>
          <w:numId w:val="0"/>
        </w:numPr>
        <w:ind w:firstLine="960"/>
        <w:keepLines w:val="0"/>
        <w:keepNext w:val="0"/>
        <w:pageBreakBefore w:val="0"/>
        <w:spacing w:line="360" w:lineRule="auto"/>
        <w:widowControl w:val="off"/>
        <w:rPr>
          <w:rFonts w:hint="eastAsia"/>
          <w:sz w:val="24"/>
          <w:szCs w:val="24"/>
        </w:rPr>
      </w:pPr>
      <w:r>
        <w:rPr>
          <w:rFonts w:hint="eastAsia"/>
          <w:sz w:val="24"/>
          <w:szCs w:val="24"/>
        </w:rPr>
        <w:t xml:space="preserve">服务时间：  </w:t>
      </w:r>
      <w:r/>
    </w:p>
    <w:p>
      <w:pPr>
        <w:ind w:firstLine="960"/>
        <w:keepLines w:val="0"/>
        <w:keepNext w:val="0"/>
        <w:pageBreakBefore w:val="0"/>
        <w:spacing w:line="360" w:lineRule="auto"/>
        <w:widowControl w:val="off"/>
        <w:rPr>
          <w:rFonts w:hint="eastAsia"/>
          <w:sz w:val="24"/>
          <w:szCs w:val="24"/>
        </w:rPr>
      </w:pPr>
      <w:r>
        <w:rPr>
          <w:rFonts w:hint="eastAsia"/>
          <w:sz w:val="24"/>
          <w:szCs w:val="24"/>
        </w:rPr>
        <w:t xml:space="preserve">服务内容：</w:t>
      </w:r>
      <w:r/>
    </w:p>
    <w:tbl>
      <w:tblPr>
        <w:tblStyle w:val="915"/>
        <w:tblW w:w="83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40"/>
        <w:gridCol w:w="1440"/>
        <w:gridCol w:w="1440"/>
        <w:gridCol w:w="2235"/>
      </w:tblGrid>
      <w:tr>
        <w:trPr>
          <w:jc w:val="center"/>
          <w:trHeight w:val="574"/>
        </w:trPr>
        <w:tc>
          <w:tcPr>
            <w:tcW w:w="3240" w:type="dxa"/>
            <w:vAlign w:val="center"/>
            <w:textDirection w:val="lrTb"/>
            <w:noWrap w:val="false"/>
          </w:tcPr>
          <w:p>
            <w:pPr>
              <w:ind w:firstLine="480"/>
              <w:keepLines w:val="0"/>
              <w:keepNext w:val="0"/>
              <w:pageBreakBefore w:val="0"/>
              <w:spacing w:line="360" w:lineRule="auto"/>
              <w:widowControl w:val="off"/>
              <w:rPr>
                <w:rFonts w:hint="eastAsia"/>
                <w:sz w:val="24"/>
                <w:szCs w:val="24"/>
              </w:rPr>
            </w:pPr>
            <w:r>
              <w:rPr>
                <w:rFonts w:hint="eastAsia"/>
                <w:sz w:val="24"/>
                <w:szCs w:val="24"/>
              </w:rPr>
              <w:t xml:space="preserve">服务项目</w:t>
            </w:r>
            <w:r/>
          </w:p>
        </w:tc>
        <w:tc>
          <w:tcPr>
            <w:tcW w:w="1440" w:type="dxa"/>
            <w:vAlign w:val="center"/>
            <w:textDirection w:val="lrTb"/>
            <w:noWrap w:val="false"/>
          </w:tcPr>
          <w:p>
            <w:pPr>
              <w:ind w:firstLine="0"/>
              <w:keepLines w:val="0"/>
              <w:keepNext w:val="0"/>
              <w:pageBreakBefore w:val="0"/>
              <w:spacing w:line="360" w:lineRule="auto"/>
              <w:widowControl w:val="off"/>
              <w:rPr>
                <w:rFonts w:hint="eastAsia"/>
                <w:sz w:val="24"/>
                <w:szCs w:val="24"/>
              </w:rPr>
            </w:pPr>
            <w:r>
              <w:rPr>
                <w:rFonts w:hint="eastAsia"/>
                <w:sz w:val="24"/>
                <w:szCs w:val="24"/>
              </w:rPr>
              <w:t xml:space="preserve">服务数量</w:t>
            </w:r>
            <w:r/>
          </w:p>
        </w:tc>
        <w:tc>
          <w:tcPr>
            <w:tcW w:w="1440" w:type="dxa"/>
            <w:vAlign w:val="center"/>
            <w:textDirection w:val="lrTb"/>
            <w:noWrap w:val="false"/>
          </w:tcPr>
          <w:p>
            <w:pPr>
              <w:ind w:firstLine="0"/>
              <w:keepLines w:val="0"/>
              <w:keepNext w:val="0"/>
              <w:pageBreakBefore w:val="0"/>
              <w:spacing w:line="360" w:lineRule="auto"/>
              <w:widowControl w:val="off"/>
              <w:rPr>
                <w:rFonts w:hint="eastAsia"/>
                <w:sz w:val="24"/>
                <w:szCs w:val="24"/>
              </w:rPr>
            </w:pPr>
            <w:r>
              <w:rPr>
                <w:rFonts w:hint="eastAsia"/>
                <w:sz w:val="24"/>
                <w:szCs w:val="24"/>
              </w:rPr>
              <w:t xml:space="preserve">合同金额</w:t>
            </w:r>
            <w:r/>
          </w:p>
        </w:tc>
        <w:tc>
          <w:tcPr>
            <w:tcW w:w="2235" w:type="dxa"/>
            <w:vAlign w:val="center"/>
            <w:textDirection w:val="lrTb"/>
            <w:noWrap w:val="false"/>
          </w:tcPr>
          <w:p>
            <w:pPr>
              <w:ind w:firstLine="480"/>
              <w:keepLines w:val="0"/>
              <w:keepNext w:val="0"/>
              <w:pageBreakBefore w:val="0"/>
              <w:spacing w:line="360" w:lineRule="auto"/>
              <w:widowControl w:val="off"/>
              <w:rPr>
                <w:rFonts w:hint="eastAsia"/>
                <w:sz w:val="24"/>
                <w:szCs w:val="24"/>
              </w:rPr>
            </w:pPr>
            <w:r>
              <w:rPr>
                <w:rFonts w:hint="eastAsia"/>
                <w:sz w:val="24"/>
                <w:szCs w:val="24"/>
              </w:rPr>
              <w:t xml:space="preserve">期限</w:t>
            </w:r>
            <w:r/>
          </w:p>
        </w:tc>
      </w:tr>
      <w:tr>
        <w:trPr>
          <w:cantSplit/>
          <w:jc w:val="center"/>
          <w:trHeight w:val="759"/>
        </w:trPr>
        <w:tc>
          <w:tcPr>
            <w:tcW w:w="3240" w:type="dxa"/>
            <w:vAlign w:val="top"/>
            <w:textDirection w:val="lrTb"/>
            <w:noWrap w:val="false"/>
          </w:tcPr>
          <w:p>
            <w:pPr>
              <w:ind w:firstLine="480"/>
              <w:keepLines w:val="0"/>
              <w:keepNext w:val="0"/>
              <w:pageBreakBefore w:val="0"/>
              <w:spacing w:line="360" w:lineRule="auto"/>
              <w:widowControl w:val="off"/>
              <w:rPr>
                <w:rFonts w:hint="eastAsia"/>
                <w:sz w:val="24"/>
                <w:szCs w:val="24"/>
              </w:rPr>
            </w:pPr>
            <w:r>
              <w:rPr>
                <w:rFonts w:hint="eastAsia"/>
                <w:sz w:val="24"/>
                <w:szCs w:val="24"/>
              </w:rPr>
            </w:r>
            <w:r/>
          </w:p>
        </w:tc>
        <w:tc>
          <w:tcPr>
            <w:tcW w:w="1440" w:type="dxa"/>
            <w:vAlign w:val="top"/>
            <w:textDirection w:val="lrTb"/>
            <w:noWrap w:val="false"/>
          </w:tcPr>
          <w:p>
            <w:pPr>
              <w:ind w:firstLine="480"/>
              <w:keepLines w:val="0"/>
              <w:keepNext w:val="0"/>
              <w:pageBreakBefore w:val="0"/>
              <w:spacing w:line="360" w:lineRule="auto"/>
              <w:widowControl w:val="off"/>
              <w:rPr>
                <w:rFonts w:hint="eastAsia"/>
                <w:sz w:val="24"/>
                <w:szCs w:val="24"/>
              </w:rPr>
            </w:pPr>
            <w:r>
              <w:rPr>
                <w:rFonts w:hint="eastAsia"/>
                <w:sz w:val="24"/>
                <w:szCs w:val="24"/>
              </w:rPr>
            </w:r>
            <w:r/>
          </w:p>
        </w:tc>
        <w:tc>
          <w:tcPr>
            <w:tcW w:w="1440" w:type="dxa"/>
            <w:vAlign w:val="top"/>
            <w:textDirection w:val="lrTb"/>
            <w:noWrap w:val="false"/>
          </w:tcPr>
          <w:p>
            <w:pPr>
              <w:ind w:firstLine="480"/>
              <w:keepLines w:val="0"/>
              <w:keepNext w:val="0"/>
              <w:pageBreakBefore w:val="0"/>
              <w:spacing w:line="360" w:lineRule="auto"/>
              <w:widowControl w:val="off"/>
              <w:rPr>
                <w:rFonts w:hint="eastAsia"/>
                <w:sz w:val="24"/>
                <w:szCs w:val="24"/>
              </w:rPr>
            </w:pPr>
            <w:r>
              <w:rPr>
                <w:rFonts w:hint="eastAsia"/>
                <w:sz w:val="24"/>
                <w:szCs w:val="24"/>
              </w:rPr>
            </w:r>
            <w:r/>
          </w:p>
        </w:tc>
        <w:tc>
          <w:tcPr>
            <w:tcW w:w="2235" w:type="dxa"/>
            <w:vAlign w:val="top"/>
            <w:textDirection w:val="lrTb"/>
            <w:noWrap w:val="false"/>
          </w:tcPr>
          <w:p>
            <w:pPr>
              <w:ind w:firstLine="480"/>
              <w:keepLines w:val="0"/>
              <w:keepNext w:val="0"/>
              <w:pageBreakBefore w:val="0"/>
              <w:spacing w:line="360" w:lineRule="auto"/>
              <w:widowControl w:val="off"/>
              <w:rPr>
                <w:rFonts w:hint="eastAsia"/>
                <w:sz w:val="24"/>
                <w:szCs w:val="24"/>
              </w:rPr>
            </w:pPr>
            <w:r>
              <w:rPr>
                <w:rFonts w:hint="eastAsia"/>
                <w:sz w:val="24"/>
                <w:szCs w:val="24"/>
              </w:rPr>
            </w:r>
            <w:r/>
          </w:p>
        </w:tc>
      </w:tr>
    </w:tbl>
    <w:p>
      <w:pPr>
        <w:ind w:firstLine="480"/>
        <w:keepLines w:val="0"/>
        <w:keepNext w:val="0"/>
        <w:pageBreakBefore w:val="0"/>
        <w:spacing w:line="360" w:lineRule="auto"/>
        <w:widowControl w:val="off"/>
        <w:rPr>
          <w:rFonts w:hint="eastAsia"/>
          <w:sz w:val="24"/>
          <w:szCs w:val="24"/>
        </w:rPr>
      </w:pPr>
      <w:r>
        <w:rPr>
          <w:rFonts w:hint="eastAsia"/>
          <w:sz w:val="24"/>
          <w:szCs w:val="24"/>
        </w:rPr>
        <w:t xml:space="preserve">（一）服务内容要求</w:t>
      </w:r>
      <w:r/>
    </w:p>
    <w:p>
      <w:pPr>
        <w:ind w:left="-2" w:firstLine="486"/>
        <w:spacing w:line="360" w:lineRule="auto"/>
        <w:rPr>
          <w:rFonts w:hint="eastAsia" w:ascii="宋体" w:hAnsi="宋体" w:eastAsia="宋体" w:cs="宋体"/>
          <w:bCs/>
          <w:color w:val="000000"/>
          <w:sz w:val="24"/>
          <w:highlight w:val="none"/>
          <w:lang w:eastAsia="zh-CN"/>
        </w:rPr>
      </w:pPr>
      <w:r>
        <w:rPr>
          <w:rFonts w:hint="eastAsia" w:ascii="宋体" w:hAnsi="宋体" w:cs="宋体"/>
          <w:b/>
          <w:bCs/>
          <w:color w:val="000000"/>
          <w:sz w:val="24"/>
          <w:highlight w:val="none"/>
        </w:rPr>
        <w:t xml:space="preserve">1.标段一</w:t>
      </w:r>
      <w:r>
        <w:rPr>
          <w:rFonts w:hint="eastAsia" w:ascii="宋体" w:hAnsi="宋体" w:cs="宋体"/>
          <w:b/>
          <w:bCs/>
          <w:color w:val="000000"/>
          <w:sz w:val="24"/>
          <w:highlight w:val="none"/>
          <w:lang w:eastAsia="zh-CN"/>
        </w:rPr>
        <w:t xml:space="preserve">和</w:t>
      </w:r>
      <w:r>
        <w:rPr>
          <w:rFonts w:hint="eastAsia" w:ascii="宋体" w:hAnsi="宋体" w:cs="宋体"/>
          <w:b/>
          <w:bCs/>
          <w:color w:val="000000"/>
          <w:sz w:val="24"/>
          <w:highlight w:val="none"/>
        </w:rPr>
        <w:t xml:space="preserve">标段</w:t>
      </w:r>
      <w:r>
        <w:rPr>
          <w:rFonts w:hint="eastAsia" w:ascii="宋体" w:hAnsi="宋体" w:cs="宋体"/>
          <w:b/>
          <w:bCs/>
          <w:color w:val="000000"/>
          <w:sz w:val="24"/>
          <w:highlight w:val="none"/>
          <w:lang w:eastAsia="zh-CN"/>
        </w:rPr>
        <w:t xml:space="preserve">二</w:t>
      </w:r>
      <w:r>
        <w:rPr>
          <w:rFonts w:hint="eastAsia" w:ascii="宋体" w:hAnsi="宋体" w:cs="宋体"/>
          <w:b/>
          <w:bCs/>
          <w:color w:val="000000"/>
          <w:sz w:val="24"/>
          <w:highlight w:val="none"/>
        </w:rPr>
        <w:t xml:space="preserve">：</w:t>
      </w:r>
      <w:r>
        <w:rPr>
          <w:rFonts w:hint="eastAsia" w:ascii="宋体" w:hAnsi="宋体" w:cs="宋体"/>
          <w:bCs/>
          <w:color w:val="000000"/>
          <w:sz w:val="24"/>
          <w:highlight w:val="none"/>
        </w:rPr>
        <w:t xml:space="preserve">根据年度工作重点以及《关于印发2025年苏州市工贸重点企业指导服务实施方案的通知》（苏应急〔2025〕18号）</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省安委会印发</w:t>
      </w:r>
      <w:r>
        <w:rPr>
          <w:rFonts w:hint="eastAsia" w:ascii="仿宋" w:hAnsi="仿宋" w:eastAsia="仿宋" w:cs="仿宋"/>
          <w:bCs/>
          <w:color w:val="000000"/>
          <w:sz w:val="24"/>
          <w:highlight w:val="none"/>
        </w:rPr>
        <w:t xml:space="preserve">&lt;</w:t>
      </w:r>
      <w:r>
        <w:rPr>
          <w:rFonts w:hint="eastAsia" w:ascii="宋体" w:hAnsi="宋体" w:cs="宋体"/>
          <w:bCs/>
          <w:color w:val="000000"/>
          <w:sz w:val="24"/>
          <w:highlight w:val="none"/>
        </w:rPr>
        <w:t xml:space="preserve">关于推进安全生产“六化”建设的实施方案（试行）</w:t>
      </w:r>
      <w:r>
        <w:rPr>
          <w:rFonts w:hint="eastAsia" w:ascii="仿宋" w:hAnsi="仿宋" w:eastAsia="仿宋" w:cs="仿宋"/>
          <w:bCs/>
          <w:color w:val="000000"/>
          <w:sz w:val="24"/>
          <w:highlight w:val="none"/>
        </w:rPr>
        <w:t xml:space="preserve">&gt;</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的通知等相关文件，以提升企业本质安全、消除安全风险隐患为目标导向，借助第三方专业力量，系统评估企业安全生产管理情况，切实消除一批问题隐患，强化对重点行业领域设备设施、生产工艺、风险报告、作业安全、日常管理、“线上线下”任务开展等</w:t>
      </w:r>
      <w:r>
        <w:rPr>
          <w:rFonts w:ascii="宋体" w:hAnsi="宋体" w:cs="宋体"/>
          <w:bCs/>
          <w:color w:val="000000"/>
          <w:sz w:val="24"/>
          <w:highlight w:val="none"/>
        </w:rPr>
        <w:t xml:space="preserve">方面的安全生产</w:t>
      </w:r>
      <w:r>
        <w:rPr>
          <w:rFonts w:hint="eastAsia" w:ascii="宋体" w:hAnsi="宋体" w:cs="宋体"/>
          <w:bCs/>
          <w:color w:val="000000"/>
          <w:sz w:val="24"/>
          <w:highlight w:val="none"/>
        </w:rPr>
        <w:t xml:space="preserve">监管。核查服务内容主要包括三个方面。</w:t>
      </w:r>
      <w:r>
        <w:rPr>
          <w:rFonts w:hint="eastAsia" w:ascii="宋体" w:hAnsi="宋体" w:cs="宋体"/>
          <w:b/>
          <w:bCs/>
          <w:color w:val="000000"/>
          <w:sz w:val="24"/>
          <w:highlight w:val="none"/>
        </w:rPr>
        <w:t xml:space="preserve">一是基础安全管理</w:t>
      </w:r>
      <w:r>
        <w:rPr>
          <w:rFonts w:hint="eastAsia" w:ascii="宋体" w:hAnsi="宋体" w:cs="宋体"/>
          <w:bCs/>
          <w:color w:val="000000"/>
          <w:sz w:val="24"/>
          <w:highlight w:val="none"/>
        </w:rPr>
        <w:t xml:space="preserve">。如，企业的风险辨识报告、风险检查表单、现场管理、教育培训、作业审批、应急预案和演练，以及“SIP安全3</w:t>
      </w:r>
      <w:r>
        <w:rPr>
          <w:rFonts w:ascii="宋体" w:hAnsi="宋体" w:cs="宋体"/>
          <w:bCs/>
          <w:color w:val="000000"/>
          <w:sz w:val="24"/>
          <w:highlight w:val="none"/>
        </w:rPr>
        <w:t xml:space="preserve">60</w:t>
      </w:r>
      <w:r>
        <w:rPr>
          <w:rFonts w:hint="eastAsia" w:ascii="宋体" w:hAnsi="宋体" w:cs="宋体"/>
          <w:bCs/>
          <w:color w:val="000000"/>
          <w:sz w:val="24"/>
          <w:highlight w:val="none"/>
        </w:rPr>
        <w:t xml:space="preserve">”系统中企业制度文件上传、标签化基础信息填报、班前班后五分钟开展、</w:t>
      </w:r>
      <w:r>
        <w:rPr>
          <w:rFonts w:hint="eastAsia" w:ascii="宋体" w:hAnsi="宋体" w:cs="宋体"/>
          <w:bCs/>
          <w:color w:val="000000"/>
          <w:sz w:val="24"/>
          <w:highlight w:val="none"/>
          <w:lang w:eastAsia="zh-CN"/>
        </w:rPr>
        <w:t xml:space="preserve">疏散通道走一次开展、</w:t>
      </w:r>
      <w:r>
        <w:rPr>
          <w:rFonts w:hint="eastAsia" w:ascii="宋体" w:hAnsi="宋体" w:cs="宋体"/>
          <w:bCs/>
          <w:color w:val="000000"/>
          <w:sz w:val="24"/>
          <w:highlight w:val="none"/>
        </w:rPr>
        <w:t xml:space="preserve">企业</w:t>
      </w:r>
      <w:r>
        <w:rPr>
          <w:rFonts w:hint="eastAsia" w:ascii="宋体" w:hAnsi="宋体" w:cs="宋体"/>
          <w:bCs/>
          <w:color w:val="000000"/>
          <w:sz w:val="24"/>
          <w:highlight w:val="none"/>
          <w:lang w:eastAsia="zh-CN"/>
        </w:rPr>
        <w:t xml:space="preserve">安全生产“六化”建设</w:t>
      </w:r>
      <w:r>
        <w:rPr>
          <w:rFonts w:hint="eastAsia" w:ascii="宋体" w:hAnsi="宋体" w:cs="宋体"/>
          <w:bCs/>
          <w:color w:val="000000"/>
          <w:sz w:val="24"/>
          <w:highlight w:val="none"/>
        </w:rPr>
        <w:t xml:space="preserve">等方面。</w:t>
      </w:r>
      <w:r>
        <w:rPr>
          <w:rFonts w:hint="eastAsia" w:ascii="宋体" w:hAnsi="宋体" w:cs="宋体"/>
          <w:b/>
          <w:bCs/>
          <w:color w:val="000000"/>
          <w:sz w:val="24"/>
          <w:highlight w:val="none"/>
        </w:rPr>
        <w:t xml:space="preserve">二是现场安全诊断。</w:t>
      </w:r>
      <w:r>
        <w:rPr>
          <w:rFonts w:hint="eastAsia" w:ascii="宋体" w:hAnsi="宋体" w:cs="宋体"/>
          <w:bCs/>
          <w:color w:val="000000"/>
          <w:sz w:val="24"/>
          <w:highlight w:val="none"/>
        </w:rPr>
        <w:t xml:space="preserve">突出企业本质安全管理核查，尤其是重点部位，如涉爆粉尘产生场所及除尘器、金属熔融</w:t>
      </w:r>
      <w:r>
        <w:rPr>
          <w:rFonts w:hint="eastAsia" w:ascii="宋体" w:hAnsi="宋体" w:cs="宋体"/>
          <w:bCs/>
          <w:color w:val="000000"/>
          <w:sz w:val="24"/>
          <w:highlight w:val="none"/>
          <w:lang w:eastAsia="zh-CN"/>
        </w:rPr>
        <w:t xml:space="preserve">铸造</w:t>
      </w:r>
      <w:r>
        <w:rPr>
          <w:rFonts w:hint="eastAsia" w:ascii="宋体" w:hAnsi="宋体" w:cs="宋体"/>
          <w:bCs/>
          <w:color w:val="000000"/>
          <w:sz w:val="24"/>
          <w:highlight w:val="none"/>
        </w:rPr>
        <w:t xml:space="preserve">工艺场所、</w:t>
      </w:r>
      <w:r>
        <w:rPr>
          <w:rFonts w:hint="eastAsia" w:ascii="宋体" w:hAnsi="宋体" w:cs="宋体"/>
          <w:bCs/>
          <w:color w:val="000000"/>
          <w:sz w:val="24"/>
          <w:highlight w:val="none"/>
          <w:lang w:eastAsia="zh-CN"/>
        </w:rPr>
        <w:t xml:space="preserve">铝镁</w:t>
      </w:r>
      <w:r>
        <w:rPr>
          <w:rFonts w:hint="eastAsia" w:ascii="宋体" w:hAnsi="宋体" w:cs="宋体"/>
          <w:bCs/>
          <w:color w:val="000000"/>
          <w:sz w:val="24"/>
          <w:highlight w:val="none"/>
        </w:rPr>
        <w:t xml:space="preserve">机加工设备及废物处置、有限空间、危化品中间库</w:t>
      </w:r>
      <w:r>
        <w:rPr>
          <w:rFonts w:hint="eastAsia" w:ascii="宋体" w:hAnsi="宋体" w:cs="宋体"/>
          <w:bCs/>
          <w:color w:val="000000"/>
          <w:sz w:val="24"/>
          <w:highlight w:val="none"/>
          <w:lang w:val="en-US" w:eastAsia="zh-CN"/>
        </w:rPr>
        <w:t xml:space="preserve"> </w:t>
      </w:r>
      <w:r>
        <w:rPr>
          <w:rFonts w:hint="eastAsia" w:ascii="宋体" w:hAnsi="宋体" w:cs="宋体"/>
          <w:bCs/>
          <w:color w:val="000000"/>
          <w:sz w:val="24"/>
          <w:highlight w:val="none"/>
        </w:rPr>
        <w:t xml:space="preserve">和储存柜、喷漆工艺、加热工艺、老旧设施、危险作业等管理情况，厂房租赁管理、出租方和承租方责任落实、SIP安全3</w:t>
      </w:r>
      <w:r>
        <w:rPr>
          <w:rFonts w:ascii="宋体" w:hAnsi="宋体" w:cs="宋体"/>
          <w:bCs/>
          <w:color w:val="000000"/>
          <w:sz w:val="24"/>
          <w:highlight w:val="none"/>
        </w:rPr>
        <w:t xml:space="preserve">60系统入库纳管</w:t>
      </w:r>
      <w:r>
        <w:rPr>
          <w:rFonts w:hint="eastAsia" w:ascii="宋体" w:hAnsi="宋体" w:cs="宋体"/>
          <w:bCs/>
          <w:color w:val="000000"/>
          <w:sz w:val="24"/>
          <w:highlight w:val="none"/>
        </w:rPr>
        <w:t xml:space="preserve">，劳密企业、</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厂中厂</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中烟感喷淋及</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一键警报</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疏散装置等技防设施应用的专项检查核查，提出专业整改意见，形成核查服务指导报告，为园区应急管理部门提供监管执法参考和督查检查依据。</w:t>
      </w:r>
      <w:r>
        <w:rPr>
          <w:rFonts w:hint="eastAsia" w:ascii="宋体" w:hAnsi="宋体" w:cs="宋体"/>
          <w:b/>
          <w:bCs/>
          <w:color w:val="000000"/>
          <w:sz w:val="24"/>
          <w:highlight w:val="none"/>
        </w:rPr>
        <w:t xml:space="preserve">三是工艺和设备安全风险评估。</w:t>
      </w:r>
      <w:r>
        <w:rPr>
          <w:rFonts w:hint="eastAsia" w:ascii="宋体" w:hAnsi="宋体" w:cs="宋体"/>
          <w:bCs/>
          <w:color w:val="000000"/>
          <w:sz w:val="24"/>
          <w:highlight w:val="none"/>
        </w:rPr>
        <w:t xml:space="preserve">针对涉及金属熔融、粉尘涉爆、喷漆、加热、电镀等重点区域、重点工段的，</w:t>
      </w:r>
      <w:r>
        <w:rPr>
          <w:rFonts w:hint="eastAsia" w:ascii="宋体" w:hAnsi="宋体" w:cs="宋体"/>
          <w:bCs/>
          <w:color w:val="000000"/>
          <w:sz w:val="24"/>
          <w:highlight w:val="none"/>
          <w:lang w:eastAsia="zh-CN"/>
        </w:rPr>
        <w:t xml:space="preserve">根据</w:t>
      </w:r>
      <w:r>
        <w:rPr>
          <w:rFonts w:hint="eastAsia" w:ascii="宋体" w:hAnsi="宋体" w:cs="宋体"/>
          <w:bCs/>
          <w:color w:val="000000"/>
          <w:sz w:val="24"/>
          <w:highlight w:val="none"/>
        </w:rPr>
        <w:t xml:space="preserve">《一般工业企业危险与可操作性分析</w:t>
      </w:r>
      <w:r>
        <w:rPr>
          <w:rFonts w:hint="default"/>
          <w:bCs/>
          <w:color w:val="000000"/>
          <w:sz w:val="24"/>
          <w:highlight w:val="none"/>
        </w:rPr>
        <w:t xml:space="preserve">(HAZOP)</w:t>
      </w:r>
      <w:r>
        <w:rPr>
          <w:rFonts w:hint="eastAsia" w:ascii="宋体" w:hAnsi="宋体" w:cs="宋体"/>
          <w:bCs/>
          <w:color w:val="000000"/>
          <w:sz w:val="24"/>
          <w:highlight w:val="none"/>
        </w:rPr>
        <w:t xml:space="preserve">总则》等标准规范开展工艺和设备</w:t>
      </w:r>
      <w:r>
        <w:rPr>
          <w:rFonts w:hint="eastAsia" w:ascii="宋体" w:hAnsi="宋体" w:cs="宋体"/>
          <w:bCs/>
          <w:color w:val="000000"/>
          <w:sz w:val="24"/>
          <w:highlight w:val="none"/>
          <w:lang w:eastAsia="zh-CN"/>
        </w:rPr>
        <w:t xml:space="preserve">安全性评估，对风险较高的企业提出安全改进措施，推动企业对重点工艺和设备进行提档升级。</w:t>
      </w:r>
      <w:r/>
    </w:p>
    <w:p>
      <w:pPr>
        <w:ind w:left="-2" w:firstLine="486"/>
        <w:spacing w:line="360" w:lineRule="auto"/>
        <w:rPr>
          <w:rFonts w:hint="eastAsia" w:ascii="宋体" w:hAnsi="宋体" w:cs="宋体"/>
          <w:bCs/>
          <w:color w:val="000000"/>
          <w:sz w:val="24"/>
          <w:highlight w:val="none"/>
        </w:rPr>
      </w:pPr>
      <w:r>
        <w:rPr>
          <w:rFonts w:ascii="宋体" w:hAnsi="宋体" w:cs="宋体"/>
          <w:b/>
          <w:bCs/>
          <w:color w:val="000000"/>
          <w:sz w:val="24"/>
          <w:highlight w:val="none"/>
        </w:rPr>
        <w:t xml:space="preserve">以上服务内容</w:t>
      </w:r>
      <w:r>
        <w:rPr>
          <w:rFonts w:ascii="宋体" w:hAnsi="宋体" w:cs="宋体"/>
          <w:bCs/>
          <w:color w:val="000000"/>
          <w:sz w:val="24"/>
          <w:highlight w:val="none"/>
        </w:rPr>
        <w:t xml:space="preserve">一般包含但不限于：</w:t>
      </w:r>
      <w:r/>
    </w:p>
    <w:p>
      <w:pPr>
        <w:ind w:left="-2" w:firstLine="486"/>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（1）风险报告核查。根据工业企业较大以上风险目录，全面辨识和分析生产、存储和人员作业过程等厂区中潜在的危险、 有害因素，核查工业企业风险报告完成质量，提出问题整改建议。 </w:t>
      </w:r>
      <w:r/>
    </w:p>
    <w:p>
      <w:pPr>
        <w:ind w:left="-2" w:firstLine="486"/>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2</w:t>
      </w:r>
      <w:r>
        <w:rPr>
          <w:rFonts w:hint="eastAsia" w:ascii="宋体" w:hAnsi="宋体" w:cs="宋体"/>
          <w:bCs/>
          <w:color w:val="000000"/>
          <w:sz w:val="24"/>
          <w:highlight w:val="none"/>
        </w:rPr>
        <w:t xml:space="preserve">）管理体系指导。管理体系涵盖企业安全相关的所有管理制度、操作规程等。同时，结合监管要求，核查企业“SIP安全360”系统中企业制度文件上传、标签化基础信息填报、班前班后五分钟开展、事项库专项任务完成情况；企业安全管理全员化（全员安全责任制</w:t>
      </w:r>
      <w:r>
        <w:rPr>
          <w:rFonts w:hint="eastAsia" w:ascii="宋体" w:hAnsi="宋体" w:cs="宋体"/>
          <w:bCs/>
          <w:color w:val="000000"/>
          <w:sz w:val="24"/>
          <w:highlight w:val="none"/>
          <w:lang w:eastAsia="zh-CN"/>
        </w:rPr>
        <w:t xml:space="preserve">、安全教育培训、事故隐患内部报告奖励</w:t>
      </w:r>
      <w:r>
        <w:rPr>
          <w:rFonts w:hint="eastAsia" w:ascii="宋体" w:hAnsi="宋体" w:cs="宋体"/>
          <w:bCs/>
          <w:color w:val="000000"/>
          <w:sz w:val="24"/>
          <w:highlight w:val="none"/>
        </w:rPr>
        <w:t xml:space="preserve">）、实体化（安全管理机构建设及人员配备）、手册化（</w:t>
      </w:r>
      <w:r>
        <w:rPr>
          <w:rFonts w:hint="eastAsia" w:ascii="宋体" w:hAnsi="宋体" w:cs="宋体"/>
          <w:bCs/>
          <w:color w:val="000000"/>
          <w:sz w:val="24"/>
          <w:highlight w:val="none"/>
          <w:lang w:eastAsia="zh-CN"/>
        </w:rPr>
        <w:t xml:space="preserve">应急演练</w:t>
      </w:r>
      <w:r>
        <w:rPr>
          <w:rFonts w:hint="eastAsia" w:ascii="宋体" w:hAnsi="宋体" w:cs="宋体"/>
          <w:bCs/>
          <w:color w:val="000000"/>
          <w:sz w:val="24"/>
          <w:highlight w:val="none"/>
        </w:rPr>
        <w:t xml:space="preserve">手册</w:t>
      </w:r>
      <w:r>
        <w:rPr>
          <w:rFonts w:hint="eastAsia" w:ascii="宋体" w:hAnsi="宋体" w:cs="宋体"/>
          <w:bCs/>
          <w:color w:val="000000"/>
          <w:sz w:val="24"/>
          <w:highlight w:val="none"/>
          <w:lang w:eastAsia="zh-CN"/>
        </w:rPr>
        <w:t xml:space="preserve">编制及使用</w:t>
      </w:r>
      <w:r>
        <w:rPr>
          <w:rFonts w:hint="eastAsia" w:ascii="宋体" w:hAnsi="宋体" w:cs="宋体"/>
          <w:bCs/>
          <w:color w:val="000000"/>
          <w:sz w:val="24"/>
          <w:highlight w:val="none"/>
        </w:rPr>
        <w:t xml:space="preserve">）等方面</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同时，对企业“关键少数”开展考试抽查，参与编制企业岗位安全手册模板。</w:t>
      </w:r>
      <w:r/>
    </w:p>
    <w:p>
      <w:pPr>
        <w:ind w:left="-2" w:firstLine="486"/>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3</w:t>
      </w:r>
      <w:r>
        <w:rPr>
          <w:rFonts w:hint="eastAsia" w:ascii="宋体" w:hAnsi="宋体" w:cs="宋体"/>
          <w:bCs/>
          <w:color w:val="000000"/>
          <w:sz w:val="24"/>
          <w:highlight w:val="none"/>
        </w:rPr>
        <w:t xml:space="preserve">）安全综合诊断。根据《安全生产法》《江苏省安全生产条例》《</w:t>
      </w:r>
      <w:r>
        <w:rPr>
          <w:rFonts w:hint="eastAsia" w:ascii="宋体" w:hAnsi="宋体" w:cs="宋体"/>
          <w:bCs/>
          <w:color w:val="000000"/>
          <w:sz w:val="24"/>
          <w:highlight w:val="none"/>
          <w:lang w:eastAsia="zh-CN"/>
        </w:rPr>
        <w:t xml:space="preserve">苏州市</w:t>
      </w:r>
      <w:r>
        <w:rPr>
          <w:rFonts w:hint="eastAsia" w:ascii="宋体" w:hAnsi="宋体" w:cs="宋体"/>
          <w:bCs/>
          <w:color w:val="000000"/>
          <w:sz w:val="24"/>
          <w:highlight w:val="none"/>
        </w:rPr>
        <w:t xml:space="preserve">安全生产条例》《工贸行业重大生产安全事故隐患判定标准》等法律法规标准规范和工作导则，对工贸重点企业开展全面核查，对重点工艺环节、组织机构安全职责、相关安全规章制度、岗位作业人员安全、教育与培训、设备设施运行安全管理、危险作业管理、现场安全管理、隐患排查与风险管控、事故应急管理及处置等方面进行全面综合的安全诊断。  </w:t>
      </w:r>
      <w:r/>
    </w:p>
    <w:p>
      <w:pPr>
        <w:ind w:left="-2" w:firstLine="486"/>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4</w:t>
      </w:r>
      <w:r>
        <w:rPr>
          <w:rFonts w:hint="eastAsia" w:ascii="宋体" w:hAnsi="宋体" w:cs="宋体"/>
          <w:bCs/>
          <w:color w:val="000000"/>
          <w:sz w:val="24"/>
          <w:highlight w:val="none"/>
        </w:rPr>
        <w:t xml:space="preserve">）现场隐患排查。指导治理内容要重点突出企业本质安全管理核查，尤其是重点部位（如涉爆粉尘产生场所及除尘器、</w:t>
      </w:r>
      <w:r>
        <w:rPr>
          <w:rFonts w:hint="eastAsia" w:ascii="宋体" w:hAnsi="宋体" w:cs="宋体"/>
          <w:bCs/>
          <w:color w:val="000000"/>
          <w:sz w:val="24"/>
          <w:highlight w:val="none"/>
          <w:lang w:eastAsia="zh-CN"/>
        </w:rPr>
        <w:t xml:space="preserve">金属熔融铸造</w:t>
      </w:r>
      <w:r>
        <w:rPr>
          <w:rFonts w:hint="eastAsia" w:ascii="宋体" w:hAnsi="宋体" w:cs="宋体"/>
          <w:bCs/>
          <w:color w:val="000000"/>
          <w:sz w:val="24"/>
          <w:highlight w:val="none"/>
        </w:rPr>
        <w:t xml:space="preserve">工艺场所、</w:t>
      </w:r>
      <w:r>
        <w:rPr>
          <w:rFonts w:hint="eastAsia" w:ascii="宋体" w:hAnsi="宋体" w:cs="宋体"/>
          <w:bCs/>
          <w:color w:val="000000"/>
          <w:sz w:val="24"/>
          <w:highlight w:val="none"/>
          <w:lang w:eastAsia="zh-CN"/>
        </w:rPr>
        <w:t xml:space="preserve">铝镁</w:t>
      </w:r>
      <w:r>
        <w:rPr>
          <w:rFonts w:hint="eastAsia" w:ascii="宋体" w:hAnsi="宋体" w:cs="宋体"/>
          <w:bCs/>
          <w:color w:val="000000"/>
          <w:sz w:val="24"/>
          <w:highlight w:val="none"/>
        </w:rPr>
        <w:t xml:space="preserve">机加工设备及废物处置、加热工段、喷漆工段、有限空间、危险作业及委外作业的管理情况，厂房租赁管理、出租方和承租方责任落实，劳密企业、</w:t>
      </w:r>
      <w:r>
        <w:rPr>
          <w:rFonts w:hint="eastAsia" w:ascii="宋体" w:hAnsi="宋体" w:cs="宋体"/>
          <w:bCs/>
          <w:color w:val="000000"/>
          <w:sz w:val="24"/>
          <w:highlight w:val="none"/>
          <w:lang w:eastAsia="zh-CN"/>
        </w:rPr>
        <w:t xml:space="preserve">“厂中厂”</w:t>
      </w:r>
      <w:r>
        <w:rPr>
          <w:rFonts w:hint="eastAsia" w:ascii="宋体" w:hAnsi="宋体" w:cs="宋体"/>
          <w:bCs/>
          <w:color w:val="000000"/>
          <w:sz w:val="24"/>
          <w:highlight w:val="none"/>
        </w:rPr>
        <w:t xml:space="preserve">中烟感喷淋及</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一键警报</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疏散装置等技防设施应用）的专项核查，要依法依规、全面细致对企业现场安全情况开展深度指导治理，</w:t>
      </w:r>
      <w:r>
        <w:rPr>
          <w:rFonts w:hint="eastAsia" w:ascii="宋体" w:hAnsi="宋体" w:cs="宋体"/>
          <w:bCs/>
          <w:color w:val="000000"/>
          <w:sz w:val="24"/>
          <w:highlight w:val="none"/>
          <w:lang w:eastAsia="zh-CN"/>
        </w:rPr>
        <w:t xml:space="preserve">特别是要重点对照新标准、团标的要求，关注与旧的标准规范变化的地方，企业是否符合要求，</w:t>
      </w:r>
      <w:r>
        <w:rPr>
          <w:rFonts w:hint="eastAsia" w:ascii="宋体" w:hAnsi="宋体" w:cs="宋体"/>
          <w:bCs/>
          <w:color w:val="000000"/>
          <w:sz w:val="24"/>
          <w:highlight w:val="none"/>
        </w:rPr>
        <w:t xml:space="preserve">突出专业化能力建设。</w:t>
      </w:r>
      <w:r/>
    </w:p>
    <w:p>
      <w:pPr>
        <w:ind w:left="-2" w:firstLine="486"/>
        <w:spacing w:line="360" w:lineRule="auto"/>
        <w:rPr>
          <w:rFonts w:ascii="宋体" w:hAnsi="宋体" w:cs="宋体"/>
          <w:bCs/>
          <w:color w:val="000000"/>
          <w:sz w:val="24"/>
          <w:highlight w:val="none"/>
        </w:rPr>
      </w:pPr>
      <w:r>
        <w:rPr>
          <w:rFonts w:ascii="宋体" w:hAnsi="宋体" w:cs="宋体"/>
          <w:b w:val="0"/>
          <w:bCs w:val="0"/>
          <w:color w:val="000000"/>
          <w:sz w:val="24"/>
          <w:highlight w:val="none"/>
        </w:rPr>
        <w:t xml:space="preserve">（5）工艺和设备</w:t>
      </w:r>
      <w:r>
        <w:rPr>
          <w:rFonts w:hint="eastAsia" w:ascii="宋体" w:hAnsi="宋体" w:cs="宋体"/>
          <w:b w:val="0"/>
          <w:bCs w:val="0"/>
          <w:color w:val="000000"/>
          <w:sz w:val="24"/>
          <w:highlight w:val="none"/>
          <w:lang w:eastAsia="zh-CN"/>
        </w:rPr>
        <w:t xml:space="preserve">安全性评估</w:t>
      </w:r>
      <w:r>
        <w:rPr>
          <w:rFonts w:ascii="宋体" w:hAnsi="宋体" w:cs="宋体"/>
          <w:b w:val="0"/>
          <w:bCs w:val="0"/>
          <w:color w:val="000000"/>
          <w:sz w:val="24"/>
          <w:highlight w:val="none"/>
        </w:rPr>
        <w:t xml:space="preserve">。</w:t>
      </w:r>
      <w:r>
        <w:rPr>
          <w:rFonts w:hint="eastAsia" w:ascii="宋体" w:hAnsi="宋体" w:cs="宋体"/>
          <w:bCs/>
          <w:color w:val="000000"/>
          <w:sz w:val="24"/>
          <w:highlight w:val="none"/>
        </w:rPr>
        <w:t xml:space="preserve">针对金属熔融、粉尘涉爆、喷漆、加热、电镀等重点区域、重点工段</w:t>
      </w:r>
      <w:r>
        <w:rPr>
          <w:rFonts w:hint="eastAsia" w:ascii="宋体" w:hAnsi="宋体" w:cs="宋体"/>
          <w:bCs/>
          <w:color w:val="000000"/>
          <w:sz w:val="24"/>
          <w:highlight w:val="none"/>
          <w:lang w:eastAsia="zh-CN"/>
        </w:rPr>
        <w:t xml:space="preserve">，根据《一般工业企业危险与可操作性分析(HAZOP)总则》等标准规范，开展重点工艺、设备安全风险评估，</w:t>
      </w:r>
      <w:r>
        <w:rPr>
          <w:rFonts w:hint="eastAsia" w:ascii="宋体" w:hAnsi="宋体" w:cs="宋体"/>
          <w:bCs/>
          <w:color w:val="000000"/>
          <w:sz w:val="24"/>
          <w:highlight w:val="none"/>
        </w:rPr>
        <w:t xml:space="preserve">通过设置目标、收集参数、模型分析等技术路径，评估企业重点工段的工艺安全水平、设备安全水平、岗位人员作业安全水平等，多维度分析评估，提出风险针对性管控措施和整改建议。（如，</w:t>
      </w:r>
      <w:r>
        <w:rPr>
          <w:rFonts w:hint="eastAsia"/>
          <w:color w:val="000000"/>
          <w:sz w:val="24"/>
          <w:highlight w:val="none"/>
        </w:rPr>
        <w:t xml:space="preserve">对重点工段从工艺、设备、物料、参数、监控措施、作业方式等方面进行调研；从工艺、设备、管理、人员等方面进行定性定量分析、风险分级及改进管控措施制定等</w:t>
      </w:r>
      <w:r>
        <w:rPr>
          <w:rFonts w:hint="eastAsia" w:ascii="宋体" w:hAnsi="宋体" w:cs="宋体"/>
          <w:bCs/>
          <w:color w:val="000000"/>
          <w:sz w:val="24"/>
          <w:highlight w:val="none"/>
        </w:rPr>
        <w:t xml:space="preserve">）</w:t>
      </w:r>
      <w:r/>
    </w:p>
    <w:p>
      <w:pPr>
        <w:ind w:left="-2" w:firstLine="486"/>
        <w:spacing w:line="360" w:lineRule="auto"/>
        <w:rPr>
          <w:rFonts w:ascii="宋体" w:hAnsi="宋体" w:cs="宋体"/>
          <w:bCs/>
          <w:color w:val="000000"/>
          <w:sz w:val="24"/>
          <w:highlight w:val="none"/>
        </w:rPr>
      </w:pPr>
      <w:r>
        <w:rPr>
          <w:rFonts w:hint="eastAsia" w:ascii="宋体" w:hAnsi="宋体" w:cs="宋体"/>
          <w:b w:val="0"/>
          <w:bCs w:val="0"/>
          <w:color w:val="000000"/>
          <w:sz w:val="24"/>
          <w:highlight w:val="none"/>
        </w:rPr>
        <w:t xml:space="preserve">（</w:t>
      </w:r>
      <w:r>
        <w:rPr>
          <w:rFonts w:ascii="宋体" w:hAnsi="宋体" w:cs="宋体"/>
          <w:b w:val="0"/>
          <w:bCs w:val="0"/>
          <w:color w:val="000000"/>
          <w:sz w:val="24"/>
          <w:highlight w:val="none"/>
        </w:rPr>
        <w:t xml:space="preserve">6</w:t>
      </w:r>
      <w:r>
        <w:rPr>
          <w:rFonts w:hint="eastAsia" w:ascii="宋体" w:hAnsi="宋体" w:cs="宋体"/>
          <w:b w:val="0"/>
          <w:bCs w:val="0"/>
          <w:color w:val="000000"/>
          <w:sz w:val="24"/>
          <w:highlight w:val="none"/>
        </w:rPr>
        <w:t xml:space="preserve">）跟踪问题闭环。针</w:t>
      </w:r>
      <w:r>
        <w:rPr>
          <w:rFonts w:hint="eastAsia" w:ascii="宋体" w:hAnsi="宋体" w:cs="宋体"/>
          <w:bCs/>
          <w:color w:val="000000"/>
          <w:sz w:val="24"/>
          <w:highlight w:val="none"/>
        </w:rPr>
        <w:t xml:space="preserve">对以上内容，制定指导治理清单，开展核查指导服务，提出整改意见，形成《XX企业安全生产指导治理报告》，明确是否符合相关标准规范、是否存在重大隐患，并对各企业重点事项整改情况进行闭环确认，为苏州工业园区应急管理局提供监管执法和督查检查依据，同时配合开展相关专项培训。为方便工作，现场检查指导和闭环复查可依托“SIP安全3</w:t>
      </w:r>
      <w:r>
        <w:rPr>
          <w:rFonts w:ascii="宋体" w:hAnsi="宋体" w:cs="宋体"/>
          <w:bCs/>
          <w:color w:val="000000"/>
          <w:sz w:val="24"/>
          <w:highlight w:val="none"/>
        </w:rPr>
        <w:t xml:space="preserve">60</w:t>
      </w:r>
      <w:r>
        <w:rPr>
          <w:rFonts w:hint="eastAsia" w:ascii="宋体" w:hAnsi="宋体" w:cs="宋体"/>
          <w:bCs/>
          <w:color w:val="000000"/>
          <w:sz w:val="24"/>
          <w:highlight w:val="none"/>
        </w:rPr>
        <w:t xml:space="preserve">系统”进行，服务单位要严格遵守工作约定和数据保密要求。 </w:t>
      </w:r>
      <w:r/>
    </w:p>
    <w:p>
      <w:pPr>
        <w:ind w:left="-2" w:firstLine="486"/>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7</w:t>
      </w:r>
      <w:r>
        <w:rPr>
          <w:rFonts w:hint="eastAsia" w:ascii="宋体" w:hAnsi="宋体" w:cs="宋体"/>
          <w:bCs/>
          <w:color w:val="000000"/>
          <w:sz w:val="24"/>
          <w:highlight w:val="none"/>
        </w:rPr>
        <w:t xml:space="preserve">) 形成“一企一档”。汇总所有企业的基本信息、隐患问题及整改情况、工艺和设备安全风险评估报告等，并形成《苏州工业园区工贸领域企业安全生产指导治理报告》一份。 同时，建立企业核查指导情况“一企一档”，辅助监管执法人员指导企业标本兼治提升。</w:t>
      </w:r>
      <w:r/>
    </w:p>
    <w:p>
      <w:pPr>
        <w:ind w:firstLine="486"/>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8</w:t>
      </w:r>
      <w:r>
        <w:rPr>
          <w:rFonts w:hint="eastAsia" w:ascii="宋体" w:hAnsi="宋体" w:cs="宋体"/>
          <w:bCs/>
          <w:color w:val="000000"/>
          <w:sz w:val="24"/>
          <w:highlight w:val="none"/>
        </w:rPr>
        <w:t xml:space="preserve">）标本兼治提升。指导企业开展安全生产标准化建设，指导企业强化风险辨识管控措施，提升本质安全水平。</w:t>
      </w:r>
      <w:r/>
    </w:p>
    <w:p>
      <w:pPr>
        <w:ind w:left="-2" w:firstLine="486"/>
        <w:spacing w:line="360" w:lineRule="auto"/>
        <w:rPr>
          <w:rFonts w:ascii="宋体" w:hAnsi="宋体" w:cs="宋体"/>
          <w:bCs/>
          <w:color w:val="000000"/>
          <w:sz w:val="24"/>
          <w:highlight w:val="none"/>
        </w:rPr>
      </w:pPr>
      <w:r>
        <w:rPr>
          <w:rFonts w:ascii="宋体" w:hAnsi="宋体" w:cs="宋体"/>
          <w:bCs/>
          <w:color w:val="000000"/>
          <w:sz w:val="24"/>
          <w:highlight w:val="none"/>
        </w:rPr>
        <w:t xml:space="preserve">（9）</w:t>
      </w:r>
      <w:r>
        <w:rPr>
          <w:rFonts w:hint="eastAsia" w:ascii="宋体" w:hAnsi="宋体" w:cs="宋体"/>
          <w:bCs/>
          <w:color w:val="000000"/>
          <w:sz w:val="24"/>
          <w:highlight w:val="none"/>
        </w:rPr>
        <w:t xml:space="preserve">双方协商确定的其他内容。</w:t>
      </w:r>
      <w:r/>
    </w:p>
    <w:p>
      <w:pPr>
        <w:ind w:left="-2" w:firstLine="486"/>
        <w:spacing w:line="360" w:lineRule="auto"/>
        <w:rPr>
          <w:rFonts w:hint="eastAsia" w:ascii="宋体" w:hAnsi="宋体" w:cs="宋体"/>
          <w:bCs/>
          <w:color w:val="000000"/>
          <w:sz w:val="24"/>
          <w:highlight w:val="none"/>
        </w:rPr>
      </w:pPr>
      <w:r>
        <w:rPr>
          <w:rFonts w:hint="eastAsia" w:ascii="宋体" w:hAnsi="宋体" w:cs="宋体"/>
          <w:b/>
          <w:bCs/>
          <w:color w:val="000000"/>
          <w:sz w:val="24"/>
          <w:highlight w:val="none"/>
        </w:rPr>
        <w:t xml:space="preserve">2</w:t>
      </w:r>
      <w:r>
        <w:rPr>
          <w:rFonts w:ascii="宋体" w:hAnsi="宋体" w:cs="宋体"/>
          <w:b/>
          <w:bCs/>
          <w:color w:val="000000"/>
          <w:sz w:val="24"/>
          <w:highlight w:val="none"/>
        </w:rPr>
        <w:t xml:space="preserve">.标段</w:t>
      </w:r>
      <w:r>
        <w:rPr>
          <w:rFonts w:hint="eastAsia" w:ascii="宋体" w:hAnsi="宋体" w:cs="宋体"/>
          <w:b/>
          <w:bCs/>
          <w:color w:val="000000"/>
          <w:sz w:val="24"/>
          <w:highlight w:val="none"/>
          <w:lang w:eastAsia="zh-CN"/>
        </w:rPr>
        <w:t xml:space="preserve">三</w:t>
      </w:r>
      <w:r>
        <w:rPr>
          <w:rFonts w:ascii="宋体" w:hAnsi="宋体" w:cs="宋体"/>
          <w:b/>
          <w:bCs/>
          <w:color w:val="000000"/>
          <w:sz w:val="24"/>
          <w:highlight w:val="none"/>
        </w:rPr>
        <w:t xml:space="preserve">：</w:t>
      </w:r>
      <w:r>
        <w:rPr>
          <w:rFonts w:ascii="宋体" w:hAnsi="宋体" w:cs="宋体"/>
          <w:bCs/>
          <w:color w:val="000000"/>
          <w:sz w:val="24"/>
          <w:highlight w:val="none"/>
        </w:rPr>
        <w:t xml:space="preserve">一般围绕工业出租载体（厂中厂）安全规范化建设开展安全专项核查指导，包括但不限于：法律法规、规章落实情况；现场安全隐患排查治理；出租方、承租方安全职责落实；厂区安全规范化建设；安全生产“六化”建设；“线上</w:t>
      </w:r>
      <w:r>
        <w:rPr>
          <w:rFonts w:hint="eastAsia" w:ascii="宋体" w:hAnsi="宋体" w:cs="宋体"/>
          <w:bCs/>
          <w:color w:val="000000"/>
          <w:sz w:val="24"/>
          <w:highlight w:val="none"/>
        </w:rPr>
        <w:t xml:space="preserve">+线下</w:t>
      </w:r>
      <w:r>
        <w:rPr>
          <w:rFonts w:ascii="宋体" w:hAnsi="宋体" w:cs="宋体"/>
          <w:bCs/>
          <w:color w:val="000000"/>
          <w:sz w:val="24"/>
          <w:highlight w:val="none"/>
        </w:rPr>
        <w:t xml:space="preserve">”专项任务完成情况核查；应急预案编制、应急演练开展情况等。可参考</w:t>
      </w:r>
      <w:r>
        <w:rPr>
          <w:rFonts w:hint="eastAsia" w:ascii="宋体" w:hAnsi="宋体" w:cs="宋体"/>
          <w:bCs/>
          <w:color w:val="000000"/>
          <w:sz w:val="24"/>
          <w:highlight w:val="none"/>
          <w:lang w:eastAsia="zh-CN"/>
        </w:rPr>
        <w:t xml:space="preserve">江苏省地标《“厂中厂”安全管理规范》、《苏州市工业领域租赁厂房经营企业(“厂中厂”)安全管理指引(试行)》、</w:t>
      </w:r>
      <w:r>
        <w:rPr>
          <w:rFonts w:ascii="宋体" w:hAnsi="宋体" w:cs="宋体"/>
          <w:bCs/>
          <w:color w:val="000000"/>
          <w:sz w:val="24"/>
          <w:highlight w:val="none"/>
        </w:rPr>
        <w:t xml:space="preserve">市级群租厂房标准化建设、园区载体标准化建设方案</w:t>
      </w:r>
      <w:r>
        <w:rPr>
          <w:rFonts w:hint="eastAsia" w:ascii="宋体" w:hAnsi="宋体" w:cs="宋体"/>
          <w:bCs/>
          <w:color w:val="000000"/>
          <w:sz w:val="24"/>
          <w:highlight w:val="none"/>
          <w:lang w:eastAsia="zh-CN"/>
        </w:rPr>
        <w:t xml:space="preserve">等</w:t>
      </w:r>
      <w:r>
        <w:rPr>
          <w:rFonts w:ascii="宋体" w:hAnsi="宋体" w:cs="宋体"/>
          <w:bCs/>
          <w:color w:val="000000"/>
          <w:sz w:val="24"/>
          <w:highlight w:val="none"/>
        </w:rPr>
        <w:t xml:space="preserve">开展。</w:t>
      </w:r>
      <w:r/>
    </w:p>
    <w:p>
      <w:pPr>
        <w:ind w:left="-2" w:firstLine="486"/>
        <w:spacing w:line="360" w:lineRule="auto"/>
        <w:rPr>
          <w:rFonts w:hint="eastAsia" w:ascii="宋体" w:hAnsi="宋体" w:cs="宋体"/>
          <w:bCs/>
          <w:color w:val="000000"/>
          <w:sz w:val="24"/>
          <w:highlight w:val="none"/>
        </w:rPr>
      </w:pPr>
      <w:r>
        <w:rPr>
          <w:rFonts w:ascii="宋体" w:hAnsi="宋体" w:cs="宋体"/>
          <w:b/>
          <w:bCs/>
          <w:color w:val="000000"/>
          <w:sz w:val="24"/>
          <w:highlight w:val="none"/>
        </w:rPr>
        <w:t xml:space="preserve">3.标段</w:t>
      </w:r>
      <w:r>
        <w:rPr>
          <w:rFonts w:hint="eastAsia" w:ascii="宋体" w:hAnsi="宋体" w:cs="宋体"/>
          <w:b/>
          <w:bCs/>
          <w:color w:val="000000"/>
          <w:sz w:val="24"/>
          <w:highlight w:val="none"/>
          <w:lang w:eastAsia="zh-CN"/>
        </w:rPr>
        <w:t xml:space="preserve">四</w:t>
      </w:r>
      <w:r>
        <w:rPr>
          <w:rFonts w:ascii="宋体" w:hAnsi="宋体" w:cs="宋体"/>
          <w:b/>
          <w:bCs/>
          <w:color w:val="000000"/>
          <w:sz w:val="24"/>
          <w:highlight w:val="none"/>
        </w:rPr>
        <w:t xml:space="preserve">：</w:t>
      </w:r>
      <w:r>
        <w:rPr>
          <w:rFonts w:ascii="宋体" w:hAnsi="宋体" w:cs="宋体"/>
          <w:b w:val="0"/>
          <w:bCs w:val="0"/>
          <w:color w:val="000000"/>
          <w:sz w:val="24"/>
          <w:highlight w:val="none"/>
        </w:rPr>
        <w:t xml:space="preserve">一般围绕</w:t>
      </w:r>
      <w:r>
        <w:rPr>
          <w:rFonts w:hint="eastAsia" w:ascii="宋体" w:hAnsi="宋体" w:cs="宋体"/>
          <w:b w:val="0"/>
          <w:bCs w:val="0"/>
          <w:color w:val="000000"/>
          <w:sz w:val="24"/>
          <w:highlight w:val="none"/>
        </w:rPr>
        <w:t xml:space="preserve">园区上市、拟上市、苗圃企业、瞪羚企业等开展安全专项服务指导，</w:t>
      </w:r>
      <w:r>
        <w:rPr>
          <w:rFonts w:ascii="宋体" w:hAnsi="宋体" w:cs="宋体"/>
          <w:b w:val="0"/>
          <w:bCs w:val="0"/>
          <w:color w:val="000000"/>
          <w:sz w:val="24"/>
          <w:highlight w:val="none"/>
        </w:rPr>
        <w:t xml:space="preserve">服务内容一般包括但不限于：（</w:t>
      </w:r>
      <w:r>
        <w:rPr>
          <w:rFonts w:hint="eastAsia" w:ascii="宋体" w:hAnsi="宋体" w:cs="宋体"/>
          <w:b w:val="0"/>
          <w:bCs w:val="0"/>
          <w:color w:val="000000"/>
          <w:sz w:val="24"/>
          <w:highlight w:val="none"/>
        </w:rPr>
        <w:t xml:space="preserve">1</w:t>
      </w:r>
      <w:r>
        <w:rPr>
          <w:rFonts w:ascii="宋体" w:hAnsi="宋体" w:cs="宋体"/>
          <w:b w:val="0"/>
          <w:bCs w:val="0"/>
          <w:color w:val="000000"/>
          <w:sz w:val="24"/>
          <w:highlight w:val="none"/>
        </w:rPr>
        <w:t xml:space="preserve">）安全生产风险隐患减量服务</w:t>
      </w:r>
      <w:r>
        <w:rPr>
          <w:rFonts w:hint="eastAsia" w:ascii="宋体" w:hAnsi="宋体" w:cs="宋体"/>
          <w:b w:val="0"/>
          <w:bCs w:val="0"/>
          <w:color w:val="000000"/>
          <w:sz w:val="24"/>
          <w:highlight w:val="none"/>
        </w:rPr>
        <w:t xml:space="preserve">。指导企业开展风险辨识报告，排查现场隐患，完善安全管理体系建设等。（2）安全生产“三同时”等政策文件宣贯；（</w:t>
      </w:r>
      <w:r>
        <w:rPr>
          <w:rFonts w:ascii="宋体" w:hAnsi="宋体" w:cs="宋体"/>
          <w:b w:val="0"/>
          <w:bCs w:val="0"/>
          <w:color w:val="000000"/>
          <w:sz w:val="24"/>
          <w:highlight w:val="none"/>
        </w:rPr>
        <w:t xml:space="preserve">3</w:t>
      </w:r>
      <w:r>
        <w:rPr>
          <w:rFonts w:hint="eastAsia" w:ascii="宋体" w:hAnsi="宋体" w:cs="宋体"/>
          <w:b w:val="0"/>
          <w:bCs w:val="0"/>
          <w:color w:val="000000"/>
          <w:sz w:val="24"/>
          <w:highlight w:val="none"/>
        </w:rPr>
        <w:t xml:space="preserve">）危化品储存使用等高风险位置安全管理；（</w:t>
      </w:r>
      <w:r>
        <w:rPr>
          <w:rFonts w:ascii="宋体" w:hAnsi="宋体" w:cs="宋体"/>
          <w:b w:val="0"/>
          <w:bCs w:val="0"/>
          <w:color w:val="000000"/>
          <w:sz w:val="24"/>
          <w:highlight w:val="none"/>
        </w:rPr>
        <w:t xml:space="preserve">4</w:t>
      </w:r>
      <w:r>
        <w:rPr>
          <w:rFonts w:hint="eastAsia" w:ascii="宋体" w:hAnsi="宋体" w:cs="宋体"/>
          <w:b w:val="0"/>
          <w:bCs w:val="0"/>
          <w:color w:val="000000"/>
          <w:sz w:val="24"/>
          <w:highlight w:val="none"/>
        </w:rPr>
        <w:t xml:space="preserve">）</w:t>
      </w:r>
      <w:r>
        <w:rPr>
          <w:rFonts w:hint="eastAsia" w:ascii="宋体" w:hAnsi="宋体" w:cs="宋体"/>
          <w:b w:val="0"/>
          <w:bCs w:val="0"/>
          <w:color w:val="000000"/>
          <w:sz w:val="24"/>
          <w:highlight w:val="none"/>
          <w:lang w:eastAsia="zh-CN"/>
        </w:rPr>
        <w:t xml:space="preserve">全员安全生产责任制和安全生产管理体系建设</w:t>
      </w:r>
      <w:r>
        <w:rPr>
          <w:rFonts w:hint="eastAsia" w:ascii="宋体" w:hAnsi="宋体" w:cs="宋体"/>
          <w:b w:val="0"/>
          <w:bCs w:val="0"/>
          <w:color w:val="000000"/>
          <w:sz w:val="24"/>
          <w:highlight w:val="none"/>
        </w:rPr>
        <w:t xml:space="preserve">；</w:t>
      </w:r>
      <w:r>
        <w:rPr>
          <w:rFonts w:hint="eastAsia" w:ascii="宋体" w:hAnsi="宋体" w:cs="宋体"/>
          <w:bCs/>
          <w:color w:val="000000"/>
          <w:sz w:val="24"/>
          <w:highlight w:val="none"/>
        </w:rPr>
        <w:t xml:space="preserve">（5）特殊作业安全管理；（6）指导企业开展</w:t>
      </w:r>
      <w:r>
        <w:rPr>
          <w:rFonts w:hint="eastAsia" w:ascii="宋体" w:hAnsi="宋体" w:cs="宋体"/>
          <w:bCs/>
          <w:color w:val="000000"/>
          <w:sz w:val="24"/>
          <w:highlight w:val="none"/>
          <w:lang w:eastAsia="zh-CN"/>
        </w:rPr>
        <w:t xml:space="preserve">安全生产“六化”</w:t>
      </w:r>
      <w:r>
        <w:rPr>
          <w:rFonts w:hint="eastAsia" w:ascii="宋体" w:hAnsi="宋体" w:cs="宋体"/>
          <w:bCs/>
          <w:color w:val="000000"/>
          <w:sz w:val="24"/>
          <w:highlight w:val="none"/>
        </w:rPr>
        <w:t xml:space="preserve">等，推动企业本质安全提升；（7）配合开展相关领域本质安全提升的研究探索。根据园区应急局委托，开展专项专题培训指导、安全文化宣教以及其他协商确定的安全服务等。服务可通过“线上+线下”的方式进行，相关单位要严格遵守工作约定和数据保密要求。</w:t>
      </w:r>
      <w:r/>
    </w:p>
    <w:p>
      <w:pPr>
        <w:ind w:left="-2" w:firstLine="486"/>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标段一至标段四相关服务单位应按照安全生产监管部门要求，协同开展如下事项：(一)开展法律法规宣传培训。组织一线监管执法人员和工贸重点企业主要负责人、安全管理人员、有限空间和特殊作业监护人员等开展教育培训，宣贯重大事故隐患判定标准和有限空间、粉尘涉爆、金属冶炼等重点领域法律法规和工作要求，加强典型事故警示教育，提高企业从业人员、一线监管人员发现问题和解决问题的强烈意愿和能力水平。(二)</w:t>
      </w:r>
      <w:r>
        <w:rPr>
          <w:rFonts w:hint="eastAsia" w:ascii="宋体" w:hAnsi="宋体" w:cs="宋体"/>
          <w:bCs/>
          <w:color w:val="000000"/>
          <w:sz w:val="24"/>
          <w:highlight w:val="none"/>
          <w:lang w:val="en-US" w:eastAsia="zh-CN"/>
        </w:rPr>
        <w:t xml:space="preserve">开展企业现场会诊。通过访谈问卷、现场查看等方式抽选部分重点企业开展现场会诊，拍摄隐患场景，加强与企业沟通交流、答疑解惑，会诊过程中邀请同类型企业参与，达到“服务一家、指导一片”的效果。会诊后形成重大事故隐患和突出问题清单，指导帮助企业闭环整改，落实风险管控措施。(三)开展集中讲评反馈。通过线上和线下相结合方式，开展集中讲评反馈，剖析会诊发现的重大事故隐患和典型问题，指导相关企业举一反三排查整改同类问题隐患。(四)开展优秀企业培育。结合指导服务工作，培育安全生产优秀企业、中小企业管理规范化企业，挖掘优秀经验。</w:t>
      </w:r>
      <w:r/>
    </w:p>
    <w:p>
      <w:pPr>
        <w:ind w:firstLine="486"/>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(二)服务指导频次和重点内容要求 </w:t>
      </w:r>
      <w:r/>
    </w:p>
    <w:p>
      <w:pPr>
        <w:ind w:left="-2" w:firstLine="486"/>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2.1（1）安全生产服务指导频次：每家不少于 2 次，其中针对重点领域的核查不少于 1 次，整改闭环复查不少于 1 次； </w:t>
      </w:r>
      <w:r/>
    </w:p>
    <w:p>
      <w:pPr>
        <w:ind w:left="-2" w:firstLine="486"/>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（2）工作人员视企业规模大小安排专家开展现场安全指导治理：不低于 3 人。指导治理专家必须包括一名高级职称或省市专家。拟投入人员未受到各级应急管理部门的行政处罚。 </w:t>
      </w:r>
      <w:r/>
    </w:p>
    <w:p>
      <w:pPr>
        <w:ind w:left="-2" w:firstLine="486"/>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（3）本次核查定点服务要突出现场工艺和设备设施，对现场安全状况进行重点核查指导。</w:t>
      </w:r>
      <w:r>
        <w:rPr>
          <w:rFonts w:hint="eastAsia" w:ascii="宋体" w:hAnsi="宋体" w:cs="宋体"/>
          <w:bCs/>
          <w:color w:val="000000"/>
          <w:sz w:val="24"/>
          <w:highlight w:val="none"/>
          <w:lang w:eastAsia="zh-CN"/>
        </w:rPr>
        <w:t xml:space="preserve">核查前要先通过“</w:t>
      </w:r>
      <w:r>
        <w:rPr>
          <w:rFonts w:hint="eastAsia" w:ascii="宋体" w:hAnsi="宋体" w:cs="宋体"/>
          <w:bCs/>
          <w:color w:val="000000"/>
          <w:sz w:val="24"/>
          <w:highlight w:val="none"/>
          <w:lang w:val="en-US" w:eastAsia="zh-CN"/>
        </w:rPr>
        <w:t xml:space="preserve">SIP安全360系统</w:t>
      </w:r>
      <w:r>
        <w:rPr>
          <w:rFonts w:hint="eastAsia" w:ascii="宋体" w:hAnsi="宋体" w:cs="宋体"/>
          <w:bCs/>
          <w:color w:val="000000"/>
          <w:sz w:val="24"/>
          <w:highlight w:val="none"/>
          <w:lang w:eastAsia="zh-CN"/>
        </w:rPr>
        <w:t xml:space="preserve">”了解企业的基础信息，包括生产工艺、风险情况等。</w:t>
      </w:r>
      <w:r/>
    </w:p>
    <w:p>
      <w:pPr>
        <w:ind w:left="-2" w:firstLine="486"/>
        <w:spacing w:line="360" w:lineRule="auto"/>
        <w:rPr>
          <w:rFonts w:hint="eastAsia" w:ascii="宋体" w:hAnsi="宋体" w:cs="宋体"/>
          <w:bCs/>
          <w:color w:val="000000"/>
          <w:sz w:val="24"/>
          <w:highlight w:val="none"/>
          <w:lang w:eastAsia="zh-CN"/>
        </w:rPr>
      </w:pP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 </w:t>
      </w:r>
      <w:r>
        <w:rPr>
          <w:rFonts w:hint="eastAsia" w:ascii="宋体" w:hAnsi="宋体" w:cs="宋体"/>
          <w:bCs/>
          <w:color w:val="000000"/>
          <w:sz w:val="24"/>
          <w:highlight w:val="none"/>
          <w:lang w:eastAsia="zh-CN"/>
        </w:rPr>
        <w:t xml:space="preserve">第三方核查人员不得单独入企开展指导服务，需至少一名监管执法人员陪同。</w:t>
      </w:r>
      <w:r/>
    </w:p>
    <w:p>
      <w:pPr>
        <w:ind w:left="-2" w:firstLine="486"/>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2.2 现场服务指导：核查企业生产现场，尤其是重点部位（涉爆粉尘产生场所及除尘器、</w:t>
      </w:r>
      <w:r>
        <w:rPr>
          <w:rFonts w:hint="eastAsia" w:ascii="宋体" w:hAnsi="宋体" w:cs="宋体"/>
          <w:bCs/>
          <w:color w:val="000000"/>
          <w:sz w:val="24"/>
          <w:highlight w:val="none"/>
          <w:lang w:eastAsia="zh-CN"/>
        </w:rPr>
        <w:t xml:space="preserve">金属熔融</w:t>
      </w:r>
      <w:r>
        <w:rPr>
          <w:rFonts w:hint="eastAsia" w:ascii="宋体" w:hAnsi="宋体" w:cs="宋体"/>
          <w:bCs/>
          <w:color w:val="000000"/>
          <w:sz w:val="24"/>
          <w:highlight w:val="none"/>
        </w:rPr>
        <w:t xml:space="preserve">工艺场所、</w:t>
      </w:r>
      <w:r>
        <w:rPr>
          <w:rFonts w:hint="eastAsia" w:ascii="宋体" w:hAnsi="宋体" w:cs="宋体"/>
          <w:bCs/>
          <w:color w:val="000000"/>
          <w:sz w:val="24"/>
          <w:highlight w:val="none"/>
          <w:lang w:eastAsia="zh-CN"/>
        </w:rPr>
        <w:t xml:space="preserve">铝镁</w:t>
      </w:r>
      <w:r>
        <w:rPr>
          <w:rFonts w:hint="eastAsia" w:ascii="宋体" w:hAnsi="宋体" w:cs="宋体"/>
          <w:bCs/>
          <w:color w:val="000000"/>
          <w:sz w:val="24"/>
          <w:highlight w:val="none"/>
        </w:rPr>
        <w:t xml:space="preserve">机加工、木质加工、危化品储存及使用场所、液氨存储及使用场所、劳动密集场所等风险部位，涉及“厂中厂”的，核对承租企业），存在的问题和隐患，督促企业闭环整改，形成现场核查专篇，专篇内容包括：存在的问题和隐患描述（附照片），法律法规（标准规范等）依据，是否属于重大隐患的判定，整改措施建议（需明确可行的具体措施），督促企业闭环整改并附整改完成报告（附照片）。</w:t>
      </w:r>
      <w:r/>
    </w:p>
    <w:p>
      <w:pPr>
        <w:ind w:left="-2" w:firstLine="486"/>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w:t>
      </w:r>
      <w:r>
        <w:rPr>
          <w:rFonts w:ascii="宋体" w:hAnsi="宋体" w:cs="宋体"/>
          <w:bCs/>
          <w:color w:val="000000"/>
          <w:sz w:val="24"/>
          <w:highlight w:val="none"/>
        </w:rPr>
        <w:t xml:space="preserve">.3 工艺</w:t>
      </w:r>
      <w:r>
        <w:rPr>
          <w:rFonts w:hint="eastAsia" w:ascii="宋体" w:hAnsi="宋体" w:cs="宋体"/>
          <w:bCs/>
          <w:color w:val="000000"/>
          <w:sz w:val="24"/>
          <w:highlight w:val="none"/>
          <w:lang w:eastAsia="zh-CN"/>
        </w:rPr>
        <w:t xml:space="preserve">和设备</w:t>
      </w:r>
      <w:r>
        <w:rPr>
          <w:rFonts w:ascii="宋体" w:hAnsi="宋体" w:cs="宋体"/>
          <w:bCs/>
          <w:color w:val="000000"/>
          <w:sz w:val="24"/>
          <w:highlight w:val="none"/>
        </w:rPr>
        <w:t xml:space="preserve">安全</w:t>
      </w:r>
      <w:r>
        <w:rPr>
          <w:rFonts w:hint="eastAsia" w:ascii="宋体" w:hAnsi="宋体" w:cs="宋体"/>
          <w:bCs/>
          <w:color w:val="000000"/>
          <w:sz w:val="24"/>
          <w:highlight w:val="none"/>
          <w:lang w:eastAsia="zh-CN"/>
        </w:rPr>
        <w:t xml:space="preserve">性</w:t>
      </w:r>
      <w:r>
        <w:rPr>
          <w:rFonts w:ascii="宋体" w:hAnsi="宋体" w:cs="宋体"/>
          <w:bCs/>
          <w:color w:val="000000"/>
          <w:sz w:val="24"/>
          <w:highlight w:val="none"/>
        </w:rPr>
        <w:t xml:space="preserve">评估：</w:t>
      </w:r>
      <w:r>
        <w:rPr>
          <w:rFonts w:hint="eastAsia" w:ascii="宋体" w:hAnsi="宋体" w:cs="宋体"/>
          <w:bCs/>
          <w:color w:val="000000"/>
          <w:sz w:val="24"/>
          <w:highlight w:val="none"/>
        </w:rPr>
        <w:t xml:space="preserve">针对金属熔融、粉尘涉爆、喷漆、加热、电镀等重点区域、重点工段</w:t>
      </w:r>
      <w:r>
        <w:rPr>
          <w:rFonts w:hint="eastAsia" w:ascii="宋体" w:hAnsi="宋体" w:cs="宋体"/>
          <w:bCs/>
          <w:color w:val="000000"/>
          <w:sz w:val="24"/>
          <w:highlight w:val="none"/>
          <w:lang w:eastAsia="zh-CN"/>
        </w:rPr>
        <w:t xml:space="preserve">，根据《一般工业企业危险与可操作性</w:t>
      </w:r>
      <w:r>
        <w:rPr>
          <w:rFonts w:hint="default" w:ascii="Times New Roman" w:hAnsi="Times New Roman" w:cs="Times New Roman"/>
          <w:bCs/>
          <w:color w:val="000000"/>
          <w:sz w:val="24"/>
          <w:highlight w:val="none"/>
          <w:lang w:eastAsia="zh-CN"/>
        </w:rPr>
        <w:t xml:space="preserve">分析(HAZOP)总</w:t>
      </w:r>
      <w:r>
        <w:rPr>
          <w:rFonts w:hint="eastAsia" w:ascii="宋体" w:hAnsi="宋体" w:cs="宋体"/>
          <w:bCs/>
          <w:color w:val="000000"/>
          <w:sz w:val="24"/>
          <w:highlight w:val="none"/>
          <w:lang w:eastAsia="zh-CN"/>
        </w:rPr>
        <w:t xml:space="preserve">则》等标准规范，开展重点工艺、设备安全风险评估，</w:t>
      </w:r>
      <w:r>
        <w:rPr>
          <w:rFonts w:hint="eastAsia" w:ascii="宋体" w:hAnsi="宋体" w:cs="宋体"/>
          <w:bCs/>
          <w:color w:val="000000"/>
          <w:sz w:val="24"/>
          <w:highlight w:val="none"/>
        </w:rPr>
        <w:t xml:space="preserve">通过设置目标、收集参数、模型分析等技术路径，评估企业重点工段的工艺安全水平、设备安全水平、岗位人员作业安全水平等，多维度分析评估，提出风险针对性管控措施和整改建议，形成工艺</w:t>
      </w:r>
      <w:r>
        <w:rPr>
          <w:rFonts w:hint="eastAsia" w:ascii="宋体" w:hAnsi="宋体" w:cs="宋体"/>
          <w:bCs/>
          <w:color w:val="000000"/>
          <w:sz w:val="24"/>
          <w:highlight w:val="none"/>
          <w:lang w:eastAsia="zh-CN"/>
        </w:rPr>
        <w:t xml:space="preserve">和设备</w:t>
      </w:r>
      <w:r>
        <w:rPr>
          <w:rFonts w:hint="eastAsia" w:ascii="宋体" w:hAnsi="宋体" w:cs="宋体"/>
          <w:bCs/>
          <w:color w:val="000000"/>
          <w:sz w:val="24"/>
          <w:highlight w:val="none"/>
        </w:rPr>
        <w:t xml:space="preserve">安全评估“一企一档”。（如，</w:t>
      </w:r>
      <w:r>
        <w:rPr>
          <w:rFonts w:hint="eastAsia"/>
          <w:color w:val="000000"/>
          <w:sz w:val="24"/>
          <w:highlight w:val="none"/>
        </w:rPr>
        <w:t xml:space="preserve">对重点工段从工艺、设备、物料、参数、监控措施、作业方式等方面进行数据采集；从工艺、设备、管理、人员等方面进行定性定量分析、风险分级及改进管控措施制定等</w:t>
      </w:r>
      <w:r>
        <w:rPr>
          <w:rFonts w:hint="eastAsia" w:ascii="宋体" w:hAnsi="宋体" w:cs="宋体"/>
          <w:bCs/>
          <w:color w:val="000000"/>
          <w:sz w:val="24"/>
          <w:highlight w:val="none"/>
        </w:rPr>
        <w:t xml:space="preserve">）</w:t>
      </w:r>
      <w:r/>
    </w:p>
    <w:p>
      <w:pPr>
        <w:ind w:left="-2" w:firstLine="486"/>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w:t>
      </w:r>
      <w:r>
        <w:rPr>
          <w:rFonts w:ascii="宋体" w:hAnsi="宋体" w:cs="宋体"/>
          <w:bCs/>
          <w:color w:val="000000"/>
          <w:sz w:val="24"/>
          <w:highlight w:val="none"/>
        </w:rPr>
        <w:t xml:space="preserve">4</w:t>
      </w:r>
      <w:r>
        <w:rPr>
          <w:rFonts w:hint="eastAsia" w:ascii="宋体" w:hAnsi="宋体" w:cs="宋体"/>
          <w:bCs/>
          <w:color w:val="000000"/>
          <w:sz w:val="24"/>
          <w:highlight w:val="none"/>
        </w:rPr>
        <w:t xml:space="preserve"> 涉企信息掌握：适当向企业了解工艺水平、生产线先进性、设备年限、产品市场前景、产业上下游配套（进出口）等，以及企业面积、亩产税收、员工数量、学历分布、人员流动性等涉企信息，评估企业自主安全管理能力。 </w:t>
      </w:r>
      <w:r/>
    </w:p>
    <w:p>
      <w:pPr>
        <w:ind w:left="-2" w:firstLine="486"/>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w:t>
      </w:r>
      <w:r>
        <w:rPr>
          <w:rFonts w:ascii="宋体" w:hAnsi="宋体" w:cs="宋体"/>
          <w:bCs/>
          <w:color w:val="000000"/>
          <w:sz w:val="24"/>
          <w:highlight w:val="none"/>
        </w:rPr>
        <w:t xml:space="preserve">5</w:t>
      </w:r>
      <w:r>
        <w:rPr>
          <w:rFonts w:hint="eastAsia" w:ascii="宋体" w:hAnsi="宋体" w:cs="宋体"/>
          <w:bCs/>
          <w:color w:val="000000"/>
          <w:sz w:val="24"/>
          <w:highlight w:val="none"/>
        </w:rPr>
        <w:t xml:space="preserve"> 管理服务指导：结合服务内容要求，对企业的安全生产管理，尤其是承包商作业、危险作业、“六防（防机械伤害、防触电、防高处坠落、防坍塌、防物体打击、防火灾等）”、“三化”、“线上+线下”等管理方面开展指导治理，结合企业风险报告系统填报、“SIP安全3</w:t>
      </w:r>
      <w:r>
        <w:rPr>
          <w:rFonts w:ascii="宋体" w:hAnsi="宋体" w:cs="宋体"/>
          <w:bCs/>
          <w:color w:val="000000"/>
          <w:sz w:val="24"/>
          <w:highlight w:val="none"/>
        </w:rPr>
        <w:t xml:space="preserve">60</w:t>
      </w:r>
      <w:r>
        <w:rPr>
          <w:rFonts w:hint="eastAsia" w:ascii="宋体" w:hAnsi="宋体" w:cs="宋体"/>
          <w:bCs/>
          <w:color w:val="000000"/>
          <w:sz w:val="24"/>
          <w:highlight w:val="none"/>
          <w:lang w:eastAsia="zh-CN"/>
        </w:rPr>
        <w:t xml:space="preserve">系统</w:t>
      </w:r>
      <w:r>
        <w:rPr>
          <w:rFonts w:hint="eastAsia" w:ascii="宋体" w:hAnsi="宋体" w:cs="宋体"/>
          <w:bCs/>
          <w:color w:val="000000"/>
          <w:sz w:val="24"/>
          <w:highlight w:val="none"/>
        </w:rPr>
        <w:t xml:space="preserve">”风险管理模块对企业安全生产风险辨识的全面性和准确性进行指导治理，形成管理核查专篇描述，专篇内容包括：存在的问题和隐患描述（附材料），法律法规（标准规范）依据，是否属于重大隐患的判定，整改措施建议（需明确可行的具体措施），督促企业闭环整改并附整改完成报告（附材料）。 </w:t>
      </w:r>
      <w:r/>
    </w:p>
    <w:p>
      <w:pPr>
        <w:ind w:left="-2" w:firstLine="486"/>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w:t>
      </w:r>
      <w:r>
        <w:rPr>
          <w:rFonts w:ascii="宋体" w:hAnsi="宋体" w:cs="宋体"/>
          <w:bCs/>
          <w:color w:val="000000"/>
          <w:sz w:val="24"/>
          <w:highlight w:val="none"/>
        </w:rPr>
        <w:t xml:space="preserve">6</w:t>
      </w:r>
      <w:r>
        <w:rPr>
          <w:rFonts w:hint="eastAsia" w:ascii="宋体" w:hAnsi="宋体" w:cs="宋体"/>
          <w:bCs/>
          <w:color w:val="000000"/>
          <w:sz w:val="24"/>
          <w:highlight w:val="none"/>
        </w:rPr>
        <w:t xml:space="preserve"> 重大危险隐患核查：判定企业是否存在重大危险隐患和较大以上风险，如有，开展安全管理及重大危险源现场的深度指导治理，形成核查专篇，专篇内容包括：存在的问题和隐患描述（附材料）</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法律法规（标准规范等）依据，整改措施建议（需明确可行的具体措施），督促企业闭环整改并附整改完成报告（附材料）。 </w:t>
      </w:r>
      <w:r/>
    </w:p>
    <w:p>
      <w:pPr>
        <w:ind w:left="-2" w:firstLine="486"/>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w:t>
      </w:r>
      <w:r>
        <w:rPr>
          <w:rFonts w:ascii="宋体" w:hAnsi="宋体" w:cs="宋体"/>
          <w:bCs/>
          <w:color w:val="000000"/>
          <w:sz w:val="24"/>
          <w:highlight w:val="none"/>
        </w:rPr>
        <w:t xml:space="preserve">7</w:t>
      </w:r>
      <w:r>
        <w:rPr>
          <w:rFonts w:hint="eastAsia" w:ascii="宋体" w:hAnsi="宋体" w:cs="宋体"/>
          <w:bCs/>
          <w:color w:val="000000"/>
          <w:sz w:val="24"/>
          <w:highlight w:val="none"/>
        </w:rPr>
        <w:t xml:space="preserve"> 服务指导和核查反馈：企业核查结束，召集企业主要负责人、安全管理人员、其他管理人员召开核查反馈会议，列出问题点并逐项提出整改措施及建议，配合园区应急管理部门跟踪企业问题及隐患的整改落实，及时录入</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SIP安全360系统</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。同时，纸质反馈记录还应包括时间、地点、问题汇总以及与会人员签字。</w:t>
      </w:r>
      <w:r/>
    </w:p>
    <w:p>
      <w:pPr>
        <w:ind w:left="-2" w:firstLine="486"/>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w:t>
      </w:r>
      <w:r>
        <w:rPr>
          <w:rFonts w:ascii="宋体" w:hAnsi="宋体" w:cs="宋体"/>
          <w:bCs/>
          <w:color w:val="000000"/>
          <w:sz w:val="24"/>
          <w:highlight w:val="none"/>
        </w:rPr>
        <w:t xml:space="preserve">.8 针对上市、拟上市等重点企业的安全指导服务，除了对企业现场进行风险隐患减量服务以外，应注重安全生产政策宣贯、文件解读、管理体系健全、</w:t>
      </w:r>
      <w:r>
        <w:rPr>
          <w:rFonts w:hint="eastAsia" w:ascii="宋体" w:hAnsi="宋体" w:cs="宋体"/>
          <w:bCs/>
          <w:color w:val="000000"/>
          <w:sz w:val="24"/>
          <w:highlight w:val="none"/>
          <w:lang w:eastAsia="zh-CN"/>
        </w:rPr>
        <w:t xml:space="preserve">安全规范化建设、</w:t>
      </w:r>
      <w:r>
        <w:rPr>
          <w:rFonts w:ascii="宋体" w:hAnsi="宋体" w:cs="宋体"/>
          <w:bCs/>
          <w:color w:val="000000"/>
          <w:sz w:val="24"/>
          <w:highlight w:val="none"/>
        </w:rPr>
        <w:t xml:space="preserve">本质安全提升、IPO上市安全生产指导、信息化系统完善等工作；针对涉及重点工艺的，同步开展工艺安全性分析，指导企业本质安全提升。</w:t>
      </w:r>
      <w:r/>
    </w:p>
    <w:p>
      <w:pPr>
        <w:ind w:left="-2" w:firstLine="486"/>
        <w:spacing w:line="360" w:lineRule="auto"/>
        <w:rPr>
          <w:rFonts w:ascii="宋体" w:hAnsi="宋体" w:cs="宋体"/>
          <w:b/>
          <w:bCs/>
          <w:color w:val="000000"/>
          <w:sz w:val="24"/>
          <w:highlight w:val="none"/>
        </w:rPr>
      </w:pPr>
      <w:r>
        <w:rPr>
          <w:rFonts w:ascii="宋体" w:hAnsi="宋体" w:cs="宋体"/>
          <w:b/>
          <w:bCs/>
          <w:color w:val="000000"/>
          <w:sz w:val="24"/>
          <w:highlight w:val="none"/>
        </w:rPr>
        <w:t xml:space="preserve">（三）</w:t>
      </w:r>
      <w:r>
        <w:rPr>
          <w:rFonts w:hint="eastAsia" w:ascii="宋体" w:hAnsi="宋体" w:cs="宋体"/>
          <w:b/>
          <w:bCs/>
          <w:color w:val="000000"/>
          <w:sz w:val="24"/>
          <w:highlight w:val="none"/>
        </w:rPr>
        <w:t xml:space="preserve">人员力量</w:t>
      </w:r>
      <w:r>
        <w:rPr>
          <w:rFonts w:ascii="宋体" w:hAnsi="宋体" w:cs="宋体"/>
          <w:b/>
          <w:bCs/>
          <w:color w:val="000000"/>
          <w:sz w:val="24"/>
          <w:highlight w:val="none"/>
        </w:rPr>
        <w:t xml:space="preserve">要求：</w:t>
      </w:r>
      <w:r/>
    </w:p>
    <w:p>
      <w:pPr>
        <w:ind w:left="-2" w:firstLine="486"/>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项目负责人1人、项目技术负责人1人，项目技术服务人员不少于15人。涉及重点监管领域工艺和设备安全分析评估的，单个企业专家组的技术服务人员一般不少于5人（含数据分析评估人数。一般现场指导不少于3人）。</w:t>
      </w:r>
      <w:r/>
    </w:p>
    <w:p>
      <w:pPr>
        <w:ind w:left="-2" w:firstLine="486"/>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2.在项目实施过程中，未经采购人批准，供应商不得随意更换项目组成员。如果采购人认为技术服务人员不具备本次服务工作所需的技术能力，有权随时要求供应商对该成员进行更换。</w:t>
      </w:r>
      <w:r/>
    </w:p>
    <w:p>
      <w:pPr>
        <w:ind w:left="-2" w:firstLine="482"/>
        <w:spacing w:line="360" w:lineRule="auto"/>
        <w:rPr>
          <w:rFonts w:ascii="宋体" w:hAnsi="宋体" w:cs="宋体"/>
          <w:b/>
          <w:sz w:val="24"/>
        </w:rPr>
      </w:pPr>
      <w:r>
        <w:rPr>
          <w:rFonts w:hint="eastAsia" w:ascii="宋体" w:hAnsi="宋体" w:cs="宋体"/>
          <w:b/>
          <w:sz w:val="24"/>
        </w:rPr>
        <w:t xml:space="preserve">（四）工作进度要求 </w:t>
      </w:r>
      <w:r/>
    </w:p>
    <w:p>
      <w:pPr>
        <w:ind w:left="-2" w:firstLine="480"/>
        <w:spacing w:line="360" w:lineRule="auto"/>
        <w:rPr>
          <w:rFonts w:ascii="宋体" w:hAnsi="宋体" w:cs="宋体"/>
          <w:bCs/>
          <w:color w:val="auto"/>
          <w:sz w:val="24"/>
        </w:rPr>
      </w:pPr>
      <w:r>
        <w:rPr>
          <w:rFonts w:hint="eastAsia" w:ascii="宋体" w:hAnsi="宋体" w:cs="宋体"/>
          <w:bCs/>
          <w:sz w:val="24"/>
        </w:rPr>
        <w:t xml:space="preserve">（1）服务单位根据企业规模及特点，提前制订指导治理计划、明确人员数量、专业配置，</w:t>
      </w:r>
      <w:r>
        <w:rPr>
          <w:rFonts w:hint="eastAsia" w:ascii="宋体" w:hAnsi="宋体" w:cs="宋体"/>
          <w:bCs/>
          <w:color w:val="auto"/>
          <w:sz w:val="24"/>
        </w:rPr>
        <w:t xml:space="preserve">确定企业名单，制定安全指导治理清单； </w:t>
      </w:r>
      <w:r/>
    </w:p>
    <w:p>
      <w:pPr>
        <w:ind w:left="-2" w:firstLine="480"/>
        <w:spacing w:line="360" w:lineRule="auto"/>
        <w:rPr>
          <w:rFonts w:ascii="宋体" w:hAnsi="宋体" w:cs="宋体"/>
          <w:bCs/>
          <w:color w:val="auto"/>
          <w:sz w:val="24"/>
        </w:rPr>
      </w:pPr>
      <w:r>
        <w:rPr>
          <w:rFonts w:hint="eastAsia" w:ascii="宋体" w:hAnsi="宋体" w:cs="宋体"/>
          <w:bCs/>
          <w:color w:val="auto"/>
          <w:sz w:val="24"/>
        </w:rPr>
        <w:t xml:space="preserve">（2）服务单位对各企业开展核查工作，同步编写专题指导服务报告； </w:t>
      </w:r>
      <w:r/>
    </w:p>
    <w:p>
      <w:pPr>
        <w:ind w:left="-2" w:firstLine="480"/>
        <w:spacing w:line="360" w:lineRule="auto"/>
        <w:rPr>
          <w:rFonts w:ascii="宋体" w:hAnsi="宋体" w:cs="宋体"/>
          <w:bCs/>
          <w:color w:val="auto"/>
          <w:sz w:val="24"/>
        </w:rPr>
      </w:pPr>
      <w:r>
        <w:rPr>
          <w:rFonts w:hint="eastAsia" w:ascii="宋体" w:hAnsi="宋体" w:cs="宋体"/>
          <w:bCs/>
          <w:color w:val="auto"/>
          <w:sz w:val="24"/>
        </w:rPr>
        <w:t xml:space="preserve">（3）服务单位对各企业开展隐患闭环复核工作； </w:t>
      </w:r>
      <w:r/>
    </w:p>
    <w:p>
      <w:pPr>
        <w:ind w:left="-2" w:firstLine="480"/>
        <w:spacing w:line="360" w:lineRule="auto"/>
        <w:rPr>
          <w:rFonts w:hint="eastAsia" w:ascii="宋体" w:hAnsi="宋体" w:cs="宋体"/>
          <w:b/>
          <w:color w:val="auto"/>
          <w:sz w:val="24"/>
          <w:highlight w:val="none"/>
        </w:rPr>
      </w:pPr>
      <w:r>
        <w:rPr>
          <w:rFonts w:hint="eastAsia" w:ascii="宋体" w:hAnsi="宋体" w:cs="宋体"/>
          <w:bCs/>
          <w:color w:val="auto"/>
          <w:sz w:val="24"/>
        </w:rPr>
        <w:t xml:space="preserve">服务时间：签订合同之日起至202</w:t>
      </w:r>
      <w:r>
        <w:rPr>
          <w:rFonts w:hint="eastAsia" w:ascii="宋体" w:hAnsi="宋体" w:cs="宋体"/>
          <w:bCs/>
          <w:color w:val="auto"/>
          <w:sz w:val="24"/>
          <w:lang w:val="en-US" w:eastAsia="zh-CN"/>
        </w:rPr>
        <w:t xml:space="preserve">6</w:t>
      </w:r>
      <w:r>
        <w:rPr>
          <w:rFonts w:hint="eastAsia" w:ascii="宋体" w:hAnsi="宋体" w:cs="宋体"/>
          <w:bCs/>
          <w:color w:val="auto"/>
          <w:sz w:val="24"/>
        </w:rPr>
        <w:t xml:space="preserve">年10月31日，其中第一轮检查指导服务需在8月底前完成，第二轮复查和汇总分析报告需在10月31日前完成。</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四、合同总价款：            元整。</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五、合同总价范围：</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1．本次招标包括但不限于乙方完成该项目的全部服务成本、企业利润、税金和政策性文件规定及合同包含的所有风险、责任等各项应有费用。甲方不再支付报价之外的任何费用。</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2、付款方式：合同生效后甲方支付合同金额60%，乙方完成服务经甲方审核通过后7个工作日内，甲方按照服务合同对乙方的评审过程和评审结果进行质量管控后按照审核结果甲方支付剩余合同款项。</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3、收款账号（同时提供数字人民币账户）： </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乙方名称：</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账户：</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开户行：</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数字人民币账户：</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备注：经双方协商一致同意，在本合同签订后，若因乙方办理“园采贷”信用融资的需要，该处约定的收款账号可作变更，变更后的账号为甲方付款时中征应收账款融资服务平台中资金提供方指定的回款账户，甲方支付至该账号的款项，亦视为已向乙方履行完毕支付义务。</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六、双方权利与义务</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甲方权利义务：</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1、 合同签订7个工作日内，甲方应向乙方提供被服务企业名称、地址、联系人等开展服务必需的资料，如有特殊原因（如企业关闭），甲方有权更改服务企业。</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2、 协调相关的政府部门和单位，为乙方顺利开展工作提供便利。</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3、乙方权利与义务：      </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1、乙方应严格遵循招标文件确定的采购内容开展工作，每月5日前，需向甲方上报上月已完成企业的相关编制报告。</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2、乙方在完成合同项目后，15个工作日之内，向甲方提交相关项目完成情况报告。</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3、乙方在履行合同过程中，不得将服务项目委托给第三方。</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4、乙方提供给甲方的各类报告的真实性承担相应责任。</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5、乙方在履行合同过程中，因不可抗拒原因（如地震、疫情等），造成乙方无法履约开展服务工作的，经甲乙双方协商同意，可延期完成合同。</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七、税费</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1、中国政府根据现行税法规定对乙方征收的、与本合同有关的一切税费，均由乙方负担。</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五、违约责任</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1、经甲方验收乙方服务内容与技术标准不合格的，包括抽查时中标专家不在岗，随机抽取乙方服务企业数量的10%进行复核抽查，复核抽查企业超过30%不合格将扣除相应合同金额的10%，超过50%不合格将扣除相应合同金额的30%，全部不符合的重新评审。</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2、甲方对本合同规定的义务未履行或履行不力的，乙方可依法向甲方要求经济赔偿；</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3、乙方对本合同规定的义务未履行或履行不力的，甲方可按相关法律、法规的规定进行处罚，直至取消供应商资格；</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4、甲方、乙方可就违反供应商合同规定或违纪事项向相关部门投诉。</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5、经甲方及相关部门联合核查，如情况属实则投诉有效，将作为有效投诉记录在案。</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八、不可抗力</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1、甲、乙双方如果因不可抗力而导致合同义务的延误或不能履行，误期赔偿或终止合同的责任。</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2、本条所述的“不可抗力”系指下列甲、乙双方无法控制、不可预见的事件，但不包括甲、乙双方的违约或疏忽。这些事件包括：战争、严重火灾、洪水、台风、地震以及其他甲方和乙方商定的事件。</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供应商义务的协议。</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4、对出具虚假报告的或有欺报瞒报行为的，由园区应急局核实后将该第三方服务机构列入园区失信“黑名单”向社会公布，并抄报市应急管理局。园区应急局将强化过程督查，对工作考核不合格的中标单位将进入园区失信企业名单。</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九、合同的解除：</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1、甲方和乙方协商一致，可以解除合同。</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2、有权解除合同的一方，应当在违约事实或不可抗力发生之后三十天内书面通知对方提出解除合同，合同在书面通知到达对方时解除。</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3、合同的部分和全部都不得擅自转让。</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4、出现下列情况之一可以解除合同：</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（1）对乙方有效投诉记录累计达3次；</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（2）在合同有效期内，被主管部门取消经营资格的；</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（3）在合同有效期内，乙方擅自变更、转让、租借供应商资格的；</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（4）不如实反映情况，提供虚假材料的；</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5、如果乙方破产、解散、清算、停业以及其他原因无法提供服务的，甲方可在任何时间以书面形式通知取消其供应商资格。</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十、争议处置</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1、 在执行本合同中所发生的一切争议，各方（甲方、乙方、采购单位）应通过友好协商的办法进行解决，如协商不能解决的，有关当事方可提请仲裁。</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2、 仲裁应根据《中华人民共和国仲裁法》的规定向甲方所在地有管辖权的仲裁机构申请仲裁。</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3、 仲裁裁决为最终裁决，对当事各方均有约束力。</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十一、合同生效及其它：</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1、本合同经甲乙双方签字并盖章后方生效。</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2、合同在执行过程中出现的未尽事宜，双方在不违背本合同的原则下协商解决，协商结果以书面形式记录在案，作为本合同附件，与本合同具有同等效力。</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十二、本合同一式四份，签订合同的单位各执一份，招标代理机构一份，苏州市工业园区政府采购监管部门一份。</w:t>
      </w:r>
      <w:r/>
    </w:p>
    <w:p>
      <w:pPr>
        <w:ind w:firstLine="480"/>
        <w:keepLines w:val="0"/>
        <w:keepNext w:val="0"/>
        <w:pageBreakBefore w:val="0"/>
        <w:spacing w:line="360" w:lineRule="auto"/>
        <w:widowControl w:val="off"/>
        <w:rPr>
          <w:rFonts w:hint="eastAsia"/>
          <w:sz w:val="24"/>
          <w:szCs w:val="24"/>
        </w:rPr>
      </w:pPr>
      <w:r>
        <w:rPr>
          <w:rFonts w:hint="eastAsia"/>
          <w:sz w:val="24"/>
          <w:szCs w:val="24"/>
        </w:rPr>
      </w:r>
      <w:r/>
    </w:p>
    <w:p>
      <w:pPr>
        <w:ind w:firstLine="480"/>
        <w:keepLines w:val="0"/>
        <w:keepNext w:val="0"/>
        <w:pageBreakBefore w:val="0"/>
        <w:spacing w:line="360" w:lineRule="auto"/>
        <w:widowControl w:val="off"/>
        <w:rPr>
          <w:sz w:val="24"/>
          <w:szCs w:val="24"/>
        </w:rPr>
      </w:pPr>
      <w:r>
        <w:rPr>
          <w:rFonts w:hint="eastAsia"/>
          <w:sz w:val="24"/>
          <w:szCs w:val="24"/>
        </w:rPr>
        <w:t xml:space="preserve">甲方：                                   乙方：                      </w:t>
      </w:r>
      <w:r/>
    </w:p>
    <w:p>
      <w:pPr>
        <w:ind w:firstLine="480"/>
        <w:keepLines w:val="0"/>
        <w:keepNext w:val="0"/>
        <w:pageBreakBefore w:val="0"/>
        <w:spacing w:line="360" w:lineRule="auto"/>
        <w:widowControl w:val="off"/>
        <w:rPr>
          <w:sz w:val="24"/>
          <w:szCs w:val="24"/>
        </w:rPr>
      </w:pPr>
      <w:r>
        <w:rPr>
          <w:rFonts w:hint="eastAsia"/>
          <w:sz w:val="24"/>
          <w:szCs w:val="24"/>
        </w:rPr>
        <w:t xml:space="preserve">法定代表人（授权代表）：                 法定代表人（授权代表）：     </w:t>
      </w:r>
      <w:r/>
    </w:p>
    <w:p>
      <w:pPr>
        <w:ind w:firstLine="480"/>
        <w:keepLines w:val="0"/>
        <w:keepNext w:val="0"/>
        <w:pageBreakBefore w:val="0"/>
        <w:spacing w:line="360" w:lineRule="auto"/>
        <w:widowControl w:val="off"/>
        <w:rPr>
          <w:sz w:val="24"/>
          <w:szCs w:val="24"/>
        </w:rPr>
      </w:pPr>
      <w:r>
        <w:rPr>
          <w:rFonts w:hint="eastAsia"/>
          <w:sz w:val="24"/>
          <w:szCs w:val="24"/>
        </w:rPr>
        <w:t xml:space="preserve">签约日期：                               签约日期：</w:t>
      </w:r>
      <w:r/>
    </w:p>
    <w:p>
      <w:pPr>
        <w:spacing w:line="240" w:lineRule="auto"/>
        <w:rPr>
          <w:rFonts w:hint="eastAsia"/>
          <w:b/>
          <w:bCs/>
          <w:color w:val="auto"/>
          <w:highlight w:val="none"/>
        </w:rPr>
      </w:pPr>
      <w:r>
        <w:rPr>
          <w:rFonts w:hint="eastAsia"/>
          <w:b/>
          <w:bCs/>
          <w:color w:val="auto"/>
          <w:highlight w:val="none"/>
        </w:rPr>
        <w:br w:type="page" w:clear="all"/>
      </w:r>
      <w:r/>
    </w:p>
    <w:p>
      <w:pPr>
        <w:pStyle w:val="905"/>
        <w:jc w:val="center"/>
        <w:rPr>
          <w:rFonts w:hint="eastAsia"/>
          <w:b/>
          <w:bCs/>
          <w:color w:val="auto"/>
          <w:highlight w:val="none"/>
        </w:rPr>
      </w:pPr>
      <w:r/>
      <w:bookmarkStart w:id="24" w:name="_Toc4880"/>
      <w:r>
        <w:rPr>
          <w:rFonts w:hint="eastAsia"/>
          <w:b/>
          <w:bCs/>
          <w:color w:val="auto"/>
          <w:highlight w:val="none"/>
        </w:rPr>
        <w:t xml:space="preserve">第六章  磋商响应文件格式</w:t>
      </w:r>
      <w:bookmarkEnd w:id="24"/>
      <w:r/>
      <w:r/>
    </w:p>
    <w:p>
      <w:pPr>
        <w:pStyle w:val="1121"/>
        <w:spacing w:before="75" w:beforeAutospacing="0" w:after="75" w:afterAutospacing="0" w:line="360" w:lineRule="auto"/>
        <w:widowControl/>
        <w:rPr>
          <w:rStyle w:val="1125"/>
          <w:rFonts w:ascii="宋体" w:hAnsi="宋体" w:cs="宋体"/>
          <w:color w:val="auto"/>
          <w:highlight w:val="none"/>
        </w:rPr>
      </w:pPr>
      <w:r>
        <w:rPr>
          <w:rStyle w:val="1125"/>
          <w:rFonts w:hint="eastAsia" w:ascii="宋体" w:hAnsi="宋体" w:cs="宋体"/>
          <w:color w:val="auto"/>
          <w:highlight w:val="none"/>
        </w:rPr>
        <w:t xml:space="preserve">说明：</w:t>
      </w:r>
      <w:r/>
    </w:p>
    <w:p>
      <w:pPr>
        <w:pStyle w:val="1121"/>
        <w:ind w:firstLine="480"/>
        <w:spacing w:before="75" w:beforeAutospacing="0" w:after="75" w:afterAutospacing="0" w:line="360" w:lineRule="auto"/>
        <w:widowControl/>
        <w:rPr>
          <w:rStyle w:val="1125"/>
          <w:rFonts w:ascii="宋体" w:hAnsi="宋体" w:cs="宋体"/>
          <w:b w:val="0"/>
          <w:bCs/>
          <w:color w:val="auto"/>
          <w:highlight w:val="none"/>
        </w:rPr>
      </w:pPr>
      <w:r>
        <w:rPr>
          <w:rStyle w:val="1125"/>
          <w:rFonts w:hint="eastAsia" w:ascii="宋体" w:hAnsi="宋体" w:cs="宋体"/>
          <w:b w:val="0"/>
          <w:bCs/>
          <w:color w:val="auto"/>
          <w:highlight w:val="none"/>
        </w:rPr>
        <w:t xml:space="preserve">对本章所有的格式，供应商可根据自身情况进行补充和修改，但补充和修改不得造成与本格式内容有实质性的违背。</w:t>
      </w:r>
      <w:r/>
    </w:p>
    <w:p>
      <w:pPr>
        <w:pStyle w:val="1121"/>
        <w:spacing w:before="75" w:beforeAutospacing="0" w:after="75" w:afterAutospacing="0" w:line="360" w:lineRule="auto"/>
        <w:widowControl/>
        <w:rPr>
          <w:rFonts w:ascii="sans-serif" w:hAnsi="sans-serif" w:eastAsia="sans-serif" w:cs="sans-serif"/>
          <w:bCs/>
          <w:color w:val="auto"/>
          <w:sz w:val="20"/>
          <w:szCs w:val="20"/>
          <w:highlight w:val="none"/>
        </w:rPr>
      </w:pPr>
      <w:r>
        <w:rPr>
          <w:rStyle w:val="1125"/>
          <w:rFonts w:hint="eastAsia" w:ascii="宋体" w:hAnsi="宋体" w:cs="宋体"/>
          <w:b w:val="0"/>
          <w:bCs/>
          <w:color w:val="auto"/>
          <w:highlight w:val="none"/>
        </w:rPr>
        <w:t xml:space="preserve"> </w:t>
      </w:r>
      <w:r/>
    </w:p>
    <w:p>
      <w:pPr>
        <w:spacing w:line="360" w:lineRule="auto"/>
        <w:rPr>
          <w:rFonts w:ascii="宋体" w:hAnsi="宋体" w:cs="宋体"/>
          <w:color w:val="auto"/>
          <w:spacing w:val="6"/>
          <w:sz w:val="24"/>
          <w:highlight w:val="none"/>
        </w:rPr>
      </w:pPr>
      <w:r>
        <w:rPr>
          <w:rFonts w:ascii="宋体" w:hAnsi="宋体" w:cs="宋体"/>
          <w:color w:val="auto"/>
          <w:spacing w:val="6"/>
          <w:sz w:val="24"/>
          <w:highlight w:val="none"/>
        </w:rPr>
      </w:r>
      <w:r/>
    </w:p>
    <w:p>
      <w:pPr>
        <w:pStyle w:val="1121"/>
        <w:spacing w:before="75" w:beforeAutospacing="0" w:after="75" w:afterAutospacing="0" w:line="495" w:lineRule="atLeast"/>
        <w:widowControl/>
        <w:rPr>
          <w:rFonts w:ascii="宋体" w:hAnsi="宋体" w:cs="宋体"/>
          <w:color w:val="auto"/>
          <w:highlight w:val="none"/>
        </w:rPr>
        <w:sectPr>
          <w:headerReference w:type="default" r:id="rId9"/>
          <w:footerReference w:type="default" r:id="rId13"/>
          <w:footnotePr/>
          <w:endnotePr/>
          <w:type w:val="nextPage"/>
          <w:pgSz w:w="11906" w:h="16838" w:orient="portrait"/>
          <w:pgMar w:top="1440" w:right="748" w:bottom="1440" w:left="969" w:header="851" w:footer="992" w:gutter="0"/>
          <w:cols w:num="1" w:sep="0" w:space="1701" w:equalWidth="1"/>
          <w:docGrid w:linePitch="360"/>
        </w:sectPr>
      </w:pPr>
      <w:r>
        <w:rPr>
          <w:rFonts w:ascii="宋体" w:hAnsi="宋体" w:cs="宋体"/>
          <w:color w:val="auto"/>
          <w:highlight w:val="none"/>
        </w:rPr>
      </w:r>
      <w:r/>
    </w:p>
    <w:p>
      <w:pPr>
        <w:jc w:val="left"/>
        <w:spacing w:before="75" w:after="75" w:line="435" w:lineRule="atLeast"/>
        <w:widowControl/>
        <w:rPr>
          <w:rFonts w:ascii="宋体" w:hAnsi="宋体" w:cs="宋体"/>
          <w:b/>
          <w:bCs/>
          <w:color w:val="auto"/>
          <w:sz w:val="24"/>
          <w:highlight w:val="none"/>
        </w:rPr>
      </w:pPr>
      <w:r>
        <w:rPr>
          <w:rFonts w:hint="eastAsia" w:ascii="宋体" w:hAnsi="宋体" w:cs="宋体"/>
          <w:b/>
          <w:bCs/>
          <w:color w:val="auto"/>
          <w:sz w:val="24"/>
          <w:highlight w:val="none"/>
        </w:rPr>
        <w:t xml:space="preserve">附件1</w:t>
      </w:r>
      <w:r/>
    </w:p>
    <w:p>
      <w:pPr>
        <w:pStyle w:val="1121"/>
        <w:jc w:val="center"/>
        <w:spacing w:before="75" w:beforeAutospacing="0" w:after="75" w:afterAutospacing="0" w:line="495" w:lineRule="atLeast"/>
        <w:widowControl/>
        <w:rPr>
          <w:rFonts w:ascii="宋体" w:hAnsi="宋体" w:cs="宋体"/>
          <w:color w:val="auto"/>
          <w:highlight w:val="none"/>
        </w:rPr>
      </w:pPr>
      <w:r>
        <w:rPr>
          <w:rFonts w:hint="eastAsia" w:ascii="宋体" w:hAnsi="宋体" w:cs="宋体"/>
          <w:b/>
          <w:bCs/>
          <w:color w:val="auto"/>
          <w:highlight w:val="none"/>
        </w:rPr>
        <w:t xml:space="preserve">开标一览表</w:t>
      </w:r>
      <w:r/>
    </w:p>
    <w:p>
      <w:pPr>
        <w:pStyle w:val="1121"/>
        <w:spacing w:before="75" w:beforeAutospacing="0" w:after="75" w:afterAutospacing="0" w:line="495" w:lineRule="atLeast"/>
        <w:widowControl/>
        <w:rPr>
          <w:rFonts w:ascii="宋体" w:hAnsi="宋体" w:cs="宋体"/>
          <w:color w:val="auto"/>
          <w:highlight w:val="none"/>
        </w:rPr>
      </w:pPr>
      <w:r>
        <w:rPr>
          <w:rFonts w:hint="eastAsia" w:ascii="宋体" w:hAnsi="宋体" w:cs="宋体"/>
          <w:color w:val="auto"/>
          <w:highlight w:val="none"/>
        </w:rPr>
        <w:t xml:space="preserve">    </w:t>
      </w:r>
      <w:r/>
    </w:p>
    <w:p>
      <w:pPr>
        <w:pStyle w:val="1121"/>
        <w:spacing w:before="75" w:beforeAutospacing="0" w:after="75" w:afterAutospacing="0" w:line="495" w:lineRule="atLeast"/>
        <w:widowControl/>
        <w:rPr>
          <w:rFonts w:ascii="宋体" w:hAnsi="宋体" w:cs="宋体"/>
          <w:color w:val="auto"/>
          <w:highlight w:val="none"/>
        </w:rPr>
      </w:pPr>
      <w:r>
        <w:rPr>
          <w:rFonts w:hint="eastAsia" w:ascii="宋体" w:hAnsi="宋体" w:cs="宋体"/>
          <w:color w:val="auto"/>
          <w:highlight w:val="none"/>
        </w:rPr>
        <w:t xml:space="preserve">采购编号：</w:t>
      </w:r>
      <w:r/>
    </w:p>
    <w:tbl>
      <w:tblPr>
        <w:tblStyle w:val="915"/>
        <w:tblW w:w="95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0"/>
        <w:gridCol w:w="3824"/>
        <w:gridCol w:w="1865"/>
        <w:gridCol w:w="2746"/>
      </w:tblGrid>
      <w:tr>
        <w:trPr>
          <w:jc w:val="center"/>
          <w:trHeight w:val="427"/>
        </w:trPr>
        <w:tc>
          <w:tcPr>
            <w:tcW w:w="1080" w:type="dxa"/>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3824" w:type="dxa"/>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项目名称</w:t>
            </w:r>
            <w:r/>
          </w:p>
        </w:tc>
        <w:tc>
          <w:tcPr>
            <w:tcW w:w="1865" w:type="dxa"/>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服务期限</w:t>
            </w:r>
            <w:r/>
          </w:p>
        </w:tc>
        <w:tc>
          <w:tcPr>
            <w:tcW w:w="2746" w:type="dxa"/>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响应单价（元/</w:t>
            </w:r>
            <w:r>
              <w:rPr>
                <w:rFonts w:ascii="宋体" w:hAnsi="宋体"/>
                <w:color w:val="000000"/>
                <w:sz w:val="24"/>
                <w:highlight w:val="none"/>
              </w:rPr>
              <w:t xml:space="preserve">家</w:t>
            </w:r>
            <w:r>
              <w:rPr>
                <w:rFonts w:hint="eastAsia" w:ascii="宋体" w:hAnsi="宋体" w:cs="宋体"/>
                <w:color w:val="auto"/>
                <w:sz w:val="24"/>
                <w:highlight w:val="none"/>
              </w:rPr>
              <w:t xml:space="preserve">）</w:t>
            </w:r>
            <w:r/>
          </w:p>
        </w:tc>
      </w:tr>
      <w:tr>
        <w:trPr>
          <w:jc w:val="center"/>
        </w:trPr>
        <w:tc>
          <w:tcPr>
            <w:tcW w:w="1080" w:type="dxa"/>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W w:w="3824" w:type="dxa"/>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1865" w:type="dxa"/>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746" w:type="dxa"/>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大写：</w:t>
            </w:r>
            <w:r/>
          </w:p>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小写：</w:t>
            </w:r>
            <w:r/>
          </w:p>
        </w:tc>
      </w:tr>
    </w:tbl>
    <w:p>
      <w:pPr>
        <w:pStyle w:val="1121"/>
        <w:spacing w:before="75" w:beforeAutospacing="0" w:after="75" w:afterAutospacing="0" w:line="495" w:lineRule="atLeast"/>
        <w:widowControl/>
        <w:rPr>
          <w:rFonts w:ascii="宋体" w:hAnsi="宋体" w:cs="宋体"/>
          <w:color w:val="auto"/>
          <w:highlight w:val="none"/>
        </w:rPr>
      </w:pPr>
      <w:r>
        <w:rPr>
          <w:rFonts w:ascii="宋体" w:hAnsi="宋体" w:cs="宋体"/>
          <w:color w:val="auto"/>
          <w:highlight w:val="none"/>
        </w:rPr>
      </w:r>
      <w:r/>
    </w:p>
    <w:p>
      <w:pPr>
        <w:pStyle w:val="1121"/>
        <w:spacing w:before="75" w:beforeAutospacing="0" w:after="75" w:afterAutospacing="0" w:line="495" w:lineRule="atLeast"/>
        <w:widowControl/>
        <w:rPr>
          <w:rFonts w:ascii="宋体" w:hAnsi="宋体" w:cs="宋体"/>
          <w:color w:val="auto"/>
          <w:highlight w:val="none"/>
        </w:rPr>
      </w:pPr>
      <w:r>
        <w:rPr>
          <w:rFonts w:ascii="宋体" w:hAnsi="宋体" w:cs="宋体"/>
          <w:color w:val="auto"/>
          <w:highlight w:val="none"/>
        </w:rPr>
      </w:r>
      <w:r/>
    </w:p>
    <w:p>
      <w:pPr>
        <w:pStyle w:val="1121"/>
        <w:spacing w:before="75" w:beforeAutospacing="0" w:after="75" w:afterAutospacing="0" w:line="495" w:lineRule="atLeast"/>
        <w:widowControl/>
        <w:rPr>
          <w:rFonts w:ascii="宋体" w:hAnsi="宋体" w:cs="宋体"/>
          <w:color w:val="auto"/>
          <w:highlight w:val="none"/>
          <w:lang w:val="zh-CN"/>
        </w:rPr>
      </w:pPr>
      <w:r>
        <w:rPr>
          <w:rFonts w:hint="eastAsia" w:ascii="宋体" w:hAnsi="宋体" w:cs="宋体"/>
          <w:color w:val="auto"/>
          <w:highlight w:val="none"/>
          <w:lang w:val="zh-CN"/>
        </w:rPr>
        <w:t xml:space="preserve">响应单位：（签章）</w:t>
      </w:r>
      <w:r/>
    </w:p>
    <w:p>
      <w:pPr>
        <w:pStyle w:val="1121"/>
        <w:spacing w:before="75" w:beforeAutospacing="0" w:after="75" w:afterAutospacing="0" w:line="495" w:lineRule="atLeast"/>
        <w:widowControl/>
        <w:rPr>
          <w:rFonts w:ascii="宋体" w:hAnsi="宋体" w:cs="宋体"/>
          <w:color w:val="auto"/>
          <w:highlight w:val="none"/>
          <w:lang w:val="zh-CN"/>
        </w:rPr>
      </w:pPr>
      <w:r>
        <w:rPr>
          <w:rFonts w:hint="eastAsia" w:ascii="宋体" w:hAnsi="宋体" w:cs="宋体"/>
          <w:color w:val="auto"/>
          <w:highlight w:val="none"/>
          <w:lang w:val="zh-CN"/>
        </w:rPr>
        <w:t xml:space="preserve">法定代表人或代理人：（签字或盖章）</w:t>
      </w:r>
      <w:r/>
    </w:p>
    <w:p>
      <w:pPr>
        <w:pStyle w:val="1121"/>
        <w:spacing w:before="75" w:beforeAutospacing="0" w:after="75" w:afterAutospacing="0" w:line="495" w:lineRule="atLeast"/>
        <w:widowControl/>
        <w:rPr>
          <w:rFonts w:ascii="宋体" w:hAnsi="宋体" w:cs="宋体"/>
          <w:color w:val="auto"/>
          <w:highlight w:val="none"/>
          <w:lang w:val="zh-CN"/>
        </w:rPr>
      </w:pPr>
      <w:r>
        <w:rPr>
          <w:rFonts w:hint="eastAsia" w:ascii="宋体" w:hAnsi="宋体" w:cs="宋体"/>
          <w:color w:val="auto"/>
          <w:highlight w:val="none"/>
          <w:lang w:val="zh-CN"/>
        </w:rPr>
        <w:t xml:space="preserve">日期：      年     月     日 </w:t>
      </w:r>
      <w:r/>
    </w:p>
    <w:p>
      <w:pPr>
        <w:pStyle w:val="1121"/>
        <w:spacing w:before="75" w:beforeAutospacing="0" w:after="75" w:afterAutospacing="0" w:line="495" w:lineRule="atLeast"/>
        <w:widowControl/>
        <w:rPr>
          <w:rFonts w:ascii="宋体" w:hAnsi="宋体" w:cs="宋体"/>
          <w:color w:val="auto"/>
          <w:highlight w:val="none"/>
          <w:lang w:val="zh-CN"/>
        </w:rPr>
      </w:pPr>
      <w:r>
        <w:rPr>
          <w:rFonts w:ascii="宋体" w:hAnsi="宋体" w:cs="宋体"/>
          <w:color w:val="auto"/>
          <w:highlight w:val="none"/>
          <w:lang w:val="zh-CN"/>
        </w:rPr>
      </w:r>
      <w:r/>
    </w:p>
    <w:p>
      <w:pPr>
        <w:pStyle w:val="1121"/>
        <w:spacing w:before="75" w:beforeAutospacing="0" w:after="75" w:afterAutospacing="0" w:line="495" w:lineRule="atLeast"/>
        <w:widowControl/>
        <w:rPr>
          <w:rFonts w:ascii="宋体" w:hAnsi="宋体" w:cs="宋体"/>
          <w:b/>
          <w:bCs/>
          <w:color w:val="auto"/>
          <w:highlight w:val="none"/>
        </w:rPr>
      </w:pPr>
      <w:r>
        <w:rPr>
          <w:rFonts w:hint="eastAsia" w:ascii="宋体" w:hAnsi="宋体" w:cs="宋体"/>
          <w:b/>
          <w:bCs/>
          <w:color w:val="auto"/>
          <w:highlight w:val="none"/>
        </w:rPr>
        <w:t xml:space="preserve">注：本项目为单价报价，电子响应文件制作中，开标一览表单位均为“单价、</w:t>
      </w:r>
      <w:r>
        <w:rPr>
          <w:rFonts w:hint="eastAsia" w:ascii="宋体" w:hAnsi="宋体" w:eastAsia="宋体" w:cs="宋体"/>
          <w:b/>
          <w:bCs/>
          <w:color w:val="auto"/>
          <w:highlight w:val="none"/>
        </w:rPr>
        <w:t xml:space="preserve">元/家”，系</w:t>
      </w:r>
      <w:r>
        <w:rPr>
          <w:rFonts w:hint="eastAsia" w:ascii="宋体" w:hAnsi="宋体" w:cs="宋体"/>
          <w:b/>
          <w:bCs/>
          <w:color w:val="auto"/>
          <w:highlight w:val="none"/>
        </w:rPr>
        <w:t xml:space="preserve">统内如响应单位未按采购文件要求单价报价，由响应单位自行承担后果。</w:t>
      </w:r>
      <w:r/>
    </w:p>
    <w:p>
      <w:pPr>
        <w:pStyle w:val="1121"/>
        <w:spacing w:before="75" w:beforeAutospacing="0" w:after="75" w:afterAutospacing="0" w:line="495" w:lineRule="atLeast"/>
        <w:widowControl/>
        <w:rPr>
          <w:rFonts w:ascii="宋体" w:hAnsi="宋体" w:cs="宋体"/>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color w:val="auto"/>
          <w:highlight w:val="none"/>
        </w:rPr>
      </w:r>
      <w:r/>
    </w:p>
    <w:p>
      <w:pPr>
        <w:jc w:val="left"/>
        <w:spacing w:before="75" w:after="75" w:line="435" w:lineRule="atLeast"/>
        <w:widowControl/>
        <w:rPr>
          <w:rFonts w:ascii="宋体" w:hAnsi="宋体" w:cs="宋体"/>
          <w:b/>
          <w:bCs/>
          <w:color w:val="auto"/>
          <w:sz w:val="24"/>
          <w:highlight w:val="none"/>
        </w:rPr>
      </w:pPr>
      <w:r>
        <w:rPr>
          <w:rFonts w:hint="eastAsia" w:ascii="宋体" w:hAnsi="宋体" w:cs="宋体"/>
          <w:b/>
          <w:bCs/>
          <w:color w:val="auto"/>
          <w:sz w:val="24"/>
          <w:highlight w:val="none"/>
        </w:rPr>
        <w:t xml:space="preserve">附件2</w:t>
      </w:r>
      <w:r/>
    </w:p>
    <w:p>
      <w:pPr>
        <w:jc w:val="center"/>
        <w:spacing w:before="75" w:after="75" w:line="435" w:lineRule="atLeast"/>
        <w:widowControl/>
        <w:rPr>
          <w:rFonts w:ascii="宋体" w:hAnsi="宋体" w:cs="宋体"/>
          <w:color w:val="auto"/>
          <w:sz w:val="24"/>
          <w:highlight w:val="none"/>
        </w:rPr>
      </w:pPr>
      <w:r>
        <w:rPr>
          <w:rFonts w:hint="eastAsia" w:ascii="宋体" w:hAnsi="宋体" w:cs="宋体"/>
          <w:b/>
          <w:color w:val="auto"/>
          <w:sz w:val="24"/>
          <w:highlight w:val="none"/>
        </w:rPr>
        <w:t xml:space="preserve">法人代表授权书</w:t>
      </w:r>
      <w:r/>
    </w:p>
    <w:p>
      <w:pPr>
        <w:jc w:val="left"/>
        <w:spacing w:before="75" w:after="75" w:line="405" w:lineRule="atLeast"/>
        <w:widowControl/>
        <w:rPr>
          <w:rFonts w:ascii="宋体" w:hAnsi="宋体" w:cs="宋体"/>
          <w:color w:val="auto"/>
          <w:sz w:val="24"/>
          <w:highlight w:val="none"/>
        </w:rPr>
      </w:pPr>
      <w:r>
        <w:rPr>
          <w:rFonts w:hint="eastAsia" w:ascii="宋体" w:hAnsi="宋体" w:cs="宋体"/>
          <w:color w:val="auto"/>
          <w:sz w:val="24"/>
          <w:highlight w:val="none"/>
        </w:rPr>
        <w:t xml:space="preserve"> </w:t>
      </w:r>
      <w:r/>
    </w:p>
    <w:p>
      <w:pPr>
        <w:jc w:val="left"/>
        <w:spacing w:before="75" w:after="75" w:line="360" w:lineRule="atLeast"/>
        <w:widowControl/>
        <w:rPr>
          <w:rFonts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     (采购人或采购代理机构)       </w:t>
      </w:r>
      <w:r/>
    </w:p>
    <w:p>
      <w:pPr>
        <w:ind w:firstLine="480"/>
        <w:jc w:val="left"/>
        <w:spacing w:before="75" w:after="75" w:line="360" w:lineRule="atLeast"/>
        <w:widowControl/>
        <w:rPr>
          <w:rFonts w:ascii="宋体" w:hAnsi="宋体" w:cs="宋体"/>
          <w:color w:val="auto"/>
          <w:sz w:val="24"/>
          <w:highlight w:val="none"/>
        </w:rPr>
      </w:pPr>
      <w:r>
        <w:rPr>
          <w:rFonts w:hint="eastAsia" w:ascii="宋体" w:hAnsi="宋体" w:cs="宋体"/>
          <w:color w:val="auto"/>
          <w:sz w:val="24"/>
          <w:highlight w:val="none"/>
        </w:rPr>
        <w:t xml:space="preserve">我方的法人代表</w:t>
      </w:r>
      <w:r>
        <w:rPr>
          <w:rFonts w:hint="eastAsia" w:ascii="宋体" w:hAnsi="宋体" w:cs="宋体"/>
          <w:color w:val="auto"/>
          <w:sz w:val="24"/>
          <w:highlight w:val="none"/>
          <w:u w:val="single"/>
        </w:rPr>
        <w:t xml:space="preserve">（填写“法人代表全名”）</w:t>
      </w:r>
      <w:r>
        <w:rPr>
          <w:rFonts w:hint="eastAsia" w:ascii="宋体" w:hAnsi="宋体" w:cs="宋体"/>
          <w:color w:val="auto"/>
          <w:sz w:val="24"/>
          <w:highlight w:val="none"/>
        </w:rPr>
        <w:t xml:space="preserve">授权</w:t>
      </w:r>
      <w:r>
        <w:rPr>
          <w:rFonts w:hint="eastAsia" w:ascii="宋体" w:hAnsi="宋体" w:cs="宋体"/>
          <w:color w:val="auto"/>
          <w:sz w:val="24"/>
          <w:highlight w:val="none"/>
          <w:u w:val="single"/>
        </w:rPr>
        <w:t xml:space="preserve">（填写“授权代表全名”）</w:t>
      </w:r>
      <w:r>
        <w:rPr>
          <w:rFonts w:hint="eastAsia" w:ascii="宋体" w:hAnsi="宋体" w:cs="宋体"/>
          <w:color w:val="auto"/>
          <w:sz w:val="24"/>
          <w:highlight w:val="none"/>
        </w:rPr>
        <w:t xml:space="preserve">为我方的授权代表，代表我方参加</w:t>
      </w:r>
      <w:r>
        <w:rPr>
          <w:rFonts w:hint="eastAsia" w:ascii="宋体" w:hAnsi="宋体" w:cs="宋体"/>
          <w:color w:val="auto"/>
          <w:sz w:val="24"/>
          <w:highlight w:val="none"/>
          <w:u w:val="single"/>
        </w:rPr>
        <w:t xml:space="preserve">  （填写“项目名称”）   </w:t>
      </w:r>
      <w:r>
        <w:rPr>
          <w:rFonts w:hint="eastAsia" w:ascii="宋体" w:hAnsi="宋体" w:cs="宋体"/>
          <w:color w:val="auto"/>
          <w:sz w:val="24"/>
          <w:highlight w:val="none"/>
        </w:rPr>
        <w:t xml:space="preserve">项目（采购编号：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）的响应磋商，全权代表我方处理响应磋商过程的一切事宜。授权代表在响应磋商过程中所签署的一切文件和处理与之有关的一切事务，我方均予以认可并对此承担责任。授权期限自______至____。</w:t>
      </w:r>
      <w:r/>
    </w:p>
    <w:p>
      <w:pPr>
        <w:jc w:val="left"/>
        <w:spacing w:before="75" w:after="75" w:line="360" w:lineRule="atLeast"/>
        <w:widowControl/>
        <w:rPr>
          <w:rFonts w:ascii="宋体" w:hAnsi="宋体" w:cs="宋体"/>
          <w:color w:val="auto"/>
          <w:sz w:val="24"/>
          <w:highlight w:val="none"/>
        </w:rPr>
      </w:pPr>
      <w:r>
        <w:rPr>
          <w:rFonts w:hint="eastAsia" w:ascii="宋体" w:hAnsi="宋体" w:cs="宋体"/>
          <w:color w:val="auto"/>
          <w:sz w:val="24"/>
          <w:highlight w:val="none"/>
        </w:rPr>
        <w:t xml:space="preserve">  授权代表无转委权。特此授权。</w:t>
      </w:r>
      <w:r/>
    </w:p>
    <w:p>
      <w:pPr>
        <w:jc w:val="center"/>
        <w:spacing w:before="75" w:after="75" w:line="360" w:lineRule="atLeast"/>
        <w:widowControl/>
        <w:rPr>
          <w:rFonts w:ascii="宋体" w:hAnsi="宋体" w:cs="宋体"/>
          <w:color w:val="auto"/>
          <w:sz w:val="24"/>
          <w:highlight w:val="none"/>
        </w:rPr>
      </w:pPr>
      <w:r>
        <w:rPr>
          <w:rFonts w:hint="eastAsia" w:ascii="宋体" w:hAnsi="宋体" w:cs="宋体"/>
          <w:color w:val="auto"/>
          <w:sz w:val="24"/>
          <w:highlight w:val="none"/>
        </w:rPr>
        <w:t xml:space="preserve">（以下无正文）</w:t>
      </w:r>
      <w:r/>
    </w:p>
    <w:p>
      <w:pPr>
        <w:jc w:val="left"/>
        <w:spacing w:before="75" w:after="75" w:line="360" w:lineRule="atLeast"/>
        <w:widowControl/>
        <w:rPr>
          <w:rFonts w:ascii="宋体" w:hAnsi="宋体" w:cs="宋体"/>
          <w:color w:val="auto"/>
          <w:sz w:val="24"/>
          <w:highlight w:val="none"/>
        </w:rPr>
      </w:pPr>
      <w:r>
        <w:rPr>
          <w:rFonts w:hint="eastAsia" w:ascii="宋体" w:hAnsi="宋体" w:cs="宋体"/>
          <w:color w:val="auto"/>
          <w:sz w:val="24"/>
          <w:highlight w:val="none"/>
        </w:rPr>
        <w:t xml:space="preserve">法人代表：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身份证号：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手机：</w:t>
      </w:r>
      <w:r>
        <w:rPr>
          <w:rFonts w:hint="eastAsia" w:ascii="宋体" w:hAnsi="宋体" w:cs="宋体"/>
          <w:color w:val="auto"/>
          <w:sz w:val="24"/>
          <w:highlight w:val="none"/>
          <w:u w:val="single"/>
        </w:rPr>
        <w:t xml:space="preserve">        </w:t>
      </w:r>
      <w:r/>
    </w:p>
    <w:p>
      <w:pPr>
        <w:jc w:val="left"/>
        <w:spacing w:before="75" w:after="75" w:line="360" w:lineRule="atLeast"/>
        <w:widowControl/>
        <w:rPr>
          <w:rFonts w:ascii="宋体" w:hAnsi="宋体" w:cs="宋体"/>
          <w:color w:val="auto"/>
          <w:sz w:val="24"/>
          <w:highlight w:val="none"/>
        </w:rPr>
      </w:pPr>
      <w:r>
        <w:rPr>
          <w:rFonts w:hint="eastAsia" w:ascii="宋体" w:hAnsi="宋体" w:cs="宋体"/>
          <w:color w:val="auto"/>
          <w:sz w:val="24"/>
          <w:highlight w:val="none"/>
        </w:rPr>
        <w:t xml:space="preserve">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身份证号：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手机：</w:t>
      </w:r>
      <w:r>
        <w:rPr>
          <w:rFonts w:hint="eastAsia" w:ascii="宋体" w:hAnsi="宋体" w:cs="宋体"/>
          <w:color w:val="auto"/>
          <w:sz w:val="24"/>
          <w:highlight w:val="none"/>
          <w:u w:val="single"/>
        </w:rPr>
        <w:t xml:space="preserve">        </w:t>
      </w:r>
      <w:r/>
    </w:p>
    <w:p>
      <w:pPr>
        <w:jc w:val="left"/>
        <w:spacing w:before="75" w:after="75" w:line="360" w:lineRule="atLeast"/>
        <w:widowControl/>
        <w:rPr>
          <w:rFonts w:ascii="宋体" w:hAnsi="宋体" w:cs="宋体"/>
          <w:color w:val="auto"/>
          <w:sz w:val="24"/>
          <w:highlight w:val="none"/>
        </w:rPr>
      </w:pPr>
      <w:r>
        <w:rPr>
          <w:rFonts w:hint="eastAsia" w:ascii="宋体" w:hAnsi="宋体" w:cs="宋体"/>
          <w:color w:val="auto"/>
          <w:sz w:val="24"/>
          <w:highlight w:val="none"/>
        </w:rPr>
        <w:t xml:space="preserve"> </w:t>
      </w:r>
      <w:r/>
    </w:p>
    <w:p>
      <w:pPr>
        <w:jc w:val="left"/>
        <w:spacing w:before="75" w:after="75" w:line="360" w:lineRule="atLeast"/>
        <w:widowControl/>
        <w:rPr>
          <w:rFonts w:ascii="宋体" w:hAnsi="宋体" w:cs="宋体"/>
          <w:color w:val="auto"/>
          <w:sz w:val="24"/>
          <w:highlight w:val="none"/>
        </w:rPr>
      </w:pPr>
      <w:r>
        <w:rPr>
          <w:rFonts w:hint="eastAsia" w:ascii="宋体" w:hAnsi="宋体" w:cs="宋体"/>
          <w:color w:val="auto"/>
          <w:sz w:val="24"/>
          <w:highlight w:val="none"/>
        </w:rPr>
        <w:t xml:space="preserve">授权方</w:t>
      </w:r>
      <w:r/>
    </w:p>
    <w:p>
      <w:pPr>
        <w:jc w:val="left"/>
        <w:spacing w:before="75" w:after="75" w:line="360" w:lineRule="atLeast"/>
        <w:widowControl/>
        <w:rPr>
          <w:rFonts w:ascii="宋体" w:hAnsi="宋体" w:cs="宋体"/>
          <w:color w:val="auto"/>
          <w:sz w:val="24"/>
          <w:highlight w:val="none"/>
        </w:rPr>
      </w:pPr>
      <w:r>
        <w:rPr>
          <w:rFonts w:hint="eastAsia" w:ascii="宋体" w:hAnsi="宋体" w:cs="宋体"/>
          <w:color w:val="auto"/>
          <w:sz w:val="24"/>
          <w:highlight w:val="none"/>
        </w:rPr>
        <w:t xml:space="preserve">响应单位：</w:t>
      </w:r>
      <w:r>
        <w:rPr>
          <w:rFonts w:hint="eastAsia" w:ascii="宋体" w:hAnsi="宋体" w:cs="宋体"/>
          <w:color w:val="auto"/>
          <w:sz w:val="24"/>
          <w:highlight w:val="none"/>
          <w:u w:val="single"/>
        </w:rPr>
        <w:t xml:space="preserve">（全称并加盖单位公章）</w:t>
      </w:r>
      <w:r/>
    </w:p>
    <w:p>
      <w:pPr>
        <w:jc w:val="left"/>
        <w:spacing w:before="75" w:after="75" w:line="360" w:lineRule="atLeast"/>
        <w:widowControl/>
        <w:rPr>
          <w:rFonts w:ascii="宋体" w:hAnsi="宋体" w:cs="宋体"/>
          <w:color w:val="auto"/>
          <w:sz w:val="24"/>
          <w:highlight w:val="none"/>
        </w:rPr>
      </w:pPr>
      <w:r>
        <w:rPr>
          <w:rFonts w:hint="eastAsia" w:ascii="宋体" w:hAnsi="宋体" w:cs="宋体"/>
          <w:color w:val="auto"/>
          <w:sz w:val="24"/>
          <w:highlight w:val="none"/>
        </w:rPr>
        <w:t xml:space="preserve">法人代表签字或盖章：</w:t>
      </w:r>
      <w:r>
        <w:rPr>
          <w:rFonts w:hint="eastAsia" w:ascii="宋体" w:hAnsi="宋体" w:cs="宋体"/>
          <w:color w:val="auto"/>
          <w:sz w:val="24"/>
          <w:highlight w:val="none"/>
          <w:u w:val="single"/>
        </w:rPr>
        <w:t xml:space="preserve">                   </w:t>
      </w:r>
      <w:r/>
    </w:p>
    <w:p>
      <w:pPr>
        <w:jc w:val="left"/>
        <w:spacing w:before="75" w:after="75" w:line="360" w:lineRule="atLeast"/>
        <w:widowControl/>
        <w:rPr>
          <w:rFonts w:ascii="宋体" w:hAnsi="宋体" w:cs="宋体"/>
          <w:color w:val="auto"/>
          <w:sz w:val="24"/>
          <w:highlight w:val="none"/>
        </w:rPr>
      </w:pPr>
      <w:r>
        <w:rPr>
          <w:rFonts w:hint="eastAsia" w:ascii="宋体" w:hAnsi="宋体" w:cs="宋体"/>
          <w:color w:val="auto"/>
          <w:sz w:val="24"/>
          <w:highlight w:val="none"/>
        </w:rPr>
        <w:t xml:space="preserve"> </w:t>
      </w:r>
      <w:r/>
    </w:p>
    <w:p>
      <w:pPr>
        <w:jc w:val="left"/>
        <w:spacing w:before="75" w:after="75" w:line="360" w:lineRule="atLeast"/>
        <w:widowControl/>
        <w:rPr>
          <w:rFonts w:ascii="宋体" w:hAnsi="宋体" w:cs="宋体"/>
          <w:color w:val="auto"/>
          <w:sz w:val="24"/>
          <w:highlight w:val="none"/>
        </w:rPr>
      </w:pPr>
      <w:r>
        <w:rPr>
          <w:rFonts w:hint="eastAsia" w:ascii="宋体" w:hAnsi="宋体" w:cs="宋体"/>
          <w:color w:val="auto"/>
          <w:sz w:val="24"/>
          <w:highlight w:val="none"/>
        </w:rPr>
        <w:t xml:space="preserve">接受授权方</w:t>
      </w:r>
      <w:r/>
    </w:p>
    <w:p>
      <w:pPr>
        <w:jc w:val="left"/>
        <w:spacing w:before="75" w:after="75" w:line="360" w:lineRule="atLeast"/>
        <w:widowControl/>
        <w:rPr>
          <w:rFonts w:ascii="宋体" w:hAnsi="宋体" w:cs="宋体"/>
          <w:color w:val="auto"/>
          <w:sz w:val="24"/>
          <w:highlight w:val="none"/>
        </w:rPr>
      </w:pPr>
      <w:r>
        <w:rPr>
          <w:rFonts w:hint="eastAsia" w:ascii="宋体" w:hAnsi="宋体" w:cs="宋体"/>
          <w:color w:val="auto"/>
          <w:sz w:val="24"/>
          <w:highlight w:val="none"/>
        </w:rPr>
        <w:t xml:space="preserve">授权代表签字：</w:t>
      </w:r>
      <w:r>
        <w:rPr>
          <w:rFonts w:hint="eastAsia" w:ascii="宋体" w:hAnsi="宋体" w:cs="宋体"/>
          <w:color w:val="auto"/>
          <w:sz w:val="24"/>
          <w:highlight w:val="none"/>
          <w:u w:val="single"/>
        </w:rPr>
        <w:t xml:space="preserve">                   </w:t>
      </w:r>
      <w:r/>
    </w:p>
    <w:p>
      <w:pPr>
        <w:jc w:val="right"/>
        <w:spacing w:before="75" w:after="75" w:line="360" w:lineRule="atLeast"/>
        <w:widowControl/>
        <w:rPr>
          <w:rFonts w:ascii="宋体" w:hAnsi="宋体" w:cs="宋体"/>
          <w:color w:val="auto"/>
          <w:sz w:val="24"/>
          <w:highlight w:val="none"/>
        </w:rPr>
      </w:pPr>
      <w:r>
        <w:rPr>
          <w:rFonts w:hint="eastAsia" w:ascii="宋体" w:hAnsi="宋体" w:cs="宋体"/>
          <w:color w:val="auto"/>
          <w:sz w:val="24"/>
          <w:highlight w:val="none"/>
        </w:rPr>
        <w:t xml:space="preserve">签署日期：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jc w:val="left"/>
        <w:spacing w:before="75" w:after="75" w:line="360" w:lineRule="atLeast"/>
        <w:widowControl/>
        <w:rPr>
          <w:rFonts w:ascii="宋体" w:hAnsi="宋体" w:cs="宋体"/>
          <w:color w:val="auto"/>
          <w:sz w:val="24"/>
          <w:highlight w:val="none"/>
        </w:rPr>
      </w:pPr>
      <w:r>
        <w:rPr>
          <w:rFonts w:hint="eastAsia" w:ascii="宋体" w:hAnsi="宋体" w:cs="宋体"/>
          <w:color w:val="auto"/>
          <w:sz w:val="24"/>
          <w:highlight w:val="none"/>
        </w:rPr>
        <w:t xml:space="preserve"> </w:t>
      </w:r>
      <w:r/>
    </w:p>
    <w:p>
      <w:pPr>
        <w:jc w:val="left"/>
        <w:spacing w:before="75" w:after="75" w:line="405" w:lineRule="atLeast"/>
        <w:widowControl/>
        <w:rPr>
          <w:rFonts w:ascii="宋体" w:hAnsi="宋体" w:cs="宋体"/>
          <w:color w:val="auto"/>
          <w:sz w:val="24"/>
          <w:highlight w:val="none"/>
        </w:rPr>
      </w:pPr>
      <w:r>
        <w:rPr>
          <w:rFonts w:hint="eastAsia" w:ascii="宋体" w:hAnsi="宋体" w:cs="宋体"/>
          <w:color w:val="auto"/>
          <w:sz w:val="24"/>
          <w:highlight w:val="none"/>
        </w:rPr>
        <w:t xml:space="preserve">附：法人代表、授权代表的身份证正反面复印件</w:t>
      </w:r>
      <w:r/>
    </w:p>
    <w:tbl>
      <w:tblPr>
        <w:tblStyle w:val="915"/>
        <w:tblW w:w="0" w:type="auto"/>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5"/>
        </w:trPr>
        <w:tc>
          <w:tcPr>
            <w:tcMar>
              <w:left w:w="105" w:type="dxa"/>
              <w:right w:w="105" w:type="dxa"/>
            </w:tcMar>
            <w:tcW w:w="8565" w:type="dxa"/>
            <w:vAlign w:val="center"/>
            <w:textDirection w:val="lrTb"/>
            <w:noWrap w:val="false"/>
          </w:tcPr>
          <w:p>
            <w:pPr>
              <w:jc w:val="center"/>
              <w:spacing w:beforeAutospacing="1" w:afterAutospacing="1" w:line="405" w:lineRule="atLeast"/>
              <w:widowControl/>
              <w:rPr>
                <w:rFonts w:ascii="宋体" w:hAnsi="宋体" w:cs="宋体"/>
                <w:color w:val="auto"/>
                <w:sz w:val="24"/>
                <w:highlight w:val="none"/>
              </w:rPr>
            </w:pPr>
            <w:r>
              <w:rPr>
                <w:rFonts w:hint="eastAsia" w:ascii="宋体" w:hAnsi="宋体" w:cs="宋体"/>
                <w:b/>
                <w:color w:val="auto"/>
                <w:sz w:val="24"/>
                <w:highlight w:val="none"/>
              </w:rPr>
              <w:t xml:space="preserve"> </w:t>
            </w:r>
            <w:r/>
          </w:p>
          <w:p>
            <w:pPr>
              <w:jc w:val="center"/>
              <w:spacing w:beforeAutospacing="1" w:afterAutospacing="1" w:line="405" w:lineRule="atLeast"/>
              <w:widowControl/>
              <w:rPr>
                <w:rFonts w:ascii="宋体" w:hAnsi="宋体" w:cs="宋体"/>
                <w:color w:val="auto"/>
                <w:sz w:val="24"/>
                <w:highlight w:val="none"/>
              </w:rPr>
            </w:pPr>
            <w:r>
              <w:rPr>
                <w:rFonts w:hint="eastAsia" w:ascii="宋体" w:hAnsi="宋体" w:cs="宋体"/>
                <w:b/>
                <w:color w:val="auto"/>
                <w:sz w:val="24"/>
                <w:highlight w:val="none"/>
              </w:rPr>
              <w:t xml:space="preserve">要求：真实、有效、清晰</w:t>
            </w:r>
            <w:r/>
          </w:p>
          <w:p>
            <w:pPr>
              <w:jc w:val="center"/>
              <w:spacing w:beforeAutospacing="1" w:afterAutospacing="1" w:line="405" w:lineRule="atLeast"/>
              <w:widowControl/>
              <w:rPr>
                <w:rFonts w:ascii="宋体" w:hAnsi="宋体" w:cs="宋体"/>
                <w:color w:val="auto"/>
                <w:sz w:val="24"/>
                <w:highlight w:val="none"/>
              </w:rPr>
            </w:pPr>
            <w:r>
              <w:rPr>
                <w:rFonts w:hint="eastAsia" w:ascii="宋体" w:hAnsi="宋体" w:cs="宋体"/>
                <w:b/>
                <w:color w:val="auto"/>
                <w:sz w:val="24"/>
                <w:highlight w:val="none"/>
              </w:rPr>
              <w:t xml:space="preserve"> </w:t>
            </w:r>
            <w:r/>
          </w:p>
        </w:tc>
      </w:tr>
    </w:tbl>
    <w:p>
      <w:pPr>
        <w:pStyle w:val="1121"/>
        <w:spacing w:before="75" w:beforeAutospacing="0" w:after="75" w:afterAutospacing="0" w:line="495" w:lineRule="atLeast"/>
        <w:widowControl/>
        <w:rPr>
          <w:rFonts w:ascii="宋体" w:hAnsi="宋体" w:cs="宋体"/>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color w:val="auto"/>
          <w:highlight w:val="none"/>
        </w:rPr>
      </w:r>
      <w:r/>
    </w:p>
    <w:p>
      <w:pPr>
        <w:jc w:val="left"/>
        <w:spacing w:before="75" w:after="75" w:line="435" w:lineRule="atLeast"/>
        <w:widowControl/>
        <w:rPr>
          <w:rFonts w:ascii="宋体" w:hAnsi="宋体" w:cs="宋体"/>
          <w:b/>
          <w:bCs/>
          <w:color w:val="auto"/>
          <w:sz w:val="24"/>
          <w:highlight w:val="none"/>
        </w:rPr>
      </w:pPr>
      <w:r>
        <w:rPr>
          <w:rFonts w:hint="eastAsia" w:ascii="宋体" w:hAnsi="宋体" w:cs="宋体"/>
          <w:b/>
          <w:bCs/>
          <w:color w:val="auto"/>
          <w:sz w:val="24"/>
          <w:highlight w:val="none"/>
        </w:rPr>
        <w:t xml:space="preserve">附件3：</w:t>
      </w:r>
      <w:r/>
    </w:p>
    <w:p>
      <w:pPr>
        <w:jc w:val="center"/>
        <w:spacing w:before="75" w:after="75" w:line="495" w:lineRule="atLeast"/>
        <w:widowControl/>
        <w:rPr>
          <w:rFonts w:ascii="宋体" w:hAnsi="宋体" w:cs="宋体"/>
          <w:b/>
          <w:bCs/>
          <w:color w:val="auto"/>
          <w:sz w:val="24"/>
          <w:highlight w:val="none"/>
        </w:rPr>
      </w:pPr>
      <w:r>
        <w:rPr>
          <w:rFonts w:hint="eastAsia" w:ascii="宋体" w:hAnsi="宋体" w:cs="宋体"/>
          <w:b/>
          <w:bCs/>
          <w:color w:val="auto"/>
          <w:sz w:val="24"/>
          <w:highlight w:val="none"/>
        </w:rPr>
        <w:t xml:space="preserve">关于资格文件的声明函</w:t>
      </w:r>
      <w:r/>
    </w:p>
    <w:p>
      <w:pPr>
        <w:jc w:val="left"/>
        <w:spacing w:before="75" w:after="75" w:line="495" w:lineRule="atLeast"/>
        <w:widowControl/>
        <w:rPr>
          <w:rFonts w:ascii="宋体" w:hAnsi="宋体" w:cs="宋体"/>
          <w:b/>
          <w:bCs/>
          <w:color w:val="auto"/>
          <w:sz w:val="24"/>
          <w:highlight w:val="none"/>
        </w:rPr>
      </w:pPr>
      <w:r>
        <w:rPr>
          <w:rFonts w:ascii="宋体" w:hAnsi="宋体" w:cs="宋体"/>
          <w:b/>
          <w:bCs/>
          <w:color w:val="auto"/>
          <w:sz w:val="24"/>
          <w:highlight w:val="none"/>
        </w:rPr>
      </w:r>
      <w:r/>
    </w:p>
    <w:p>
      <w:pPr>
        <w:jc w:val="left"/>
        <w:spacing w:before="75" w:after="75" w:line="495" w:lineRule="atLeast"/>
        <w:widowControl/>
        <w:rPr>
          <w:rFonts w:ascii="宋体" w:hAnsi="宋体" w:cs="宋体"/>
          <w:color w:val="auto"/>
          <w:sz w:val="24"/>
          <w:highlight w:val="none"/>
          <w:u w:val="single"/>
        </w:rPr>
      </w:pPr>
      <w:r>
        <w:rPr>
          <w:rFonts w:hint="eastAsia" w:ascii="宋体" w:hAnsi="宋体" w:cs="宋体"/>
          <w:color w:val="auto"/>
          <w:sz w:val="24"/>
          <w:highlight w:val="none"/>
          <w:u w:val="single"/>
        </w:rPr>
        <w:t xml:space="preserve">(采购人或采购代理机构)   ：</w:t>
      </w:r>
      <w:r/>
    </w:p>
    <w:p>
      <w:pPr>
        <w:ind w:firstLine="480"/>
        <w:jc w:val="left"/>
        <w:spacing w:before="75" w:after="75" w:line="495" w:lineRule="atLeast"/>
        <w:widowControl/>
        <w:rPr>
          <w:rFonts w:ascii="宋体" w:hAnsi="宋体" w:cs="宋体"/>
          <w:color w:val="auto"/>
          <w:sz w:val="24"/>
          <w:highlight w:val="none"/>
        </w:rPr>
      </w:pPr>
      <w:r>
        <w:rPr>
          <w:rFonts w:hint="eastAsia" w:ascii="宋体" w:hAnsi="宋体" w:cs="宋体"/>
          <w:color w:val="auto"/>
          <w:sz w:val="24"/>
          <w:highlight w:val="none"/>
        </w:rPr>
        <w:t xml:space="preserve">本公司愿就由贵中心组织实施的编号为</w:t>
      </w:r>
      <w:r>
        <w:rPr>
          <w:rFonts w:hint="eastAsia" w:ascii="宋体" w:hAnsi="宋体" w:cs="宋体"/>
          <w:color w:val="auto"/>
          <w:sz w:val="24"/>
          <w:highlight w:val="none"/>
          <w:u w:val="single"/>
        </w:rPr>
        <w:t xml:space="preserve">              号</w:t>
      </w:r>
      <w:r>
        <w:rPr>
          <w:rFonts w:hint="eastAsia" w:ascii="宋体" w:hAnsi="宋体" w:cs="宋体"/>
          <w:color w:val="auto"/>
          <w:sz w:val="24"/>
          <w:highlight w:val="none"/>
        </w:rPr>
        <w:t xml:space="preserve">（项目编号）的磋商采购活动进行响应。本公司所提交的响应文件中所有关于磋商资格的文件、证明和陈述均是真实的、准确的。若与真实情况不符，本公司愿意承担由此而产生的一切后果。</w:t>
      </w:r>
      <w:r/>
    </w:p>
    <w:p>
      <w:pPr>
        <w:jc w:val="left"/>
        <w:spacing w:before="75" w:after="75" w:line="495" w:lineRule="atLeast"/>
        <w:widowControl/>
        <w:rPr>
          <w:rFonts w:ascii="宋体" w:hAnsi="宋体" w:cs="宋体"/>
          <w:color w:val="auto"/>
          <w:sz w:val="24"/>
          <w:highlight w:val="none"/>
        </w:rPr>
      </w:pPr>
      <w:r>
        <w:rPr>
          <w:rFonts w:ascii="宋体" w:hAnsi="宋体" w:cs="宋体"/>
          <w:color w:val="auto"/>
          <w:sz w:val="24"/>
          <w:highlight w:val="none"/>
        </w:rPr>
      </w:r>
      <w:r/>
    </w:p>
    <w:p>
      <w:pPr>
        <w:jc w:val="left"/>
        <w:spacing w:before="75" w:after="75" w:line="495" w:lineRule="atLeast"/>
        <w:widowControl/>
        <w:rPr>
          <w:rFonts w:ascii="宋体" w:hAnsi="宋体" w:cs="宋体"/>
          <w:color w:val="auto"/>
          <w:sz w:val="24"/>
          <w:highlight w:val="none"/>
        </w:rPr>
      </w:pPr>
      <w:r>
        <w:rPr>
          <w:rFonts w:ascii="宋体" w:hAnsi="宋体" w:cs="宋体"/>
          <w:color w:val="auto"/>
          <w:sz w:val="24"/>
          <w:highlight w:val="none"/>
        </w:rPr>
      </w:r>
      <w:r/>
    </w:p>
    <w:p>
      <w:pPr>
        <w:jc w:val="left"/>
        <w:spacing w:before="75" w:after="75" w:line="495" w:lineRule="atLeast"/>
        <w:widowControl/>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zh-CN"/>
        </w:rPr>
        <w:t xml:space="preserve">响应单位：（签章）</w:t>
      </w:r>
      <w:r>
        <w:rPr>
          <w:rFonts w:hint="eastAsia" w:ascii="宋体" w:hAnsi="宋体" w:cs="宋体"/>
          <w:color w:val="auto"/>
          <w:sz w:val="24"/>
          <w:highlight w:val="none"/>
        </w:rPr>
        <w:t xml:space="preserve"> </w:t>
      </w:r>
      <w:r/>
    </w:p>
    <w:p>
      <w:pPr>
        <w:jc w:val="left"/>
        <w:spacing w:before="75" w:after="75" w:line="495" w:lineRule="atLeast"/>
        <w:widowControl/>
        <w:rPr>
          <w:rFonts w:ascii="宋体" w:hAnsi="宋体" w:cs="宋体"/>
          <w:color w:val="auto"/>
          <w:sz w:val="24"/>
          <w:highlight w:val="none"/>
        </w:rPr>
      </w:pPr>
      <w:r>
        <w:rPr>
          <w:rFonts w:hint="eastAsia" w:ascii="宋体" w:hAnsi="宋体" w:cs="宋体"/>
          <w:color w:val="auto"/>
          <w:sz w:val="24"/>
          <w:highlight w:val="none"/>
        </w:rPr>
        <w:t xml:space="preserve">                                   法定代表人或被授权人：（签字或盖章）</w:t>
      </w:r>
      <w:r/>
    </w:p>
    <w:p>
      <w:pPr>
        <w:ind w:firstLine="4320"/>
        <w:jc w:val="left"/>
        <w:spacing w:before="75" w:after="75" w:line="495" w:lineRule="atLeast"/>
        <w:widowControl/>
        <w:rPr>
          <w:rFonts w:ascii="宋体" w:hAnsi="宋体" w:cs="宋体"/>
          <w:color w:val="auto"/>
          <w:sz w:val="24"/>
          <w:highlight w:val="none"/>
        </w:rPr>
      </w:pPr>
      <w:r>
        <w:rPr>
          <w:rFonts w:hint="eastAsia" w:ascii="宋体" w:hAnsi="宋体" w:cs="宋体"/>
          <w:color w:val="auto"/>
          <w:sz w:val="24"/>
          <w:highlight w:val="none"/>
        </w:rPr>
        <w:t xml:space="preserve">日    期：     年     月    日</w:t>
      </w:r>
      <w:r/>
    </w:p>
    <w:p>
      <w:pPr>
        <w:jc w:val="left"/>
        <w:spacing w:before="75" w:after="75" w:line="495" w:lineRule="atLeast"/>
        <w:widowControl/>
        <w:rPr>
          <w:rFonts w:ascii="宋体" w:hAnsi="宋体" w:cs="宋体"/>
          <w:color w:val="auto"/>
          <w:sz w:val="24"/>
          <w:highlight w:val="none"/>
        </w:rPr>
      </w:pPr>
      <w:r>
        <w:rPr>
          <w:rFonts w:ascii="宋体" w:hAnsi="宋体" w:cs="宋体"/>
          <w:color w:val="auto"/>
          <w:sz w:val="24"/>
          <w:highlight w:val="none"/>
        </w:rPr>
      </w:r>
      <w:r/>
    </w:p>
    <w:p>
      <w:pPr>
        <w:pStyle w:val="1121"/>
        <w:spacing w:before="75" w:beforeAutospacing="0" w:after="75" w:afterAutospacing="0" w:line="495" w:lineRule="atLeast"/>
        <w:widowControl/>
        <w:rPr>
          <w:rFonts w:ascii="宋体" w:hAnsi="宋体" w:cs="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
          <w:bCs/>
          <w:color w:val="auto"/>
          <w:highlight w:val="none"/>
        </w:rPr>
      </w:r>
      <w:r/>
    </w:p>
    <w:p>
      <w:pPr>
        <w:jc w:val="left"/>
        <w:spacing w:before="75" w:after="75" w:line="435" w:lineRule="atLeast"/>
        <w:widowControl/>
        <w:rPr>
          <w:rFonts w:ascii="宋体" w:hAnsi="宋体" w:cs="宋体"/>
          <w:b/>
          <w:bCs/>
          <w:color w:val="auto"/>
          <w:sz w:val="24"/>
          <w:highlight w:val="none"/>
        </w:rPr>
      </w:pPr>
      <w:r>
        <w:rPr>
          <w:rFonts w:hint="eastAsia" w:ascii="宋体" w:hAnsi="宋体" w:cs="宋体"/>
          <w:b/>
          <w:bCs/>
          <w:color w:val="auto"/>
          <w:sz w:val="24"/>
          <w:highlight w:val="none"/>
        </w:rPr>
        <w:t xml:space="preserve">附件4：</w:t>
      </w:r>
      <w:r/>
    </w:p>
    <w:p>
      <w:pPr>
        <w:pStyle w:val="1121"/>
        <w:jc w:val="center"/>
        <w:spacing w:before="75" w:beforeAutospacing="0" w:after="75" w:afterAutospacing="0" w:line="495" w:lineRule="atLeast"/>
        <w:widowControl/>
        <w:rPr>
          <w:rFonts w:ascii="宋体" w:hAnsi="宋体" w:cs="宋体"/>
          <w:b/>
          <w:bCs/>
          <w:color w:val="auto"/>
          <w:highlight w:val="none"/>
        </w:rPr>
      </w:pPr>
      <w:r>
        <w:rPr>
          <w:rFonts w:hint="eastAsia" w:ascii="宋体" w:hAnsi="宋体" w:cs="宋体"/>
          <w:b/>
          <w:bCs/>
          <w:color w:val="auto"/>
          <w:highlight w:val="none"/>
        </w:rPr>
        <w:t xml:space="preserve">磋商响应单位基本情况表</w:t>
      </w:r>
      <w:r/>
    </w:p>
    <w:tbl>
      <w:tblPr>
        <w:tblStyle w:val="915"/>
        <w:tblW w:w="9127"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899"/>
        <w:gridCol w:w="1870"/>
        <w:gridCol w:w="1757"/>
        <w:gridCol w:w="2601"/>
      </w:tblGrid>
      <w:tr>
        <w:trPr>
          <w:jc w:val="center"/>
        </w:trPr>
        <w:tc>
          <w:tcPr>
            <w:tcW w:w="2899" w:type="dxa"/>
            <w:textDirection w:val="lrTb"/>
            <w:noWrap w:val="false"/>
          </w:tcPr>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法定代表人（负责人）</w:t>
            </w:r>
            <w:r/>
          </w:p>
        </w:tc>
        <w:tc>
          <w:tcPr>
            <w:tcW w:w="1870" w:type="dxa"/>
            <w:textDirection w:val="lrTb"/>
            <w:noWrap w:val="false"/>
          </w:tcPr>
          <w:p>
            <w:pPr>
              <w:jc w:val="left"/>
              <w:spacing w:line="400" w:lineRule="exact"/>
              <w:rPr>
                <w:rFonts w:ascii="宋体" w:hAnsi="宋体" w:cs="宋体"/>
                <w:color w:val="auto"/>
                <w:sz w:val="24"/>
                <w:highlight w:val="none"/>
              </w:rPr>
            </w:pPr>
            <w:r>
              <w:rPr>
                <w:rFonts w:ascii="宋体" w:hAnsi="宋体" w:cs="宋体"/>
                <w:color w:val="auto"/>
                <w:sz w:val="24"/>
                <w:highlight w:val="none"/>
              </w:rPr>
            </w:r>
            <w:r/>
          </w:p>
        </w:tc>
        <w:tc>
          <w:tcPr>
            <w:tcW w:w="1757" w:type="dxa"/>
            <w:textDirection w:val="lrTb"/>
            <w:noWrap w:val="false"/>
          </w:tcPr>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成立日期</w:t>
            </w:r>
            <w:r/>
          </w:p>
        </w:tc>
        <w:tc>
          <w:tcPr>
            <w:tcW w:w="2601" w:type="dxa"/>
            <w:textDirection w:val="lrTb"/>
            <w:noWrap w:val="false"/>
          </w:tcPr>
          <w:p>
            <w:pPr>
              <w:jc w:val="left"/>
              <w:spacing w:line="400" w:lineRule="exact"/>
              <w:rPr>
                <w:rFonts w:ascii="宋体" w:hAnsi="宋体" w:cs="宋体"/>
                <w:color w:val="auto"/>
                <w:sz w:val="24"/>
                <w:highlight w:val="none"/>
              </w:rPr>
            </w:pPr>
            <w:r>
              <w:rPr>
                <w:rFonts w:ascii="宋体" w:hAnsi="宋体" w:cs="宋体"/>
                <w:color w:val="auto"/>
                <w:sz w:val="24"/>
                <w:highlight w:val="none"/>
              </w:rPr>
            </w:r>
            <w:r/>
          </w:p>
        </w:tc>
      </w:tr>
      <w:tr>
        <w:trPr>
          <w:jc w:val="center"/>
        </w:trPr>
        <w:tc>
          <w:tcPr>
            <w:tcW w:w="2899" w:type="dxa"/>
            <w:textDirection w:val="lrTb"/>
            <w:noWrap w:val="false"/>
          </w:tcPr>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企业地址</w:t>
            </w:r>
            <w:r/>
          </w:p>
        </w:tc>
        <w:tc>
          <w:tcPr>
            <w:tcW w:w="1870" w:type="dxa"/>
            <w:textDirection w:val="lrTb"/>
            <w:noWrap w:val="false"/>
          </w:tcPr>
          <w:p>
            <w:pPr>
              <w:jc w:val="left"/>
              <w:spacing w:line="400" w:lineRule="exact"/>
              <w:rPr>
                <w:rFonts w:ascii="宋体" w:hAnsi="宋体" w:cs="宋体"/>
                <w:color w:val="auto"/>
                <w:sz w:val="24"/>
                <w:highlight w:val="none"/>
              </w:rPr>
            </w:pPr>
            <w:r>
              <w:rPr>
                <w:rFonts w:ascii="宋体" w:hAnsi="宋体" w:cs="宋体"/>
                <w:color w:val="auto"/>
                <w:sz w:val="24"/>
                <w:highlight w:val="none"/>
              </w:rPr>
            </w:r>
            <w:r/>
          </w:p>
        </w:tc>
        <w:tc>
          <w:tcPr>
            <w:tcW w:w="1757" w:type="dxa"/>
            <w:textDirection w:val="lrTb"/>
            <w:noWrap w:val="false"/>
          </w:tcPr>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注册资本</w:t>
            </w:r>
            <w:r/>
          </w:p>
        </w:tc>
        <w:tc>
          <w:tcPr>
            <w:tcW w:w="2601" w:type="dxa"/>
            <w:textDirection w:val="lrTb"/>
            <w:noWrap w:val="false"/>
          </w:tcPr>
          <w:p>
            <w:pPr>
              <w:ind w:firstLine="168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万元</w:t>
            </w:r>
            <w:r/>
          </w:p>
        </w:tc>
      </w:tr>
      <w:tr>
        <w:trPr>
          <w:jc w:val="center"/>
        </w:trPr>
        <w:tc>
          <w:tcPr>
            <w:tcW w:w="2899" w:type="dxa"/>
            <w:textDirection w:val="lrTb"/>
            <w:noWrap w:val="false"/>
          </w:tcPr>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经营范围</w:t>
            </w:r>
            <w:r/>
          </w:p>
        </w:tc>
        <w:tc>
          <w:tcPr>
            <w:gridSpan w:val="3"/>
            <w:tcW w:w="6228" w:type="dxa"/>
            <w:textDirection w:val="lrTb"/>
            <w:noWrap w:val="false"/>
          </w:tcPr>
          <w:p>
            <w:pPr>
              <w:jc w:val="left"/>
              <w:spacing w:line="400" w:lineRule="exact"/>
              <w:rPr>
                <w:rFonts w:ascii="宋体" w:hAnsi="宋体" w:cs="宋体"/>
                <w:color w:val="auto"/>
                <w:sz w:val="24"/>
                <w:highlight w:val="none"/>
              </w:rPr>
            </w:pPr>
            <w:r>
              <w:rPr>
                <w:rFonts w:ascii="宋体" w:hAnsi="宋体" w:cs="宋体"/>
                <w:color w:val="auto"/>
                <w:sz w:val="24"/>
                <w:highlight w:val="none"/>
              </w:rPr>
            </w:r>
            <w:r/>
          </w:p>
        </w:tc>
      </w:tr>
      <w:tr>
        <w:trPr>
          <w:jc w:val="center"/>
        </w:trPr>
        <w:tc>
          <w:tcPr>
            <w:tcW w:w="2899" w:type="dxa"/>
            <w:textDirection w:val="lrTb"/>
            <w:noWrap w:val="false"/>
          </w:tcPr>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职工人数</w:t>
            </w:r>
            <w:r/>
          </w:p>
        </w:tc>
        <w:tc>
          <w:tcPr>
            <w:tcW w:w="1870" w:type="dxa"/>
            <w:textDirection w:val="lrTb"/>
            <w:noWrap w:val="false"/>
          </w:tcPr>
          <w:p>
            <w:pPr>
              <w:jc w:val="left"/>
              <w:spacing w:line="400" w:lineRule="exact"/>
              <w:rPr>
                <w:rFonts w:ascii="宋体" w:hAnsi="宋体" w:cs="宋体"/>
                <w:color w:val="auto"/>
                <w:sz w:val="24"/>
                <w:highlight w:val="none"/>
              </w:rPr>
            </w:pPr>
            <w:r>
              <w:rPr>
                <w:rFonts w:ascii="宋体" w:hAnsi="宋体" w:cs="宋体"/>
                <w:color w:val="auto"/>
                <w:sz w:val="24"/>
                <w:highlight w:val="none"/>
              </w:rPr>
            </w:r>
            <w:r/>
          </w:p>
        </w:tc>
        <w:tc>
          <w:tcPr>
            <w:gridSpan w:val="2"/>
            <w:tcW w:w="4358" w:type="dxa"/>
            <w:textDirection w:val="lrTb"/>
            <w:noWrap w:val="false"/>
          </w:tcPr>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其中：</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中级职称   人数、高级职称    人数</w:t>
            </w:r>
            <w:r/>
          </w:p>
        </w:tc>
      </w:tr>
      <w:tr>
        <w:trPr>
          <w:jc w:val="center"/>
          <w:trHeight w:val="590"/>
        </w:trPr>
        <w:tc>
          <w:tcPr>
            <w:tcW w:w="2899" w:type="dxa"/>
            <w:textDirection w:val="lrTb"/>
            <w:noWrap w:val="false"/>
          </w:tcPr>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202</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年12月资产总额</w:t>
            </w:r>
            <w:r/>
          </w:p>
        </w:tc>
        <w:tc>
          <w:tcPr>
            <w:tcW w:w="1870" w:type="dxa"/>
            <w:textDirection w:val="lrTb"/>
            <w:noWrap w:val="false"/>
          </w:tcPr>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         万元</w:t>
            </w:r>
            <w:r/>
          </w:p>
        </w:tc>
        <w:tc>
          <w:tcPr>
            <w:tcW w:w="1757" w:type="dxa"/>
            <w:textDirection w:val="lrTb"/>
            <w:noWrap w:val="false"/>
          </w:tcPr>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净资产</w:t>
            </w:r>
            <w:r/>
          </w:p>
        </w:tc>
        <w:tc>
          <w:tcPr>
            <w:tcW w:w="2601" w:type="dxa"/>
            <w:textDirection w:val="lrTb"/>
            <w:noWrap w:val="false"/>
          </w:tcPr>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               万元</w:t>
            </w:r>
            <w:r/>
          </w:p>
        </w:tc>
      </w:tr>
      <w:tr>
        <w:trPr>
          <w:jc w:val="center"/>
        </w:trPr>
        <w:tc>
          <w:tcPr>
            <w:tcW w:w="2899" w:type="dxa"/>
            <w:textDirection w:val="lrTb"/>
            <w:noWrap w:val="false"/>
          </w:tcPr>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202</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年12月股东权益</w:t>
            </w:r>
            <w:r/>
          </w:p>
        </w:tc>
        <w:tc>
          <w:tcPr>
            <w:tcW w:w="1870" w:type="dxa"/>
            <w:textDirection w:val="lrTb"/>
            <w:noWrap w:val="false"/>
          </w:tcPr>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         万元</w:t>
            </w:r>
            <w:r/>
          </w:p>
        </w:tc>
        <w:tc>
          <w:tcPr>
            <w:tcW w:w="1757" w:type="dxa"/>
            <w:textDirection w:val="lrTb"/>
            <w:noWrap w:val="false"/>
          </w:tcPr>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202</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年业务收入</w:t>
            </w:r>
            <w:r/>
          </w:p>
        </w:tc>
        <w:tc>
          <w:tcPr>
            <w:tcW w:w="2601" w:type="dxa"/>
            <w:textDirection w:val="lrTb"/>
            <w:noWrap w:val="false"/>
          </w:tcPr>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               万元</w:t>
            </w:r>
            <w:r/>
          </w:p>
        </w:tc>
      </w:tr>
      <w:tr>
        <w:trPr>
          <w:jc w:val="center"/>
        </w:trPr>
        <w:tc>
          <w:tcPr>
            <w:tcW w:w="2899" w:type="dxa"/>
            <w:textDirection w:val="lrTb"/>
            <w:noWrap w:val="false"/>
          </w:tcPr>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202</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年实现利润</w:t>
            </w:r>
            <w:r/>
          </w:p>
        </w:tc>
        <w:tc>
          <w:tcPr>
            <w:tcW w:w="1870" w:type="dxa"/>
            <w:textDirection w:val="lrTb"/>
            <w:noWrap w:val="false"/>
          </w:tcPr>
          <w:p>
            <w:pPr>
              <w:jc w:val="right"/>
              <w:spacing w:line="400" w:lineRule="exact"/>
              <w:rPr>
                <w:rFonts w:ascii="宋体" w:hAnsi="宋体" w:cs="宋体"/>
                <w:color w:val="auto"/>
                <w:sz w:val="24"/>
                <w:highlight w:val="none"/>
              </w:rPr>
            </w:pPr>
            <w:r>
              <w:rPr>
                <w:rFonts w:hint="eastAsia" w:ascii="宋体" w:hAnsi="宋体" w:cs="宋体"/>
                <w:color w:val="auto"/>
                <w:sz w:val="24"/>
                <w:highlight w:val="none"/>
              </w:rPr>
              <w:t xml:space="preserve">万元</w:t>
            </w:r>
            <w:r/>
          </w:p>
        </w:tc>
        <w:tc>
          <w:tcPr>
            <w:tcW w:w="1757" w:type="dxa"/>
            <w:textDirection w:val="lrTb"/>
            <w:noWrap w:val="false"/>
          </w:tcPr>
          <w:p>
            <w:pPr>
              <w:jc w:val="left"/>
              <w:spacing w:line="400" w:lineRule="exact"/>
              <w:rPr>
                <w:rFonts w:ascii="宋体" w:hAnsi="宋体" w:cs="宋体"/>
                <w:color w:val="auto"/>
                <w:sz w:val="24"/>
                <w:highlight w:val="none"/>
              </w:rPr>
            </w:pPr>
            <w:r>
              <w:rPr>
                <w:rFonts w:ascii="宋体" w:hAnsi="宋体" w:cs="宋体"/>
                <w:color w:val="auto"/>
                <w:sz w:val="24"/>
                <w:highlight w:val="none"/>
              </w:rPr>
            </w:r>
            <w:r/>
          </w:p>
        </w:tc>
        <w:tc>
          <w:tcPr>
            <w:tcW w:w="2601" w:type="dxa"/>
            <w:textDirection w:val="lrTb"/>
            <w:noWrap w:val="false"/>
          </w:tcPr>
          <w:p>
            <w:pPr>
              <w:jc w:val="left"/>
              <w:spacing w:line="400" w:lineRule="exact"/>
              <w:rPr>
                <w:rFonts w:ascii="宋体" w:hAnsi="宋体" w:cs="宋体"/>
                <w:color w:val="auto"/>
                <w:sz w:val="24"/>
                <w:highlight w:val="none"/>
              </w:rPr>
            </w:pPr>
            <w:r>
              <w:rPr>
                <w:rFonts w:ascii="宋体" w:hAnsi="宋体" w:cs="宋体"/>
                <w:color w:val="auto"/>
                <w:sz w:val="24"/>
                <w:highlight w:val="none"/>
              </w:rPr>
            </w:r>
            <w:r/>
          </w:p>
        </w:tc>
      </w:tr>
      <w:tr>
        <w:trPr>
          <w:jc w:val="center"/>
        </w:trPr>
        <w:tc>
          <w:tcPr>
            <w:tcW w:w="2899" w:type="dxa"/>
            <w:textDirection w:val="lrTb"/>
            <w:noWrap w:val="false"/>
          </w:tcPr>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办公面积</w:t>
            </w:r>
            <w:r/>
          </w:p>
          <w:p>
            <w:pPr>
              <w:jc w:val="left"/>
              <w:spacing w:line="400" w:lineRule="exact"/>
              <w:rPr>
                <w:rFonts w:ascii="宋体" w:hAnsi="宋体" w:cs="宋体"/>
                <w:color w:val="auto"/>
                <w:sz w:val="24"/>
                <w:highlight w:val="none"/>
              </w:rPr>
            </w:pPr>
            <w:r>
              <w:rPr>
                <w:rFonts w:ascii="宋体" w:hAnsi="宋体" w:cs="宋体"/>
                <w:color w:val="auto"/>
                <w:sz w:val="24"/>
                <w:highlight w:val="none"/>
              </w:rPr>
            </w:r>
            <w:r/>
          </w:p>
        </w:tc>
        <w:tc>
          <w:tcPr>
            <w:tcW w:w="1870" w:type="dxa"/>
            <w:textDirection w:val="lrTb"/>
            <w:noWrap w:val="false"/>
          </w:tcPr>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       平方米</w:t>
            </w:r>
            <w:r/>
          </w:p>
        </w:tc>
        <w:tc>
          <w:tcPr>
            <w:tcW w:w="1757" w:type="dxa"/>
            <w:textDirection w:val="lrTb"/>
            <w:noWrap w:val="false"/>
          </w:tcPr>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其中：</w:t>
            </w:r>
            <w:r/>
          </w:p>
        </w:tc>
        <w:tc>
          <w:tcPr>
            <w:tcW w:w="2601" w:type="dxa"/>
            <w:textDirection w:val="lrTb"/>
            <w:noWrap w:val="false"/>
          </w:tcPr>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自有面积     平方米</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承租面积     平方米</w:t>
            </w:r>
            <w:r/>
          </w:p>
        </w:tc>
      </w:tr>
      <w:tr>
        <w:trPr>
          <w:jc w:val="center"/>
        </w:trPr>
        <w:tc>
          <w:tcPr>
            <w:tcW w:w="2899" w:type="dxa"/>
            <w:textDirection w:val="lrTb"/>
            <w:noWrap w:val="false"/>
          </w:tcPr>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单位简历及内设机构情况</w:t>
            </w:r>
            <w:r/>
          </w:p>
        </w:tc>
        <w:tc>
          <w:tcPr>
            <w:gridSpan w:val="3"/>
            <w:tcW w:w="6228" w:type="dxa"/>
            <w:textDirection w:val="lrTb"/>
            <w:noWrap w:val="false"/>
          </w:tcPr>
          <w:p>
            <w:pPr>
              <w:jc w:val="left"/>
              <w:spacing w:line="400" w:lineRule="exact"/>
              <w:rPr>
                <w:rFonts w:ascii="宋体" w:hAnsi="宋体" w:cs="宋体"/>
                <w:color w:val="auto"/>
                <w:sz w:val="24"/>
                <w:highlight w:val="none"/>
              </w:rPr>
            </w:pPr>
            <w:r>
              <w:rPr>
                <w:rFonts w:ascii="宋体" w:hAnsi="宋体" w:cs="宋体"/>
                <w:color w:val="auto"/>
                <w:sz w:val="24"/>
                <w:highlight w:val="none"/>
              </w:rPr>
            </w:r>
            <w:r/>
          </w:p>
        </w:tc>
      </w:tr>
      <w:tr>
        <w:trPr>
          <w:jc w:val="center"/>
        </w:trPr>
        <w:tc>
          <w:tcPr>
            <w:tcW w:w="2899" w:type="dxa"/>
            <w:textDirection w:val="lrTb"/>
            <w:noWrap w:val="false"/>
          </w:tcPr>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单位优势及特长</w:t>
            </w:r>
            <w:r/>
          </w:p>
        </w:tc>
        <w:tc>
          <w:tcPr>
            <w:gridSpan w:val="3"/>
            <w:tcW w:w="6228" w:type="dxa"/>
            <w:textDirection w:val="lrTb"/>
            <w:noWrap w:val="false"/>
          </w:tcPr>
          <w:p>
            <w:pPr>
              <w:jc w:val="left"/>
              <w:spacing w:line="400" w:lineRule="exact"/>
              <w:rPr>
                <w:rFonts w:ascii="宋体" w:hAnsi="宋体" w:cs="宋体"/>
                <w:color w:val="auto"/>
                <w:sz w:val="24"/>
                <w:highlight w:val="none"/>
              </w:rPr>
            </w:pPr>
            <w:r>
              <w:rPr>
                <w:rFonts w:ascii="宋体" w:hAnsi="宋体" w:cs="宋体"/>
                <w:color w:val="auto"/>
                <w:sz w:val="24"/>
                <w:highlight w:val="none"/>
              </w:rPr>
            </w:r>
            <w:r/>
          </w:p>
        </w:tc>
      </w:tr>
      <w:tr>
        <w:trPr>
          <w:jc w:val="center"/>
        </w:trPr>
        <w:tc>
          <w:tcPr>
            <w:tcW w:w="2899" w:type="dxa"/>
            <w:textDirection w:val="lrTb"/>
            <w:noWrap w:val="false"/>
          </w:tcPr>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近三年来完成或正在履行的重大合同情况</w:t>
            </w:r>
            <w:r/>
          </w:p>
        </w:tc>
        <w:tc>
          <w:tcPr>
            <w:gridSpan w:val="3"/>
            <w:tcW w:w="6228" w:type="dxa"/>
            <w:textDirection w:val="lrTb"/>
            <w:noWrap w:val="false"/>
          </w:tcPr>
          <w:p>
            <w:pPr>
              <w:jc w:val="left"/>
              <w:spacing w:line="400" w:lineRule="exact"/>
              <w:rPr>
                <w:rFonts w:ascii="宋体" w:hAnsi="宋体" w:cs="宋体"/>
                <w:color w:val="auto"/>
                <w:sz w:val="24"/>
                <w:highlight w:val="none"/>
              </w:rPr>
            </w:pPr>
            <w:r>
              <w:rPr>
                <w:rFonts w:ascii="宋体" w:hAnsi="宋体" w:cs="宋体"/>
                <w:color w:val="auto"/>
                <w:sz w:val="24"/>
                <w:highlight w:val="none"/>
              </w:rPr>
            </w:r>
            <w:r/>
          </w:p>
        </w:tc>
      </w:tr>
      <w:tr>
        <w:trPr>
          <w:jc w:val="center"/>
        </w:trPr>
        <w:tc>
          <w:tcPr>
            <w:tcW w:w="2899" w:type="dxa"/>
            <w:textDirection w:val="lrTb"/>
            <w:noWrap w:val="false"/>
          </w:tcPr>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最近3年内在经营过程中受到何种奖励或处分</w:t>
            </w:r>
            <w:r/>
          </w:p>
        </w:tc>
        <w:tc>
          <w:tcPr>
            <w:gridSpan w:val="3"/>
            <w:tcW w:w="6228" w:type="dxa"/>
            <w:textDirection w:val="lrTb"/>
            <w:noWrap w:val="false"/>
          </w:tcPr>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（行政主管部门的奖惩）</w:t>
            </w:r>
            <w:r/>
          </w:p>
        </w:tc>
      </w:tr>
      <w:tr>
        <w:trPr>
          <w:jc w:val="center"/>
        </w:trPr>
        <w:tc>
          <w:tcPr>
            <w:tcW w:w="2899" w:type="dxa"/>
            <w:textDirection w:val="lrTb"/>
            <w:noWrap w:val="false"/>
          </w:tcPr>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最近3年内有无因违纪或是其他原因被投诉或起诉的情况及说明</w:t>
            </w:r>
            <w:r/>
          </w:p>
        </w:tc>
        <w:tc>
          <w:tcPr>
            <w:gridSpan w:val="3"/>
            <w:tcW w:w="6228" w:type="dxa"/>
            <w:textDirection w:val="lrTb"/>
            <w:noWrap w:val="false"/>
          </w:tcPr>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（包括解决方式和结果）</w:t>
            </w:r>
            <w:r/>
          </w:p>
        </w:tc>
      </w:tr>
      <w:tr>
        <w:trPr>
          <w:jc w:val="center"/>
        </w:trPr>
        <w:tc>
          <w:tcPr>
            <w:tcW w:w="2899" w:type="dxa"/>
            <w:textDirection w:val="lrTb"/>
            <w:noWrap w:val="false"/>
          </w:tcPr>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最近3年内主要负责人有无因经济犯罪被司法机关追究的情况及说明</w:t>
            </w:r>
            <w:r/>
          </w:p>
        </w:tc>
        <w:tc>
          <w:tcPr>
            <w:gridSpan w:val="3"/>
            <w:tcW w:w="6228" w:type="dxa"/>
            <w:textDirection w:val="lrTb"/>
            <w:noWrap w:val="false"/>
          </w:tcPr>
          <w:p>
            <w:pPr>
              <w:jc w:val="left"/>
              <w:spacing w:line="400" w:lineRule="exact"/>
              <w:rPr>
                <w:rFonts w:ascii="宋体" w:hAnsi="宋体" w:cs="宋体"/>
                <w:color w:val="auto"/>
                <w:sz w:val="24"/>
                <w:highlight w:val="none"/>
              </w:rPr>
            </w:pPr>
            <w:r>
              <w:rPr>
                <w:rFonts w:ascii="宋体" w:hAnsi="宋体" w:cs="宋体"/>
                <w:color w:val="auto"/>
                <w:sz w:val="24"/>
                <w:highlight w:val="none"/>
              </w:rPr>
            </w:r>
            <w:r/>
          </w:p>
        </w:tc>
      </w:tr>
      <w:tr>
        <w:trPr>
          <w:jc w:val="center"/>
          <w:trHeight w:val="540"/>
        </w:trPr>
        <w:tc>
          <w:tcPr>
            <w:tcW w:w="2899" w:type="dxa"/>
            <w:textDirection w:val="lrTb"/>
            <w:noWrap w:val="false"/>
          </w:tcPr>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其他需要说明的情况</w:t>
            </w:r>
            <w:r/>
          </w:p>
        </w:tc>
        <w:tc>
          <w:tcPr>
            <w:gridSpan w:val="3"/>
            <w:tcW w:w="6228" w:type="dxa"/>
            <w:textDirection w:val="lrTb"/>
            <w:noWrap w:val="false"/>
          </w:tcPr>
          <w:p>
            <w:pPr>
              <w:jc w:val="left"/>
              <w:spacing w:line="400" w:lineRule="exact"/>
              <w:rPr>
                <w:rFonts w:ascii="宋体" w:hAnsi="宋体" w:cs="宋体"/>
                <w:color w:val="auto"/>
                <w:sz w:val="24"/>
                <w:highlight w:val="none"/>
              </w:rPr>
            </w:pPr>
            <w:r>
              <w:rPr>
                <w:rFonts w:ascii="宋体" w:hAnsi="宋体" w:cs="宋体"/>
                <w:color w:val="auto"/>
                <w:sz w:val="24"/>
                <w:highlight w:val="none"/>
              </w:rPr>
            </w:r>
            <w:r/>
          </w:p>
        </w:tc>
      </w:tr>
    </w:tbl>
    <w:p>
      <w:pPr>
        <w:pStyle w:val="1121"/>
        <w:spacing w:before="75" w:beforeAutospacing="0" w:after="75" w:afterAutospacing="0" w:line="495" w:lineRule="atLeast"/>
        <w:widowControl/>
        <w:rPr>
          <w:rFonts w:ascii="宋体" w:hAnsi="宋体" w:cs="宋体"/>
          <w:color w:val="auto"/>
          <w:highlight w:val="none"/>
        </w:rPr>
      </w:pPr>
      <w:r>
        <w:rPr>
          <w:rFonts w:hint="eastAsia" w:ascii="宋体" w:hAnsi="宋体" w:cs="宋体"/>
          <w:color w:val="auto"/>
          <w:highlight w:val="none"/>
        </w:rPr>
        <w:t xml:space="preserve">注：若事项较多，供应商可根据实际情况另纸说明。</w:t>
      </w:r>
      <w:r/>
    </w:p>
    <w:p>
      <w:pPr>
        <w:pStyle w:val="1121"/>
        <w:spacing w:before="75" w:beforeAutospacing="0" w:after="75" w:afterAutospacing="0" w:line="495" w:lineRule="atLeast"/>
        <w:widowControl/>
        <w:rPr>
          <w:rFonts w:ascii="宋体" w:hAnsi="宋体" w:cs="宋体"/>
          <w:color w:val="auto"/>
          <w:highlight w:val="none"/>
        </w:rPr>
      </w:pPr>
      <w:r>
        <w:rPr>
          <w:rFonts w:hint="eastAsia" w:ascii="宋体" w:hAnsi="宋体" w:cs="宋体"/>
          <w:color w:val="auto"/>
          <w:highlight w:val="none"/>
        </w:rPr>
        <w:t xml:space="preserve">                                 </w:t>
      </w:r>
      <w:r>
        <w:rPr>
          <w:rFonts w:hint="eastAsia" w:ascii="宋体" w:hAnsi="宋体" w:cs="宋体"/>
          <w:color w:val="auto"/>
          <w:highlight w:val="none"/>
          <w:lang w:val="zh-CN"/>
        </w:rPr>
        <w:t xml:space="preserve">响应单位：（</w:t>
      </w:r>
      <w:r>
        <w:rPr>
          <w:rFonts w:hint="eastAsia" w:ascii="宋体" w:hAnsi="宋体" w:cs="宋体"/>
          <w:color w:val="auto"/>
          <w:highlight w:val="none"/>
        </w:rPr>
        <w:t xml:space="preserve">签章</w:t>
      </w:r>
      <w:r>
        <w:rPr>
          <w:rFonts w:hint="eastAsia" w:ascii="宋体" w:hAnsi="宋体" w:cs="宋体"/>
          <w:color w:val="auto"/>
          <w:highlight w:val="none"/>
          <w:lang w:val="zh-CN"/>
        </w:rPr>
        <w:t xml:space="preserve">）</w:t>
      </w:r>
      <w:r/>
    </w:p>
    <w:p>
      <w:pPr>
        <w:pStyle w:val="1121"/>
        <w:spacing w:before="75" w:beforeAutospacing="0" w:after="75" w:afterAutospacing="0" w:line="495" w:lineRule="atLeast"/>
        <w:widowControl/>
        <w:rPr>
          <w:rFonts w:ascii="宋体" w:hAnsi="宋体" w:cs="宋体"/>
          <w:color w:val="auto"/>
          <w:highlight w:val="none"/>
        </w:rPr>
      </w:pPr>
      <w:r>
        <w:rPr>
          <w:rFonts w:hint="eastAsia" w:ascii="宋体" w:hAnsi="宋体" w:cs="宋体"/>
          <w:color w:val="auto"/>
          <w:highlight w:val="none"/>
        </w:rPr>
        <w:t xml:space="preserve">                            </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  法定代表人或被授权人：（签字或盖章）</w:t>
      </w:r>
      <w:r/>
    </w:p>
    <w:p>
      <w:pPr>
        <w:pStyle w:val="1121"/>
        <w:spacing w:before="75" w:beforeAutospacing="0" w:after="75" w:afterAutospacing="0" w:line="495" w:lineRule="atLeast"/>
        <w:widowControl/>
        <w:rPr>
          <w:rFonts w:ascii="宋体" w:hAnsi="宋体" w:cs="宋体"/>
          <w:color w:val="auto"/>
          <w:highlight w:val="none"/>
        </w:rPr>
      </w:pPr>
      <w:r>
        <w:rPr>
          <w:rFonts w:hint="eastAsia" w:ascii="宋体" w:hAnsi="宋体" w:cs="宋体"/>
          <w:color w:val="auto"/>
          <w:highlight w:val="none"/>
        </w:rPr>
        <w:t xml:space="preserve">                                  日    期：     年     月    日</w:t>
      </w:r>
      <w:r/>
    </w:p>
    <w:p>
      <w:pPr>
        <w:jc w:val="left"/>
        <w:spacing w:before="75" w:after="75" w:line="435" w:lineRule="atLeast"/>
        <w:widowControl/>
        <w:rPr>
          <w:rFonts w:ascii="宋体" w:hAnsi="宋体" w:cs="宋体"/>
          <w:b/>
          <w:bCs/>
          <w:color w:val="auto"/>
          <w:sz w:val="24"/>
          <w:highlight w:val="none"/>
        </w:rPr>
      </w:pPr>
      <w:r>
        <w:rPr>
          <w:rFonts w:ascii="宋体" w:hAnsi="宋体" w:cs="宋体"/>
          <w:b/>
          <w:bCs/>
          <w:color w:val="auto"/>
          <w:sz w:val="24"/>
          <w:highlight w:val="none"/>
        </w:rPr>
      </w:r>
      <w:r/>
    </w:p>
    <w:p>
      <w:pPr>
        <w:jc w:val="left"/>
        <w:spacing w:before="75" w:after="75" w:line="435" w:lineRule="atLeast"/>
        <w:widowControl/>
        <w:rPr>
          <w:rFonts w:ascii="宋体" w:hAnsi="宋体" w:cs="宋体"/>
          <w:b/>
          <w:bCs/>
          <w:color w:val="auto"/>
          <w:sz w:val="24"/>
          <w:highlight w:val="none"/>
        </w:rPr>
      </w:pPr>
      <w:r>
        <w:rPr>
          <w:rFonts w:hint="eastAsia" w:ascii="宋体" w:hAnsi="宋体" w:cs="宋体"/>
          <w:b/>
          <w:bCs/>
          <w:color w:val="auto"/>
          <w:sz w:val="24"/>
          <w:highlight w:val="none"/>
        </w:rPr>
        <w:t xml:space="preserve">附件5-1：资格条件证明材料</w:t>
      </w:r>
      <w:r/>
    </w:p>
    <w:p>
      <w:pPr>
        <w:jc w:val="center"/>
        <w:spacing w:before="75" w:after="75" w:line="360" w:lineRule="auto"/>
        <w:widowControl/>
        <w:rPr>
          <w:rFonts w:ascii="宋体" w:hAnsi="宋体" w:cs="宋体"/>
          <w:color w:val="auto"/>
          <w:sz w:val="24"/>
          <w:highlight w:val="none"/>
        </w:rPr>
      </w:pPr>
      <w:r>
        <w:rPr>
          <w:rFonts w:hint="eastAsia" w:ascii="宋体" w:hAnsi="宋体" w:cs="宋体"/>
          <w:b/>
          <w:color w:val="auto"/>
          <w:sz w:val="24"/>
          <w:highlight w:val="none"/>
        </w:rPr>
        <w:t xml:space="preserve">营业执照等证明文件</w:t>
      </w:r>
      <w:r/>
    </w:p>
    <w:p>
      <w:pPr>
        <w:jc w:val="left"/>
        <w:spacing w:before="75" w:after="75"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     (采购人或采购代理机构)        </w:t>
      </w:r>
      <w:r/>
    </w:p>
    <w:p>
      <w:pPr>
        <w:ind w:firstLine="420"/>
        <w:jc w:val="left"/>
        <w:spacing w:before="75" w:after="75"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 ）供应商为法人（包括企业、事业单位和社会团体）的</w:t>
      </w:r>
      <w:r/>
    </w:p>
    <w:p>
      <w:pPr>
        <w:ind w:firstLine="420"/>
        <w:jc w:val="left"/>
        <w:spacing w:before="75" w:after="75"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现附上由</w:t>
      </w:r>
      <w:r>
        <w:rPr>
          <w:rFonts w:hint="eastAsia" w:ascii="宋体" w:hAnsi="宋体" w:cs="宋体"/>
          <w:color w:val="auto"/>
          <w:sz w:val="24"/>
          <w:highlight w:val="none"/>
          <w:u w:val="single"/>
        </w:rPr>
        <w:t xml:space="preserve">（填写“签发机关全称”）</w:t>
      </w:r>
      <w:r>
        <w:rPr>
          <w:rFonts w:hint="eastAsia" w:ascii="宋体" w:hAnsi="宋体" w:cs="宋体"/>
          <w:color w:val="auto"/>
          <w:sz w:val="24"/>
          <w:highlight w:val="none"/>
        </w:rPr>
        <w:t xml:space="preserve">签发的我方统一社会信用代码</w:t>
      </w:r>
      <w:r>
        <w:rPr>
          <w:rFonts w:hint="eastAsia" w:ascii="宋体" w:hAnsi="宋体" w:cs="宋体"/>
          <w:color w:val="auto"/>
          <w:sz w:val="24"/>
          <w:highlight w:val="none"/>
          <w:u w:val="single"/>
        </w:rPr>
        <w:t xml:space="preserve">（请填写法人的具体证照名称）</w:t>
      </w:r>
      <w:r>
        <w:rPr>
          <w:rFonts w:hint="eastAsia" w:ascii="宋体" w:hAnsi="宋体" w:cs="宋体"/>
          <w:color w:val="auto"/>
          <w:sz w:val="24"/>
          <w:highlight w:val="none"/>
        </w:rPr>
        <w:t xml:space="preserve">复印件，该证明材料真实有效，否则我方负全部责任。</w:t>
      </w:r>
      <w:r/>
    </w:p>
    <w:p>
      <w:pPr>
        <w:ind w:firstLine="420"/>
        <w:jc w:val="left"/>
        <w:spacing w:before="75" w:after="75"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 ）供应商为非法人（包括其他组织、自然人）的</w:t>
      </w:r>
      <w:r/>
    </w:p>
    <w:p>
      <w:pPr>
        <w:ind w:firstLine="420"/>
        <w:jc w:val="left"/>
        <w:spacing w:before="75" w:after="75"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□现附上由</w:t>
      </w:r>
      <w:r>
        <w:rPr>
          <w:rFonts w:hint="eastAsia" w:ascii="宋体" w:hAnsi="宋体" w:cs="宋体"/>
          <w:color w:val="auto"/>
          <w:sz w:val="24"/>
          <w:highlight w:val="none"/>
          <w:u w:val="single"/>
        </w:rPr>
        <w:t xml:space="preserve">（填写“签发机关全称”）</w:t>
      </w:r>
      <w:r>
        <w:rPr>
          <w:rFonts w:hint="eastAsia" w:ascii="宋体" w:hAnsi="宋体" w:cs="宋体"/>
          <w:color w:val="auto"/>
          <w:sz w:val="24"/>
          <w:highlight w:val="none"/>
        </w:rPr>
        <w:t xml:space="preserve">签发的我方</w:t>
      </w:r>
      <w:r>
        <w:rPr>
          <w:rFonts w:hint="eastAsia" w:ascii="宋体" w:hAnsi="宋体" w:cs="宋体"/>
          <w:color w:val="auto"/>
          <w:sz w:val="24"/>
          <w:highlight w:val="none"/>
          <w:u w:val="single"/>
        </w:rPr>
        <w:t xml:space="preserve">（请填写非自然人的非法人的具体证照名称）</w:t>
      </w:r>
      <w:r>
        <w:rPr>
          <w:rFonts w:hint="eastAsia" w:ascii="宋体" w:hAnsi="宋体" w:cs="宋体"/>
          <w:color w:val="auto"/>
          <w:sz w:val="24"/>
          <w:highlight w:val="none"/>
        </w:rPr>
        <w:t xml:space="preserve">复印件，该证明材料真实有效，否则我方负全部责任。</w:t>
      </w:r>
      <w:r/>
    </w:p>
    <w:p>
      <w:pPr>
        <w:ind w:firstLine="420"/>
        <w:jc w:val="left"/>
        <w:spacing w:before="75" w:after="75"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□现附上由</w:t>
      </w:r>
      <w:r>
        <w:rPr>
          <w:rFonts w:hint="eastAsia" w:ascii="宋体" w:hAnsi="宋体" w:cs="宋体"/>
          <w:color w:val="auto"/>
          <w:sz w:val="24"/>
          <w:highlight w:val="none"/>
          <w:u w:val="single"/>
        </w:rPr>
        <w:t xml:space="preserve">（填写“签发机关全称”）</w:t>
      </w:r>
      <w:r>
        <w:rPr>
          <w:rFonts w:hint="eastAsia" w:ascii="宋体" w:hAnsi="宋体" w:cs="宋体"/>
          <w:color w:val="auto"/>
          <w:sz w:val="24"/>
          <w:highlight w:val="none"/>
        </w:rPr>
        <w:t xml:space="preserve">签发的我方</w:t>
      </w:r>
      <w:r>
        <w:rPr>
          <w:rFonts w:hint="eastAsia" w:ascii="宋体" w:hAnsi="宋体" w:cs="宋体"/>
          <w:color w:val="auto"/>
          <w:sz w:val="24"/>
          <w:highlight w:val="none"/>
          <w:u w:val="single"/>
        </w:rPr>
        <w:t xml:space="preserve">（请填写自然人的身份证件名称）</w:t>
      </w:r>
      <w:r>
        <w:rPr>
          <w:rFonts w:hint="eastAsia" w:ascii="宋体" w:hAnsi="宋体" w:cs="宋体"/>
          <w:color w:val="auto"/>
          <w:sz w:val="24"/>
          <w:highlight w:val="none"/>
        </w:rPr>
        <w:t xml:space="preserve">复印件，该证明材料真实有效，否则我方负全部责任。</w:t>
      </w:r>
      <w:r/>
    </w:p>
    <w:p>
      <w:pPr>
        <w:jc w:val="left"/>
        <w:spacing w:before="75" w:after="75"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★注意：</w:t>
      </w:r>
      <w:r/>
    </w:p>
    <w:p>
      <w:pPr>
        <w:jc w:val="left"/>
        <w:spacing w:before="75" w:after="75"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1、请供应商根据实际情况填写，在相应的（）中打“√”并选择相应的“□”（若有）后，再按照本格式的要求提供相应证明材料的复印件。</w:t>
      </w:r>
      <w:r/>
    </w:p>
    <w:p>
      <w:pPr>
        <w:jc w:val="left"/>
        <w:spacing w:before="75" w:after="75"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r/>
    </w:p>
    <w:p>
      <w:pPr>
        <w:jc w:val="left"/>
        <w:spacing w:before="75" w:after="75"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3、供应商提供的相应证明材料复印件均应符合：内容完整、清晰、整洁，并由供应商加盖其单位公章。</w:t>
      </w:r>
      <w:r/>
    </w:p>
    <w:p>
      <w:pPr>
        <w:jc w:val="left"/>
        <w:spacing w:before="75" w:after="75"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4、对于接受联合体形式的磋商且供应商是联合体的，则联合体各成员都应当提交本资格证明文件。</w:t>
      </w:r>
      <w:r/>
    </w:p>
    <w:p>
      <w:pPr>
        <w:ind w:firstLine="3360"/>
        <w:jc w:val="left"/>
        <w:spacing w:before="75" w:after="75"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zh-CN"/>
        </w:rPr>
        <w:t xml:space="preserve">响应单位：（</w:t>
      </w:r>
      <w:r>
        <w:rPr>
          <w:rFonts w:hint="eastAsia" w:ascii="宋体" w:hAnsi="宋体" w:cs="宋体"/>
          <w:color w:val="auto"/>
          <w:sz w:val="24"/>
          <w:highlight w:val="none"/>
        </w:rPr>
        <w:t xml:space="preserve">签章</w:t>
      </w:r>
      <w:r>
        <w:rPr>
          <w:rFonts w:hint="eastAsia" w:ascii="宋体" w:hAnsi="宋体" w:cs="宋体"/>
          <w:color w:val="auto"/>
          <w:sz w:val="24"/>
          <w:highlight w:val="none"/>
          <w:lang w:val="zh-CN"/>
        </w:rPr>
        <w:t xml:space="preserve">）</w:t>
      </w:r>
      <w:r/>
    </w:p>
    <w:p>
      <w:pPr>
        <w:ind w:firstLine="3360"/>
        <w:jc w:val="left"/>
        <w:spacing w:before="75" w:after="75"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日     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jc w:val="left"/>
        <w:spacing w:before="75" w:after="75" w:line="360" w:lineRule="auto"/>
        <w:widowControl/>
        <w:rPr>
          <w:rFonts w:ascii="宋体" w:hAnsi="宋体" w:cs="宋体"/>
          <w:b/>
          <w:bCs/>
          <w:color w:val="auto"/>
          <w:sz w:val="24"/>
          <w:highlight w:val="none"/>
        </w:rPr>
      </w:pPr>
      <w:r>
        <w:rPr>
          <w:rFonts w:ascii="宋体" w:hAnsi="宋体" w:cs="宋体"/>
          <w:b/>
          <w:bCs/>
          <w:color w:val="auto"/>
          <w:sz w:val="24"/>
          <w:highlight w:val="none"/>
        </w:rPr>
      </w:r>
      <w:r/>
    </w:p>
    <w:p>
      <w:pPr>
        <w:jc w:val="left"/>
        <w:spacing w:before="75" w:after="75" w:line="495" w:lineRule="atLeast"/>
        <w:widowControl/>
        <w:rPr>
          <w:rFonts w:ascii="宋体" w:hAnsi="宋体" w:cs="宋体"/>
          <w:b/>
          <w:bCs/>
          <w:color w:val="auto"/>
          <w:sz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
          <w:bCs/>
          <w:color w:val="auto"/>
          <w:sz w:val="24"/>
          <w:highlight w:val="none"/>
        </w:rPr>
      </w:r>
      <w:r/>
    </w:p>
    <w:p>
      <w:pPr>
        <w:jc w:val="left"/>
        <w:spacing w:before="75" w:after="75" w:line="435" w:lineRule="atLeast"/>
        <w:widowControl/>
        <w:rPr>
          <w:rFonts w:ascii="宋体" w:hAnsi="宋体" w:cs="宋体"/>
          <w:b/>
          <w:bCs/>
          <w:color w:val="auto"/>
          <w:sz w:val="24"/>
          <w:highlight w:val="none"/>
        </w:rPr>
      </w:pPr>
      <w:r>
        <w:rPr>
          <w:rFonts w:hint="eastAsia" w:ascii="宋体" w:hAnsi="宋体" w:cs="宋体"/>
          <w:b/>
          <w:bCs/>
          <w:color w:val="auto"/>
          <w:sz w:val="24"/>
          <w:highlight w:val="none"/>
        </w:rPr>
        <w:t xml:space="preserve">附件5-2：资格条件证明材料</w:t>
      </w:r>
      <w:r/>
    </w:p>
    <w:p>
      <w:pPr>
        <w:jc w:val="left"/>
        <w:spacing w:before="75" w:after="75" w:line="495" w:lineRule="atLeast"/>
        <w:widowControl/>
        <w:rPr>
          <w:rFonts w:ascii="宋体" w:hAnsi="宋体" w:cs="宋体"/>
          <w:b/>
          <w:bCs/>
          <w:color w:val="auto"/>
          <w:sz w:val="24"/>
          <w:highlight w:val="none"/>
        </w:rPr>
      </w:pPr>
      <w:r>
        <w:rPr>
          <w:rFonts w:ascii="宋体" w:hAnsi="宋体" w:cs="宋体"/>
          <w:b/>
          <w:bCs/>
          <w:color w:val="auto"/>
          <w:sz w:val="24"/>
          <w:highlight w:val="none"/>
        </w:rPr>
      </w:r>
      <w:r/>
    </w:p>
    <w:p>
      <w:pPr>
        <w:jc w:val="center"/>
        <w:spacing w:before="75" w:after="75" w:line="435" w:lineRule="atLeast"/>
        <w:widowControl/>
        <w:rPr>
          <w:rFonts w:ascii="宋体" w:hAnsi="宋体" w:cs="宋体"/>
          <w:color w:val="auto"/>
          <w:sz w:val="24"/>
          <w:highlight w:val="none"/>
        </w:rPr>
      </w:pPr>
      <w:r>
        <w:rPr>
          <w:rFonts w:hint="eastAsia" w:ascii="宋体" w:hAnsi="宋体" w:cs="宋体"/>
          <w:b/>
          <w:color w:val="auto"/>
          <w:sz w:val="24"/>
          <w:highlight w:val="none"/>
        </w:rPr>
        <w:t xml:space="preserve">财务状况报告</w:t>
      </w:r>
      <w:r/>
    </w:p>
    <w:p>
      <w:pPr>
        <w:jc w:val="left"/>
        <w:spacing w:before="75" w:after="75" w:line="435" w:lineRule="atLeast"/>
        <w:widowControl/>
        <w:rPr>
          <w:rFonts w:ascii="宋体" w:hAnsi="宋体" w:cs="宋体"/>
          <w:color w:val="auto"/>
          <w:sz w:val="24"/>
          <w:highlight w:val="none"/>
        </w:rPr>
      </w:pPr>
      <w:r>
        <w:rPr>
          <w:rFonts w:hint="eastAsia" w:ascii="宋体" w:hAnsi="宋体" w:cs="宋体"/>
          <w:color w:val="auto"/>
          <w:sz w:val="24"/>
          <w:highlight w:val="none"/>
        </w:rPr>
        <w:t xml:space="preserve"> </w:t>
      </w:r>
      <w:r/>
    </w:p>
    <w:p>
      <w:pPr>
        <w:spacing w:before="75" w:after="75" w:line="435" w:lineRule="atLeast"/>
        <w:widowControl/>
        <w:rPr>
          <w:rFonts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     (采购人或采购代理机构)         </w:t>
      </w:r>
      <w:r/>
    </w:p>
    <w:p>
      <w:pPr>
        <w:ind w:firstLine="480"/>
        <w:spacing w:before="75" w:after="75" w:line="435" w:lineRule="atLeast"/>
        <w:widowControl/>
        <w:rPr>
          <w:rFonts w:ascii="宋体" w:hAnsi="宋体" w:cs="宋体"/>
          <w:color w:val="auto"/>
          <w:sz w:val="24"/>
          <w:highlight w:val="none"/>
        </w:rPr>
      </w:pPr>
      <w:r>
        <w:rPr>
          <w:rFonts w:hint="eastAsia" w:ascii="宋体" w:hAnsi="宋体" w:cs="宋体"/>
          <w:color w:val="auto"/>
          <w:sz w:val="24"/>
          <w:highlight w:val="none"/>
        </w:rPr>
        <w:t xml:space="preserve">（ ）供应商提供财务报告的</w:t>
      </w:r>
      <w:r/>
    </w:p>
    <w:p>
      <w:pPr>
        <w:ind w:firstLine="480"/>
        <w:spacing w:before="75" w:after="75" w:line="435" w:lineRule="atLeast"/>
        <w:widowControl/>
        <w:rPr>
          <w:rFonts w:ascii="宋体" w:hAnsi="宋体" w:cs="宋体"/>
          <w:color w:val="auto"/>
          <w:sz w:val="24"/>
          <w:highlight w:val="none"/>
        </w:rPr>
      </w:pPr>
      <w:r>
        <w:rPr>
          <w:rFonts w:hint="eastAsia" w:ascii="宋体" w:hAnsi="宋体" w:cs="宋体"/>
          <w:color w:val="auto"/>
          <w:sz w:val="24"/>
          <w:highlight w:val="none"/>
        </w:rPr>
        <w:t xml:space="preserve">□企业适用：现附上我方</w:t>
      </w:r>
      <w:r>
        <w:rPr>
          <w:rFonts w:hint="eastAsia" w:ascii="宋体" w:hAnsi="宋体" w:cs="宋体"/>
          <w:color w:val="auto"/>
          <w:sz w:val="24"/>
          <w:highlight w:val="none"/>
          <w:u w:val="single"/>
        </w:rPr>
        <w:t xml:space="preserve">（填写“具体的年度、或半年度、或季度”）</w:t>
      </w:r>
      <w:r>
        <w:rPr>
          <w:rFonts w:hint="eastAsia" w:ascii="宋体" w:hAnsi="宋体" w:cs="宋体"/>
          <w:color w:val="auto"/>
          <w:sz w:val="24"/>
          <w:highlight w:val="none"/>
        </w:rPr>
        <w:t xml:space="preserve">财务报告复印件，包括资产负债表、利润表、现金流量表、所有者权益变动表及其附注（若有），上述证明材料真实有效，否则我方负全部责任。</w:t>
      </w:r>
      <w:r/>
    </w:p>
    <w:p>
      <w:pPr>
        <w:ind w:firstLine="480"/>
        <w:spacing w:before="75" w:after="75" w:line="435" w:lineRule="atLeast"/>
        <w:widowControl/>
        <w:rPr>
          <w:rFonts w:ascii="宋体" w:hAnsi="宋体" w:cs="宋体"/>
          <w:color w:val="auto"/>
          <w:sz w:val="24"/>
          <w:highlight w:val="none"/>
        </w:rPr>
      </w:pPr>
      <w:r>
        <w:rPr>
          <w:rFonts w:hint="eastAsia" w:ascii="宋体" w:hAnsi="宋体" w:cs="宋体"/>
          <w:color w:val="auto"/>
          <w:sz w:val="24"/>
          <w:highlight w:val="none"/>
        </w:rPr>
        <w:t xml:space="preserve">□事业单位适用：现附上我方</w:t>
      </w:r>
      <w:r>
        <w:rPr>
          <w:rFonts w:hint="eastAsia" w:ascii="宋体" w:hAnsi="宋体" w:cs="宋体"/>
          <w:color w:val="auto"/>
          <w:sz w:val="24"/>
          <w:highlight w:val="none"/>
          <w:u w:val="single"/>
        </w:rPr>
        <w:t xml:space="preserve">（填写“具体的年度、或半年度、或季度”）</w:t>
      </w:r>
      <w:r>
        <w:rPr>
          <w:rFonts w:hint="eastAsia" w:ascii="宋体" w:hAnsi="宋体" w:cs="宋体"/>
          <w:color w:val="auto"/>
          <w:sz w:val="24"/>
          <w:highlight w:val="none"/>
        </w:rPr>
        <w:t xml:space="preserve">财务报告复印件，包括资产负债表、收入支出表或收入费用表、财政补助收入支出表（若有），上述证明材料真实有效，否则我方负全部责任。</w:t>
      </w:r>
      <w:r/>
    </w:p>
    <w:p>
      <w:pPr>
        <w:ind w:firstLine="480"/>
        <w:spacing w:before="75" w:after="75" w:line="435" w:lineRule="atLeast"/>
        <w:widowControl/>
        <w:rPr>
          <w:rFonts w:ascii="宋体" w:hAnsi="宋体" w:cs="宋体"/>
          <w:color w:val="auto"/>
          <w:sz w:val="24"/>
          <w:highlight w:val="none"/>
        </w:rPr>
      </w:pPr>
      <w:r>
        <w:rPr>
          <w:rFonts w:hint="eastAsia" w:ascii="宋体" w:hAnsi="宋体" w:cs="宋体"/>
          <w:color w:val="auto"/>
          <w:sz w:val="24"/>
          <w:highlight w:val="none"/>
        </w:rPr>
        <w:t xml:space="preserve">□社会团体适用：现附上我方</w:t>
      </w:r>
      <w:r>
        <w:rPr>
          <w:rFonts w:hint="eastAsia" w:ascii="宋体" w:hAnsi="宋体" w:cs="宋体"/>
          <w:color w:val="auto"/>
          <w:sz w:val="24"/>
          <w:highlight w:val="none"/>
          <w:u w:val="single"/>
        </w:rPr>
        <w:t xml:space="preserve">（填写“具体的年度、或半年度、或季度”）</w:t>
      </w:r>
      <w:r>
        <w:rPr>
          <w:rFonts w:hint="eastAsia" w:ascii="宋体" w:hAnsi="宋体" w:cs="宋体"/>
          <w:color w:val="auto"/>
          <w:sz w:val="24"/>
          <w:highlight w:val="none"/>
        </w:rPr>
        <w:t xml:space="preserve">财务报告复印件，包括资产负债表、业务活动表、现金流量表，上述证明材料真实有效，否则我方负全部责任。</w:t>
      </w:r>
      <w:r/>
    </w:p>
    <w:p>
      <w:pPr>
        <w:ind w:firstLine="480"/>
        <w:spacing w:before="75" w:after="75" w:line="435" w:lineRule="atLeast"/>
        <w:widowControl/>
        <w:rPr>
          <w:rFonts w:ascii="宋体" w:hAnsi="宋体" w:cs="宋体"/>
          <w:color w:val="auto"/>
          <w:sz w:val="24"/>
          <w:highlight w:val="none"/>
        </w:rPr>
      </w:pPr>
      <w:r>
        <w:rPr>
          <w:rFonts w:hint="eastAsia" w:ascii="宋体" w:hAnsi="宋体" w:cs="宋体"/>
          <w:color w:val="auto"/>
          <w:sz w:val="24"/>
          <w:highlight w:val="none"/>
        </w:rPr>
        <w:t xml:space="preserve">（ ）供应商提供资信证明的</w:t>
      </w:r>
      <w:r/>
    </w:p>
    <w:p>
      <w:pPr>
        <w:ind w:firstLine="480"/>
        <w:spacing w:before="75" w:after="75" w:line="435" w:lineRule="atLeast"/>
        <w:widowControl/>
        <w:rPr>
          <w:rFonts w:ascii="宋体" w:hAnsi="宋体" w:cs="宋体"/>
          <w:color w:val="auto"/>
          <w:sz w:val="24"/>
          <w:highlight w:val="none"/>
        </w:rPr>
      </w:pPr>
      <w:r>
        <w:rPr>
          <w:rFonts w:hint="eastAsia" w:ascii="宋体" w:hAnsi="宋体" w:cs="宋体"/>
          <w:color w:val="auto"/>
          <w:sz w:val="24"/>
          <w:highlight w:val="none"/>
        </w:rPr>
        <w:t xml:space="preserve">□非自然人适用：现附上我方开户（基本户）许可证复印件及我方银行：</w:t>
      </w:r>
      <w:r>
        <w:rPr>
          <w:rFonts w:hint="eastAsia" w:ascii="宋体" w:hAnsi="宋体" w:cs="宋体"/>
          <w:color w:val="auto"/>
          <w:sz w:val="24"/>
          <w:highlight w:val="none"/>
          <w:u w:val="single"/>
        </w:rPr>
        <w:t xml:space="preserve">（填写“基本户的开户银行全称”）</w:t>
      </w:r>
      <w:r>
        <w:rPr>
          <w:rFonts w:hint="eastAsia" w:ascii="宋体" w:hAnsi="宋体" w:cs="宋体"/>
          <w:color w:val="auto"/>
          <w:sz w:val="24"/>
          <w:highlight w:val="none"/>
        </w:rPr>
        <w:t xml:space="preserve">出具的资信证明复印件，上述证明材料真实有效，否则我方负全部责任。</w:t>
      </w:r>
      <w:r/>
    </w:p>
    <w:p>
      <w:pPr>
        <w:ind w:firstLine="480"/>
        <w:spacing w:before="75" w:after="75" w:line="435" w:lineRule="atLeast"/>
        <w:widowControl/>
        <w:rPr>
          <w:rFonts w:ascii="宋体" w:hAnsi="宋体" w:cs="宋体"/>
          <w:color w:val="auto"/>
          <w:sz w:val="24"/>
          <w:highlight w:val="none"/>
        </w:rPr>
      </w:pPr>
      <w:r>
        <w:rPr>
          <w:rFonts w:hint="eastAsia" w:ascii="宋体" w:hAnsi="宋体" w:cs="宋体"/>
          <w:color w:val="auto"/>
          <w:sz w:val="24"/>
          <w:highlight w:val="none"/>
        </w:rPr>
        <w:t xml:space="preserve">□自然人适用：现附上我方银行：</w:t>
      </w:r>
      <w:r>
        <w:rPr>
          <w:rFonts w:hint="eastAsia" w:ascii="宋体" w:hAnsi="宋体" w:cs="宋体"/>
          <w:color w:val="auto"/>
          <w:sz w:val="24"/>
          <w:highlight w:val="none"/>
          <w:u w:val="single"/>
        </w:rPr>
        <w:t xml:space="preserve">（填写自然人的“个人账户的开户银行全称”）</w:t>
      </w:r>
      <w:r>
        <w:rPr>
          <w:rFonts w:hint="eastAsia" w:ascii="宋体" w:hAnsi="宋体" w:cs="宋体"/>
          <w:color w:val="auto"/>
          <w:sz w:val="24"/>
          <w:highlight w:val="none"/>
        </w:rPr>
        <w:t xml:space="preserve">出具的资信证明复印件，上述证明材料真实有效，否则我方负全部责任。</w:t>
      </w:r>
      <w:r/>
    </w:p>
    <w:p>
      <w:pPr>
        <w:jc w:val="left"/>
        <w:spacing w:before="75" w:after="75"/>
        <w:widowControl/>
        <w:rPr>
          <w:rFonts w:ascii="宋体" w:hAnsi="宋体" w:cs="宋体"/>
          <w:color w:val="auto"/>
          <w:sz w:val="24"/>
          <w:highlight w:val="none"/>
        </w:rPr>
      </w:pPr>
      <w:r>
        <w:rPr>
          <w:rFonts w:hint="eastAsia" w:ascii="宋体" w:hAnsi="宋体" w:cs="宋体"/>
          <w:b/>
          <w:color w:val="auto"/>
          <w:sz w:val="24"/>
          <w:highlight w:val="none"/>
        </w:rPr>
        <w:t xml:space="preserve"> </w:t>
      </w:r>
      <w:r/>
    </w:p>
    <w:p>
      <w:pPr>
        <w:jc w:val="left"/>
        <w:spacing w:before="75" w:after="75"/>
        <w:widowControl/>
        <w:rPr>
          <w:rFonts w:ascii="宋体" w:hAnsi="宋体" w:cs="宋体"/>
          <w:color w:val="auto"/>
          <w:sz w:val="24"/>
          <w:highlight w:val="none"/>
        </w:rPr>
      </w:pPr>
      <w:r>
        <w:rPr>
          <w:rFonts w:hint="eastAsia" w:ascii="宋体" w:hAnsi="宋体" w:cs="宋体"/>
          <w:color w:val="auto"/>
          <w:sz w:val="24"/>
          <w:highlight w:val="none"/>
        </w:rPr>
        <w:t xml:space="preserve">★注意事项：</w:t>
      </w:r>
      <w:r/>
    </w:p>
    <w:p>
      <w:pPr>
        <w:ind w:firstLine="420"/>
        <w:jc w:val="left"/>
        <w:spacing w:before="75" w:after="75"/>
        <w:widowControl/>
        <w:rPr>
          <w:rFonts w:ascii="宋体" w:hAnsi="宋体" w:cs="宋体"/>
          <w:color w:val="auto"/>
          <w:sz w:val="24"/>
          <w:highlight w:val="none"/>
        </w:rPr>
      </w:pPr>
      <w:r>
        <w:rPr>
          <w:rFonts w:hint="eastAsia" w:ascii="宋体" w:hAnsi="宋体" w:cs="宋体"/>
          <w:color w:val="auto"/>
          <w:sz w:val="24"/>
          <w:highlight w:val="none"/>
        </w:rPr>
        <w:t xml:space="preserve">1、上文提供财务报告和资信证明两种类型，请供应商按照自身实际情况编制填写，在其中相应的（）中打“√”并选择相应的“□”（若有）后，再按照本格式的要求提供相应证明材料的复印件即可。即供应商符合上述两种类型其中一种，并按要求提供相应证明资料即为满足。</w:t>
      </w:r>
      <w:r/>
    </w:p>
    <w:p>
      <w:pPr>
        <w:ind w:firstLine="420"/>
        <w:jc w:val="left"/>
        <w:spacing w:before="75" w:after="75"/>
        <w:widowControl/>
        <w:rPr>
          <w:rFonts w:ascii="宋体" w:hAnsi="宋体" w:cs="宋体"/>
          <w:color w:val="auto"/>
          <w:sz w:val="24"/>
          <w:highlight w:val="none"/>
        </w:rPr>
      </w:pPr>
      <w:r>
        <w:rPr>
          <w:rFonts w:hint="eastAsia" w:ascii="宋体" w:hAnsi="宋体" w:cs="宋体"/>
          <w:color w:val="auto"/>
          <w:sz w:val="24"/>
          <w:highlight w:val="none"/>
        </w:rPr>
        <w:t xml:space="preserve">2、供应商提供的财务报告或资信证明复印件（成立年限按照响应文件递交截止时间推算）应符合下列规定：</w:t>
      </w:r>
      <w:r/>
    </w:p>
    <w:p>
      <w:pPr>
        <w:ind w:firstLine="420"/>
        <w:jc w:val="left"/>
        <w:spacing w:before="75" w:after="75"/>
        <w:widowControl/>
        <w:rPr>
          <w:rFonts w:ascii="宋体" w:hAnsi="宋体" w:cs="宋体"/>
          <w:color w:val="auto"/>
          <w:sz w:val="24"/>
          <w:highlight w:val="none"/>
        </w:rPr>
      </w:pPr>
      <w:r>
        <w:rPr>
          <w:rFonts w:hint="eastAsia" w:ascii="宋体" w:hAnsi="宋体" w:cs="宋体"/>
          <w:color w:val="auto"/>
          <w:sz w:val="24"/>
          <w:highlight w:val="none"/>
        </w:rPr>
        <w:t xml:space="preserve">2.1成立年限满1年及以上的供应商，提供最近一期的财务报告。</w:t>
      </w:r>
      <w:r/>
    </w:p>
    <w:p>
      <w:pPr>
        <w:ind w:firstLine="420"/>
        <w:jc w:val="left"/>
        <w:spacing w:before="75" w:after="75"/>
        <w:widowControl/>
        <w:rPr>
          <w:rFonts w:ascii="宋体" w:hAnsi="宋体" w:cs="宋体"/>
          <w:color w:val="auto"/>
          <w:sz w:val="24"/>
          <w:highlight w:val="none"/>
        </w:rPr>
      </w:pPr>
      <w:r>
        <w:rPr>
          <w:rFonts w:hint="eastAsia" w:ascii="宋体" w:hAnsi="宋体" w:cs="宋体"/>
          <w:color w:val="auto"/>
          <w:sz w:val="24"/>
          <w:highlight w:val="none"/>
        </w:rPr>
        <w:t xml:space="preserve">2.2成立年限不足1年的供应商，提供资信证明复印件。</w:t>
      </w:r>
      <w:r/>
    </w:p>
    <w:p>
      <w:pPr>
        <w:ind w:firstLine="420"/>
        <w:jc w:val="left"/>
        <w:spacing w:before="75" w:after="75"/>
        <w:widowControl/>
        <w:rPr>
          <w:rFonts w:ascii="宋体" w:hAnsi="宋体" w:cs="宋体"/>
          <w:color w:val="auto"/>
          <w:sz w:val="24"/>
          <w:highlight w:val="none"/>
        </w:rPr>
      </w:pPr>
      <w:r>
        <w:rPr>
          <w:rFonts w:hint="eastAsia" w:ascii="宋体" w:hAnsi="宋体" w:cs="宋体"/>
          <w:color w:val="auto"/>
          <w:sz w:val="24"/>
          <w:highlight w:val="none"/>
        </w:rPr>
        <w:t xml:space="preserve">3、供应商提供的相应证明材料复印件均应符合：内容完整、清晰、整洁，并由供应商加盖其单位公章。</w:t>
      </w:r>
      <w:r/>
    </w:p>
    <w:p>
      <w:pPr>
        <w:ind w:firstLine="420"/>
        <w:jc w:val="left"/>
        <w:spacing w:before="75" w:after="75" w:line="315" w:lineRule="atLeast"/>
        <w:widowControl/>
        <w:rPr>
          <w:rFonts w:ascii="宋体" w:hAnsi="宋体" w:cs="宋体"/>
          <w:color w:val="auto"/>
          <w:sz w:val="24"/>
          <w:highlight w:val="none"/>
        </w:rPr>
      </w:pPr>
      <w:r>
        <w:rPr>
          <w:rFonts w:hint="eastAsia" w:ascii="宋体" w:hAnsi="宋体" w:cs="宋体"/>
          <w:color w:val="auto"/>
          <w:sz w:val="24"/>
          <w:highlight w:val="none"/>
        </w:rPr>
        <w:t xml:space="preserve">4、对于接受联合体形式的磋商且供应商是联合体的，则联合体各成员都应当提交本资格证明文件。</w:t>
      </w:r>
      <w:r/>
    </w:p>
    <w:p>
      <w:pPr>
        <w:spacing w:before="75" w:after="75" w:line="435" w:lineRule="atLeast"/>
        <w:widowControl/>
        <w:rPr>
          <w:rFonts w:ascii="宋体" w:hAnsi="宋体" w:cs="宋体"/>
          <w:color w:val="auto"/>
          <w:sz w:val="24"/>
          <w:highlight w:val="none"/>
        </w:rPr>
      </w:pPr>
      <w:r>
        <w:rPr>
          <w:rFonts w:hint="eastAsia" w:ascii="宋体" w:hAnsi="宋体" w:cs="宋体"/>
          <w:b/>
          <w:color w:val="auto"/>
          <w:sz w:val="24"/>
          <w:highlight w:val="none"/>
        </w:rPr>
        <w:t xml:space="preserve"> </w:t>
      </w:r>
      <w:r/>
    </w:p>
    <w:p>
      <w:pPr>
        <w:jc w:val="left"/>
        <w:spacing w:before="75" w:after="75" w:line="435" w:lineRule="atLeast"/>
        <w:widowControl/>
        <w:rPr>
          <w:rFonts w:ascii="宋体" w:hAnsi="宋体" w:cs="宋体"/>
          <w:color w:val="auto"/>
          <w:sz w:val="24"/>
          <w:highlight w:val="none"/>
        </w:rPr>
      </w:pPr>
      <w:r>
        <w:rPr>
          <w:rFonts w:hint="eastAsia" w:ascii="宋体" w:hAnsi="宋体" w:cs="宋体"/>
          <w:b/>
          <w:color w:val="auto"/>
          <w:sz w:val="24"/>
          <w:highlight w:val="none"/>
        </w:rPr>
        <w:t xml:space="preserve"> </w:t>
      </w:r>
      <w:r/>
    </w:p>
    <w:p>
      <w:pPr>
        <w:jc w:val="left"/>
        <w:spacing w:before="75" w:after="75" w:line="435" w:lineRule="atLeast"/>
        <w:widowControl/>
        <w:rPr>
          <w:rFonts w:ascii="宋体" w:hAnsi="宋体" w:cs="宋体"/>
          <w:color w:val="auto"/>
          <w:sz w:val="24"/>
          <w:highlight w:val="none"/>
          <w:lang w:val="zh-CN"/>
        </w:rPr>
      </w:pPr>
      <w:r>
        <w:rPr>
          <w:rFonts w:ascii="宋体" w:hAnsi="宋体" w:cs="宋体"/>
          <w:color w:val="auto"/>
          <w:sz w:val="24"/>
          <w:highlight w:val="none"/>
          <w:lang w:val="zh-CN"/>
        </w:rPr>
      </w:r>
      <w:r/>
    </w:p>
    <w:p>
      <w:pPr>
        <w:jc w:val="left"/>
        <w:spacing w:before="75" w:after="75" w:line="435" w:lineRule="atLeast"/>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响应单位：（</w:t>
      </w:r>
      <w:r>
        <w:rPr>
          <w:rFonts w:hint="eastAsia" w:ascii="宋体" w:hAnsi="宋体" w:cs="宋体"/>
          <w:color w:val="auto"/>
          <w:sz w:val="24"/>
          <w:highlight w:val="none"/>
        </w:rPr>
        <w:t xml:space="preserve">签章</w:t>
      </w:r>
      <w:r>
        <w:rPr>
          <w:rFonts w:hint="eastAsia" w:ascii="宋体" w:hAnsi="宋体" w:cs="宋体"/>
          <w:color w:val="auto"/>
          <w:sz w:val="24"/>
          <w:highlight w:val="none"/>
          <w:lang w:val="zh-CN"/>
        </w:rPr>
        <w:t xml:space="preserve">）</w:t>
      </w:r>
      <w:r/>
    </w:p>
    <w:p>
      <w:pPr>
        <w:jc w:val="left"/>
        <w:spacing w:before="75" w:after="75" w:line="435" w:lineRule="atLeast"/>
        <w:widowControl/>
        <w:rPr>
          <w:rFonts w:ascii="宋体" w:hAnsi="宋体" w:cs="宋体"/>
          <w:color w:val="auto"/>
          <w:sz w:val="24"/>
          <w:highlight w:val="none"/>
        </w:rPr>
      </w:pPr>
      <w:r>
        <w:rPr>
          <w:rFonts w:hint="eastAsia" w:ascii="宋体" w:hAnsi="宋体" w:cs="宋体"/>
          <w:color w:val="auto"/>
          <w:sz w:val="24"/>
          <w:highlight w:val="none"/>
        </w:rPr>
        <w:t xml:space="preserve">日     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jc w:val="left"/>
        <w:spacing w:before="75" w:after="75" w:line="495" w:lineRule="atLeast"/>
        <w:widowControl/>
        <w:rPr>
          <w:rFonts w:ascii="宋体" w:hAnsi="宋体" w:cs="宋体"/>
          <w:b/>
          <w:bCs/>
          <w:color w:val="auto"/>
          <w:sz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
          <w:bCs/>
          <w:color w:val="auto"/>
          <w:sz w:val="24"/>
          <w:highlight w:val="none"/>
        </w:rPr>
      </w:r>
      <w:r/>
    </w:p>
    <w:p>
      <w:pPr>
        <w:jc w:val="left"/>
        <w:spacing w:before="75" w:after="75" w:line="435" w:lineRule="atLeast"/>
        <w:widowControl/>
        <w:rPr>
          <w:rFonts w:ascii="宋体" w:hAnsi="宋体" w:cs="宋体"/>
          <w:b/>
          <w:bCs/>
          <w:color w:val="auto"/>
          <w:sz w:val="24"/>
          <w:highlight w:val="none"/>
        </w:rPr>
      </w:pPr>
      <w:r>
        <w:rPr>
          <w:rFonts w:hint="eastAsia" w:ascii="宋体" w:hAnsi="宋体" w:cs="宋体"/>
          <w:b/>
          <w:bCs/>
          <w:color w:val="auto"/>
          <w:sz w:val="24"/>
          <w:highlight w:val="none"/>
        </w:rPr>
        <w:t xml:space="preserve">附件5-3：资格条件证明材料</w:t>
      </w:r>
      <w:r/>
    </w:p>
    <w:p>
      <w:pPr>
        <w:jc w:val="center"/>
        <w:spacing w:before="75" w:after="75" w:line="435" w:lineRule="atLeast"/>
        <w:widowControl/>
        <w:rPr>
          <w:rFonts w:ascii="宋体" w:hAnsi="宋体" w:cs="宋体"/>
          <w:b/>
          <w:color w:val="auto"/>
          <w:sz w:val="24"/>
          <w:highlight w:val="none"/>
        </w:rPr>
      </w:pPr>
      <w:r>
        <w:rPr>
          <w:rFonts w:ascii="宋体" w:hAnsi="宋体" w:cs="宋体"/>
          <w:b/>
          <w:color w:val="auto"/>
          <w:sz w:val="24"/>
          <w:highlight w:val="none"/>
        </w:rPr>
      </w:r>
      <w:r/>
    </w:p>
    <w:p>
      <w:pPr>
        <w:jc w:val="center"/>
        <w:spacing w:before="75" w:after="75" w:line="435" w:lineRule="atLeast"/>
        <w:widowControl/>
        <w:rPr>
          <w:rFonts w:ascii="宋体" w:hAnsi="宋体" w:cs="宋体"/>
          <w:color w:val="auto"/>
          <w:sz w:val="24"/>
          <w:highlight w:val="none"/>
        </w:rPr>
      </w:pPr>
      <w:r>
        <w:rPr>
          <w:rFonts w:hint="eastAsia" w:ascii="宋体" w:hAnsi="宋体" w:cs="宋体"/>
          <w:b/>
          <w:color w:val="auto"/>
          <w:sz w:val="24"/>
          <w:highlight w:val="none"/>
        </w:rPr>
        <w:t xml:space="preserve">具备履行合同所必需设备和专业技术能力证明材料</w:t>
      </w:r>
      <w:r/>
    </w:p>
    <w:p>
      <w:pPr>
        <w:jc w:val="left"/>
        <w:spacing w:before="75" w:after="75"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 </w:t>
      </w:r>
      <w:r/>
    </w:p>
    <w:p>
      <w:pPr>
        <w:jc w:val="center"/>
        <w:spacing w:before="75" w:after="75" w:line="360" w:lineRule="auto"/>
        <w:widowControl/>
        <w:rPr>
          <w:rFonts w:ascii="宋体" w:hAnsi="宋体" w:cs="宋体"/>
          <w:color w:val="auto"/>
          <w:sz w:val="24"/>
          <w:highlight w:val="none"/>
        </w:rPr>
      </w:pPr>
      <w:r>
        <w:rPr>
          <w:rFonts w:hint="eastAsia" w:ascii="宋体" w:hAnsi="宋体" w:cs="宋体"/>
          <w:b/>
          <w:color w:val="auto"/>
          <w:sz w:val="24"/>
          <w:highlight w:val="none"/>
        </w:rPr>
        <w:t xml:space="preserve">声明函</w:t>
      </w:r>
      <w:r/>
    </w:p>
    <w:p>
      <w:pPr>
        <w:jc w:val="left"/>
        <w:spacing w:before="75" w:after="75"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     (采购人或采购代理机构)       </w:t>
      </w:r>
      <w:r/>
    </w:p>
    <w:p>
      <w:pPr>
        <w:ind w:firstLine="480"/>
        <w:jc w:val="left"/>
        <w:spacing w:before="75" w:after="75"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我方具备履行合同所必需的设备和专业技术能力，并对本声明承诺的真实性负责，否则产生不利后果由我方承担责任。</w:t>
      </w:r>
      <w:r/>
    </w:p>
    <w:p>
      <w:pPr>
        <w:ind w:firstLine="480"/>
        <w:jc w:val="left"/>
        <w:spacing w:before="75" w:after="75"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特此声明。</w:t>
      </w:r>
      <w:r/>
    </w:p>
    <w:p>
      <w:pPr>
        <w:jc w:val="left"/>
        <w:spacing w:before="75" w:after="75"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 </w:t>
      </w:r>
      <w:r/>
    </w:p>
    <w:p>
      <w:pPr>
        <w:jc w:val="left"/>
        <w:spacing w:before="75" w:after="75"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★注意：</w:t>
      </w:r>
      <w:r/>
    </w:p>
    <w:p>
      <w:pPr>
        <w:ind w:firstLine="480"/>
        <w:jc w:val="left"/>
        <w:spacing w:before="75" w:after="75" w:line="360" w:lineRule="auto"/>
        <w:widowControl/>
        <w:rPr>
          <w:rFonts w:ascii="宋体" w:hAnsi="宋体" w:cs="宋体"/>
          <w:color w:val="auto"/>
          <w:sz w:val="24"/>
          <w:highlight w:val="none"/>
        </w:rPr>
      </w:pPr>
      <w:r>
        <w:rPr>
          <w:rFonts w:hint="eastAsia" w:ascii="宋体" w:hAnsi="宋体" w:cs="宋体"/>
          <w:b/>
          <w:color w:val="auto"/>
          <w:sz w:val="24"/>
          <w:highlight w:val="none"/>
        </w:rPr>
        <w:t xml:space="preserve">1.磋商文件“供应商的资格”中资格条件如果没有特别规定，则由供应商在响应文件中按上述格式提供其具备履行合同所必需的设备和专业技术能力的声明即可，声明函应加盖供应商签章。</w:t>
      </w:r>
      <w:r/>
    </w:p>
    <w:p>
      <w:pPr>
        <w:ind w:firstLine="480"/>
        <w:jc w:val="left"/>
        <w:spacing w:before="75" w:after="75" w:line="360" w:lineRule="auto"/>
        <w:widowControl/>
        <w:rPr>
          <w:rFonts w:ascii="宋体" w:hAnsi="宋体" w:cs="宋体"/>
          <w:color w:val="auto"/>
          <w:sz w:val="24"/>
          <w:highlight w:val="none"/>
        </w:rPr>
      </w:pPr>
      <w:r>
        <w:rPr>
          <w:rFonts w:hint="eastAsia" w:ascii="宋体" w:hAnsi="宋体" w:cs="宋体"/>
          <w:b/>
          <w:color w:val="auto"/>
          <w:sz w:val="24"/>
          <w:highlight w:val="none"/>
        </w:rPr>
        <w:t xml:space="preserve">2.如果根据项目的特点和需要，对履行合同所必需的设备和专业技术能力的证明材料有特别专项要求的，则采购人或采购代理机构应当在磋商文件“供应商的资格”中特定资格条件进行明确约定，供应商可以不用提供上述格式要求的声明函，但必须按特定资格条件的规定提供相应专项证明材料，并对相应证明材料的真实性负责。</w:t>
      </w:r>
      <w:r/>
    </w:p>
    <w:p>
      <w:pPr>
        <w:spacing w:before="75" w:after="75" w:line="360" w:lineRule="auto"/>
        <w:widowControl/>
        <w:rPr>
          <w:rFonts w:ascii="宋体" w:hAnsi="宋体" w:cs="宋体"/>
          <w:color w:val="auto"/>
          <w:sz w:val="24"/>
          <w:highlight w:val="none"/>
        </w:rPr>
      </w:pPr>
      <w:r>
        <w:rPr>
          <w:rFonts w:hint="eastAsia" w:ascii="宋体" w:hAnsi="宋体" w:cs="宋体"/>
          <w:b/>
          <w:color w:val="auto"/>
          <w:sz w:val="24"/>
          <w:highlight w:val="none"/>
        </w:rPr>
        <w:t xml:space="preserve">  3.对于接受联合体形式的磋商且供应商是联合体的，则联合体各成员都应当提交本资格证明文件。</w:t>
      </w:r>
      <w:r/>
    </w:p>
    <w:p>
      <w:pPr>
        <w:jc w:val="left"/>
        <w:spacing w:before="75" w:after="75"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480"/>
        <w:jc w:val="left"/>
        <w:spacing w:before="75" w:after="75"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 </w:t>
      </w:r>
      <w:r/>
    </w:p>
    <w:p>
      <w:pPr>
        <w:jc w:val="left"/>
        <w:spacing w:before="75" w:after="75"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响应单位：（</w:t>
      </w:r>
      <w:r>
        <w:rPr>
          <w:rFonts w:hint="eastAsia" w:ascii="宋体" w:hAnsi="宋体" w:cs="宋体"/>
          <w:color w:val="auto"/>
          <w:sz w:val="24"/>
          <w:highlight w:val="none"/>
        </w:rPr>
        <w:t xml:space="preserve">签章</w:t>
      </w:r>
      <w:r>
        <w:rPr>
          <w:rFonts w:hint="eastAsia" w:ascii="宋体" w:hAnsi="宋体" w:cs="宋体"/>
          <w:color w:val="auto"/>
          <w:sz w:val="24"/>
          <w:highlight w:val="none"/>
          <w:lang w:val="zh-CN"/>
        </w:rPr>
        <w:t xml:space="preserve">）</w:t>
      </w:r>
      <w:r/>
    </w:p>
    <w:p>
      <w:pPr>
        <w:jc w:val="left"/>
        <w:spacing w:before="75" w:after="75"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日     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pStyle w:val="1123"/>
        <w:ind w:left="0" w:firstLine="0"/>
        <w:rPr>
          <w:rFonts w:ascii="宋体" w:hAnsi="宋体" w:eastAsia="宋体" w:cs="宋体"/>
          <w:color w:val="auto"/>
          <w:sz w:val="24"/>
          <w:highlight w:val="none"/>
        </w:rPr>
      </w:pPr>
      <w:r>
        <w:rPr>
          <w:rFonts w:ascii="宋体" w:hAnsi="宋体" w:eastAsia="宋体" w:cs="宋体"/>
          <w:color w:val="auto"/>
          <w:sz w:val="24"/>
          <w:highlight w:val="none"/>
        </w:rPr>
      </w:r>
      <w:r/>
    </w:p>
    <w:p>
      <w:pPr>
        <w:jc w:val="left"/>
        <w:spacing w:before="75" w:after="75" w:line="435" w:lineRule="atLeast"/>
        <w:widowControl/>
        <w:rPr>
          <w:rFonts w:ascii="宋体" w:hAnsi="宋体" w:cs="宋体"/>
          <w:b/>
          <w:bCs/>
          <w:color w:val="auto"/>
          <w:sz w:val="24"/>
          <w:highlight w:val="none"/>
        </w:rPr>
      </w:pPr>
      <w:r>
        <w:rPr>
          <w:rFonts w:ascii="宋体" w:hAnsi="宋体" w:cs="宋体"/>
          <w:b/>
          <w:bCs/>
          <w:color w:val="auto"/>
          <w:sz w:val="24"/>
          <w:highlight w:val="none"/>
        </w:rPr>
      </w:r>
      <w:r/>
    </w:p>
    <w:p>
      <w:pPr>
        <w:jc w:val="left"/>
        <w:spacing w:before="75" w:after="75" w:line="435" w:lineRule="atLeast"/>
        <w:widowControl/>
        <w:rPr>
          <w:rFonts w:ascii="宋体" w:hAnsi="宋体" w:cs="宋体"/>
          <w:b/>
          <w:bCs/>
          <w:color w:val="auto"/>
          <w:sz w:val="24"/>
          <w:highlight w:val="none"/>
        </w:rPr>
      </w:pPr>
      <w:r>
        <w:rPr>
          <w:rFonts w:hint="eastAsia" w:ascii="宋体" w:hAnsi="宋体" w:cs="宋体"/>
          <w:b/>
          <w:bCs/>
          <w:color w:val="auto"/>
          <w:sz w:val="24"/>
          <w:highlight w:val="none"/>
        </w:rPr>
        <w:t xml:space="preserve">附件5-4：资格条件证明材料</w:t>
      </w:r>
      <w:r/>
    </w:p>
    <w:p>
      <w:pPr>
        <w:jc w:val="center"/>
        <w:spacing w:before="75" w:after="75" w:line="435" w:lineRule="atLeast"/>
        <w:widowControl/>
        <w:rPr>
          <w:rFonts w:ascii="宋体" w:hAnsi="宋体" w:cs="宋体"/>
          <w:color w:val="auto"/>
          <w:sz w:val="24"/>
          <w:highlight w:val="none"/>
        </w:rPr>
      </w:pPr>
      <w:r>
        <w:rPr>
          <w:rFonts w:hint="eastAsia" w:ascii="宋体" w:hAnsi="宋体" w:cs="宋体"/>
          <w:b/>
          <w:color w:val="auto"/>
          <w:sz w:val="24"/>
          <w:highlight w:val="none"/>
        </w:rPr>
        <w:t xml:space="preserve">依法缴纳税收证明材料</w:t>
      </w:r>
      <w:r/>
    </w:p>
    <w:p>
      <w:pPr>
        <w:jc w:val="left"/>
        <w:spacing w:before="75" w:after="75" w:line="435" w:lineRule="atLeast"/>
        <w:widowControl/>
        <w:rPr>
          <w:rFonts w:ascii="宋体" w:hAnsi="宋体" w:cs="宋体"/>
          <w:color w:val="auto"/>
          <w:sz w:val="24"/>
          <w:highlight w:val="none"/>
        </w:rPr>
      </w:pPr>
      <w:r>
        <w:rPr>
          <w:rFonts w:hint="eastAsia" w:ascii="宋体" w:hAnsi="宋体" w:cs="宋体"/>
          <w:color w:val="auto"/>
          <w:sz w:val="24"/>
          <w:highlight w:val="none"/>
        </w:rPr>
        <w:t xml:space="preserve"> </w:t>
      </w:r>
      <w:r/>
    </w:p>
    <w:p>
      <w:pPr>
        <w:jc w:val="left"/>
        <w:spacing w:before="75" w:after="75"/>
        <w:widowControl/>
        <w:rPr>
          <w:rFonts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     (采购人或采购代理机构)      </w:t>
      </w:r>
      <w:r/>
    </w:p>
    <w:p>
      <w:pPr>
        <w:ind w:firstLine="420"/>
        <w:jc w:val="left"/>
        <w:spacing w:before="75" w:after="75"/>
        <w:widowControl/>
        <w:rPr>
          <w:rFonts w:ascii="宋体" w:hAnsi="宋体" w:cs="宋体"/>
          <w:color w:val="auto"/>
          <w:sz w:val="24"/>
          <w:highlight w:val="none"/>
        </w:rPr>
      </w:pPr>
      <w:r>
        <w:rPr>
          <w:rFonts w:hint="eastAsia" w:ascii="宋体" w:hAnsi="宋体" w:cs="宋体"/>
          <w:b/>
          <w:color w:val="auto"/>
          <w:sz w:val="24"/>
          <w:highlight w:val="none"/>
        </w:rPr>
        <w:t xml:space="preserve">1、依法缴纳税收的供应商</w:t>
      </w:r>
      <w:r/>
    </w:p>
    <w:p>
      <w:pPr>
        <w:ind w:firstLine="420"/>
        <w:jc w:val="left"/>
        <w:spacing w:before="75" w:after="75"/>
        <w:widowControl/>
        <w:rPr>
          <w:rFonts w:ascii="宋体" w:hAnsi="宋体" w:cs="宋体"/>
          <w:color w:val="auto"/>
          <w:sz w:val="24"/>
          <w:highlight w:val="none"/>
        </w:rPr>
      </w:pPr>
      <w:r>
        <w:rPr>
          <w:rFonts w:hint="eastAsia" w:ascii="宋体" w:hAnsi="宋体" w:cs="宋体"/>
          <w:color w:val="auto"/>
          <w:sz w:val="24"/>
          <w:highlight w:val="none"/>
        </w:rPr>
        <w:t xml:space="preserve">（ ）法人（包括企业、事业单位和社会团体）的</w:t>
      </w:r>
      <w:r/>
    </w:p>
    <w:p>
      <w:pPr>
        <w:ind w:firstLine="420"/>
        <w:jc w:val="left"/>
        <w:spacing w:before="75" w:after="75"/>
        <w:widowControl/>
        <w:rPr>
          <w:rFonts w:ascii="宋体" w:hAnsi="宋体" w:cs="宋体"/>
          <w:color w:val="auto"/>
          <w:sz w:val="24"/>
          <w:highlight w:val="none"/>
        </w:rPr>
      </w:pPr>
      <w:r>
        <w:rPr>
          <w:rFonts w:hint="eastAsia" w:ascii="宋体" w:hAnsi="宋体" w:cs="宋体"/>
          <w:color w:val="auto"/>
          <w:sz w:val="24"/>
          <w:highlight w:val="none"/>
        </w:rPr>
        <w:t xml:space="preserve">现附上自</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日期间我方缴纳的</w:t>
      </w:r>
      <w:r>
        <w:rPr>
          <w:rFonts w:hint="eastAsia" w:ascii="宋体" w:hAnsi="宋体" w:cs="宋体"/>
          <w:color w:val="auto"/>
          <w:sz w:val="24"/>
          <w:highlight w:val="none"/>
          <w:u w:val="single"/>
        </w:rPr>
        <w:t xml:space="preserve">（按照供应商实际缴纳的税种名称填写，如：增值税、所得税等）</w:t>
      </w:r>
      <w:r>
        <w:rPr>
          <w:rFonts w:hint="eastAsia" w:ascii="宋体" w:hAnsi="宋体" w:cs="宋体"/>
          <w:color w:val="auto"/>
          <w:sz w:val="24"/>
          <w:highlight w:val="none"/>
        </w:rPr>
        <w:t xml:space="preserve">税收凭据复印件，上述证明材料真实有效，否则我方负全部责任。</w:t>
      </w:r>
      <w:r/>
    </w:p>
    <w:p>
      <w:pPr>
        <w:ind w:firstLine="420"/>
        <w:jc w:val="left"/>
        <w:spacing w:before="75" w:after="75"/>
        <w:widowControl/>
        <w:rPr>
          <w:rFonts w:ascii="宋体" w:hAnsi="宋体" w:cs="宋体"/>
          <w:color w:val="auto"/>
          <w:sz w:val="24"/>
          <w:highlight w:val="none"/>
        </w:rPr>
      </w:pPr>
      <w:r>
        <w:rPr>
          <w:rFonts w:hint="eastAsia" w:ascii="宋体" w:hAnsi="宋体" w:cs="宋体"/>
          <w:color w:val="auto"/>
          <w:sz w:val="24"/>
          <w:highlight w:val="none"/>
        </w:rPr>
        <w:t xml:space="preserve">（ ）非法人（包括其他组织、自然人）的</w:t>
      </w:r>
      <w:r/>
    </w:p>
    <w:p>
      <w:pPr>
        <w:ind w:firstLine="420"/>
        <w:jc w:val="left"/>
        <w:spacing w:before="75" w:after="75"/>
        <w:widowControl/>
        <w:rPr>
          <w:rFonts w:ascii="宋体" w:hAnsi="宋体" w:cs="宋体"/>
          <w:color w:val="auto"/>
          <w:sz w:val="24"/>
          <w:highlight w:val="none"/>
        </w:rPr>
      </w:pPr>
      <w:r>
        <w:rPr>
          <w:rFonts w:hint="eastAsia" w:ascii="宋体" w:hAnsi="宋体" w:cs="宋体"/>
          <w:color w:val="auto"/>
          <w:sz w:val="24"/>
          <w:highlight w:val="none"/>
        </w:rPr>
        <w:t xml:space="preserve">现附上自</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日期间我方缴纳的</w:t>
      </w:r>
      <w:r>
        <w:rPr>
          <w:rFonts w:hint="eastAsia" w:ascii="宋体" w:hAnsi="宋体" w:cs="宋体"/>
          <w:color w:val="auto"/>
          <w:sz w:val="24"/>
          <w:highlight w:val="none"/>
          <w:u w:val="single"/>
        </w:rPr>
        <w:t xml:space="preserve">（按照供应商实际缴纳的税种名称填写）</w:t>
      </w:r>
      <w:r>
        <w:rPr>
          <w:rFonts w:hint="eastAsia" w:ascii="宋体" w:hAnsi="宋体" w:cs="宋体"/>
          <w:color w:val="auto"/>
          <w:sz w:val="24"/>
          <w:highlight w:val="none"/>
        </w:rPr>
        <w:t xml:space="preserve">税收凭据复印件，上述证明材料真实有效，否则我方负全部责任。</w:t>
      </w:r>
      <w:r/>
    </w:p>
    <w:p>
      <w:pPr>
        <w:ind w:firstLine="420"/>
        <w:jc w:val="left"/>
        <w:spacing w:before="75" w:after="75"/>
        <w:widowControl/>
        <w:rPr>
          <w:rFonts w:ascii="宋体" w:hAnsi="宋体" w:cs="宋体"/>
          <w:color w:val="auto"/>
          <w:sz w:val="24"/>
          <w:highlight w:val="none"/>
        </w:rPr>
      </w:pPr>
      <w:r>
        <w:rPr>
          <w:rFonts w:hint="eastAsia" w:ascii="宋体" w:hAnsi="宋体" w:cs="宋体"/>
          <w:b/>
          <w:color w:val="auto"/>
          <w:sz w:val="24"/>
          <w:highlight w:val="none"/>
        </w:rPr>
        <w:t xml:space="preserve">2、依法免税的供应商</w:t>
      </w:r>
      <w:r/>
    </w:p>
    <w:p>
      <w:pPr>
        <w:ind w:firstLine="420"/>
        <w:jc w:val="left"/>
        <w:spacing w:before="75" w:after="75"/>
        <w:widowControl/>
        <w:rPr>
          <w:rFonts w:ascii="宋体" w:hAnsi="宋体" w:cs="宋体"/>
          <w:color w:val="auto"/>
          <w:sz w:val="24"/>
          <w:highlight w:val="none"/>
        </w:rPr>
      </w:pPr>
      <w:r>
        <w:rPr>
          <w:rFonts w:hint="eastAsia" w:ascii="宋体" w:hAnsi="宋体" w:cs="宋体"/>
          <w:color w:val="auto"/>
          <w:sz w:val="24"/>
          <w:highlight w:val="none"/>
        </w:rPr>
        <w:t xml:space="preserve">（ ）现附上我方依法免税证明材料复印件，上述证明材料真实有效，否则我方负全部责任。</w:t>
      </w:r>
      <w:r/>
    </w:p>
    <w:p>
      <w:pPr>
        <w:jc w:val="left"/>
        <w:spacing w:before="75" w:after="75"/>
        <w:widowControl/>
        <w:rPr>
          <w:rFonts w:ascii="宋体" w:hAnsi="宋体" w:cs="宋体"/>
          <w:color w:val="auto"/>
          <w:sz w:val="24"/>
          <w:highlight w:val="none"/>
        </w:rPr>
      </w:pPr>
      <w:r>
        <w:rPr>
          <w:rFonts w:hint="eastAsia" w:ascii="宋体" w:hAnsi="宋体" w:cs="宋体"/>
          <w:color w:val="auto"/>
          <w:sz w:val="24"/>
          <w:highlight w:val="none"/>
        </w:rPr>
        <w:t xml:space="preserve"> </w:t>
      </w:r>
      <w:r/>
    </w:p>
    <w:p>
      <w:pPr>
        <w:jc w:val="left"/>
        <w:spacing w:before="75" w:after="75"/>
        <w:widowControl/>
        <w:rPr>
          <w:rFonts w:ascii="宋体" w:hAnsi="宋体" w:cs="宋体"/>
          <w:color w:val="auto"/>
          <w:sz w:val="24"/>
          <w:highlight w:val="none"/>
        </w:rPr>
      </w:pPr>
      <w:r>
        <w:rPr>
          <w:rFonts w:hint="eastAsia" w:ascii="宋体" w:hAnsi="宋体" w:cs="宋体"/>
          <w:color w:val="auto"/>
          <w:sz w:val="24"/>
          <w:highlight w:val="none"/>
        </w:rPr>
        <w:t xml:space="preserve">★注意：</w:t>
      </w:r>
      <w:r/>
    </w:p>
    <w:p>
      <w:pPr>
        <w:jc w:val="left"/>
        <w:spacing w:before="75" w:after="75"/>
        <w:widowControl/>
        <w:rPr>
          <w:rFonts w:ascii="宋体" w:hAnsi="宋体" w:cs="宋体"/>
          <w:color w:val="auto"/>
          <w:sz w:val="24"/>
          <w:highlight w:val="none"/>
        </w:rPr>
      </w:pPr>
      <w:r>
        <w:rPr>
          <w:rFonts w:hint="eastAsia" w:ascii="宋体" w:hAnsi="宋体" w:cs="宋体"/>
          <w:color w:val="auto"/>
          <w:sz w:val="24"/>
          <w:highlight w:val="none"/>
        </w:rPr>
        <w:t xml:space="preserve">1、请供应商根据实际情况填写，在相应的（）中打“√”，并按照本格式的要求提供相应证明材料的复印件。</w:t>
      </w:r>
      <w:r/>
    </w:p>
    <w:p>
      <w:pPr>
        <w:jc w:val="left"/>
        <w:spacing w:before="75" w:after="75"/>
        <w:widowControl/>
        <w:rPr>
          <w:rFonts w:ascii="宋体" w:hAnsi="宋体" w:cs="宋体"/>
          <w:color w:val="auto"/>
          <w:sz w:val="24"/>
          <w:highlight w:val="none"/>
        </w:rPr>
      </w:pPr>
      <w:r>
        <w:rPr>
          <w:rFonts w:hint="eastAsia" w:ascii="宋体" w:hAnsi="宋体" w:cs="宋体"/>
          <w:color w:val="auto"/>
          <w:sz w:val="24"/>
          <w:highlight w:val="none"/>
        </w:rPr>
        <w:t xml:space="preserve">2、供应商提供的税收凭据复印件应符合下列规定：</w:t>
      </w:r>
      <w:r/>
    </w:p>
    <w:p>
      <w:pPr>
        <w:jc w:val="left"/>
        <w:spacing w:before="75" w:after="75"/>
        <w:widowControl/>
        <w:rPr>
          <w:rFonts w:ascii="宋体" w:hAnsi="宋体" w:cs="宋体"/>
          <w:color w:val="auto"/>
          <w:sz w:val="24"/>
          <w:highlight w:val="none"/>
        </w:rPr>
      </w:pPr>
      <w:r>
        <w:rPr>
          <w:rFonts w:hint="eastAsia" w:ascii="宋体" w:hAnsi="宋体" w:cs="宋体"/>
          <w:color w:val="auto"/>
          <w:sz w:val="24"/>
          <w:highlight w:val="none"/>
        </w:rPr>
        <w:t xml:space="preserve">2.1响应文件递交截止时间前（不含截止时间的当月）已依法缴纳税收的供应商，提供响应文件递交截止时间前近一个月的税收凭据复印件。</w:t>
      </w:r>
      <w:r/>
    </w:p>
    <w:p>
      <w:pPr>
        <w:jc w:val="left"/>
        <w:spacing w:before="75" w:after="75"/>
        <w:widowControl/>
        <w:rPr>
          <w:rFonts w:ascii="宋体" w:hAnsi="宋体" w:cs="宋体"/>
          <w:color w:val="auto"/>
          <w:sz w:val="24"/>
          <w:highlight w:val="none"/>
        </w:rPr>
      </w:pPr>
      <w:r>
        <w:rPr>
          <w:rFonts w:hint="eastAsia" w:ascii="宋体" w:hAnsi="宋体" w:cs="宋体"/>
          <w:color w:val="auto"/>
          <w:sz w:val="24"/>
          <w:highlight w:val="none"/>
        </w:rPr>
        <w:t xml:space="preserve">2.2响应文件递交截止时间的当月成立且已依法缴纳税收的供应商，提供截止时间当月的税收凭据复印件。</w:t>
      </w:r>
      <w:r/>
    </w:p>
    <w:p>
      <w:pPr>
        <w:jc w:val="left"/>
        <w:spacing w:before="75" w:after="75"/>
        <w:widowControl/>
        <w:rPr>
          <w:rFonts w:ascii="宋体" w:hAnsi="宋体" w:cs="宋体"/>
          <w:color w:val="auto"/>
          <w:sz w:val="24"/>
          <w:highlight w:val="none"/>
        </w:rPr>
      </w:pPr>
      <w:r>
        <w:rPr>
          <w:rFonts w:hint="eastAsia" w:ascii="宋体" w:hAnsi="宋体" w:cs="宋体"/>
          <w:color w:val="auto"/>
          <w:sz w:val="24"/>
          <w:highlight w:val="none"/>
        </w:rPr>
        <w:t xml:space="preserve">2.3响应文件递交截止时间的当月成立但因税务机关原因而尚未依法缴纳税收的供应商，提供依法缴纳税收承诺书原件（格式自拟），该承诺书视同税收凭据。</w:t>
      </w:r>
      <w:r/>
    </w:p>
    <w:p>
      <w:pPr>
        <w:jc w:val="left"/>
        <w:spacing w:before="75" w:after="75"/>
        <w:widowControl/>
        <w:rPr>
          <w:rFonts w:ascii="宋体" w:hAnsi="宋体" w:cs="宋体"/>
          <w:color w:val="auto"/>
          <w:sz w:val="24"/>
          <w:highlight w:val="none"/>
        </w:rPr>
      </w:pPr>
      <w:r>
        <w:rPr>
          <w:rFonts w:hint="eastAsia" w:ascii="宋体" w:hAnsi="宋体" w:cs="宋体"/>
          <w:color w:val="auto"/>
          <w:sz w:val="24"/>
          <w:highlight w:val="none"/>
        </w:rPr>
        <w:t xml:space="preserve">3、供应商提供的相应证明材料复印件均应符合：内容完整、清晰、整洁，并由供应商加盖其单位公章。</w:t>
      </w:r>
      <w:r/>
    </w:p>
    <w:p>
      <w:pPr>
        <w:jc w:val="left"/>
        <w:spacing w:before="75" w:after="75"/>
        <w:widowControl/>
        <w:rPr>
          <w:rFonts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b/>
          <w:color w:val="auto"/>
          <w:sz w:val="24"/>
          <w:highlight w:val="none"/>
        </w:rPr>
        <w:t xml:space="preserve">“依法缴纳税收证明材料”</w:t>
      </w:r>
      <w:r>
        <w:rPr>
          <w:rFonts w:hint="eastAsia" w:ascii="宋体" w:hAnsi="宋体" w:cs="宋体"/>
          <w:color w:val="auto"/>
          <w:sz w:val="24"/>
          <w:highlight w:val="none"/>
        </w:rPr>
        <w:t xml:space="preserve">有欠缴记录的，视为</w:t>
      </w:r>
      <w:r>
        <w:rPr>
          <w:rFonts w:hint="eastAsia" w:ascii="宋体" w:hAnsi="宋体" w:cs="宋体"/>
          <w:b/>
          <w:color w:val="auto"/>
          <w:sz w:val="24"/>
          <w:highlight w:val="none"/>
        </w:rPr>
        <w:t xml:space="preserve">未依法缴纳税收</w:t>
      </w:r>
      <w:r>
        <w:rPr>
          <w:rFonts w:hint="eastAsia" w:ascii="宋体" w:hAnsi="宋体" w:cs="宋体"/>
          <w:color w:val="auto"/>
          <w:sz w:val="24"/>
          <w:highlight w:val="none"/>
        </w:rPr>
        <w:t xml:space="preserve">。</w:t>
      </w:r>
      <w:r/>
    </w:p>
    <w:p>
      <w:pPr>
        <w:jc w:val="left"/>
        <w:spacing w:before="75" w:after="75" w:line="315" w:lineRule="atLeast"/>
        <w:widowControl/>
        <w:rPr>
          <w:rFonts w:ascii="宋体" w:hAnsi="宋体" w:cs="宋体"/>
          <w:color w:val="auto"/>
          <w:sz w:val="24"/>
          <w:highlight w:val="none"/>
        </w:rPr>
      </w:pPr>
      <w:r>
        <w:rPr>
          <w:rFonts w:hint="eastAsia" w:ascii="宋体" w:hAnsi="宋体" w:cs="宋体"/>
          <w:color w:val="auto"/>
          <w:sz w:val="24"/>
          <w:highlight w:val="none"/>
        </w:rPr>
        <w:t xml:space="preserve">5、对于接受联合体形式的磋商且供应商是联合体的，则联合体各成员都应当提交本资格证明文件。</w:t>
      </w:r>
      <w:r/>
    </w:p>
    <w:p>
      <w:pPr>
        <w:jc w:val="left"/>
        <w:spacing w:before="75" w:after="75" w:line="435" w:lineRule="atLeast"/>
        <w:widowControl/>
        <w:rPr>
          <w:rFonts w:ascii="宋体" w:hAnsi="宋体" w:cs="宋体"/>
          <w:color w:val="auto"/>
          <w:sz w:val="24"/>
          <w:highlight w:val="none"/>
        </w:rPr>
      </w:pPr>
      <w:r>
        <w:rPr>
          <w:rFonts w:hint="eastAsia" w:ascii="宋体" w:hAnsi="宋体" w:cs="宋体"/>
          <w:color w:val="auto"/>
          <w:sz w:val="24"/>
          <w:highlight w:val="none"/>
        </w:rPr>
        <w:t xml:space="preserve"> </w:t>
      </w:r>
      <w:r/>
    </w:p>
    <w:p>
      <w:pPr>
        <w:spacing w:before="75" w:after="75" w:line="435" w:lineRule="atLeast"/>
        <w:widowControl/>
        <w:rPr>
          <w:rFonts w:ascii="宋体" w:hAnsi="宋体" w:cs="宋体"/>
          <w:color w:val="auto"/>
          <w:sz w:val="24"/>
          <w:highlight w:val="none"/>
        </w:rPr>
      </w:pPr>
      <w:r>
        <w:rPr>
          <w:rFonts w:hint="eastAsia" w:ascii="宋体" w:hAnsi="宋体" w:cs="宋体"/>
          <w:color w:val="auto"/>
          <w:sz w:val="24"/>
          <w:highlight w:val="none"/>
          <w:lang w:val="zh-CN"/>
        </w:rPr>
        <w:t xml:space="preserve">响应单位：（</w:t>
      </w:r>
      <w:r>
        <w:rPr>
          <w:rFonts w:hint="eastAsia" w:ascii="宋体" w:hAnsi="宋体" w:cs="宋体"/>
          <w:color w:val="auto"/>
          <w:sz w:val="24"/>
          <w:highlight w:val="none"/>
        </w:rPr>
        <w:t xml:space="preserve">签章</w:t>
      </w:r>
      <w:r>
        <w:rPr>
          <w:rFonts w:hint="eastAsia" w:ascii="宋体" w:hAnsi="宋体" w:cs="宋体"/>
          <w:color w:val="auto"/>
          <w:sz w:val="24"/>
          <w:highlight w:val="none"/>
          <w:lang w:val="zh-CN"/>
        </w:rPr>
        <w:t xml:space="preserve">）</w:t>
      </w:r>
      <w:r/>
    </w:p>
    <w:p>
      <w:pPr>
        <w:jc w:val="left"/>
        <w:spacing w:before="75" w:after="75" w:line="435" w:lineRule="atLeast"/>
        <w:widowControl/>
        <w:rPr>
          <w:rFonts w:ascii="宋体" w:hAnsi="宋体" w:cs="宋体"/>
          <w:color w:val="auto"/>
          <w:sz w:val="24"/>
          <w:highlight w:val="none"/>
        </w:rPr>
      </w:pPr>
      <w:r>
        <w:rPr>
          <w:rFonts w:hint="eastAsia" w:ascii="宋体" w:hAnsi="宋体" w:cs="宋体"/>
          <w:color w:val="auto"/>
          <w:sz w:val="24"/>
          <w:highlight w:val="none"/>
        </w:rPr>
        <w:t xml:space="preserve">日     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jc w:val="left"/>
        <w:spacing w:before="75" w:after="75" w:line="435" w:lineRule="atLeast"/>
        <w:widowControl/>
        <w:rPr>
          <w:rFonts w:ascii="宋体" w:hAnsi="宋体" w:cs="宋体"/>
          <w:b/>
          <w:bCs/>
          <w:color w:val="auto"/>
          <w:sz w:val="24"/>
          <w:highlight w:val="none"/>
        </w:rPr>
      </w:pPr>
      <w:r>
        <w:rPr>
          <w:rFonts w:hint="eastAsia" w:ascii="宋体" w:hAnsi="宋体" w:cs="宋体"/>
          <w:b/>
          <w:bCs/>
          <w:color w:val="auto"/>
          <w:sz w:val="24"/>
          <w:highlight w:val="none"/>
        </w:rPr>
        <w:t xml:space="preserve">附件5-5       </w:t>
      </w:r>
      <w:r/>
    </w:p>
    <w:p>
      <w:pPr>
        <w:jc w:val="center"/>
        <w:spacing w:before="75" w:after="75" w:line="435" w:lineRule="atLeast"/>
        <w:widowControl/>
        <w:rPr>
          <w:rFonts w:ascii="宋体" w:hAnsi="宋体" w:cs="宋体"/>
          <w:color w:val="auto"/>
          <w:sz w:val="24"/>
          <w:highlight w:val="none"/>
        </w:rPr>
      </w:pPr>
      <w:r>
        <w:rPr>
          <w:rFonts w:hint="eastAsia" w:ascii="宋体" w:hAnsi="宋体" w:cs="宋体"/>
          <w:b/>
          <w:color w:val="auto"/>
          <w:sz w:val="24"/>
          <w:highlight w:val="none"/>
        </w:rPr>
        <w:t xml:space="preserve">依法缴纳社会保障资金证明材料</w:t>
      </w:r>
      <w:r/>
    </w:p>
    <w:p>
      <w:pPr>
        <w:jc w:val="left"/>
        <w:spacing w:before="75" w:after="75" w:line="435" w:lineRule="atLeast"/>
        <w:widowControl/>
        <w:rPr>
          <w:rFonts w:ascii="宋体" w:hAnsi="宋体" w:cs="宋体"/>
          <w:color w:val="auto"/>
          <w:sz w:val="24"/>
          <w:highlight w:val="none"/>
        </w:rPr>
      </w:pPr>
      <w:r>
        <w:rPr>
          <w:rFonts w:hint="eastAsia" w:ascii="宋体" w:hAnsi="宋体" w:cs="宋体"/>
          <w:color w:val="auto"/>
          <w:sz w:val="24"/>
          <w:highlight w:val="none"/>
        </w:rPr>
        <w:t xml:space="preserve"> </w:t>
      </w:r>
      <w:r/>
    </w:p>
    <w:p>
      <w:pPr>
        <w:jc w:val="left"/>
        <w:spacing w:before="75" w:after="75"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     (采购人或采购代理机构)       </w:t>
      </w:r>
      <w:r/>
    </w:p>
    <w:p>
      <w:pPr>
        <w:ind w:firstLine="480"/>
        <w:jc w:val="left"/>
        <w:spacing w:before="75" w:after="75" w:line="360" w:lineRule="auto"/>
        <w:widowControl/>
        <w:rPr>
          <w:rFonts w:ascii="宋体" w:hAnsi="宋体" w:cs="宋体"/>
          <w:color w:val="auto"/>
          <w:sz w:val="24"/>
          <w:highlight w:val="none"/>
        </w:rPr>
      </w:pPr>
      <w:r>
        <w:rPr>
          <w:rFonts w:hint="eastAsia" w:ascii="宋体" w:hAnsi="宋体" w:cs="宋体"/>
          <w:b/>
          <w:color w:val="auto"/>
          <w:sz w:val="24"/>
          <w:highlight w:val="none"/>
        </w:rPr>
        <w:t xml:space="preserve">1、依法缴纳社会保障资金的供应商</w:t>
      </w:r>
      <w:r/>
    </w:p>
    <w:p>
      <w:pPr>
        <w:ind w:firstLine="420"/>
        <w:jc w:val="left"/>
        <w:spacing w:before="75" w:after="75"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 ）法人（包括企业、事业单位和社会团体）的</w:t>
      </w:r>
      <w:r/>
    </w:p>
    <w:p>
      <w:pPr>
        <w:ind w:firstLine="420"/>
        <w:jc w:val="left"/>
        <w:spacing w:before="75" w:after="75"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现附上自</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日我方缴纳的社会保险凭据（限：税务机关/社会保障资金管理机关的专用收据或社会保险缴纳清单，或社会保险的银行缴款收讫凭证）复印件，上述证明材料真实有效，否则我方负全部责任。</w:t>
      </w:r>
      <w:r/>
    </w:p>
    <w:p>
      <w:pPr>
        <w:ind w:firstLine="420"/>
        <w:jc w:val="left"/>
        <w:spacing w:before="75" w:after="75"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 ）非法人（包括其他组织、自然人）的</w:t>
      </w:r>
      <w:r/>
    </w:p>
    <w:p>
      <w:pPr>
        <w:ind w:firstLine="420"/>
        <w:jc w:val="left"/>
        <w:spacing w:before="75" w:after="75"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自</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日我方缴纳的社会保险凭据（限：税务机关/社会保障资金管理机关的专用收据或社会保险缴纳清单，或社会保险的银行缴款收讫凭证）复印件，上述证明材料真实有效，否则我方负全部责任。</w:t>
      </w:r>
      <w:r/>
    </w:p>
    <w:p>
      <w:pPr>
        <w:ind w:firstLine="480"/>
        <w:jc w:val="left"/>
        <w:spacing w:before="75" w:after="75" w:line="360" w:lineRule="auto"/>
        <w:widowControl/>
        <w:rPr>
          <w:rFonts w:ascii="宋体" w:hAnsi="宋体" w:cs="宋体"/>
          <w:color w:val="auto"/>
          <w:sz w:val="24"/>
          <w:highlight w:val="none"/>
        </w:rPr>
      </w:pPr>
      <w:r>
        <w:rPr>
          <w:rFonts w:hint="eastAsia" w:ascii="宋体" w:hAnsi="宋体" w:cs="宋体"/>
          <w:b/>
          <w:color w:val="auto"/>
          <w:sz w:val="24"/>
          <w:highlight w:val="none"/>
        </w:rPr>
        <w:t xml:space="preserve">2、依法不需要缴纳社会保障资金的供应商</w:t>
      </w:r>
      <w:r/>
    </w:p>
    <w:p>
      <w:pPr>
        <w:ind w:firstLine="420"/>
        <w:jc w:val="left"/>
        <w:spacing w:before="75" w:after="75"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 ）现附上我方依法不需要缴纳社会保障资金证明材料复印件，上述证明材料真实有效，否则我方负全部责任。</w:t>
      </w:r>
      <w:r/>
    </w:p>
    <w:p>
      <w:pPr>
        <w:jc w:val="left"/>
        <w:spacing w:before="75" w:after="75" w:line="435" w:lineRule="atLeast"/>
        <w:widowControl/>
        <w:rPr>
          <w:rFonts w:ascii="宋体" w:hAnsi="宋体" w:cs="宋体"/>
          <w:color w:val="auto"/>
          <w:sz w:val="24"/>
          <w:highlight w:val="none"/>
        </w:rPr>
      </w:pPr>
      <w:r>
        <w:rPr>
          <w:rFonts w:hint="eastAsia" w:ascii="宋体" w:hAnsi="宋体" w:cs="宋体"/>
          <w:color w:val="auto"/>
          <w:sz w:val="24"/>
          <w:highlight w:val="none"/>
          <w:lang w:val="zh-CN"/>
        </w:rPr>
        <w:t xml:space="preserve">响应单位：（</w:t>
      </w:r>
      <w:r>
        <w:rPr>
          <w:rFonts w:hint="eastAsia" w:ascii="宋体" w:hAnsi="宋体" w:cs="宋体"/>
          <w:color w:val="auto"/>
          <w:sz w:val="24"/>
          <w:highlight w:val="none"/>
        </w:rPr>
        <w:t xml:space="preserve">签章</w:t>
      </w:r>
      <w:r>
        <w:rPr>
          <w:rFonts w:hint="eastAsia" w:ascii="宋体" w:hAnsi="宋体" w:cs="宋体"/>
          <w:color w:val="auto"/>
          <w:sz w:val="24"/>
          <w:highlight w:val="none"/>
          <w:lang w:val="zh-CN"/>
        </w:rPr>
        <w:t xml:space="preserve">）</w:t>
      </w:r>
      <w:r/>
    </w:p>
    <w:p>
      <w:pPr>
        <w:jc w:val="left"/>
        <w:spacing w:before="75" w:after="75" w:line="435" w:lineRule="atLeast"/>
        <w:widowControl/>
        <w:rPr>
          <w:rFonts w:ascii="宋体" w:hAnsi="宋体" w:cs="宋体"/>
          <w:color w:val="auto"/>
          <w:sz w:val="24"/>
          <w:highlight w:val="none"/>
        </w:rPr>
      </w:pPr>
      <w:r>
        <w:rPr>
          <w:rFonts w:hint="eastAsia" w:ascii="宋体" w:hAnsi="宋体" w:cs="宋体"/>
          <w:color w:val="auto"/>
          <w:sz w:val="24"/>
          <w:highlight w:val="none"/>
        </w:rPr>
        <w:t xml:space="preserve">日     期：    年   月   日</w:t>
      </w:r>
      <w:r/>
    </w:p>
    <w:p>
      <w:pPr>
        <w:jc w:val="left"/>
        <w:spacing w:before="75" w:after="75" w:line="435" w:lineRule="atLeast"/>
        <w:widowControl/>
        <w:rPr>
          <w:rFonts w:ascii="宋体" w:hAnsi="宋体" w:cs="宋体"/>
          <w:color w:val="auto"/>
          <w:sz w:val="24"/>
          <w:highlight w:val="none"/>
        </w:rPr>
      </w:pPr>
      <w:r>
        <w:rPr>
          <w:rFonts w:ascii="宋体" w:hAnsi="宋体" w:cs="宋体"/>
          <w:color w:val="auto"/>
          <w:sz w:val="24"/>
          <w:highlight w:val="none"/>
        </w:rPr>
      </w:r>
      <w:r/>
    </w:p>
    <w:p>
      <w:pPr>
        <w:jc w:val="left"/>
        <w:spacing w:before="75" w:after="75" w:line="435" w:lineRule="atLeast"/>
        <w:widowControl/>
        <w:rPr>
          <w:rFonts w:ascii="宋体" w:hAnsi="宋体" w:cs="宋体"/>
          <w:color w:val="auto"/>
          <w:sz w:val="24"/>
          <w:highlight w:val="none"/>
        </w:rPr>
      </w:pPr>
      <w:r>
        <w:rPr>
          <w:rFonts w:ascii="宋体" w:hAnsi="宋体" w:cs="宋体"/>
          <w:color w:val="auto"/>
          <w:sz w:val="24"/>
          <w:highlight w:val="none"/>
        </w:rPr>
      </w:r>
      <w:r/>
    </w:p>
    <w:p>
      <w:pPr>
        <w:jc w:val="left"/>
        <w:spacing w:before="75" w:after="75" w:line="435" w:lineRule="atLeast"/>
        <w:widowControl/>
        <w:rPr>
          <w:rFonts w:ascii="宋体" w:hAnsi="宋体" w:cs="宋体"/>
          <w:color w:val="auto"/>
          <w:sz w:val="24"/>
          <w:highlight w:val="none"/>
        </w:rPr>
      </w:pPr>
      <w:r>
        <w:rPr>
          <w:rFonts w:ascii="宋体" w:hAnsi="宋体" w:cs="宋体"/>
          <w:color w:val="auto"/>
          <w:sz w:val="24"/>
          <w:highlight w:val="none"/>
        </w:rPr>
      </w:r>
      <w:r/>
    </w:p>
    <w:p>
      <w:pPr>
        <w:jc w:val="left"/>
        <w:spacing w:before="75" w:after="75" w:line="435" w:lineRule="atLeast"/>
        <w:widowControl/>
        <w:rPr>
          <w:rFonts w:ascii="宋体" w:hAnsi="宋体" w:cs="宋体"/>
          <w:color w:val="auto"/>
          <w:sz w:val="24"/>
          <w:highlight w:val="none"/>
        </w:rPr>
      </w:pPr>
      <w:r>
        <w:rPr>
          <w:rFonts w:ascii="宋体" w:hAnsi="宋体" w:cs="宋体"/>
          <w:color w:val="auto"/>
          <w:sz w:val="24"/>
          <w:highlight w:val="none"/>
        </w:rPr>
      </w:r>
      <w:r/>
    </w:p>
    <w:p>
      <w:pPr>
        <w:jc w:val="left"/>
        <w:spacing w:before="75" w:after="75" w:line="435" w:lineRule="atLeast"/>
        <w:widowControl/>
        <w:rPr>
          <w:rFonts w:ascii="宋体" w:hAnsi="宋体" w:cs="宋体"/>
          <w:color w:val="auto"/>
          <w:sz w:val="24"/>
          <w:highlight w:val="none"/>
        </w:rPr>
      </w:pPr>
      <w:r>
        <w:rPr>
          <w:rFonts w:ascii="宋体" w:hAnsi="宋体" w:cs="宋体"/>
          <w:color w:val="auto"/>
          <w:sz w:val="24"/>
          <w:highlight w:val="none"/>
        </w:rPr>
      </w:r>
      <w:r/>
    </w:p>
    <w:p>
      <w:pPr>
        <w:jc w:val="left"/>
        <w:spacing w:before="75" w:after="75" w:line="435" w:lineRule="atLeast"/>
        <w:widowControl/>
        <w:rPr>
          <w:rFonts w:ascii="宋体" w:hAnsi="宋体" w:cs="宋体"/>
          <w:color w:val="auto"/>
          <w:sz w:val="24"/>
          <w:highlight w:val="none"/>
        </w:rPr>
      </w:pPr>
      <w:r>
        <w:rPr>
          <w:rFonts w:ascii="宋体" w:hAnsi="宋体" w:cs="宋体"/>
          <w:color w:val="auto"/>
          <w:sz w:val="24"/>
          <w:highlight w:val="none"/>
        </w:rPr>
      </w:r>
      <w:r/>
    </w:p>
    <w:p>
      <w:pPr>
        <w:jc w:val="left"/>
        <w:spacing w:before="75" w:after="75" w:line="435" w:lineRule="atLeast"/>
        <w:widowControl/>
        <w:rPr>
          <w:rFonts w:ascii="宋体" w:hAnsi="宋体" w:cs="宋体"/>
          <w:color w:val="auto"/>
          <w:sz w:val="24"/>
          <w:highlight w:val="none"/>
        </w:rPr>
      </w:pPr>
      <w:r>
        <w:rPr>
          <w:rFonts w:ascii="宋体" w:hAnsi="宋体" w:cs="宋体"/>
          <w:color w:val="auto"/>
          <w:sz w:val="24"/>
          <w:highlight w:val="none"/>
        </w:rPr>
      </w:r>
      <w:r/>
    </w:p>
    <w:p>
      <w:pPr>
        <w:jc w:val="left"/>
        <w:spacing w:before="75" w:after="75" w:line="435" w:lineRule="atLeast"/>
        <w:widowControl/>
        <w:rPr>
          <w:rFonts w:ascii="宋体" w:hAnsi="宋体" w:cs="宋体"/>
          <w:b/>
          <w:bCs/>
          <w:color w:val="auto"/>
          <w:sz w:val="24"/>
          <w:highlight w:val="none"/>
        </w:rPr>
      </w:pPr>
      <w:r>
        <w:rPr>
          <w:rFonts w:hint="eastAsia" w:ascii="宋体" w:hAnsi="宋体" w:cs="宋体"/>
          <w:b/>
          <w:bCs/>
          <w:color w:val="auto"/>
          <w:sz w:val="24"/>
          <w:highlight w:val="none"/>
        </w:rPr>
        <w:t xml:space="preserve">附件5-6：</w:t>
      </w:r>
      <w:r/>
    </w:p>
    <w:p>
      <w:pPr>
        <w:jc w:val="left"/>
        <w:spacing w:before="75" w:after="75" w:line="435" w:lineRule="atLeast"/>
        <w:widowControl/>
        <w:rPr>
          <w:rFonts w:ascii="宋体" w:hAnsi="宋体" w:cs="宋体"/>
          <w:color w:val="auto"/>
          <w:sz w:val="24"/>
          <w:highlight w:val="none"/>
        </w:rPr>
      </w:pPr>
      <w:r>
        <w:rPr>
          <w:rFonts w:hint="eastAsia" w:ascii="宋体" w:hAnsi="宋体" w:cs="宋体"/>
          <w:b/>
          <w:bCs/>
          <w:color w:val="auto"/>
          <w:sz w:val="24"/>
          <w:highlight w:val="none"/>
        </w:rPr>
        <w:t xml:space="preserve">   </w:t>
      </w:r>
      <w:r>
        <w:rPr>
          <w:rFonts w:hint="eastAsia" w:ascii="宋体" w:hAnsi="宋体" w:cs="宋体"/>
          <w:color w:val="auto"/>
          <w:sz w:val="24"/>
          <w:highlight w:val="none"/>
        </w:rPr>
        <w:t xml:space="preserve">   </w:t>
      </w:r>
      <w:r/>
    </w:p>
    <w:p>
      <w:pPr>
        <w:jc w:val="center"/>
        <w:spacing w:before="75" w:after="75" w:line="360" w:lineRule="auto"/>
        <w:widowControl/>
        <w:rPr>
          <w:rFonts w:ascii="宋体" w:hAnsi="宋体" w:cs="宋体"/>
          <w:color w:val="auto"/>
          <w:sz w:val="24"/>
          <w:highlight w:val="none"/>
        </w:rPr>
      </w:pPr>
      <w:r>
        <w:rPr>
          <w:rFonts w:hint="eastAsia" w:ascii="宋体" w:hAnsi="宋体" w:cs="宋体"/>
          <w:b/>
          <w:color w:val="auto"/>
          <w:sz w:val="24"/>
          <w:highlight w:val="none"/>
        </w:rPr>
        <w:t xml:space="preserve">参加采购活动前三年内在经营活动中</w:t>
      </w:r>
      <w:r/>
    </w:p>
    <w:p>
      <w:pPr>
        <w:jc w:val="center"/>
        <w:spacing w:before="75" w:after="75" w:line="360" w:lineRule="auto"/>
        <w:widowControl/>
        <w:rPr>
          <w:rFonts w:ascii="宋体" w:hAnsi="宋体" w:cs="宋体"/>
          <w:color w:val="auto"/>
          <w:sz w:val="24"/>
          <w:highlight w:val="none"/>
        </w:rPr>
      </w:pPr>
      <w:r>
        <w:rPr>
          <w:rFonts w:hint="eastAsia" w:ascii="宋体" w:hAnsi="宋体" w:cs="宋体"/>
          <w:b/>
          <w:color w:val="auto"/>
          <w:sz w:val="24"/>
          <w:highlight w:val="none"/>
        </w:rPr>
        <w:t xml:space="preserve">没有重大违法记录书面声明</w:t>
      </w:r>
      <w:r/>
    </w:p>
    <w:p>
      <w:pPr>
        <w:jc w:val="left"/>
        <w:spacing w:before="75" w:after="75"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 </w:t>
      </w:r>
      <w:r/>
    </w:p>
    <w:p>
      <w:pPr>
        <w:jc w:val="left"/>
        <w:spacing w:before="75" w:after="75"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     (采购人或采购代理机构)       </w:t>
      </w:r>
      <w:r/>
    </w:p>
    <w:p>
      <w:pPr>
        <w:ind w:firstLine="480"/>
        <w:jc w:val="left"/>
        <w:spacing w:before="75" w:after="75"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参加政府采购活动前三年内，我方在经营活动中没有重大违法记录。</w:t>
      </w:r>
      <w:r/>
    </w:p>
    <w:p>
      <w:pPr>
        <w:ind w:firstLine="480"/>
        <w:jc w:val="left"/>
        <w:spacing w:before="75" w:after="75"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特此声明。</w:t>
      </w:r>
      <w:r/>
    </w:p>
    <w:p>
      <w:pPr>
        <w:jc w:val="left"/>
        <w:spacing w:before="75" w:after="75"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 </w:t>
      </w:r>
      <w:r/>
    </w:p>
    <w:p>
      <w:pPr>
        <w:jc w:val="left"/>
        <w:spacing w:before="75" w:after="75"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★注意：</w:t>
      </w:r>
      <w:r/>
    </w:p>
    <w:p>
      <w:pPr>
        <w:jc w:val="left"/>
        <w:spacing w:before="75" w:after="75"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1、“重大违法记录”指供应商因违法经营受到刑事处罚或责令停产停业、吊销许可证或执照、较大数额罚款等行政处罚。</w:t>
      </w:r>
      <w:r/>
    </w:p>
    <w:p>
      <w:pPr>
        <w:jc w:val="left"/>
        <w:spacing w:before="75" w:after="75"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2、请供应商根据实际情况进行声明，</w:t>
      </w:r>
      <w:r>
        <w:rPr>
          <w:rFonts w:hint="eastAsia" w:ascii="宋体" w:hAnsi="宋体" w:cs="宋体"/>
          <w:b/>
          <w:color w:val="auto"/>
          <w:sz w:val="24"/>
          <w:highlight w:val="none"/>
        </w:rPr>
        <w:t xml:space="preserve">若声明不真实，视为提供虚假材料。</w:t>
      </w:r>
      <w:r/>
    </w:p>
    <w:p>
      <w:pPr>
        <w:jc w:val="left"/>
        <w:spacing w:before="75" w:after="75"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3、对于接受联合体形式的磋商且供应商是联合体的，则联合体各成员都应当提交本资格证明文件。</w:t>
      </w:r>
      <w:r/>
    </w:p>
    <w:p>
      <w:pPr>
        <w:jc w:val="left"/>
        <w:spacing w:before="75" w:after="75" w:line="435" w:lineRule="atLeast"/>
        <w:widowControl/>
        <w:rPr>
          <w:rFonts w:ascii="宋体" w:hAnsi="宋体" w:cs="宋体"/>
          <w:color w:val="auto"/>
          <w:sz w:val="24"/>
          <w:highlight w:val="none"/>
        </w:rPr>
      </w:pPr>
      <w:r>
        <w:rPr>
          <w:rFonts w:hint="eastAsia" w:ascii="宋体" w:hAnsi="宋体" w:cs="宋体"/>
          <w:color w:val="auto"/>
          <w:sz w:val="24"/>
          <w:highlight w:val="none"/>
          <w:lang w:val="zh-CN"/>
        </w:rPr>
        <w:t xml:space="preserve">响应单位：（</w:t>
      </w:r>
      <w:r>
        <w:rPr>
          <w:rFonts w:hint="eastAsia" w:ascii="宋体" w:hAnsi="宋体" w:cs="宋体"/>
          <w:color w:val="auto"/>
          <w:sz w:val="24"/>
          <w:highlight w:val="none"/>
        </w:rPr>
        <w:t xml:space="preserve">签章</w:t>
      </w:r>
      <w:r>
        <w:rPr>
          <w:rFonts w:hint="eastAsia" w:ascii="宋体" w:hAnsi="宋体" w:cs="宋体"/>
          <w:color w:val="auto"/>
          <w:sz w:val="24"/>
          <w:highlight w:val="none"/>
          <w:lang w:val="zh-CN"/>
        </w:rPr>
        <w:t xml:space="preserve">）</w:t>
      </w:r>
      <w:r/>
    </w:p>
    <w:p>
      <w:pPr>
        <w:jc w:val="left"/>
        <w:spacing w:before="75" w:after="75" w:line="435" w:lineRule="atLeast"/>
        <w:widowControl/>
        <w:rPr>
          <w:rFonts w:ascii="宋体" w:hAnsi="宋体" w:cs="宋体"/>
          <w:color w:val="auto"/>
          <w:sz w:val="24"/>
          <w:highlight w:val="none"/>
        </w:rPr>
      </w:pPr>
      <w:r>
        <w:rPr>
          <w:rFonts w:hint="eastAsia" w:ascii="宋体" w:hAnsi="宋体" w:cs="宋体"/>
          <w:color w:val="auto"/>
          <w:sz w:val="24"/>
          <w:highlight w:val="none"/>
        </w:rPr>
        <w:t xml:space="preserve">日     期：    年   月   日</w:t>
      </w:r>
      <w:r/>
    </w:p>
    <w:p>
      <w:pPr>
        <w:jc w:val="left"/>
        <w:spacing w:before="75" w:after="75" w:line="435" w:lineRule="atLeast"/>
        <w:widowControl/>
        <w:rPr>
          <w:rFonts w:ascii="宋体" w:hAnsi="宋体" w:cs="宋体"/>
          <w:color w:val="auto"/>
          <w:sz w:val="24"/>
          <w:highlight w:val="none"/>
        </w:rPr>
      </w:pPr>
      <w:r>
        <w:rPr>
          <w:rFonts w:ascii="宋体" w:hAnsi="宋体" w:cs="宋体"/>
          <w:color w:val="auto"/>
          <w:sz w:val="24"/>
          <w:highlight w:val="none"/>
        </w:rPr>
      </w:r>
      <w:r/>
    </w:p>
    <w:p>
      <w:pPr>
        <w:jc w:val="left"/>
        <w:spacing w:before="75" w:after="75" w:line="435" w:lineRule="atLeast"/>
        <w:widowControl/>
        <w:rPr>
          <w:rFonts w:ascii="宋体" w:hAnsi="宋体" w:cs="宋体"/>
          <w:color w:val="auto"/>
          <w:sz w:val="24"/>
          <w:highlight w:val="none"/>
        </w:rPr>
      </w:pPr>
      <w:r>
        <w:rPr>
          <w:rFonts w:ascii="宋体" w:hAnsi="宋体" w:cs="宋体"/>
          <w:color w:val="auto"/>
          <w:sz w:val="24"/>
          <w:highlight w:val="none"/>
        </w:rPr>
      </w:r>
      <w:r/>
    </w:p>
    <w:p>
      <w:pPr>
        <w:jc w:val="left"/>
        <w:spacing w:before="75" w:after="75" w:line="435" w:lineRule="atLeast"/>
        <w:widowControl/>
        <w:rPr>
          <w:rFonts w:ascii="宋体" w:hAnsi="宋体" w:cs="宋体"/>
          <w:color w:val="auto"/>
          <w:sz w:val="24"/>
          <w:highlight w:val="none"/>
        </w:rPr>
      </w:pPr>
      <w:r>
        <w:rPr>
          <w:rFonts w:ascii="宋体" w:hAnsi="宋体" w:cs="宋体"/>
          <w:color w:val="auto"/>
          <w:sz w:val="24"/>
          <w:highlight w:val="none"/>
        </w:rPr>
      </w:r>
      <w:r/>
    </w:p>
    <w:p>
      <w:pPr>
        <w:jc w:val="left"/>
        <w:spacing w:before="75" w:after="75" w:line="435" w:lineRule="atLeast"/>
        <w:widowControl/>
        <w:rPr>
          <w:rFonts w:ascii="宋体" w:hAnsi="宋体" w:cs="宋体"/>
          <w:color w:val="auto"/>
          <w:sz w:val="24"/>
          <w:highlight w:val="none"/>
        </w:rPr>
      </w:pPr>
      <w:r>
        <w:rPr>
          <w:rFonts w:ascii="宋体" w:hAnsi="宋体" w:cs="宋体"/>
          <w:color w:val="auto"/>
          <w:sz w:val="24"/>
          <w:highlight w:val="none"/>
        </w:rPr>
      </w:r>
      <w:r/>
    </w:p>
    <w:p>
      <w:pPr>
        <w:jc w:val="left"/>
        <w:spacing w:before="75" w:after="75" w:line="435" w:lineRule="atLeast"/>
        <w:widowControl/>
        <w:rPr>
          <w:rFonts w:ascii="宋体" w:hAnsi="宋体" w:cs="宋体"/>
          <w:color w:val="auto"/>
          <w:sz w:val="24"/>
          <w:highlight w:val="none"/>
        </w:rPr>
      </w:pPr>
      <w:r>
        <w:rPr>
          <w:rFonts w:ascii="宋体" w:hAnsi="宋体" w:cs="宋体"/>
          <w:color w:val="auto"/>
          <w:sz w:val="24"/>
          <w:highlight w:val="none"/>
        </w:rPr>
      </w:r>
      <w:r/>
    </w:p>
    <w:p>
      <w:pPr>
        <w:jc w:val="left"/>
        <w:spacing w:before="75" w:after="75" w:line="435" w:lineRule="atLeast"/>
        <w:widowControl/>
        <w:rPr>
          <w:rFonts w:ascii="宋体" w:hAnsi="宋体" w:cs="宋体"/>
          <w:color w:val="auto"/>
          <w:sz w:val="24"/>
          <w:highlight w:val="none"/>
        </w:rPr>
      </w:pPr>
      <w:r>
        <w:rPr>
          <w:rFonts w:ascii="宋体" w:hAnsi="宋体" w:cs="宋体"/>
          <w:color w:val="auto"/>
          <w:sz w:val="24"/>
          <w:highlight w:val="none"/>
        </w:rPr>
      </w:r>
      <w:r/>
    </w:p>
    <w:p>
      <w:pPr>
        <w:jc w:val="left"/>
        <w:spacing w:before="75" w:after="75" w:line="435" w:lineRule="atLeast"/>
        <w:widowControl/>
        <w:rPr>
          <w:rFonts w:ascii="宋体" w:hAnsi="宋体" w:cs="宋体"/>
          <w:color w:val="auto"/>
          <w:sz w:val="24"/>
          <w:highlight w:val="none"/>
        </w:rPr>
      </w:pPr>
      <w:r>
        <w:rPr>
          <w:rFonts w:ascii="宋体" w:hAnsi="宋体" w:cs="宋体"/>
          <w:color w:val="auto"/>
          <w:sz w:val="24"/>
          <w:highlight w:val="none"/>
        </w:rPr>
      </w:r>
      <w:r/>
    </w:p>
    <w:p>
      <w:pPr>
        <w:jc w:val="left"/>
        <w:spacing w:before="75" w:after="75" w:line="435" w:lineRule="atLeast"/>
        <w:widowControl/>
        <w:rPr>
          <w:rFonts w:ascii="宋体" w:hAnsi="宋体" w:cs="宋体"/>
          <w:color w:val="auto"/>
          <w:sz w:val="24"/>
          <w:highlight w:val="none"/>
        </w:rPr>
      </w:pPr>
      <w:r>
        <w:rPr>
          <w:rFonts w:ascii="宋体" w:hAnsi="宋体" w:cs="宋体"/>
          <w:color w:val="auto"/>
          <w:sz w:val="24"/>
          <w:highlight w:val="none"/>
        </w:rPr>
      </w:r>
      <w:r/>
    </w:p>
    <w:p>
      <w:pPr>
        <w:jc w:val="left"/>
        <w:spacing w:before="75" w:after="75" w:line="435" w:lineRule="atLeast"/>
        <w:widowControl/>
        <w:rPr>
          <w:rFonts w:ascii="宋体" w:hAnsi="宋体" w:cs="宋体"/>
          <w:color w:val="auto"/>
          <w:sz w:val="24"/>
          <w:highlight w:val="none"/>
        </w:rPr>
      </w:pPr>
      <w:r>
        <w:rPr>
          <w:rFonts w:ascii="宋体" w:hAnsi="宋体" w:cs="宋体"/>
          <w:color w:val="auto"/>
          <w:sz w:val="24"/>
          <w:highlight w:val="none"/>
        </w:rPr>
      </w:r>
      <w:r/>
    </w:p>
    <w:p>
      <w:pPr>
        <w:jc w:val="left"/>
        <w:spacing w:before="75" w:after="75" w:line="435" w:lineRule="atLeast"/>
        <w:widowControl/>
        <w:rPr>
          <w:rFonts w:ascii="宋体" w:hAnsi="宋体" w:cs="宋体"/>
          <w:b/>
          <w:bCs/>
          <w:color w:val="auto"/>
          <w:sz w:val="24"/>
          <w:highlight w:val="none"/>
        </w:rPr>
      </w:pPr>
      <w:r>
        <w:rPr>
          <w:rFonts w:hint="eastAsia" w:ascii="宋体" w:hAnsi="宋体" w:cs="宋体"/>
          <w:b/>
          <w:bCs/>
          <w:color w:val="auto"/>
          <w:sz w:val="24"/>
          <w:highlight w:val="none"/>
        </w:rPr>
        <w:t xml:space="preserve">附件6-1：</w:t>
      </w:r>
      <w:r/>
    </w:p>
    <w:p>
      <w:pPr>
        <w:jc w:val="center"/>
        <w:spacing w:line="480" w:lineRule="exact"/>
        <w:widowControl/>
        <w:rPr>
          <w:rFonts w:ascii="宋体" w:hAnsi="宋体" w:cs="宋体"/>
          <w:b/>
          <w:color w:val="auto"/>
          <w:sz w:val="24"/>
          <w:highlight w:val="none"/>
        </w:rPr>
      </w:pPr>
      <w:r>
        <w:rPr>
          <w:rFonts w:hint="eastAsia" w:ascii="宋体" w:hAnsi="宋体" w:cs="宋体"/>
          <w:b/>
          <w:color w:val="auto"/>
          <w:sz w:val="24"/>
          <w:highlight w:val="none"/>
        </w:rPr>
        <w:t xml:space="preserve">中小企业声明函（服务）</w:t>
      </w:r>
      <w:r/>
    </w:p>
    <w:p>
      <w:pPr>
        <w:jc w:val="left"/>
        <w:spacing w:line="480" w:lineRule="exact"/>
        <w:widowControl/>
        <w:rPr>
          <w:rFonts w:ascii="宋体" w:hAnsi="宋体" w:cs="宋体"/>
          <w:color w:val="auto"/>
          <w:sz w:val="24"/>
          <w:highlight w:val="none"/>
        </w:rPr>
      </w:pPr>
      <w:r>
        <w:rPr>
          <w:rFonts w:hint="eastAsia" w:ascii="宋体" w:hAnsi="宋体" w:cs="宋体"/>
          <w:color w:val="auto"/>
          <w:sz w:val="24"/>
          <w:highlight w:val="none"/>
          <w:u w:val="single"/>
        </w:rPr>
        <w:t xml:space="preserve">(采购人或采购代理机构)：</w:t>
      </w:r>
      <w:r/>
    </w:p>
    <w:p>
      <w:pPr>
        <w:ind w:firstLine="480"/>
        <w:spacing w:line="480" w:lineRule="exact"/>
        <w:widowControl/>
        <w:rPr>
          <w:rFonts w:ascii="宋体" w:hAnsi="宋体" w:cs="宋体"/>
          <w:color w:val="auto"/>
          <w:sz w:val="24"/>
          <w:highlight w:val="none"/>
          <w:u w:val="single"/>
        </w:rPr>
      </w:pPr>
      <w:r>
        <w:rPr>
          <w:rFonts w:hint="eastAsia" w:ascii="宋体" w:hAnsi="宋体" w:cs="宋体"/>
          <w:color w:val="auto"/>
          <w:sz w:val="24"/>
          <w:highlight w:val="none"/>
        </w:rPr>
        <w:t xml:space="preserve">本公司（联合体）郑重声明，根据《政府采购促进中小企业发展管理办法》（财库[2020]46号）的规定，本公司（联合体）参加</w:t>
      </w:r>
      <w:r>
        <w:rPr>
          <w:rFonts w:hint="eastAsia" w:ascii="宋体" w:hAnsi="宋体" w:cs="宋体"/>
          <w:color w:val="auto"/>
          <w:sz w:val="24"/>
          <w:highlight w:val="none"/>
          <w:u w:val="single"/>
        </w:rPr>
        <w:t xml:space="preserve">（单位名称）</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采购活动，服务全部由符合政策要求的中小企业承接。相关企业（含联合体中的中小企业、签订分包意向协议的中小企业）的具体情况如下：</w:t>
      </w:r>
      <w:r/>
    </w:p>
    <w:p>
      <w:pPr>
        <w:ind w:firstLine="480"/>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（采购文件中明确的所属行业）行业</w:t>
      </w:r>
      <w:r>
        <w:rPr>
          <w:rFonts w:hint="eastAsia" w:ascii="宋体" w:hAnsi="宋体" w:cs="宋体"/>
          <w:color w:val="auto"/>
          <w:sz w:val="24"/>
          <w:highlight w:val="none"/>
        </w:rPr>
        <w:t xml:space="preserve">；承接企业为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w:t>
      </w:r>
      <w:r>
        <w:rPr>
          <w:rFonts w:hint="eastAsia" w:ascii="宋体" w:hAnsi="宋体" w:cs="宋体"/>
          <w:color w:val="auto"/>
          <w:sz w:val="24"/>
          <w:highlight w:val="none"/>
          <w:vertAlign w:val="superscript"/>
        </w:rPr>
        <w:footnoteReference w:id="2"/>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（中型企业、小型企业、微型企业）</w:t>
      </w:r>
      <w:r>
        <w:rPr>
          <w:rFonts w:hint="eastAsia" w:ascii="宋体" w:hAnsi="宋体" w:cs="宋体"/>
          <w:color w:val="auto"/>
          <w:sz w:val="24"/>
          <w:highlight w:val="none"/>
        </w:rPr>
        <w:t xml:space="preserve">；</w:t>
      </w:r>
      <w:r/>
    </w:p>
    <w:p>
      <w:pPr>
        <w:ind w:firstLine="480"/>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u w:val="single"/>
          <w:lang w:val="zh-CN"/>
        </w:rPr>
        <w:t xml:space="preserve">（</w:t>
      </w:r>
      <w:r>
        <w:rPr>
          <w:rFonts w:hint="eastAsia" w:ascii="宋体" w:hAnsi="宋体" w:cs="宋体"/>
          <w:color w:val="auto"/>
          <w:sz w:val="24"/>
          <w:highlight w:val="none"/>
          <w:u w:val="single"/>
        </w:rPr>
        <w:t xml:space="preserve">项目</w:t>
      </w:r>
      <w:r>
        <w:rPr>
          <w:rFonts w:hint="eastAsia" w:ascii="宋体" w:hAnsi="宋体" w:cs="宋体"/>
          <w:color w:val="auto"/>
          <w:sz w:val="24"/>
          <w:highlight w:val="none"/>
          <w:u w:val="single"/>
          <w:lang w:val="zh-CN"/>
        </w:rPr>
        <w:t xml:space="preserve">名称）</w:t>
      </w:r>
      <w:r>
        <w:rPr>
          <w:rFonts w:hint="eastAsia" w:ascii="宋体" w:hAnsi="宋体" w:cs="宋体"/>
          <w:color w:val="auto"/>
          <w:sz w:val="24"/>
          <w:highlight w:val="none"/>
          <w:lang w:val="zh-CN"/>
        </w:rPr>
        <w:t xml:space="preserve">，属于</w:t>
      </w:r>
      <w:r>
        <w:rPr>
          <w:rFonts w:hint="eastAsia" w:ascii="宋体" w:hAnsi="宋体" w:cs="宋体"/>
          <w:color w:val="auto"/>
          <w:sz w:val="24"/>
          <w:highlight w:val="none"/>
          <w:u w:val="single"/>
          <w:lang w:val="zh-CN"/>
        </w:rPr>
        <w:t xml:space="preserve">（采购文件中明确的所属行业）行业</w:t>
      </w:r>
      <w:r>
        <w:rPr>
          <w:rFonts w:hint="eastAsia" w:ascii="宋体" w:hAnsi="宋体" w:cs="宋体"/>
          <w:color w:val="auto"/>
          <w:sz w:val="24"/>
          <w:highlight w:val="none"/>
          <w:lang w:val="zh-CN"/>
        </w:rPr>
        <w:t xml:space="preserve">；承接企业为</w:t>
      </w:r>
      <w:r>
        <w:rPr>
          <w:rFonts w:hint="eastAsia" w:ascii="宋体" w:hAnsi="宋体" w:cs="宋体"/>
          <w:color w:val="auto"/>
          <w:sz w:val="24"/>
          <w:highlight w:val="none"/>
          <w:u w:val="single"/>
          <w:lang w:val="zh-CN"/>
        </w:rPr>
        <w:t xml:space="preserve">（企业名称）</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color w:val="auto"/>
          <w:sz w:val="24"/>
          <w:highlight w:val="none"/>
          <w:u w:val="single"/>
        </w:rPr>
        <w:t xml:space="preserve">（中型企业、小型企业、微型企业）</w:t>
      </w:r>
      <w:r>
        <w:rPr>
          <w:rFonts w:hint="eastAsia" w:ascii="宋体" w:hAnsi="宋体" w:cs="宋体"/>
          <w:color w:val="auto"/>
          <w:sz w:val="24"/>
          <w:highlight w:val="none"/>
        </w:rPr>
        <w:t xml:space="preserve">；</w:t>
      </w:r>
      <w:r/>
    </w:p>
    <w:p>
      <w:pPr>
        <w:ind w:firstLine="480"/>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jc w:val="left"/>
        <w:spacing w:line="360" w:lineRule="auto"/>
        <w:widowControl/>
        <w:rPr>
          <w:rFonts w:ascii="宋体" w:hAnsi="宋体" w:cs="宋体"/>
          <w:color w:val="auto"/>
          <w:sz w:val="24"/>
          <w:highlight w:val="none"/>
        </w:rPr>
      </w:pPr>
      <w:r>
        <w:rPr>
          <w:rFonts w:ascii="宋体" w:hAnsi="宋体" w:cs="宋体"/>
          <w:color w:val="auto"/>
          <w:sz w:val="24"/>
          <w:highlight w:val="none"/>
        </w:rPr>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lang w:val="zh-CN"/>
        </w:rPr>
        <w:t xml:space="preserve">响应单位：（</w:t>
      </w:r>
      <w:r>
        <w:rPr>
          <w:rFonts w:hint="eastAsia" w:ascii="宋体" w:hAnsi="宋体" w:cs="宋体"/>
          <w:color w:val="auto"/>
          <w:sz w:val="24"/>
          <w:highlight w:val="none"/>
        </w:rPr>
        <w:t xml:space="preserve">签章</w:t>
      </w:r>
      <w:r>
        <w:rPr>
          <w:rFonts w:hint="eastAsia" w:ascii="宋体" w:hAnsi="宋体" w:cs="宋体"/>
          <w:color w:val="auto"/>
          <w:sz w:val="24"/>
          <w:highlight w:val="none"/>
          <w:lang w:val="zh-CN"/>
        </w:rPr>
        <w:t xml:space="preserve">）</w:t>
      </w:r>
      <w:r/>
    </w:p>
    <w:p>
      <w:pPr>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rPr>
        <w:t xml:space="preserve">日     期：    年   月   日</w:t>
      </w:r>
      <w:r/>
    </w:p>
    <w:p>
      <w:pPr>
        <w:spacing w:line="280" w:lineRule="exact"/>
        <w:widowControl/>
        <w:rPr>
          <w:rFonts w:ascii="宋体" w:hAnsi="宋体"/>
          <w:b/>
          <w:color w:val="auto"/>
          <w:sz w:val="20"/>
          <w:szCs w:val="20"/>
          <w:highlight w:val="none"/>
        </w:rPr>
      </w:pPr>
      <w:r>
        <w:rPr>
          <w:rFonts w:hint="eastAsia" w:ascii="宋体" w:hAnsi="宋体" w:cs="宋体"/>
          <w:b/>
          <w:bCs/>
          <w:color w:val="auto"/>
          <w:sz w:val="24"/>
          <w:highlight w:val="none"/>
        </w:rPr>
        <w:br w:type="page" w:clear="all"/>
      </w:r>
      <w:r>
        <w:rPr>
          <w:rFonts w:hint="eastAsia" w:ascii="宋体" w:hAnsi="宋体"/>
          <w:b/>
          <w:color w:val="auto"/>
          <w:sz w:val="20"/>
          <w:szCs w:val="20"/>
          <w:highlight w:val="none"/>
        </w:rPr>
        <w:t xml:space="preserve">附：中小企业划型标准规定</w:t>
      </w:r>
      <w:r/>
    </w:p>
    <w:p>
      <w:pPr>
        <w:ind w:firstLine="402"/>
        <w:spacing w:line="280" w:lineRule="exact"/>
        <w:widowControl/>
        <w:rPr>
          <w:rFonts w:ascii="宋体" w:hAnsi="宋体"/>
          <w:color w:val="auto"/>
          <w:sz w:val="20"/>
          <w:szCs w:val="20"/>
          <w:highlight w:val="none"/>
        </w:rPr>
      </w:pPr>
      <w:r>
        <w:rPr>
          <w:rFonts w:hint="eastAsia" w:ascii="宋体" w:hAnsi="宋体"/>
          <w:b/>
          <w:color w:val="auto"/>
          <w:sz w:val="20"/>
          <w:szCs w:val="20"/>
          <w:highlight w:val="none"/>
        </w:rPr>
        <w:t xml:space="preserve">（一）农、林、牧、渔业。</w:t>
      </w:r>
      <w:r>
        <w:rPr>
          <w:rFonts w:hint="eastAsia" w:ascii="宋体" w:hAnsi="宋体"/>
          <w:color w:val="auto"/>
          <w:sz w:val="20"/>
          <w:szCs w:val="20"/>
          <w:highlight w:val="none"/>
        </w:rPr>
        <w:t xml:space="preserve">营业收入20000万元以下的为中小微型企业。其中，营业收入500万元及以上的为中型企业，营业收入50万元及以上的为小型企业，营业收入50万元以下的为微型企业。</w:t>
      </w:r>
      <w:r/>
    </w:p>
    <w:p>
      <w:pPr>
        <w:ind w:firstLine="402"/>
        <w:spacing w:line="280" w:lineRule="exact"/>
        <w:widowControl/>
        <w:rPr>
          <w:rFonts w:ascii="宋体" w:hAnsi="宋体"/>
          <w:color w:val="auto"/>
          <w:sz w:val="20"/>
          <w:szCs w:val="20"/>
          <w:highlight w:val="none"/>
        </w:rPr>
      </w:pPr>
      <w:r>
        <w:rPr>
          <w:rFonts w:hint="eastAsia" w:ascii="宋体" w:hAnsi="宋体"/>
          <w:b/>
          <w:color w:val="auto"/>
          <w:sz w:val="20"/>
          <w:szCs w:val="20"/>
          <w:highlight w:val="none"/>
        </w:rPr>
        <w:t xml:space="preserve">（二）工业。</w:t>
      </w:r>
      <w:r>
        <w:rPr>
          <w:rFonts w:hint="eastAsia" w:ascii="宋体" w:hAnsi="宋体"/>
          <w:color w:val="auto"/>
          <w:sz w:val="20"/>
          <w:szCs w:val="20"/>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80" w:lineRule="exact"/>
        <w:widowControl/>
        <w:rPr>
          <w:rFonts w:ascii="宋体" w:hAnsi="宋体"/>
          <w:color w:val="auto"/>
          <w:sz w:val="20"/>
          <w:szCs w:val="20"/>
          <w:highlight w:val="none"/>
        </w:rPr>
      </w:pPr>
      <w:r>
        <w:rPr>
          <w:rFonts w:hint="eastAsia" w:ascii="宋体" w:hAnsi="宋体"/>
          <w:b/>
          <w:color w:val="auto"/>
          <w:sz w:val="20"/>
          <w:szCs w:val="20"/>
          <w:highlight w:val="none"/>
        </w:rPr>
        <w:t xml:space="preserve">（三）建筑业。</w:t>
      </w:r>
      <w:r>
        <w:rPr>
          <w:rFonts w:hint="eastAsia" w:ascii="宋体" w:hAnsi="宋体"/>
          <w:color w:val="auto"/>
          <w:sz w:val="20"/>
          <w:szCs w:val="20"/>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80" w:lineRule="exact"/>
        <w:widowControl/>
        <w:rPr>
          <w:rFonts w:ascii="宋体" w:hAnsi="宋体"/>
          <w:color w:val="auto"/>
          <w:sz w:val="20"/>
          <w:szCs w:val="20"/>
          <w:highlight w:val="none"/>
        </w:rPr>
      </w:pPr>
      <w:r>
        <w:rPr>
          <w:rFonts w:hint="eastAsia" w:ascii="宋体" w:hAnsi="宋体"/>
          <w:b/>
          <w:color w:val="auto"/>
          <w:sz w:val="20"/>
          <w:szCs w:val="20"/>
          <w:highlight w:val="none"/>
        </w:rPr>
        <w:t xml:space="preserve">（四）批发业。</w:t>
      </w:r>
      <w:r>
        <w:rPr>
          <w:rFonts w:hint="eastAsia" w:ascii="宋体" w:hAnsi="宋体"/>
          <w:color w:val="auto"/>
          <w:sz w:val="20"/>
          <w:szCs w:val="20"/>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80" w:lineRule="exact"/>
        <w:widowControl/>
        <w:rPr>
          <w:rFonts w:ascii="宋体" w:hAnsi="宋体"/>
          <w:color w:val="auto"/>
          <w:sz w:val="20"/>
          <w:szCs w:val="20"/>
          <w:highlight w:val="none"/>
        </w:rPr>
      </w:pPr>
      <w:r>
        <w:rPr>
          <w:rFonts w:hint="eastAsia" w:ascii="宋体" w:hAnsi="宋体"/>
          <w:b/>
          <w:color w:val="auto"/>
          <w:sz w:val="20"/>
          <w:szCs w:val="20"/>
          <w:highlight w:val="none"/>
        </w:rPr>
        <w:t xml:space="preserve">（五）零售业。</w:t>
      </w:r>
      <w:r>
        <w:rPr>
          <w:rFonts w:hint="eastAsia" w:ascii="宋体" w:hAnsi="宋体"/>
          <w:color w:val="auto"/>
          <w:sz w:val="20"/>
          <w:szCs w:val="20"/>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80" w:lineRule="exact"/>
        <w:widowControl/>
        <w:rPr>
          <w:rFonts w:ascii="宋体" w:hAnsi="宋体"/>
          <w:color w:val="auto"/>
          <w:sz w:val="20"/>
          <w:szCs w:val="20"/>
          <w:highlight w:val="none"/>
        </w:rPr>
      </w:pPr>
      <w:r>
        <w:rPr>
          <w:rFonts w:hint="eastAsia" w:ascii="宋体" w:hAnsi="宋体"/>
          <w:b/>
          <w:color w:val="auto"/>
          <w:sz w:val="20"/>
          <w:szCs w:val="20"/>
          <w:highlight w:val="none"/>
        </w:rPr>
        <w:t xml:space="preserve">（六）交通运输业。</w:t>
      </w:r>
      <w:r>
        <w:rPr>
          <w:rFonts w:hint="eastAsia" w:ascii="宋体" w:hAnsi="宋体"/>
          <w:color w:val="auto"/>
          <w:sz w:val="20"/>
          <w:szCs w:val="20"/>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80" w:lineRule="exact"/>
        <w:widowControl/>
        <w:rPr>
          <w:rFonts w:ascii="宋体" w:hAnsi="宋体"/>
          <w:color w:val="auto"/>
          <w:sz w:val="20"/>
          <w:szCs w:val="20"/>
          <w:highlight w:val="none"/>
        </w:rPr>
      </w:pPr>
      <w:r>
        <w:rPr>
          <w:rFonts w:hint="eastAsia" w:ascii="宋体" w:hAnsi="宋体"/>
          <w:b/>
          <w:color w:val="auto"/>
          <w:sz w:val="20"/>
          <w:szCs w:val="20"/>
          <w:highlight w:val="none"/>
        </w:rPr>
        <w:t xml:space="preserve">（七）仓储业。</w:t>
      </w:r>
      <w:r>
        <w:rPr>
          <w:rFonts w:hint="eastAsia" w:ascii="宋体" w:hAnsi="宋体"/>
          <w:color w:val="auto"/>
          <w:sz w:val="20"/>
          <w:szCs w:val="20"/>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80" w:lineRule="exact"/>
        <w:widowControl/>
        <w:rPr>
          <w:rFonts w:ascii="宋体" w:hAnsi="宋体"/>
          <w:color w:val="auto"/>
          <w:sz w:val="20"/>
          <w:szCs w:val="20"/>
          <w:highlight w:val="none"/>
        </w:rPr>
      </w:pPr>
      <w:r>
        <w:rPr>
          <w:rFonts w:hint="eastAsia" w:ascii="宋体" w:hAnsi="宋体"/>
          <w:b/>
          <w:color w:val="auto"/>
          <w:sz w:val="20"/>
          <w:szCs w:val="20"/>
          <w:highlight w:val="none"/>
        </w:rPr>
        <w:t xml:space="preserve">（八）邮政业。</w:t>
      </w:r>
      <w:r>
        <w:rPr>
          <w:rFonts w:hint="eastAsia" w:ascii="宋体" w:hAnsi="宋体"/>
          <w:color w:val="auto"/>
          <w:sz w:val="20"/>
          <w:szCs w:val="20"/>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80" w:lineRule="exact"/>
        <w:widowControl/>
        <w:rPr>
          <w:rFonts w:ascii="宋体" w:hAnsi="宋体"/>
          <w:color w:val="auto"/>
          <w:sz w:val="20"/>
          <w:szCs w:val="20"/>
          <w:highlight w:val="none"/>
        </w:rPr>
      </w:pPr>
      <w:r>
        <w:rPr>
          <w:rFonts w:hint="eastAsia" w:ascii="宋体" w:hAnsi="宋体"/>
          <w:b/>
          <w:color w:val="auto"/>
          <w:sz w:val="20"/>
          <w:szCs w:val="20"/>
          <w:highlight w:val="none"/>
        </w:rPr>
        <w:t xml:space="preserve">（九）住宿业。</w:t>
      </w:r>
      <w:r>
        <w:rPr>
          <w:rFonts w:hint="eastAsia" w:ascii="宋体" w:hAnsi="宋体"/>
          <w:color w:val="auto"/>
          <w:sz w:val="20"/>
          <w:szCs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widowControl/>
        <w:rPr>
          <w:rFonts w:ascii="宋体" w:hAnsi="宋体"/>
          <w:color w:val="auto"/>
          <w:sz w:val="20"/>
          <w:szCs w:val="20"/>
          <w:highlight w:val="none"/>
        </w:rPr>
      </w:pPr>
      <w:r>
        <w:rPr>
          <w:rFonts w:hint="eastAsia" w:ascii="宋体" w:hAnsi="宋体"/>
          <w:b/>
          <w:color w:val="auto"/>
          <w:sz w:val="20"/>
          <w:szCs w:val="20"/>
          <w:highlight w:val="none"/>
        </w:rPr>
        <w:t xml:space="preserve">（十）餐饮业。</w:t>
      </w:r>
      <w:r>
        <w:rPr>
          <w:rFonts w:hint="eastAsia" w:ascii="宋体" w:hAnsi="宋体"/>
          <w:color w:val="auto"/>
          <w:sz w:val="20"/>
          <w:szCs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widowControl/>
        <w:rPr>
          <w:rFonts w:ascii="宋体" w:hAnsi="宋体"/>
          <w:color w:val="auto"/>
          <w:sz w:val="20"/>
          <w:szCs w:val="20"/>
          <w:highlight w:val="none"/>
        </w:rPr>
      </w:pPr>
      <w:r>
        <w:rPr>
          <w:rFonts w:hint="eastAsia" w:ascii="宋体" w:hAnsi="宋体"/>
          <w:b/>
          <w:color w:val="auto"/>
          <w:sz w:val="20"/>
          <w:szCs w:val="20"/>
          <w:highlight w:val="none"/>
        </w:rPr>
        <w:t xml:space="preserve">（十一）信息传输业。</w:t>
      </w:r>
      <w:r>
        <w:rPr>
          <w:rFonts w:hint="eastAsia" w:ascii="宋体" w:hAnsi="宋体"/>
          <w:color w:val="auto"/>
          <w:sz w:val="20"/>
          <w:szCs w:val="20"/>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80" w:lineRule="exact"/>
        <w:widowControl/>
        <w:rPr>
          <w:rFonts w:ascii="宋体" w:hAnsi="宋体"/>
          <w:color w:val="auto"/>
          <w:sz w:val="20"/>
          <w:szCs w:val="20"/>
          <w:highlight w:val="none"/>
        </w:rPr>
      </w:pPr>
      <w:r>
        <w:rPr>
          <w:rFonts w:hint="eastAsia" w:ascii="宋体" w:hAnsi="宋体"/>
          <w:b/>
          <w:color w:val="auto"/>
          <w:sz w:val="20"/>
          <w:szCs w:val="20"/>
          <w:highlight w:val="none"/>
        </w:rPr>
        <w:t xml:space="preserve">（十二）软件和信息技术服务业。</w:t>
      </w:r>
      <w:r>
        <w:rPr>
          <w:rFonts w:hint="eastAsia" w:ascii="宋体" w:hAnsi="宋体"/>
          <w:color w:val="auto"/>
          <w:sz w:val="20"/>
          <w:szCs w:val="20"/>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80" w:lineRule="exact"/>
        <w:widowControl/>
        <w:rPr>
          <w:rFonts w:ascii="宋体" w:hAnsi="宋体"/>
          <w:color w:val="auto"/>
          <w:sz w:val="20"/>
          <w:szCs w:val="20"/>
          <w:highlight w:val="none"/>
        </w:rPr>
      </w:pPr>
      <w:r>
        <w:rPr>
          <w:rFonts w:hint="eastAsia" w:ascii="宋体" w:hAnsi="宋体"/>
          <w:b/>
          <w:color w:val="auto"/>
          <w:sz w:val="20"/>
          <w:szCs w:val="20"/>
          <w:highlight w:val="none"/>
        </w:rPr>
        <w:t xml:space="preserve">（十三）房地产开发经营。</w:t>
      </w:r>
      <w:r>
        <w:rPr>
          <w:rFonts w:hint="eastAsia" w:ascii="宋体" w:hAnsi="宋体"/>
          <w:color w:val="auto"/>
          <w:sz w:val="20"/>
          <w:szCs w:val="20"/>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80" w:lineRule="exact"/>
        <w:widowControl/>
        <w:rPr>
          <w:rFonts w:ascii="宋体" w:hAnsi="宋体"/>
          <w:color w:val="auto"/>
          <w:sz w:val="20"/>
          <w:szCs w:val="20"/>
          <w:highlight w:val="none"/>
        </w:rPr>
      </w:pPr>
      <w:r>
        <w:rPr>
          <w:rFonts w:hint="eastAsia" w:ascii="宋体" w:hAnsi="宋体"/>
          <w:b/>
          <w:color w:val="auto"/>
          <w:sz w:val="20"/>
          <w:szCs w:val="20"/>
          <w:highlight w:val="none"/>
        </w:rPr>
        <w:t xml:space="preserve">（十四）物业管理。</w:t>
      </w:r>
      <w:r>
        <w:rPr>
          <w:rFonts w:hint="eastAsia" w:ascii="宋体" w:hAnsi="宋体"/>
          <w:color w:val="auto"/>
          <w:sz w:val="20"/>
          <w:szCs w:val="20"/>
          <w:highlight w:val="none"/>
        </w:rPr>
        <w:t xml:space="preserve">从业人员1000人以下或营业收入5000万元以下的为中小微型企业。其中，从业人员</w:t>
      </w:r>
      <w:r/>
    </w:p>
    <w:p>
      <w:pPr>
        <w:spacing w:line="280" w:lineRule="exact"/>
        <w:widowControl/>
        <w:rPr>
          <w:rFonts w:ascii="宋体" w:hAnsi="宋体"/>
          <w:color w:val="auto"/>
          <w:sz w:val="20"/>
          <w:szCs w:val="20"/>
          <w:highlight w:val="none"/>
        </w:rPr>
      </w:pPr>
      <w:r>
        <w:rPr>
          <w:rFonts w:hint="eastAsia" w:ascii="宋体" w:hAnsi="宋体"/>
          <w:color w:val="auto"/>
          <w:sz w:val="20"/>
          <w:szCs w:val="20"/>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80" w:lineRule="exact"/>
        <w:widowControl/>
        <w:rPr>
          <w:rFonts w:ascii="宋体" w:hAnsi="宋体"/>
          <w:color w:val="auto"/>
          <w:sz w:val="20"/>
          <w:szCs w:val="20"/>
          <w:highlight w:val="none"/>
        </w:rPr>
      </w:pPr>
      <w:r>
        <w:rPr>
          <w:rFonts w:hint="eastAsia" w:ascii="宋体" w:hAnsi="宋体"/>
          <w:b/>
          <w:color w:val="auto"/>
          <w:sz w:val="20"/>
          <w:szCs w:val="20"/>
          <w:highlight w:val="none"/>
        </w:rPr>
        <w:t xml:space="preserve">（十五）租赁和商务服务业。</w:t>
      </w:r>
      <w:r>
        <w:rPr>
          <w:rFonts w:hint="eastAsia" w:ascii="宋体" w:hAnsi="宋体"/>
          <w:color w:val="auto"/>
          <w:sz w:val="20"/>
          <w:szCs w:val="20"/>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80" w:lineRule="exact"/>
        <w:widowControl/>
        <w:rPr>
          <w:rFonts w:ascii="宋体" w:hAnsi="宋体"/>
          <w:color w:val="auto"/>
          <w:sz w:val="20"/>
          <w:szCs w:val="20"/>
          <w:highlight w:val="none"/>
        </w:rPr>
      </w:pPr>
      <w:r>
        <w:rPr>
          <w:rFonts w:hint="eastAsia" w:ascii="宋体" w:hAnsi="宋体"/>
          <w:b/>
          <w:color w:val="auto"/>
          <w:sz w:val="20"/>
          <w:szCs w:val="20"/>
          <w:highlight w:val="none"/>
        </w:rPr>
        <w:t xml:space="preserve">（十六）其他未列明行业。</w:t>
      </w:r>
      <w:r>
        <w:rPr>
          <w:rFonts w:hint="eastAsia" w:ascii="宋体" w:hAnsi="宋体"/>
          <w:color w:val="auto"/>
          <w:sz w:val="20"/>
          <w:szCs w:val="20"/>
          <w:highlight w:val="none"/>
        </w:rPr>
        <w:t xml:space="preserve">从业人员300人以下的为中小微型企业。其中，从业人员100人及以上的为中型企业；从业人员10人及以上的为小型企业；从业人员10人以下的为微型企业。</w:t>
      </w:r>
      <w:r/>
    </w:p>
    <w:p>
      <w:pPr>
        <w:pStyle w:val="1121"/>
        <w:spacing w:before="75" w:beforeAutospacing="0" w:after="75" w:afterAutospacing="0" w:line="495" w:lineRule="atLeast"/>
        <w:widowControl/>
        <w:rPr>
          <w:rFonts w:ascii="宋体" w:hAnsi="宋体" w:cs="宋体"/>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color w:val="auto"/>
          <w:highlight w:val="none"/>
        </w:rPr>
      </w:r>
      <w:r/>
    </w:p>
    <w:p>
      <w:pPr>
        <w:widowControl/>
        <w:rPr>
          <w:rFonts w:ascii="宋体" w:hAnsi="宋体" w:cs="宋体"/>
          <w:b/>
          <w:bCs/>
          <w:color w:val="auto"/>
          <w:sz w:val="24"/>
          <w:highlight w:val="none"/>
        </w:rPr>
      </w:pPr>
      <w:r>
        <w:rPr>
          <w:rFonts w:hint="eastAsia" w:ascii="宋体" w:hAnsi="宋体" w:cs="宋体"/>
          <w:b/>
          <w:bCs/>
          <w:color w:val="auto"/>
          <w:sz w:val="24"/>
          <w:highlight w:val="none"/>
        </w:rPr>
        <w:t xml:space="preserve">附件6-2：</w:t>
      </w:r>
      <w:r/>
    </w:p>
    <w:p>
      <w:pPr>
        <w:jc w:val="left"/>
        <w:spacing w:line="480" w:lineRule="exact"/>
        <w:widowControl/>
        <w:rPr>
          <w:rFonts w:ascii="Calibri" w:hAnsi="Calibri"/>
          <w:color w:val="auto"/>
          <w:sz w:val="24"/>
          <w:highlight w:val="none"/>
        </w:rPr>
      </w:pPr>
      <w:r>
        <w:rPr>
          <w:rFonts w:ascii="Calibri" w:hAnsi="Calibri"/>
          <w:color w:val="auto"/>
          <w:sz w:val="24"/>
          <w:highlight w:val="none"/>
        </w:rPr>
      </w:r>
      <w:r/>
    </w:p>
    <w:p>
      <w:pPr>
        <w:jc w:val="center"/>
        <w:spacing w:line="360" w:lineRule="auto"/>
        <w:widowControl/>
        <w:rPr>
          <w:rFonts w:ascii="宋体" w:hAnsi="宋体"/>
          <w:b/>
          <w:color w:val="auto"/>
          <w:sz w:val="24"/>
          <w:highlight w:val="none"/>
        </w:rPr>
      </w:pPr>
      <w:r>
        <w:rPr>
          <w:rFonts w:hint="eastAsia" w:ascii="宋体" w:hAnsi="宋体"/>
          <w:b/>
          <w:color w:val="auto"/>
          <w:sz w:val="24"/>
          <w:highlight w:val="none"/>
        </w:rPr>
        <w:t xml:space="preserve">残疾人福利性单位声明函</w:t>
      </w:r>
      <w:r/>
    </w:p>
    <w:p>
      <w:pPr>
        <w:spacing w:line="360" w:lineRule="auto"/>
        <w:widowControl/>
        <w:rPr>
          <w:rFonts w:ascii="宋体" w:hAnsi="宋体"/>
          <w:color w:val="auto"/>
          <w:sz w:val="24"/>
          <w:highlight w:val="none"/>
          <w:lang w:val="zh-CN"/>
        </w:rPr>
      </w:pPr>
      <w:r/>
      <w:bookmarkStart w:id="25" w:name="_Toc3869"/>
      <w:r/>
      <w:bookmarkStart w:id="26" w:name="_Toc32206"/>
      <w:r/>
      <w:bookmarkStart w:id="27" w:name="_Toc15378"/>
      <w:r>
        <w:rPr>
          <w:rFonts w:hint="eastAsia" w:ascii="宋体" w:hAnsi="宋体"/>
          <w:color w:val="auto"/>
          <w:sz w:val="24"/>
          <w:highlight w:val="none"/>
          <w:u w:val="single"/>
          <w:lang w:val="zh-CN"/>
        </w:rPr>
        <w:t xml:space="preserve">(采购人或采购代理机构)</w:t>
      </w:r>
      <w:r>
        <w:rPr>
          <w:rFonts w:hint="eastAsia" w:ascii="宋体" w:hAnsi="宋体"/>
          <w:color w:val="auto"/>
          <w:sz w:val="24"/>
          <w:highlight w:val="none"/>
          <w:lang w:val="zh-CN"/>
        </w:rPr>
        <w:t xml:space="preserve">：</w:t>
      </w:r>
      <w:bookmarkEnd w:id="25"/>
      <w:r/>
      <w:bookmarkEnd w:id="26"/>
      <w:r/>
      <w:bookmarkEnd w:id="27"/>
      <w:r/>
      <w:r/>
    </w:p>
    <w:p>
      <w:pPr>
        <w:spacing w:line="360" w:lineRule="auto"/>
        <w:widowControl/>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 w:val="24"/>
          <w:highlight w:val="none"/>
          <w:lang w:val="zh-CN"/>
        </w:rPr>
        <w:t xml:space="preserve">贵中心组织实施的编号为</w:t>
      </w:r>
      <w:r>
        <w:rPr>
          <w:rFonts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号的采购活动</w:t>
      </w:r>
      <w:r>
        <w:rPr>
          <w:rFonts w:hint="eastAsia" w:ascii="宋体" w:hAnsi="宋体"/>
          <w:color w:val="auto"/>
          <w:sz w:val="24"/>
          <w:highlight w:val="none"/>
        </w:rPr>
        <w:t xml:space="preserve">提供本单位制造的货物（由本单位承担工程/提供服务），或者提供其他残疾人福利性单位制造的货物（不包括使用非残疾人福利性单位注册商标的货物）。</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本单位对上述声明的真实性负责。如有虚假，将依法承担相应责任。</w:t>
      </w:r>
      <w:r/>
    </w:p>
    <w:p>
      <w:pPr>
        <w:ind w:left="1024"/>
        <w:spacing w:line="360" w:lineRule="auto"/>
        <w:rPr>
          <w:rFonts w:ascii="宋体" w:hAnsi="宋体"/>
          <w:color w:val="auto"/>
          <w:sz w:val="24"/>
          <w:highlight w:val="none"/>
        </w:rPr>
      </w:pPr>
      <w:r>
        <w:rPr>
          <w:rFonts w:ascii="宋体" w:hAnsi="宋体"/>
          <w:color w:val="auto"/>
          <w:sz w:val="24"/>
          <w:highlight w:val="none"/>
        </w:rPr>
      </w:r>
      <w:r/>
    </w:p>
    <w:p>
      <w:pPr>
        <w:ind w:left="1024"/>
        <w:spacing w:line="360" w:lineRule="auto"/>
        <w:widowControl/>
        <w:rPr>
          <w:rFonts w:ascii="宋体" w:hAnsi="宋体"/>
          <w:b/>
          <w:color w:val="auto"/>
          <w:sz w:val="24"/>
          <w:highlight w:val="none"/>
        </w:rPr>
      </w:pPr>
      <w:r>
        <w:rPr>
          <w:rFonts w:ascii="宋体" w:hAnsi="宋体"/>
          <w:b/>
          <w:color w:val="auto"/>
          <w:sz w:val="24"/>
          <w:highlight w:val="none"/>
        </w:rPr>
      </w:r>
      <w:r/>
    </w:p>
    <w:p>
      <w:pPr>
        <w:ind w:left="1024"/>
        <w:spacing w:line="360" w:lineRule="auto"/>
        <w:widowControl/>
        <w:rPr>
          <w:rFonts w:ascii="宋体" w:hAnsi="宋体"/>
          <w:b/>
          <w:color w:val="auto"/>
          <w:sz w:val="24"/>
          <w:highlight w:val="none"/>
        </w:rPr>
      </w:pPr>
      <w:r>
        <w:rPr>
          <w:rFonts w:ascii="宋体" w:hAnsi="宋体"/>
          <w:b/>
          <w:color w:val="auto"/>
          <w:sz w:val="24"/>
          <w:highlight w:val="none"/>
        </w:rPr>
      </w:r>
      <w:r/>
    </w:p>
    <w:p>
      <w:pPr>
        <w:ind w:left="1024"/>
        <w:spacing w:line="360" w:lineRule="auto"/>
        <w:widowControl/>
        <w:rPr>
          <w:rFonts w:ascii="宋体" w:hAnsi="宋体"/>
          <w:b/>
          <w:color w:val="auto"/>
          <w:sz w:val="24"/>
          <w:highlight w:val="none"/>
        </w:rPr>
      </w:pPr>
      <w:r>
        <w:rPr>
          <w:rFonts w:ascii="宋体" w:hAnsi="宋体"/>
          <w:b/>
          <w:color w:val="auto"/>
          <w:sz w:val="24"/>
          <w:highlight w:val="none"/>
        </w:rPr>
      </w:r>
      <w:r/>
    </w:p>
    <w:p>
      <w:pPr>
        <w:ind w:right="-210"/>
        <w:jc w:val="center"/>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  </w:t>
      </w:r>
      <w:r>
        <w:rPr>
          <w:rFonts w:ascii="宋体" w:hAnsi="宋体" w:cs="宋体"/>
          <w:color w:val="auto"/>
          <w:sz w:val="24"/>
          <w:highlight w:val="none"/>
        </w:rPr>
        <w:t xml:space="preserve">              </w:t>
      </w:r>
      <w:r>
        <w:rPr>
          <w:rFonts w:hint="eastAsia" w:ascii="宋体" w:hAnsi="宋体" w:cs="宋体"/>
          <w:color w:val="auto"/>
          <w:sz w:val="24"/>
          <w:highlight w:val="none"/>
          <w:lang w:val="zh-CN"/>
        </w:rPr>
        <w:t xml:space="preserve">响应单位：（</w:t>
      </w:r>
      <w:r>
        <w:rPr>
          <w:rFonts w:hint="eastAsia" w:ascii="宋体" w:hAnsi="宋体" w:cs="宋体"/>
          <w:color w:val="auto"/>
          <w:sz w:val="24"/>
          <w:highlight w:val="none"/>
        </w:rPr>
        <w:t xml:space="preserve">签章</w:t>
      </w:r>
      <w:r>
        <w:rPr>
          <w:rFonts w:hint="eastAsia" w:ascii="宋体" w:hAnsi="宋体" w:cs="宋体"/>
          <w:color w:val="auto"/>
          <w:sz w:val="24"/>
          <w:highlight w:val="none"/>
          <w:lang w:val="zh-CN"/>
        </w:rPr>
        <w:t xml:space="preserve">） </w:t>
      </w:r>
      <w:r/>
    </w:p>
    <w:p>
      <w:pPr>
        <w:ind w:firstLine="240"/>
        <w:jc w:val="right"/>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rPr>
        <w:t xml:space="preserve">  </w:t>
      </w:r>
      <w:r>
        <w:rPr>
          <w:rFonts w:hint="eastAsia" w:ascii="宋体" w:hAnsi="宋体" w:cs="宋体"/>
          <w:color w:val="auto"/>
          <w:sz w:val="24"/>
          <w:highlight w:val="none"/>
          <w:lang w:val="zh-CN"/>
        </w:rPr>
        <w:t xml:space="preserve">法定代表人或</w:t>
      </w:r>
      <w:r>
        <w:rPr>
          <w:rFonts w:hint="eastAsia" w:ascii="宋体" w:hAnsi="宋体" w:cs="宋体"/>
          <w:color w:val="auto"/>
          <w:sz w:val="24"/>
          <w:highlight w:val="none"/>
        </w:rPr>
        <w:t xml:space="preserve">被授权</w:t>
      </w:r>
      <w:r>
        <w:rPr>
          <w:rFonts w:hint="eastAsia" w:ascii="宋体" w:hAnsi="宋体" w:cs="宋体"/>
          <w:color w:val="auto"/>
          <w:sz w:val="24"/>
          <w:highlight w:val="none"/>
          <w:lang w:val="zh-CN"/>
        </w:rPr>
        <w:t xml:space="preserve">人：（签字或盖章）</w:t>
      </w:r>
      <w:r/>
    </w:p>
    <w:p>
      <w:pPr>
        <w:ind w:right="615" w:firstLine="960"/>
        <w:jc w:val="center"/>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rPr>
        <w:t xml:space="preserve">                       </w:t>
      </w:r>
      <w:r>
        <w:rPr>
          <w:rFonts w:hint="eastAsia" w:ascii="宋体" w:hAnsi="宋体" w:cs="宋体"/>
          <w:color w:val="auto"/>
          <w:sz w:val="24"/>
          <w:highlight w:val="none"/>
          <w:lang w:val="zh-CN"/>
        </w:rPr>
        <w:t xml:space="preserve"> 日    期：     年</w:t>
      </w:r>
      <w:r>
        <w:rPr>
          <w:rFonts w:hint="eastAsia" w:ascii="宋体" w:hAnsi="宋体" w:cs="宋体"/>
          <w:color w:val="auto"/>
          <w:sz w:val="24"/>
          <w:highlight w:val="none"/>
        </w:rPr>
        <w:t xml:space="preserve">     </w:t>
      </w:r>
      <w:r>
        <w:rPr>
          <w:rFonts w:hint="eastAsia" w:ascii="宋体" w:hAnsi="宋体" w:cs="宋体"/>
          <w:color w:val="auto"/>
          <w:sz w:val="24"/>
          <w:highlight w:val="none"/>
          <w:lang w:val="zh-CN"/>
        </w:rPr>
        <w:t xml:space="preserve">月   </w:t>
      </w:r>
      <w:r>
        <w:rPr>
          <w:rFonts w:hint="eastAsia" w:ascii="宋体" w:hAnsi="宋体" w:cs="宋体"/>
          <w:color w:val="auto"/>
          <w:sz w:val="24"/>
          <w:highlight w:val="none"/>
        </w:rPr>
        <w:t xml:space="preserve"> </w:t>
      </w:r>
      <w:r>
        <w:rPr>
          <w:rFonts w:hint="eastAsia" w:ascii="宋体" w:hAnsi="宋体" w:cs="宋体"/>
          <w:color w:val="auto"/>
          <w:sz w:val="24"/>
          <w:highlight w:val="none"/>
          <w:lang w:val="zh-CN"/>
        </w:rPr>
        <w:t xml:space="preserve">日</w:t>
      </w:r>
      <w:r/>
    </w:p>
    <w:p>
      <w:pPr>
        <w:pStyle w:val="1121"/>
        <w:spacing w:before="75" w:beforeAutospacing="0" w:after="75" w:afterAutospacing="0" w:line="360" w:lineRule="auto"/>
        <w:widowControl/>
        <w:rPr>
          <w:rFonts w:ascii="宋体" w:hAnsi="宋体" w:cs="宋体"/>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color w:val="auto"/>
          <w:highlight w:val="none"/>
        </w:rPr>
      </w:r>
      <w:r/>
    </w:p>
    <w:p>
      <w:pPr>
        <w:spacing w:line="360" w:lineRule="auto"/>
        <w:rPr>
          <w:rFonts w:ascii="宋体" w:hAnsi="宋体"/>
          <w:b/>
          <w:color w:val="auto"/>
          <w:sz w:val="24"/>
          <w:highlight w:val="none"/>
        </w:rPr>
      </w:pPr>
      <w:r>
        <w:rPr>
          <w:rFonts w:hint="eastAsia" w:ascii="宋体" w:hAnsi="宋体"/>
          <w:b/>
          <w:color w:val="auto"/>
          <w:sz w:val="24"/>
          <w:highlight w:val="none"/>
        </w:rPr>
        <w:t xml:space="preserve">附件7：</w:t>
      </w:r>
      <w:r/>
    </w:p>
    <w:p>
      <w:pPr>
        <w:jc w:val="center"/>
        <w:spacing w:line="440" w:lineRule="exact"/>
        <w:widowControl/>
        <w:rPr>
          <w:rFonts w:ascii="宋体" w:hAnsi="宋体"/>
          <w:b/>
          <w:color w:val="auto"/>
          <w:sz w:val="24"/>
          <w:highlight w:val="none"/>
        </w:rPr>
      </w:pPr>
      <w:r>
        <w:rPr>
          <w:rFonts w:hint="eastAsia" w:ascii="宋体" w:hAnsi="宋体"/>
          <w:b/>
          <w:color w:val="auto"/>
          <w:sz w:val="24"/>
          <w:highlight w:val="none"/>
        </w:rPr>
        <w:t xml:space="preserve">磋商响应函</w:t>
      </w:r>
      <w:r/>
    </w:p>
    <w:p>
      <w:pPr>
        <w:ind w:firstLine="5301"/>
        <w:jc w:val="left"/>
        <w:spacing w:line="440" w:lineRule="exact"/>
        <w:widowControl/>
        <w:rPr>
          <w:rFonts w:ascii="宋体" w:hAnsi="宋体"/>
          <w:b/>
          <w:color w:val="auto"/>
          <w:sz w:val="24"/>
          <w:highlight w:val="none"/>
        </w:rPr>
      </w:pPr>
      <w:r>
        <w:rPr>
          <w:rFonts w:ascii="宋体" w:hAnsi="宋体"/>
          <w:b/>
          <w:color w:val="auto"/>
          <w:sz w:val="24"/>
          <w:highlight w:val="none"/>
        </w:rPr>
      </w:r>
      <w:r/>
    </w:p>
    <w:p>
      <w:pPr>
        <w:jc w:val="left"/>
        <w:spacing w:line="440" w:lineRule="exact"/>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致：</w:t>
      </w:r>
      <w:r>
        <w:rPr>
          <w:rFonts w:hint="eastAsia" w:ascii="宋体" w:hAnsi="宋体" w:cs="宋体"/>
          <w:color w:val="auto"/>
          <w:sz w:val="24"/>
          <w:highlight w:val="none"/>
          <w:u w:val="single"/>
          <w:lang w:val="zh-CN"/>
        </w:rPr>
        <w:t xml:space="preserve">(采购人或采购代理机构)</w:t>
      </w:r>
      <w:r/>
    </w:p>
    <w:p>
      <w:pPr>
        <w:ind w:firstLine="480"/>
        <w:jc w:val="left"/>
        <w:spacing w:line="440" w:lineRule="exact"/>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我方收到贵中心</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（项目编号）采购文件，经仔细阅读和研究，我方决定参加磋商活动，并向贵中心作出如下承诺：</w:t>
      </w:r>
      <w:r/>
    </w:p>
    <w:p>
      <w:pPr>
        <w:ind w:firstLine="480"/>
        <w:jc w:val="left"/>
        <w:spacing w:line="440" w:lineRule="exact"/>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1、我方愿意按照采购文件的一切要求，提供本项目的所有内容，我方的报价包括完成本项工作所需的一切应有费用。</w:t>
      </w:r>
      <w:r/>
    </w:p>
    <w:p>
      <w:pPr>
        <w:ind w:firstLine="480"/>
        <w:jc w:val="left"/>
        <w:spacing w:line="440" w:lineRule="exact"/>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2、如果我方的磋商响应文件被接受，我方将严格履行采购文件中规定的每一项要求，严格履行合同的责任和义务，保证按期、按质履行合同，完成合同所规定的全部内容。</w:t>
      </w:r>
      <w:r/>
    </w:p>
    <w:p>
      <w:pPr>
        <w:ind w:firstLine="480"/>
        <w:jc w:val="left"/>
        <w:spacing w:line="440" w:lineRule="exact"/>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3、我方已详细审查并同意采购文件及更正文件（若有）中的规定。我方完全理解并同意放弃对这方面有不明及误解的权利。</w:t>
      </w:r>
      <w:r/>
    </w:p>
    <w:p>
      <w:pPr>
        <w:ind w:firstLine="480"/>
        <w:jc w:val="left"/>
        <w:spacing w:line="440" w:lineRule="exact"/>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4、本磋商响应文件的有效期限为</w:t>
      </w:r>
      <w:r>
        <w:rPr>
          <w:rFonts w:hint="eastAsia" w:ascii="宋体" w:hAnsi="宋体"/>
          <w:color w:val="auto"/>
          <w:sz w:val="24"/>
          <w:highlight w:val="none"/>
        </w:rPr>
        <w:t xml:space="preserve">响应文件接收</w:t>
      </w:r>
      <w:r>
        <w:rPr>
          <w:rFonts w:hint="eastAsia" w:ascii="宋体" w:hAnsi="宋体" w:cs="宋体"/>
          <w:color w:val="auto"/>
          <w:sz w:val="24"/>
          <w:highlight w:val="none"/>
          <w:lang w:val="zh-CN"/>
        </w:rPr>
        <w:t xml:space="preserve">截止时间之日起</w:t>
      </w:r>
      <w:r>
        <w:rPr>
          <w:rFonts w:hint="eastAsia" w:ascii="宋体" w:hAnsi="宋体" w:cs="宋体"/>
          <w:color w:val="auto"/>
          <w:sz w:val="24"/>
          <w:highlight w:val="none"/>
        </w:rPr>
        <w:t xml:space="preserve">90</w:t>
      </w:r>
      <w:r>
        <w:rPr>
          <w:rFonts w:hint="eastAsia" w:ascii="宋体" w:hAnsi="宋体" w:cs="宋体"/>
          <w:color w:val="auto"/>
          <w:sz w:val="24"/>
          <w:highlight w:val="none"/>
          <w:lang w:val="zh-CN"/>
        </w:rPr>
        <w:t xml:space="preserve">天。</w:t>
      </w:r>
      <w:r/>
    </w:p>
    <w:p>
      <w:pPr>
        <w:ind w:firstLine="480"/>
        <w:jc w:val="left"/>
        <w:spacing w:line="440" w:lineRule="exact"/>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5、我方保证所提交的响应文件中所有资料均是真实的、准确的。若与真实情况不符，我方愿意承担由此而产生的一切后果。</w:t>
      </w:r>
      <w:r/>
    </w:p>
    <w:p>
      <w:pPr>
        <w:ind w:firstLine="480"/>
        <w:jc w:val="left"/>
        <w:spacing w:line="440" w:lineRule="exact"/>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6、我方承诺磋商响应文件在磋商开始后的全过程中保持有效，不作任何更改和变动。</w:t>
      </w:r>
      <w:r/>
    </w:p>
    <w:p>
      <w:pPr>
        <w:ind w:firstLine="480"/>
        <w:jc w:val="left"/>
        <w:spacing w:line="440" w:lineRule="exact"/>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7、我方承诺满足《中华人民共和国政府采购法》第二十二条规定的所有条件。</w:t>
      </w:r>
      <w:r/>
    </w:p>
    <w:p>
      <w:pPr>
        <w:ind w:firstLine="480"/>
        <w:jc w:val="left"/>
        <w:spacing w:line="440" w:lineRule="exact"/>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8、与本磋商相应文件有关的通讯地址：</w:t>
      </w:r>
      <w:r/>
    </w:p>
    <w:p>
      <w:pPr>
        <w:ind w:firstLine="240"/>
        <w:jc w:val="left"/>
        <w:spacing w:line="440" w:lineRule="exact"/>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单   位：                                              联 系 人： </w:t>
      </w:r>
      <w:r/>
    </w:p>
    <w:p>
      <w:pPr>
        <w:ind w:firstLine="240"/>
        <w:jc w:val="left"/>
        <w:spacing w:line="440" w:lineRule="exact"/>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地   址：                                              邮政编码： </w:t>
      </w:r>
      <w:r/>
    </w:p>
    <w:p>
      <w:pPr>
        <w:ind w:firstLine="240"/>
        <w:jc w:val="left"/>
        <w:spacing w:line="440" w:lineRule="exact"/>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联系电话：                                             电子邮箱：</w:t>
      </w:r>
      <w:r/>
    </w:p>
    <w:p>
      <w:pPr>
        <w:ind w:right="840" w:firstLine="240"/>
        <w:jc w:val="center"/>
        <w:spacing w:line="440" w:lineRule="exact"/>
        <w:widowControl/>
        <w:rPr>
          <w:rFonts w:ascii="宋体" w:hAnsi="宋体" w:cs="宋体"/>
          <w:color w:val="auto"/>
          <w:sz w:val="24"/>
          <w:highlight w:val="none"/>
          <w:lang w:val="zh-CN"/>
        </w:rPr>
      </w:pPr>
      <w:r>
        <w:rPr>
          <w:rFonts w:ascii="宋体" w:hAnsi="宋体" w:cs="宋体"/>
          <w:color w:val="auto"/>
          <w:sz w:val="24"/>
          <w:highlight w:val="none"/>
          <w:lang w:val="zh-CN"/>
        </w:rPr>
      </w:r>
      <w:r/>
    </w:p>
    <w:p>
      <w:pPr>
        <w:ind w:right="-210"/>
        <w:jc w:val="center"/>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                                          </w:t>
      </w:r>
      <w:r>
        <w:rPr>
          <w:rFonts w:hint="eastAsia" w:ascii="宋体" w:hAnsi="宋体" w:cs="宋体"/>
          <w:color w:val="auto"/>
          <w:sz w:val="24"/>
          <w:highlight w:val="none"/>
        </w:rPr>
        <w:t xml:space="preserve">供应商名称</w:t>
      </w:r>
      <w:r>
        <w:rPr>
          <w:rFonts w:ascii="宋体" w:hAnsi="宋体"/>
          <w:color w:val="auto"/>
          <w:sz w:val="24"/>
          <w:highlight w:val="none"/>
        </w:rPr>
        <w:t xml:space="preserve">：（公章）</w:t>
      </w:r>
      <w:r>
        <w:rPr>
          <w:rFonts w:hint="eastAsia" w:ascii="宋体" w:hAnsi="宋体" w:cs="宋体"/>
          <w:color w:val="auto"/>
          <w:sz w:val="24"/>
          <w:highlight w:val="none"/>
          <w:lang w:val="zh-CN"/>
        </w:rPr>
        <w:t xml:space="preserve"> </w:t>
      </w:r>
      <w:r/>
    </w:p>
    <w:p>
      <w:pPr>
        <w:ind w:firstLine="240"/>
        <w:jc w:val="right"/>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rPr>
        <w:t xml:space="preserve">  </w:t>
      </w:r>
      <w:r>
        <w:rPr>
          <w:rFonts w:hint="eastAsia" w:ascii="宋体" w:hAnsi="宋体" w:cs="宋体"/>
          <w:color w:val="auto"/>
          <w:sz w:val="24"/>
          <w:highlight w:val="none"/>
          <w:lang w:val="zh-CN"/>
        </w:rPr>
        <w:t xml:space="preserve">法定代表人或</w:t>
      </w:r>
      <w:r>
        <w:rPr>
          <w:rFonts w:hint="eastAsia" w:ascii="宋体" w:hAnsi="宋体" w:cs="宋体"/>
          <w:color w:val="auto"/>
          <w:sz w:val="24"/>
          <w:highlight w:val="none"/>
        </w:rPr>
        <w:t xml:space="preserve">被授权</w:t>
      </w:r>
      <w:r>
        <w:rPr>
          <w:rFonts w:hint="eastAsia" w:ascii="宋体" w:hAnsi="宋体" w:cs="宋体"/>
          <w:color w:val="auto"/>
          <w:sz w:val="24"/>
          <w:highlight w:val="none"/>
          <w:lang w:val="zh-CN"/>
        </w:rPr>
        <w:t xml:space="preserve">人：（签字或盖章）</w:t>
      </w:r>
      <w:r/>
    </w:p>
    <w:p>
      <w:pPr>
        <w:ind w:right="615" w:firstLine="960"/>
        <w:jc w:val="right"/>
        <w:spacing w:line="400" w:lineRule="exact"/>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 日    期：     年</w:t>
      </w:r>
      <w:r>
        <w:rPr>
          <w:rFonts w:hint="eastAsia" w:ascii="宋体" w:hAnsi="宋体" w:cs="宋体"/>
          <w:color w:val="auto"/>
          <w:sz w:val="24"/>
          <w:highlight w:val="none"/>
        </w:rPr>
        <w:t xml:space="preserve">     </w:t>
      </w:r>
      <w:r>
        <w:rPr>
          <w:rFonts w:hint="eastAsia" w:ascii="宋体" w:hAnsi="宋体" w:cs="宋体"/>
          <w:color w:val="auto"/>
          <w:sz w:val="24"/>
          <w:highlight w:val="none"/>
          <w:lang w:val="zh-CN"/>
        </w:rPr>
        <w:t xml:space="preserve">月   </w:t>
      </w:r>
      <w:r>
        <w:rPr>
          <w:rFonts w:hint="eastAsia" w:ascii="宋体" w:hAnsi="宋体" w:cs="宋体"/>
          <w:color w:val="auto"/>
          <w:sz w:val="24"/>
          <w:highlight w:val="none"/>
        </w:rPr>
        <w:t xml:space="preserve"> </w:t>
      </w:r>
      <w:r>
        <w:rPr>
          <w:rFonts w:hint="eastAsia" w:ascii="宋体" w:hAnsi="宋体" w:cs="宋体"/>
          <w:color w:val="auto"/>
          <w:sz w:val="24"/>
          <w:highlight w:val="none"/>
          <w:lang w:val="zh-CN"/>
        </w:rPr>
        <w:t xml:space="preserve">日</w:t>
      </w:r>
      <w:r/>
    </w:p>
    <w:p>
      <w:pPr>
        <w:pStyle w:val="1121"/>
        <w:spacing w:before="75" w:beforeAutospacing="0" w:after="75" w:afterAutospacing="0" w:line="495" w:lineRule="atLeast"/>
        <w:widowControl/>
        <w:rPr>
          <w:rFonts w:ascii="宋体" w:hAnsi="宋体" w:cs="宋体"/>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color w:val="auto"/>
          <w:highlight w:val="none"/>
        </w:rPr>
      </w:r>
      <w:r/>
    </w:p>
    <w:p>
      <w:pPr>
        <w:widowControl/>
        <w:rPr>
          <w:rFonts w:ascii="宋体" w:hAnsi="宋体"/>
          <w:color w:val="auto"/>
          <w:sz w:val="24"/>
          <w:highlight w:val="none"/>
        </w:rPr>
      </w:pPr>
      <w:r>
        <w:rPr>
          <w:b/>
          <w:color w:val="auto"/>
          <w:sz w:val="24"/>
          <w:highlight w:val="none"/>
        </w:rPr>
        <w:t xml:space="preserve">附件</w:t>
      </w:r>
      <w:r>
        <w:rPr>
          <w:rFonts w:hint="eastAsia"/>
          <w:b/>
          <w:color w:val="auto"/>
          <w:sz w:val="24"/>
          <w:highlight w:val="none"/>
          <w:lang w:val="en-US" w:eastAsia="zh-CN"/>
        </w:rPr>
        <w:t xml:space="preserve">8</w:t>
      </w:r>
      <w:r>
        <w:rPr>
          <w:rFonts w:hint="eastAsia"/>
          <w:b/>
          <w:color w:val="auto"/>
          <w:sz w:val="24"/>
          <w:highlight w:val="none"/>
        </w:rPr>
        <w:t xml:space="preserve">.：</w:t>
      </w:r>
      <w:r/>
    </w:p>
    <w:p>
      <w:pPr>
        <w:jc w:val="left"/>
        <w:widowControl/>
        <w:rPr>
          <w:b/>
          <w:color w:val="auto"/>
          <w:szCs w:val="20"/>
          <w:highlight w:val="none"/>
        </w:rPr>
      </w:pPr>
      <w:r>
        <w:rPr>
          <w:b/>
          <w:color w:val="auto"/>
          <w:szCs w:val="20"/>
          <w:highlight w:val="none"/>
        </w:rPr>
      </w:r>
      <w:r/>
    </w:p>
    <w:p>
      <w:pPr>
        <w:jc w:val="center"/>
        <w:spacing w:line="360" w:lineRule="auto"/>
        <w:rPr>
          <w:b/>
          <w:color w:val="auto"/>
          <w:sz w:val="24"/>
          <w:highlight w:val="none"/>
        </w:rPr>
      </w:pPr>
      <w:r>
        <w:rPr>
          <w:b/>
          <w:color w:val="auto"/>
          <w:sz w:val="24"/>
          <w:highlight w:val="none"/>
        </w:rPr>
        <w:t xml:space="preserve">技术服务要求偏离表</w:t>
      </w:r>
      <w:r/>
    </w:p>
    <w:p>
      <w:pPr>
        <w:spacing w:line="360" w:lineRule="auto"/>
        <w:rPr>
          <w:color w:val="auto"/>
          <w:sz w:val="24"/>
          <w:highlight w:val="none"/>
        </w:rPr>
      </w:pPr>
      <w:r>
        <w:rPr>
          <w:color w:val="auto"/>
          <w:sz w:val="24"/>
          <w:highlight w:val="none"/>
        </w:rPr>
      </w:r>
      <w:r/>
    </w:p>
    <w:tbl>
      <w:tblPr>
        <w:tblStyle w:val="915"/>
        <w:tblW w:w="8525"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1564"/>
        <w:gridCol w:w="1706"/>
        <w:gridCol w:w="1574"/>
        <w:gridCol w:w="1574"/>
        <w:gridCol w:w="1442"/>
      </w:tblGrid>
      <w:tr>
        <w:trPr>
          <w:jc w:val="center"/>
        </w:trPr>
        <w:tc>
          <w:tcPr>
            <w:tcW w:w="665" w:type="dxa"/>
            <w:vAlign w:val="center"/>
            <w:textDirection w:val="lrTb"/>
            <w:noWrap w:val="false"/>
          </w:tcPr>
          <w:p>
            <w:pPr>
              <w:jc w:val="center"/>
              <w:spacing w:before="120" w:after="120" w:line="360" w:lineRule="auto"/>
              <w:rPr>
                <w:color w:val="auto"/>
                <w:sz w:val="24"/>
                <w:highlight w:val="none"/>
              </w:rPr>
            </w:pPr>
            <w:r>
              <w:rPr>
                <w:color w:val="auto"/>
                <w:sz w:val="24"/>
                <w:highlight w:val="none"/>
              </w:rPr>
              <w:t xml:space="preserve">序号</w:t>
            </w:r>
            <w:r/>
          </w:p>
        </w:tc>
        <w:tc>
          <w:tcPr>
            <w:tcW w:w="1564" w:type="dxa"/>
            <w:vAlign w:val="center"/>
            <w:textDirection w:val="lrTb"/>
            <w:noWrap w:val="false"/>
          </w:tcPr>
          <w:p>
            <w:pPr>
              <w:jc w:val="center"/>
              <w:spacing w:before="120" w:after="120" w:line="360" w:lineRule="auto"/>
              <w:rPr>
                <w:color w:val="auto"/>
                <w:sz w:val="24"/>
                <w:highlight w:val="none"/>
              </w:rPr>
            </w:pPr>
            <w:r>
              <w:rPr>
                <w:color w:val="auto"/>
                <w:sz w:val="24"/>
                <w:highlight w:val="none"/>
              </w:rPr>
              <w:t xml:space="preserve">服务内容</w:t>
            </w:r>
            <w:r/>
          </w:p>
        </w:tc>
        <w:tc>
          <w:tcPr>
            <w:tcW w:w="1706" w:type="dxa"/>
            <w:vAlign w:val="center"/>
            <w:textDirection w:val="lrTb"/>
            <w:noWrap w:val="false"/>
          </w:tcPr>
          <w:p>
            <w:pPr>
              <w:jc w:val="center"/>
              <w:spacing w:before="120" w:after="120" w:line="360" w:lineRule="auto"/>
              <w:rPr>
                <w:color w:val="auto"/>
                <w:sz w:val="24"/>
                <w:highlight w:val="none"/>
              </w:rPr>
            </w:pPr>
            <w:r>
              <w:rPr>
                <w:color w:val="auto"/>
                <w:sz w:val="24"/>
                <w:highlight w:val="none"/>
              </w:rPr>
              <w:t xml:space="preserve">招标要求</w:t>
            </w:r>
            <w:r/>
          </w:p>
        </w:tc>
        <w:tc>
          <w:tcPr>
            <w:tcW w:w="1574" w:type="dxa"/>
            <w:vAlign w:val="center"/>
            <w:textDirection w:val="lrTb"/>
            <w:noWrap w:val="false"/>
          </w:tcPr>
          <w:p>
            <w:pPr>
              <w:jc w:val="center"/>
              <w:spacing w:before="120" w:after="120" w:line="360" w:lineRule="auto"/>
              <w:rPr>
                <w:color w:val="auto"/>
                <w:sz w:val="24"/>
                <w:highlight w:val="none"/>
              </w:rPr>
            </w:pPr>
            <w:r>
              <w:rPr>
                <w:color w:val="auto"/>
                <w:sz w:val="24"/>
                <w:highlight w:val="none"/>
              </w:rPr>
              <w:t xml:space="preserve">投标要求</w:t>
            </w:r>
            <w:r/>
          </w:p>
        </w:tc>
        <w:tc>
          <w:tcPr>
            <w:tcW w:w="1574" w:type="dxa"/>
            <w:vAlign w:val="center"/>
            <w:textDirection w:val="lrTb"/>
            <w:noWrap w:val="false"/>
          </w:tcPr>
          <w:p>
            <w:pPr>
              <w:jc w:val="center"/>
              <w:spacing w:before="120" w:after="120" w:line="360" w:lineRule="auto"/>
              <w:rPr>
                <w:color w:val="auto"/>
                <w:sz w:val="24"/>
                <w:highlight w:val="none"/>
              </w:rPr>
            </w:pPr>
            <w:r>
              <w:rPr>
                <w:color w:val="auto"/>
                <w:sz w:val="24"/>
                <w:highlight w:val="none"/>
              </w:rPr>
              <w:t xml:space="preserve">偏离/响应</w:t>
            </w:r>
            <w:r/>
          </w:p>
        </w:tc>
        <w:tc>
          <w:tcPr>
            <w:tcW w:w="1442" w:type="dxa"/>
            <w:vAlign w:val="center"/>
            <w:textDirection w:val="lrTb"/>
            <w:noWrap w:val="false"/>
          </w:tcPr>
          <w:p>
            <w:pPr>
              <w:jc w:val="center"/>
              <w:spacing w:before="120" w:after="120" w:line="360" w:lineRule="auto"/>
              <w:rPr>
                <w:color w:val="auto"/>
                <w:sz w:val="24"/>
                <w:highlight w:val="none"/>
              </w:rPr>
            </w:pPr>
            <w:r>
              <w:rPr>
                <w:color w:val="auto"/>
                <w:sz w:val="24"/>
                <w:highlight w:val="none"/>
              </w:rPr>
              <w:t xml:space="preserve">说明</w:t>
            </w:r>
            <w:r/>
          </w:p>
        </w:tc>
      </w:tr>
      <w:tr>
        <w:trPr>
          <w:jc w:val="center"/>
        </w:trPr>
        <w:tc>
          <w:tcPr>
            <w:tcW w:w="665"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c>
          <w:tcPr>
            <w:tcW w:w="1564"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c>
          <w:tcPr>
            <w:tcW w:w="1706"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c>
          <w:tcPr>
            <w:tcW w:w="1574"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c>
          <w:tcPr>
            <w:tcW w:w="1574"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c>
          <w:tcPr>
            <w:tcW w:w="1442"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r>
      <w:tr>
        <w:trPr>
          <w:jc w:val="center"/>
        </w:trPr>
        <w:tc>
          <w:tcPr>
            <w:tcW w:w="665"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c>
          <w:tcPr>
            <w:tcW w:w="1564"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c>
          <w:tcPr>
            <w:tcW w:w="1706"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c>
          <w:tcPr>
            <w:tcW w:w="1574"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c>
          <w:tcPr>
            <w:tcW w:w="1574"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c>
          <w:tcPr>
            <w:tcW w:w="1442"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r>
      <w:tr>
        <w:trPr>
          <w:jc w:val="center"/>
        </w:trPr>
        <w:tc>
          <w:tcPr>
            <w:tcW w:w="665"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c>
          <w:tcPr>
            <w:tcW w:w="1564"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c>
          <w:tcPr>
            <w:tcW w:w="1706"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c>
          <w:tcPr>
            <w:tcW w:w="1574"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c>
          <w:tcPr>
            <w:tcW w:w="1574"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c>
          <w:tcPr>
            <w:tcW w:w="1442"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r>
      <w:tr>
        <w:trPr>
          <w:jc w:val="center"/>
        </w:trPr>
        <w:tc>
          <w:tcPr>
            <w:tcW w:w="665"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c>
          <w:tcPr>
            <w:tcW w:w="1564"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c>
          <w:tcPr>
            <w:tcW w:w="1706"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c>
          <w:tcPr>
            <w:tcW w:w="1574"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c>
          <w:tcPr>
            <w:tcW w:w="1574"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c>
          <w:tcPr>
            <w:tcW w:w="1442"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r>
      <w:tr>
        <w:trPr>
          <w:jc w:val="center"/>
        </w:trPr>
        <w:tc>
          <w:tcPr>
            <w:tcW w:w="665"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c>
          <w:tcPr>
            <w:tcW w:w="1564"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c>
          <w:tcPr>
            <w:tcW w:w="1706"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c>
          <w:tcPr>
            <w:tcW w:w="1574"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c>
          <w:tcPr>
            <w:tcW w:w="1574"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c>
          <w:tcPr>
            <w:tcW w:w="1442"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r>
      <w:tr>
        <w:trPr>
          <w:jc w:val="center"/>
        </w:trPr>
        <w:tc>
          <w:tcPr>
            <w:tcW w:w="665"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c>
          <w:tcPr>
            <w:tcW w:w="1564"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c>
          <w:tcPr>
            <w:tcW w:w="1706"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c>
          <w:tcPr>
            <w:tcW w:w="1574"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c>
          <w:tcPr>
            <w:tcW w:w="1574"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c>
          <w:tcPr>
            <w:tcW w:w="1442"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r>
      <w:tr>
        <w:trPr>
          <w:jc w:val="center"/>
        </w:trPr>
        <w:tc>
          <w:tcPr>
            <w:tcW w:w="665"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c>
          <w:tcPr>
            <w:tcW w:w="1564"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c>
          <w:tcPr>
            <w:tcW w:w="1706"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c>
          <w:tcPr>
            <w:tcW w:w="1574"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c>
          <w:tcPr>
            <w:tcW w:w="1574"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c>
          <w:tcPr>
            <w:tcW w:w="1442"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r>
      <w:tr>
        <w:trPr>
          <w:jc w:val="center"/>
        </w:trPr>
        <w:tc>
          <w:tcPr>
            <w:tcW w:w="665"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c>
          <w:tcPr>
            <w:tcW w:w="1564"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c>
          <w:tcPr>
            <w:tcW w:w="1706"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c>
          <w:tcPr>
            <w:tcW w:w="1574"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c>
          <w:tcPr>
            <w:tcW w:w="1574"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c>
          <w:tcPr>
            <w:tcW w:w="1442"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r>
    </w:tbl>
    <w:p>
      <w:pPr>
        <w:ind w:firstLine="480"/>
        <w:spacing w:line="360" w:lineRule="auto"/>
        <w:rPr>
          <w:color w:val="auto"/>
          <w:sz w:val="24"/>
          <w:highlight w:val="none"/>
        </w:rPr>
      </w:pPr>
      <w:r>
        <w:rPr>
          <w:color w:val="auto"/>
          <w:sz w:val="24"/>
          <w:highlight w:val="none"/>
        </w:rPr>
        <w:t xml:space="preserve">注：1、</w:t>
      </w:r>
      <w:r>
        <w:rPr>
          <w:rFonts w:hint="eastAsia"/>
          <w:color w:val="auto"/>
          <w:sz w:val="24"/>
          <w:highlight w:val="none"/>
        </w:rPr>
        <w:t xml:space="preserve">响应单位</w:t>
      </w:r>
      <w:r>
        <w:rPr>
          <w:color w:val="auto"/>
          <w:sz w:val="24"/>
          <w:highlight w:val="none"/>
        </w:rPr>
        <w:t xml:space="preserve">应对照采购文件服务要求等要求，所投标的物与采购文件的规定有偏离的，应在此表中申明与服务要求条文的偏差和例外。</w:t>
      </w:r>
      <w:r/>
    </w:p>
    <w:p>
      <w:pPr>
        <w:ind w:firstLine="480"/>
        <w:spacing w:line="360" w:lineRule="auto"/>
        <w:rPr>
          <w:color w:val="auto"/>
          <w:sz w:val="24"/>
          <w:highlight w:val="none"/>
        </w:rPr>
      </w:pPr>
      <w:r>
        <w:rPr>
          <w:color w:val="auto"/>
          <w:sz w:val="24"/>
          <w:highlight w:val="none"/>
        </w:rPr>
        <w:t xml:space="preserve">2、未在上表中说明的，如在响应文件其他内容中已有文字说明的，则以已有文字说明为准，否则，将被认为完全响应采购文件的规定。但该表不作为</w:t>
      </w:r>
      <w:r>
        <w:rPr>
          <w:rFonts w:hint="eastAsia"/>
          <w:color w:val="auto"/>
          <w:sz w:val="24"/>
          <w:highlight w:val="none"/>
        </w:rPr>
        <w:t xml:space="preserve">响应单位</w:t>
      </w:r>
      <w:r>
        <w:rPr>
          <w:color w:val="auto"/>
          <w:sz w:val="24"/>
          <w:highlight w:val="none"/>
        </w:rPr>
        <w:t xml:space="preserve">对所投标的物关于服务要求等详细描述和说明的替代。</w:t>
      </w:r>
      <w:r/>
    </w:p>
    <w:p>
      <w:pPr>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rFonts w:hint="eastAsia"/>
          <w:color w:val="auto"/>
          <w:sz w:val="24"/>
          <w:highlight w:val="none"/>
        </w:rPr>
        <w:t xml:space="preserve">响应单位：（签章）</w:t>
      </w:r>
      <w:r/>
    </w:p>
    <w:p>
      <w:pPr>
        <w:ind w:firstLine="480"/>
        <w:spacing w:line="360" w:lineRule="auto"/>
        <w:rPr>
          <w:color w:val="auto"/>
          <w:sz w:val="24"/>
          <w:highlight w:val="none"/>
        </w:rPr>
      </w:pPr>
      <w:r>
        <w:rPr>
          <w:color w:val="auto"/>
          <w:sz w:val="24"/>
          <w:highlight w:val="none"/>
        </w:rPr>
        <w:t xml:space="preserve">法定代表人或授权代理人：（签字或盖章）</w:t>
      </w:r>
      <w:r/>
    </w:p>
    <w:p>
      <w:pPr>
        <w:ind w:firstLine="480"/>
        <w:spacing w:line="360" w:lineRule="auto"/>
        <w:rPr>
          <w:color w:val="auto"/>
          <w:sz w:val="24"/>
          <w:highlight w:val="none"/>
        </w:rPr>
      </w:pPr>
      <w:r>
        <w:rPr>
          <w:color w:val="auto"/>
          <w:sz w:val="24"/>
          <w:highlight w:val="none"/>
        </w:rPr>
        <w:t xml:space="preserve">日期：      年    月    日</w:t>
      </w:r>
      <w:r/>
    </w:p>
    <w:p>
      <w:pPr>
        <w:spacing w:line="360" w:lineRule="auto"/>
        <w:widowControl/>
        <w:rPr>
          <w:b/>
          <w:color w:val="auto"/>
          <w:sz w:val="24"/>
          <w:szCs w:val="20"/>
          <w:highlight w:val="none"/>
        </w:rPr>
      </w:pPr>
      <w:r>
        <w:rPr>
          <w:b/>
          <w:color w:val="auto"/>
          <w:sz w:val="24"/>
          <w:szCs w:val="20"/>
          <w:highlight w:val="none"/>
        </w:rPr>
      </w:r>
      <w:r/>
    </w:p>
    <w:p>
      <w:pPr>
        <w:spacing w:line="360" w:lineRule="auto"/>
        <w:widowControl/>
        <w:rPr>
          <w:b/>
          <w:color w:val="auto"/>
          <w:sz w:val="24"/>
          <w:szCs w:val="20"/>
          <w:highlight w:val="none"/>
        </w:rPr>
      </w:pPr>
      <w:r>
        <w:rPr>
          <w:b/>
          <w:color w:val="auto"/>
          <w:sz w:val="24"/>
          <w:szCs w:val="20"/>
          <w:highlight w:val="none"/>
        </w:rPr>
      </w:r>
      <w:r/>
    </w:p>
    <w:p>
      <w:pPr>
        <w:spacing w:line="360" w:lineRule="auto"/>
        <w:widowControl/>
        <w:rPr>
          <w:b/>
          <w:color w:val="auto"/>
          <w:sz w:val="24"/>
          <w:szCs w:val="20"/>
          <w:highlight w:val="none"/>
        </w:rPr>
      </w:pPr>
      <w:r>
        <w:rPr>
          <w:b/>
          <w:color w:val="auto"/>
          <w:sz w:val="24"/>
          <w:szCs w:val="20"/>
          <w:highlight w:val="none"/>
        </w:rPr>
      </w:r>
      <w:r/>
    </w:p>
    <w:p>
      <w:pPr>
        <w:spacing w:line="360" w:lineRule="auto"/>
        <w:widowControl/>
        <w:rPr>
          <w:b/>
          <w:color w:val="auto"/>
          <w:sz w:val="24"/>
          <w:szCs w:val="20"/>
          <w:highlight w:val="none"/>
        </w:rPr>
      </w:pPr>
      <w:r>
        <w:rPr>
          <w:b/>
          <w:color w:val="auto"/>
          <w:sz w:val="24"/>
          <w:szCs w:val="20"/>
          <w:highlight w:val="none"/>
        </w:rPr>
      </w:r>
      <w:r/>
    </w:p>
    <w:p>
      <w:pPr>
        <w:spacing w:line="360" w:lineRule="auto"/>
        <w:widowControl/>
        <w:rPr>
          <w:b/>
          <w:color w:val="auto"/>
          <w:sz w:val="24"/>
          <w:szCs w:val="20"/>
          <w:highlight w:val="none"/>
        </w:rPr>
      </w:pPr>
      <w:r>
        <w:rPr>
          <w:b/>
          <w:color w:val="auto"/>
          <w:sz w:val="24"/>
          <w:szCs w:val="20"/>
          <w:highlight w:val="none"/>
        </w:rPr>
        <w:t xml:space="preserve">商务条款偏离表</w:t>
      </w:r>
      <w:r/>
    </w:p>
    <w:p>
      <w:pPr>
        <w:jc w:val="center"/>
        <w:spacing w:line="360" w:lineRule="auto"/>
        <w:widowControl/>
        <w:rPr>
          <w:color w:val="auto"/>
          <w:sz w:val="24"/>
          <w:szCs w:val="20"/>
          <w:highlight w:val="none"/>
        </w:rPr>
      </w:pPr>
      <w:r>
        <w:rPr>
          <w:color w:val="auto"/>
          <w:sz w:val="24"/>
          <w:szCs w:val="20"/>
          <w:highlight w:val="none"/>
        </w:rPr>
      </w:r>
      <w:r/>
    </w:p>
    <w:p>
      <w:pPr>
        <w:jc w:val="center"/>
        <w:spacing w:line="360" w:lineRule="auto"/>
        <w:widowControl/>
        <w:rPr>
          <w:b/>
          <w:color w:val="auto"/>
          <w:sz w:val="24"/>
          <w:szCs w:val="20"/>
          <w:highlight w:val="none"/>
        </w:rPr>
      </w:pPr>
      <w:r>
        <w:rPr>
          <w:b/>
          <w:color w:val="auto"/>
          <w:sz w:val="24"/>
          <w:szCs w:val="20"/>
          <w:highlight w:val="none"/>
        </w:rPr>
        <w:t xml:space="preserve">商务条款偏离表</w:t>
      </w:r>
      <w:r/>
    </w:p>
    <w:p>
      <w:pPr>
        <w:spacing w:line="360" w:lineRule="auto"/>
        <w:rPr>
          <w:color w:val="auto"/>
          <w:sz w:val="24"/>
          <w:highlight w:val="none"/>
        </w:rPr>
      </w:pPr>
      <w:r>
        <w:rPr>
          <w:color w:val="auto"/>
          <w:sz w:val="24"/>
          <w:highlight w:val="none"/>
        </w:rPr>
      </w:r>
      <w:r/>
    </w:p>
    <w:tbl>
      <w:tblPr>
        <w:tblStyle w:val="915"/>
        <w:tblW w:w="8525"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968"/>
        <w:gridCol w:w="2362"/>
        <w:gridCol w:w="2379"/>
        <w:gridCol w:w="965"/>
      </w:tblGrid>
      <w:tr>
        <w:trPr>
          <w:jc w:val="center"/>
        </w:trPr>
        <w:tc>
          <w:tcPr>
            <w:tcW w:w="851" w:type="dxa"/>
            <w:vAlign w:val="center"/>
            <w:textDirection w:val="lrTb"/>
            <w:noWrap w:val="false"/>
          </w:tcPr>
          <w:p>
            <w:pPr>
              <w:jc w:val="center"/>
              <w:spacing w:before="120" w:after="120" w:line="360" w:lineRule="auto"/>
              <w:rPr>
                <w:color w:val="auto"/>
                <w:sz w:val="24"/>
                <w:highlight w:val="none"/>
              </w:rPr>
            </w:pPr>
            <w:r>
              <w:rPr>
                <w:color w:val="auto"/>
                <w:sz w:val="24"/>
                <w:highlight w:val="none"/>
              </w:rPr>
              <w:t xml:space="preserve">序号</w:t>
            </w:r>
            <w:r/>
          </w:p>
        </w:tc>
        <w:tc>
          <w:tcPr>
            <w:tcW w:w="1968" w:type="dxa"/>
            <w:vAlign w:val="center"/>
            <w:textDirection w:val="lrTb"/>
            <w:noWrap w:val="false"/>
          </w:tcPr>
          <w:p>
            <w:pPr>
              <w:jc w:val="center"/>
              <w:spacing w:before="120" w:after="120" w:line="360" w:lineRule="auto"/>
              <w:rPr>
                <w:color w:val="auto"/>
                <w:sz w:val="24"/>
                <w:highlight w:val="none"/>
              </w:rPr>
            </w:pPr>
            <w:r>
              <w:rPr>
                <w:color w:val="auto"/>
                <w:sz w:val="24"/>
                <w:highlight w:val="none"/>
              </w:rPr>
              <w:t xml:space="preserve">招标文件条目号</w:t>
            </w:r>
            <w:r/>
          </w:p>
        </w:tc>
        <w:tc>
          <w:tcPr>
            <w:tcW w:w="2362" w:type="dxa"/>
            <w:vAlign w:val="center"/>
            <w:textDirection w:val="lrTb"/>
            <w:noWrap w:val="false"/>
          </w:tcPr>
          <w:p>
            <w:pPr>
              <w:jc w:val="center"/>
              <w:spacing w:before="120" w:after="120" w:line="360" w:lineRule="auto"/>
              <w:rPr>
                <w:color w:val="auto"/>
                <w:sz w:val="24"/>
                <w:highlight w:val="none"/>
              </w:rPr>
            </w:pPr>
            <w:r>
              <w:rPr>
                <w:color w:val="auto"/>
                <w:sz w:val="24"/>
                <w:highlight w:val="none"/>
              </w:rPr>
              <w:t xml:space="preserve">招标文件的商务条款</w:t>
            </w:r>
            <w:r/>
          </w:p>
        </w:tc>
        <w:tc>
          <w:tcPr>
            <w:tcW w:w="2379" w:type="dxa"/>
            <w:vAlign w:val="center"/>
            <w:textDirection w:val="lrTb"/>
            <w:noWrap w:val="false"/>
          </w:tcPr>
          <w:p>
            <w:pPr>
              <w:jc w:val="center"/>
              <w:spacing w:before="120" w:after="120" w:line="360" w:lineRule="auto"/>
              <w:rPr>
                <w:color w:val="auto"/>
                <w:sz w:val="24"/>
                <w:highlight w:val="none"/>
              </w:rPr>
            </w:pPr>
            <w:r>
              <w:rPr>
                <w:color w:val="auto"/>
                <w:sz w:val="24"/>
                <w:highlight w:val="none"/>
              </w:rPr>
              <w:t xml:space="preserve">投标文件的商务条款</w:t>
            </w:r>
            <w:r/>
          </w:p>
        </w:tc>
        <w:tc>
          <w:tcPr>
            <w:tcW w:w="965" w:type="dxa"/>
            <w:vAlign w:val="center"/>
            <w:textDirection w:val="lrTb"/>
            <w:noWrap w:val="false"/>
          </w:tcPr>
          <w:p>
            <w:pPr>
              <w:jc w:val="center"/>
              <w:spacing w:before="120" w:after="120" w:line="360" w:lineRule="auto"/>
              <w:rPr>
                <w:color w:val="auto"/>
                <w:sz w:val="24"/>
                <w:highlight w:val="none"/>
              </w:rPr>
            </w:pPr>
            <w:r>
              <w:rPr>
                <w:color w:val="auto"/>
                <w:sz w:val="24"/>
                <w:highlight w:val="none"/>
              </w:rPr>
              <w:t xml:space="preserve">说明</w:t>
            </w:r>
            <w:r/>
          </w:p>
        </w:tc>
      </w:tr>
      <w:tr>
        <w:trPr>
          <w:jc w:val="center"/>
        </w:trPr>
        <w:tc>
          <w:tcPr>
            <w:tcW w:w="851"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c>
          <w:tcPr>
            <w:tcW w:w="1968"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c>
          <w:tcPr>
            <w:tcW w:w="2362"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c>
          <w:tcPr>
            <w:tcW w:w="2379"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c>
          <w:tcPr>
            <w:tcW w:w="965"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r>
      <w:tr>
        <w:trPr>
          <w:jc w:val="center"/>
        </w:trPr>
        <w:tc>
          <w:tcPr>
            <w:tcW w:w="851"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c>
          <w:tcPr>
            <w:tcW w:w="1968"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c>
          <w:tcPr>
            <w:tcW w:w="2362"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c>
          <w:tcPr>
            <w:tcW w:w="2379"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c>
          <w:tcPr>
            <w:tcW w:w="965"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r>
      <w:tr>
        <w:trPr>
          <w:jc w:val="center"/>
        </w:trPr>
        <w:tc>
          <w:tcPr>
            <w:tcW w:w="851"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c>
          <w:tcPr>
            <w:tcW w:w="1968"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c>
          <w:tcPr>
            <w:tcW w:w="2362"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c>
          <w:tcPr>
            <w:tcW w:w="2379"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c>
          <w:tcPr>
            <w:tcW w:w="965"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r>
      <w:tr>
        <w:trPr>
          <w:jc w:val="center"/>
        </w:trPr>
        <w:tc>
          <w:tcPr>
            <w:tcW w:w="851"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c>
          <w:tcPr>
            <w:tcW w:w="1968"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c>
          <w:tcPr>
            <w:tcW w:w="2362"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c>
          <w:tcPr>
            <w:tcW w:w="2379"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c>
          <w:tcPr>
            <w:tcW w:w="965"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r>
      <w:tr>
        <w:trPr>
          <w:jc w:val="center"/>
        </w:trPr>
        <w:tc>
          <w:tcPr>
            <w:tcW w:w="851"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c>
          <w:tcPr>
            <w:tcW w:w="1968"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c>
          <w:tcPr>
            <w:tcW w:w="2362"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c>
          <w:tcPr>
            <w:tcW w:w="2379"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c>
          <w:tcPr>
            <w:tcW w:w="965"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r>
      <w:tr>
        <w:trPr>
          <w:jc w:val="center"/>
        </w:trPr>
        <w:tc>
          <w:tcPr>
            <w:tcW w:w="851"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c>
          <w:tcPr>
            <w:tcW w:w="1968"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c>
          <w:tcPr>
            <w:tcW w:w="2362"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c>
          <w:tcPr>
            <w:tcW w:w="2379"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c>
          <w:tcPr>
            <w:tcW w:w="965"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r>
      <w:tr>
        <w:trPr>
          <w:jc w:val="center"/>
        </w:trPr>
        <w:tc>
          <w:tcPr>
            <w:tcW w:w="851"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c>
          <w:tcPr>
            <w:tcW w:w="1968"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c>
          <w:tcPr>
            <w:tcW w:w="2362"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c>
          <w:tcPr>
            <w:tcW w:w="2379"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c>
          <w:tcPr>
            <w:tcW w:w="965"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r>
      <w:tr>
        <w:trPr>
          <w:jc w:val="center"/>
        </w:trPr>
        <w:tc>
          <w:tcPr>
            <w:tcW w:w="851"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c>
          <w:tcPr>
            <w:tcW w:w="1968"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c>
          <w:tcPr>
            <w:tcW w:w="2362"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c>
          <w:tcPr>
            <w:tcW w:w="2379"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c>
          <w:tcPr>
            <w:tcW w:w="965" w:type="dxa"/>
            <w:vAlign w:val="center"/>
            <w:textDirection w:val="lrTb"/>
            <w:noWrap w:val="false"/>
          </w:tcPr>
          <w:p>
            <w:pPr>
              <w:jc w:val="center"/>
              <w:spacing w:before="120" w:after="120" w:line="360" w:lineRule="auto"/>
              <w:rPr>
                <w:color w:val="auto"/>
                <w:sz w:val="24"/>
                <w:highlight w:val="none"/>
              </w:rPr>
            </w:pPr>
            <w:r>
              <w:rPr>
                <w:color w:val="auto"/>
                <w:sz w:val="24"/>
                <w:highlight w:val="none"/>
              </w:rPr>
            </w:r>
            <w:r/>
          </w:p>
        </w:tc>
      </w:tr>
    </w:tbl>
    <w:p>
      <w:pPr>
        <w:ind w:firstLine="480"/>
        <w:spacing w:line="360" w:lineRule="auto"/>
        <w:rPr>
          <w:color w:val="auto"/>
          <w:sz w:val="24"/>
          <w:highlight w:val="none"/>
        </w:rPr>
      </w:pPr>
      <w:r>
        <w:rPr>
          <w:color w:val="auto"/>
          <w:sz w:val="24"/>
          <w:highlight w:val="none"/>
        </w:rPr>
        <w:t xml:space="preserve">注：</w:t>
      </w:r>
      <w:r>
        <w:rPr>
          <w:rFonts w:hint="eastAsia"/>
          <w:color w:val="auto"/>
          <w:sz w:val="24"/>
          <w:highlight w:val="none"/>
        </w:rPr>
        <w:t xml:space="preserve">响应单位</w:t>
      </w:r>
      <w:r>
        <w:rPr>
          <w:color w:val="auto"/>
          <w:sz w:val="24"/>
          <w:highlight w:val="none"/>
        </w:rPr>
        <w:t xml:space="preserve">的投标文件（除服务要求部分）与招标文件规定的有偏离的，应在此表中说明。未在上表中说明的，如在响应文件其他内容中已有文字说明的，则以已有文字说明为准，否则，将被认为完全响应招标文件的规定。但该表不作为</w:t>
      </w:r>
      <w:r>
        <w:rPr>
          <w:rFonts w:hint="eastAsia"/>
          <w:color w:val="auto"/>
          <w:sz w:val="24"/>
          <w:highlight w:val="none"/>
        </w:rPr>
        <w:t xml:space="preserve">响应单位</w:t>
      </w:r>
      <w:r>
        <w:rPr>
          <w:color w:val="auto"/>
          <w:sz w:val="24"/>
          <w:highlight w:val="none"/>
        </w:rPr>
        <w:t xml:space="preserve">对所投标的物关于商务条款等详细描述和说明的替代。</w:t>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spacing w:line="360" w:lineRule="auto"/>
        <w:rPr>
          <w:color w:val="auto"/>
          <w:sz w:val="24"/>
          <w:highlight w:val="none"/>
        </w:rPr>
      </w:pPr>
      <w:r>
        <w:rPr>
          <w:rFonts w:hint="eastAsia"/>
          <w:color w:val="auto"/>
          <w:sz w:val="24"/>
          <w:highlight w:val="none"/>
        </w:rPr>
        <w:t xml:space="preserve">    响应单位：（签章）</w:t>
      </w:r>
      <w:r/>
    </w:p>
    <w:p>
      <w:pPr>
        <w:ind w:firstLine="480"/>
        <w:spacing w:line="360" w:lineRule="auto"/>
        <w:rPr>
          <w:color w:val="auto"/>
          <w:sz w:val="24"/>
          <w:highlight w:val="none"/>
        </w:rPr>
      </w:pPr>
      <w:r>
        <w:rPr>
          <w:color w:val="auto"/>
          <w:sz w:val="24"/>
          <w:highlight w:val="none"/>
        </w:rPr>
        <w:t xml:space="preserve">法定代表人或授权代理人：（签字或盖章）</w:t>
      </w:r>
      <w:r/>
    </w:p>
    <w:p>
      <w:pPr>
        <w:ind w:firstLine="470"/>
        <w:spacing w:line="360" w:lineRule="auto"/>
        <w:rPr>
          <w:b/>
          <w:color w:val="auto"/>
          <w:sz w:val="24"/>
          <w:highlight w:val="none"/>
        </w:rPr>
      </w:pPr>
      <w:r>
        <w:rPr>
          <w:color w:val="auto"/>
          <w:sz w:val="24"/>
          <w:highlight w:val="none"/>
        </w:rPr>
        <w:t xml:space="preserve">日期：      年    月    日</w:t>
      </w:r>
      <w:r/>
    </w:p>
    <w:p>
      <w:pPr>
        <w:pStyle w:val="1121"/>
        <w:spacing w:before="75" w:beforeAutospacing="0" w:after="75" w:afterAutospacing="0" w:line="495" w:lineRule="atLeast"/>
        <w:widowControl/>
        <w:rPr>
          <w:rFonts w:ascii="宋体" w:hAnsi="宋体" w:cs="宋体"/>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color w:val="auto"/>
          <w:highlight w:val="none"/>
        </w:rPr>
      </w:r>
      <w:r/>
    </w:p>
    <w:p>
      <w:pPr>
        <w:widowControl/>
        <w:rPr>
          <w:b/>
          <w:color w:val="auto"/>
          <w:sz w:val="24"/>
          <w:highlight w:val="none"/>
        </w:rPr>
      </w:pPr>
      <w:r>
        <w:rPr>
          <w:b/>
          <w:color w:val="auto"/>
          <w:sz w:val="24"/>
          <w:highlight w:val="none"/>
        </w:rPr>
        <w:t xml:space="preserve">附件</w:t>
      </w:r>
      <w:r>
        <w:rPr>
          <w:rFonts w:hint="eastAsia"/>
          <w:b/>
          <w:color w:val="auto"/>
          <w:sz w:val="24"/>
          <w:highlight w:val="none"/>
        </w:rPr>
        <w:t xml:space="preserve">10：</w:t>
      </w:r>
      <w:r/>
    </w:p>
    <w:p>
      <w:pPr>
        <w:jc w:val="center"/>
        <w:spacing w:line="360" w:lineRule="auto"/>
        <w:rPr>
          <w:b/>
          <w:bCs/>
          <w:color w:val="000000"/>
          <w:spacing w:val="20"/>
          <w:sz w:val="24"/>
          <w:highlight w:val="none"/>
        </w:rPr>
      </w:pPr>
      <w:r>
        <w:rPr>
          <w:b/>
          <w:bCs/>
          <w:color w:val="000000"/>
          <w:spacing w:val="20"/>
          <w:sz w:val="24"/>
          <w:highlight w:val="none"/>
        </w:rPr>
        <w:t xml:space="preserve">项目组人员名单及简历</w:t>
      </w:r>
      <w:r/>
    </w:p>
    <w:p>
      <w:pPr>
        <w:jc w:val="center"/>
        <w:spacing w:line="360" w:lineRule="auto"/>
        <w:rPr>
          <w:b/>
          <w:bCs/>
          <w:color w:val="000000"/>
          <w:spacing w:val="20"/>
          <w:sz w:val="24"/>
          <w:highlight w:val="none"/>
        </w:rPr>
      </w:pPr>
      <w:r>
        <w:rPr>
          <w:b/>
          <w:bCs/>
          <w:color w:val="000000"/>
          <w:spacing w:val="20"/>
          <w:sz w:val="24"/>
          <w:highlight w:val="none"/>
        </w:rPr>
      </w:r>
      <w:r/>
    </w:p>
    <w:tbl>
      <w:tblPr>
        <w:tblStyle w:val="915"/>
        <w:tblW w:w="83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1839"/>
        <w:gridCol w:w="1332"/>
        <w:gridCol w:w="980"/>
        <w:gridCol w:w="939"/>
        <w:gridCol w:w="997"/>
        <w:gridCol w:w="824"/>
        <w:gridCol w:w="825"/>
      </w:tblGrid>
      <w:tr>
        <w:trPr>
          <w:jc w:val="center"/>
          <w:trHeight w:val="760"/>
        </w:trPr>
        <w:tc>
          <w:tcPr>
            <w:tcW w:w="645" w:type="dxa"/>
            <w:vAlign w:val="center"/>
            <w:textDirection w:val="lrTb"/>
            <w:noWrap w:val="false"/>
          </w:tcPr>
          <w:p>
            <w:pPr>
              <w:jc w:val="center"/>
              <w:spacing w:line="360" w:lineRule="auto"/>
              <w:rPr>
                <w:color w:val="000000"/>
                <w:sz w:val="24"/>
                <w:highlight w:val="none"/>
              </w:rPr>
            </w:pPr>
            <w:r>
              <w:rPr>
                <w:color w:val="000000"/>
                <w:sz w:val="24"/>
                <w:highlight w:val="none"/>
              </w:rPr>
              <w:t xml:space="preserve">序号</w:t>
            </w:r>
            <w:r/>
          </w:p>
        </w:tc>
        <w:tc>
          <w:tcPr>
            <w:tcW w:w="1839" w:type="dxa"/>
            <w:vAlign w:val="center"/>
            <w:textDirection w:val="lrTb"/>
            <w:noWrap w:val="false"/>
          </w:tcPr>
          <w:p>
            <w:pPr>
              <w:jc w:val="center"/>
              <w:spacing w:line="360" w:lineRule="auto"/>
              <w:rPr>
                <w:color w:val="000000"/>
                <w:sz w:val="24"/>
                <w:highlight w:val="none"/>
              </w:rPr>
            </w:pPr>
            <w:r>
              <w:rPr>
                <w:color w:val="000000"/>
                <w:sz w:val="24"/>
                <w:highlight w:val="none"/>
              </w:rPr>
              <w:t xml:space="preserve">岗位</w:t>
            </w:r>
            <w:r/>
          </w:p>
        </w:tc>
        <w:tc>
          <w:tcPr>
            <w:tcW w:w="1332" w:type="dxa"/>
            <w:vAlign w:val="center"/>
            <w:textDirection w:val="lrTb"/>
            <w:noWrap w:val="false"/>
          </w:tcPr>
          <w:p>
            <w:pPr>
              <w:jc w:val="center"/>
              <w:spacing w:line="360" w:lineRule="auto"/>
              <w:rPr>
                <w:color w:val="000000"/>
                <w:sz w:val="24"/>
                <w:highlight w:val="none"/>
              </w:rPr>
            </w:pPr>
            <w:r>
              <w:rPr>
                <w:color w:val="000000"/>
                <w:sz w:val="24"/>
                <w:highlight w:val="none"/>
              </w:rPr>
              <w:t xml:space="preserve">姓名</w:t>
            </w:r>
            <w:r/>
          </w:p>
        </w:tc>
        <w:tc>
          <w:tcPr>
            <w:tcW w:w="980" w:type="dxa"/>
            <w:vAlign w:val="center"/>
            <w:textDirection w:val="lrTb"/>
            <w:noWrap w:val="false"/>
          </w:tcPr>
          <w:p>
            <w:pPr>
              <w:jc w:val="center"/>
              <w:spacing w:line="360" w:lineRule="auto"/>
              <w:rPr>
                <w:color w:val="000000"/>
                <w:sz w:val="24"/>
                <w:highlight w:val="none"/>
              </w:rPr>
            </w:pPr>
            <w:r>
              <w:rPr>
                <w:color w:val="000000"/>
                <w:sz w:val="24"/>
                <w:highlight w:val="none"/>
              </w:rPr>
              <w:t xml:space="preserve">性别</w:t>
            </w:r>
            <w:r/>
          </w:p>
        </w:tc>
        <w:tc>
          <w:tcPr>
            <w:tcW w:w="939" w:type="dxa"/>
            <w:vAlign w:val="center"/>
            <w:textDirection w:val="lrTb"/>
            <w:noWrap w:val="false"/>
          </w:tcPr>
          <w:p>
            <w:pPr>
              <w:jc w:val="center"/>
              <w:spacing w:line="360" w:lineRule="auto"/>
              <w:rPr>
                <w:color w:val="000000"/>
                <w:sz w:val="24"/>
                <w:highlight w:val="none"/>
              </w:rPr>
            </w:pPr>
            <w:r>
              <w:rPr>
                <w:color w:val="000000"/>
                <w:sz w:val="24"/>
                <w:highlight w:val="none"/>
              </w:rPr>
              <w:t xml:space="preserve">学历</w:t>
            </w:r>
            <w:r/>
          </w:p>
        </w:tc>
        <w:tc>
          <w:tcPr>
            <w:tcW w:w="997" w:type="dxa"/>
            <w:vAlign w:val="center"/>
            <w:textDirection w:val="lrTb"/>
            <w:noWrap w:val="false"/>
          </w:tcPr>
          <w:p>
            <w:pPr>
              <w:jc w:val="center"/>
              <w:spacing w:line="360" w:lineRule="auto"/>
              <w:rPr>
                <w:color w:val="000000"/>
                <w:sz w:val="24"/>
                <w:highlight w:val="none"/>
              </w:rPr>
            </w:pPr>
            <w:r>
              <w:rPr>
                <w:color w:val="000000"/>
                <w:sz w:val="24"/>
                <w:highlight w:val="none"/>
              </w:rPr>
              <w:t xml:space="preserve">职称</w:t>
            </w:r>
            <w:r/>
          </w:p>
        </w:tc>
        <w:tc>
          <w:tcPr>
            <w:tcW w:w="824" w:type="dxa"/>
            <w:vAlign w:val="center"/>
            <w:textDirection w:val="lrTb"/>
            <w:noWrap w:val="false"/>
          </w:tcPr>
          <w:p>
            <w:pPr>
              <w:jc w:val="center"/>
              <w:spacing w:line="360" w:lineRule="auto"/>
              <w:rPr>
                <w:color w:val="000000"/>
                <w:sz w:val="24"/>
                <w:highlight w:val="none"/>
              </w:rPr>
            </w:pPr>
            <w:r>
              <w:rPr>
                <w:color w:val="000000"/>
                <w:sz w:val="24"/>
                <w:highlight w:val="none"/>
              </w:rPr>
              <w:t xml:space="preserve">个人业绩</w:t>
            </w:r>
            <w:r/>
          </w:p>
        </w:tc>
        <w:tc>
          <w:tcPr>
            <w:tcW w:w="825" w:type="dxa"/>
            <w:vAlign w:val="center"/>
            <w:textDirection w:val="lrTb"/>
            <w:noWrap w:val="false"/>
          </w:tcPr>
          <w:p>
            <w:pPr>
              <w:jc w:val="center"/>
              <w:spacing w:line="360" w:lineRule="auto"/>
              <w:rPr>
                <w:color w:val="000000"/>
                <w:sz w:val="24"/>
                <w:highlight w:val="none"/>
              </w:rPr>
            </w:pPr>
            <w:r>
              <w:rPr>
                <w:color w:val="000000"/>
                <w:sz w:val="24"/>
                <w:highlight w:val="none"/>
              </w:rPr>
              <w:t xml:space="preserve">备注</w:t>
            </w:r>
            <w:r/>
          </w:p>
        </w:tc>
      </w:tr>
      <w:tr>
        <w:trPr>
          <w:jc w:val="center"/>
          <w:trHeight w:val="354"/>
        </w:trPr>
        <w:tc>
          <w:tcPr>
            <w:tcW w:w="645" w:type="dxa"/>
            <w:vAlign w:val="center"/>
            <w:textDirection w:val="lrTb"/>
            <w:noWrap w:val="false"/>
          </w:tcPr>
          <w:p>
            <w:pPr>
              <w:jc w:val="center"/>
              <w:spacing w:line="360" w:lineRule="auto"/>
              <w:rPr>
                <w:color w:val="000000"/>
                <w:sz w:val="24"/>
                <w:highlight w:val="none"/>
              </w:rPr>
            </w:pPr>
            <w:r>
              <w:rPr>
                <w:color w:val="000000"/>
                <w:sz w:val="24"/>
                <w:highlight w:val="none"/>
              </w:rPr>
              <w:t xml:space="preserve">1</w:t>
            </w:r>
            <w:r/>
          </w:p>
        </w:tc>
        <w:tc>
          <w:tcPr>
            <w:tcW w:w="1839" w:type="dxa"/>
            <w:vAlign w:val="center"/>
            <w:textDirection w:val="lrTb"/>
            <w:noWrap w:val="false"/>
          </w:tcPr>
          <w:p>
            <w:pPr>
              <w:spacing w:line="360" w:lineRule="auto"/>
              <w:rPr>
                <w:color w:val="000000"/>
                <w:sz w:val="24"/>
                <w:highlight w:val="none"/>
              </w:rPr>
            </w:pPr>
            <w:r>
              <w:rPr>
                <w:color w:val="000000"/>
                <w:sz w:val="24"/>
                <w:highlight w:val="none"/>
              </w:rPr>
            </w:r>
            <w:r/>
          </w:p>
        </w:tc>
        <w:tc>
          <w:tcPr>
            <w:tcW w:w="1332" w:type="dxa"/>
            <w:vAlign w:val="center"/>
            <w:textDirection w:val="lrTb"/>
            <w:noWrap w:val="false"/>
          </w:tcPr>
          <w:p>
            <w:pPr>
              <w:jc w:val="center"/>
              <w:spacing w:line="360" w:lineRule="auto"/>
              <w:rPr>
                <w:color w:val="000000"/>
                <w:sz w:val="24"/>
                <w:highlight w:val="none"/>
              </w:rPr>
            </w:pPr>
            <w:r>
              <w:rPr>
                <w:color w:val="000000"/>
                <w:sz w:val="24"/>
                <w:highlight w:val="none"/>
              </w:rPr>
            </w:r>
            <w:r/>
          </w:p>
        </w:tc>
        <w:tc>
          <w:tcPr>
            <w:tcW w:w="980" w:type="dxa"/>
            <w:vAlign w:val="center"/>
            <w:textDirection w:val="lrTb"/>
            <w:noWrap w:val="false"/>
          </w:tcPr>
          <w:p>
            <w:pPr>
              <w:jc w:val="center"/>
              <w:spacing w:line="360" w:lineRule="auto"/>
              <w:rPr>
                <w:color w:val="000000"/>
                <w:sz w:val="24"/>
                <w:highlight w:val="none"/>
              </w:rPr>
            </w:pPr>
            <w:r>
              <w:rPr>
                <w:color w:val="000000"/>
                <w:sz w:val="24"/>
                <w:highlight w:val="none"/>
              </w:rPr>
            </w:r>
            <w:r/>
          </w:p>
        </w:tc>
        <w:tc>
          <w:tcPr>
            <w:tcW w:w="939" w:type="dxa"/>
            <w:vAlign w:val="center"/>
            <w:textDirection w:val="lrTb"/>
            <w:noWrap w:val="false"/>
          </w:tcPr>
          <w:p>
            <w:pPr>
              <w:jc w:val="center"/>
              <w:spacing w:line="360" w:lineRule="auto"/>
              <w:rPr>
                <w:color w:val="000000"/>
                <w:sz w:val="24"/>
                <w:highlight w:val="none"/>
              </w:rPr>
            </w:pPr>
            <w:r>
              <w:rPr>
                <w:color w:val="000000"/>
                <w:sz w:val="24"/>
                <w:highlight w:val="none"/>
              </w:rPr>
            </w:r>
            <w:r/>
          </w:p>
        </w:tc>
        <w:tc>
          <w:tcPr>
            <w:tcW w:w="997" w:type="dxa"/>
            <w:vAlign w:val="center"/>
            <w:textDirection w:val="lrTb"/>
            <w:noWrap w:val="false"/>
          </w:tcPr>
          <w:p>
            <w:pPr>
              <w:jc w:val="center"/>
              <w:spacing w:line="360" w:lineRule="auto"/>
              <w:rPr>
                <w:color w:val="000000"/>
                <w:sz w:val="24"/>
                <w:highlight w:val="none"/>
              </w:rPr>
            </w:pPr>
            <w:r>
              <w:rPr>
                <w:color w:val="000000"/>
                <w:sz w:val="24"/>
                <w:highlight w:val="none"/>
              </w:rPr>
            </w:r>
            <w:r/>
          </w:p>
        </w:tc>
        <w:tc>
          <w:tcPr>
            <w:tcW w:w="824" w:type="dxa"/>
            <w:vAlign w:val="center"/>
            <w:textDirection w:val="lrTb"/>
            <w:noWrap w:val="false"/>
          </w:tcPr>
          <w:p>
            <w:pPr>
              <w:jc w:val="center"/>
              <w:spacing w:line="360" w:lineRule="auto"/>
              <w:rPr>
                <w:color w:val="000000"/>
                <w:sz w:val="24"/>
                <w:highlight w:val="none"/>
              </w:rPr>
            </w:pPr>
            <w:r>
              <w:rPr>
                <w:color w:val="000000"/>
                <w:sz w:val="24"/>
                <w:highlight w:val="none"/>
              </w:rPr>
            </w:r>
            <w:r/>
          </w:p>
        </w:tc>
        <w:tc>
          <w:tcPr>
            <w:tcW w:w="825" w:type="dxa"/>
            <w:vAlign w:val="center"/>
            <w:textDirection w:val="lrTb"/>
            <w:noWrap w:val="false"/>
          </w:tcPr>
          <w:p>
            <w:pPr>
              <w:jc w:val="center"/>
              <w:spacing w:line="360" w:lineRule="auto"/>
              <w:rPr>
                <w:color w:val="000000"/>
                <w:sz w:val="24"/>
                <w:highlight w:val="none"/>
              </w:rPr>
            </w:pPr>
            <w:r>
              <w:rPr>
                <w:color w:val="000000"/>
                <w:sz w:val="24"/>
                <w:highlight w:val="none"/>
              </w:rPr>
              <w:t xml:space="preserve">★</w:t>
            </w:r>
            <w:r/>
          </w:p>
        </w:tc>
      </w:tr>
      <w:tr>
        <w:trPr>
          <w:cantSplit/>
          <w:jc w:val="center"/>
          <w:trHeight w:val="495"/>
        </w:trPr>
        <w:tc>
          <w:tcPr>
            <w:tcW w:w="645" w:type="dxa"/>
            <w:vAlign w:val="center"/>
            <w:textDirection w:val="lrTb"/>
            <w:noWrap w:val="false"/>
          </w:tcPr>
          <w:p>
            <w:pPr>
              <w:jc w:val="center"/>
              <w:spacing w:line="360" w:lineRule="auto"/>
              <w:rPr>
                <w:color w:val="000000"/>
                <w:sz w:val="24"/>
                <w:highlight w:val="none"/>
              </w:rPr>
            </w:pPr>
            <w:r>
              <w:rPr>
                <w:color w:val="000000"/>
                <w:sz w:val="24"/>
                <w:highlight w:val="none"/>
              </w:rPr>
              <w:t xml:space="preserve">2</w:t>
            </w:r>
            <w:r/>
          </w:p>
        </w:tc>
        <w:tc>
          <w:tcPr>
            <w:tcW w:w="1839" w:type="dxa"/>
            <w:vAlign w:val="center"/>
            <w:textDirection w:val="lrTb"/>
            <w:noWrap w:val="false"/>
          </w:tcPr>
          <w:p>
            <w:pPr>
              <w:spacing w:line="360" w:lineRule="auto"/>
              <w:rPr>
                <w:color w:val="000000"/>
                <w:sz w:val="24"/>
                <w:highlight w:val="none"/>
              </w:rPr>
            </w:pPr>
            <w:r>
              <w:rPr>
                <w:color w:val="000000"/>
                <w:sz w:val="24"/>
                <w:highlight w:val="none"/>
              </w:rPr>
            </w:r>
            <w:r/>
          </w:p>
        </w:tc>
        <w:tc>
          <w:tcPr>
            <w:tcW w:w="1332" w:type="dxa"/>
            <w:vAlign w:val="center"/>
            <w:textDirection w:val="lrTb"/>
            <w:noWrap w:val="false"/>
          </w:tcPr>
          <w:p>
            <w:pPr>
              <w:jc w:val="center"/>
              <w:spacing w:line="360" w:lineRule="auto"/>
              <w:rPr>
                <w:color w:val="000000"/>
                <w:sz w:val="24"/>
                <w:highlight w:val="none"/>
              </w:rPr>
            </w:pPr>
            <w:r>
              <w:rPr>
                <w:color w:val="000000"/>
                <w:sz w:val="24"/>
                <w:highlight w:val="none"/>
              </w:rPr>
            </w:r>
            <w:r/>
          </w:p>
        </w:tc>
        <w:tc>
          <w:tcPr>
            <w:tcW w:w="980" w:type="dxa"/>
            <w:vAlign w:val="center"/>
            <w:textDirection w:val="lrTb"/>
            <w:noWrap w:val="false"/>
          </w:tcPr>
          <w:p>
            <w:pPr>
              <w:jc w:val="center"/>
              <w:spacing w:line="360" w:lineRule="auto"/>
              <w:rPr>
                <w:color w:val="000000"/>
                <w:sz w:val="24"/>
                <w:highlight w:val="none"/>
              </w:rPr>
            </w:pPr>
            <w:r>
              <w:rPr>
                <w:color w:val="000000"/>
                <w:sz w:val="24"/>
                <w:highlight w:val="none"/>
              </w:rPr>
            </w:r>
            <w:r/>
          </w:p>
        </w:tc>
        <w:tc>
          <w:tcPr>
            <w:tcW w:w="939" w:type="dxa"/>
            <w:vAlign w:val="center"/>
            <w:textDirection w:val="lrTb"/>
            <w:noWrap w:val="false"/>
          </w:tcPr>
          <w:p>
            <w:pPr>
              <w:jc w:val="center"/>
              <w:spacing w:line="360" w:lineRule="auto"/>
              <w:rPr>
                <w:color w:val="000000"/>
                <w:sz w:val="24"/>
                <w:highlight w:val="none"/>
              </w:rPr>
            </w:pPr>
            <w:r>
              <w:rPr>
                <w:color w:val="000000"/>
                <w:sz w:val="24"/>
                <w:highlight w:val="none"/>
              </w:rPr>
            </w:r>
            <w:r/>
          </w:p>
        </w:tc>
        <w:tc>
          <w:tcPr>
            <w:tcW w:w="997" w:type="dxa"/>
            <w:vAlign w:val="center"/>
            <w:textDirection w:val="lrTb"/>
            <w:noWrap w:val="false"/>
          </w:tcPr>
          <w:p>
            <w:pPr>
              <w:jc w:val="center"/>
              <w:spacing w:line="360" w:lineRule="auto"/>
              <w:rPr>
                <w:color w:val="000000"/>
                <w:sz w:val="24"/>
                <w:highlight w:val="none"/>
              </w:rPr>
            </w:pPr>
            <w:r>
              <w:rPr>
                <w:color w:val="000000"/>
                <w:sz w:val="24"/>
                <w:highlight w:val="none"/>
              </w:rPr>
            </w:r>
            <w:r/>
          </w:p>
        </w:tc>
        <w:tc>
          <w:tcPr>
            <w:tcW w:w="824" w:type="dxa"/>
            <w:vAlign w:val="center"/>
            <w:textDirection w:val="lrTb"/>
            <w:noWrap w:val="false"/>
          </w:tcPr>
          <w:p>
            <w:pPr>
              <w:jc w:val="center"/>
              <w:spacing w:line="360" w:lineRule="auto"/>
              <w:rPr>
                <w:color w:val="000000"/>
                <w:sz w:val="24"/>
                <w:highlight w:val="none"/>
              </w:rPr>
            </w:pPr>
            <w:r>
              <w:rPr>
                <w:color w:val="000000"/>
                <w:sz w:val="24"/>
                <w:highlight w:val="none"/>
              </w:rPr>
            </w:r>
            <w:r/>
          </w:p>
        </w:tc>
        <w:tc>
          <w:tcPr>
            <w:tcW w:w="825" w:type="dxa"/>
            <w:vAlign w:val="center"/>
            <w:textDirection w:val="lrTb"/>
            <w:noWrap w:val="false"/>
          </w:tcPr>
          <w:p>
            <w:pPr>
              <w:jc w:val="center"/>
              <w:spacing w:line="360" w:lineRule="auto"/>
              <w:rPr>
                <w:color w:val="000000"/>
                <w:sz w:val="24"/>
                <w:highlight w:val="none"/>
              </w:rPr>
            </w:pPr>
            <w:r>
              <w:rPr>
                <w:color w:val="000000"/>
                <w:sz w:val="24"/>
                <w:highlight w:val="none"/>
              </w:rPr>
            </w:r>
            <w:r/>
          </w:p>
        </w:tc>
      </w:tr>
      <w:tr>
        <w:trPr>
          <w:cantSplit/>
          <w:jc w:val="center"/>
          <w:trHeight w:val="495"/>
        </w:trPr>
        <w:tc>
          <w:tcPr>
            <w:tcW w:w="645" w:type="dxa"/>
            <w:vAlign w:val="center"/>
            <w:textDirection w:val="lrTb"/>
            <w:noWrap w:val="false"/>
          </w:tcPr>
          <w:p>
            <w:pPr>
              <w:jc w:val="center"/>
              <w:spacing w:line="360" w:lineRule="auto"/>
              <w:rPr>
                <w:color w:val="000000"/>
                <w:sz w:val="24"/>
                <w:highlight w:val="none"/>
              </w:rPr>
            </w:pPr>
            <w:r>
              <w:rPr>
                <w:color w:val="000000"/>
                <w:sz w:val="24"/>
                <w:highlight w:val="none"/>
              </w:rPr>
              <w:t xml:space="preserve">3</w:t>
            </w:r>
            <w:r/>
          </w:p>
        </w:tc>
        <w:tc>
          <w:tcPr>
            <w:tcW w:w="1839" w:type="dxa"/>
            <w:vAlign w:val="center"/>
            <w:textDirection w:val="lrTb"/>
            <w:noWrap w:val="false"/>
          </w:tcPr>
          <w:p>
            <w:pPr>
              <w:spacing w:line="360" w:lineRule="auto"/>
              <w:rPr>
                <w:color w:val="000000"/>
                <w:sz w:val="24"/>
                <w:highlight w:val="none"/>
              </w:rPr>
            </w:pPr>
            <w:r>
              <w:rPr>
                <w:color w:val="000000"/>
                <w:sz w:val="24"/>
                <w:highlight w:val="none"/>
              </w:rPr>
            </w:r>
            <w:r/>
          </w:p>
        </w:tc>
        <w:tc>
          <w:tcPr>
            <w:tcW w:w="1332" w:type="dxa"/>
            <w:vAlign w:val="center"/>
            <w:textDirection w:val="lrTb"/>
            <w:noWrap w:val="false"/>
          </w:tcPr>
          <w:p>
            <w:pPr>
              <w:spacing w:line="360" w:lineRule="auto"/>
              <w:rPr>
                <w:color w:val="000000"/>
                <w:sz w:val="24"/>
                <w:highlight w:val="none"/>
              </w:rPr>
            </w:pPr>
            <w:r>
              <w:rPr>
                <w:color w:val="000000"/>
                <w:sz w:val="24"/>
                <w:highlight w:val="none"/>
              </w:rPr>
            </w:r>
            <w:r/>
          </w:p>
        </w:tc>
        <w:tc>
          <w:tcPr>
            <w:tcW w:w="980" w:type="dxa"/>
            <w:vAlign w:val="center"/>
            <w:textDirection w:val="lrTb"/>
            <w:noWrap w:val="false"/>
          </w:tcPr>
          <w:p>
            <w:pPr>
              <w:spacing w:line="360" w:lineRule="auto"/>
              <w:rPr>
                <w:color w:val="000000"/>
                <w:sz w:val="24"/>
                <w:highlight w:val="none"/>
              </w:rPr>
            </w:pPr>
            <w:r>
              <w:rPr>
                <w:color w:val="000000"/>
                <w:sz w:val="24"/>
                <w:highlight w:val="none"/>
              </w:rPr>
            </w:r>
            <w:r/>
          </w:p>
        </w:tc>
        <w:tc>
          <w:tcPr>
            <w:tcW w:w="939" w:type="dxa"/>
            <w:vAlign w:val="center"/>
            <w:textDirection w:val="lrTb"/>
            <w:noWrap w:val="false"/>
          </w:tcPr>
          <w:p>
            <w:pPr>
              <w:spacing w:line="360" w:lineRule="auto"/>
              <w:rPr>
                <w:color w:val="000000"/>
                <w:sz w:val="24"/>
                <w:highlight w:val="none"/>
              </w:rPr>
            </w:pPr>
            <w:r>
              <w:rPr>
                <w:color w:val="000000"/>
                <w:sz w:val="24"/>
                <w:highlight w:val="none"/>
              </w:rPr>
            </w:r>
            <w:r/>
          </w:p>
        </w:tc>
        <w:tc>
          <w:tcPr>
            <w:tcW w:w="997" w:type="dxa"/>
            <w:vAlign w:val="center"/>
            <w:textDirection w:val="lrTb"/>
            <w:noWrap w:val="false"/>
          </w:tcPr>
          <w:p>
            <w:pPr>
              <w:spacing w:line="360" w:lineRule="auto"/>
              <w:rPr>
                <w:color w:val="000000"/>
                <w:sz w:val="24"/>
                <w:highlight w:val="none"/>
              </w:rPr>
            </w:pPr>
            <w:r>
              <w:rPr>
                <w:color w:val="000000"/>
                <w:sz w:val="24"/>
                <w:highlight w:val="none"/>
              </w:rPr>
            </w:r>
            <w:r/>
          </w:p>
        </w:tc>
        <w:tc>
          <w:tcPr>
            <w:tcW w:w="824" w:type="dxa"/>
            <w:vAlign w:val="center"/>
            <w:textDirection w:val="lrTb"/>
            <w:noWrap w:val="false"/>
          </w:tcPr>
          <w:p>
            <w:pPr>
              <w:jc w:val="center"/>
              <w:spacing w:line="360" w:lineRule="auto"/>
              <w:rPr>
                <w:color w:val="000000"/>
                <w:sz w:val="24"/>
                <w:highlight w:val="none"/>
              </w:rPr>
            </w:pPr>
            <w:r>
              <w:rPr>
                <w:color w:val="000000"/>
                <w:sz w:val="24"/>
                <w:highlight w:val="none"/>
              </w:rPr>
            </w:r>
            <w:r/>
          </w:p>
        </w:tc>
        <w:tc>
          <w:tcPr>
            <w:tcW w:w="825" w:type="dxa"/>
            <w:vAlign w:val="center"/>
            <w:textDirection w:val="lrTb"/>
            <w:noWrap w:val="false"/>
          </w:tcPr>
          <w:p>
            <w:pPr>
              <w:jc w:val="center"/>
              <w:spacing w:line="360" w:lineRule="auto"/>
              <w:rPr>
                <w:color w:val="000000"/>
                <w:sz w:val="24"/>
                <w:highlight w:val="none"/>
              </w:rPr>
            </w:pPr>
            <w:r>
              <w:rPr>
                <w:color w:val="000000"/>
                <w:sz w:val="24"/>
                <w:highlight w:val="none"/>
              </w:rPr>
            </w:r>
            <w:r/>
          </w:p>
        </w:tc>
      </w:tr>
      <w:tr>
        <w:trPr>
          <w:cantSplit/>
          <w:jc w:val="center"/>
          <w:trHeight w:val="495"/>
        </w:trPr>
        <w:tc>
          <w:tcPr>
            <w:tcW w:w="645" w:type="dxa"/>
            <w:vAlign w:val="center"/>
            <w:textDirection w:val="lrTb"/>
            <w:noWrap w:val="false"/>
          </w:tcPr>
          <w:p>
            <w:pPr>
              <w:jc w:val="center"/>
              <w:spacing w:line="360" w:lineRule="auto"/>
              <w:rPr>
                <w:color w:val="000000"/>
                <w:sz w:val="24"/>
                <w:highlight w:val="none"/>
              </w:rPr>
            </w:pPr>
            <w:r>
              <w:rPr>
                <w:color w:val="000000"/>
                <w:sz w:val="24"/>
                <w:highlight w:val="none"/>
              </w:rPr>
              <w:t xml:space="preserve">4</w:t>
            </w:r>
            <w:r/>
          </w:p>
        </w:tc>
        <w:tc>
          <w:tcPr>
            <w:tcW w:w="1839" w:type="dxa"/>
            <w:vAlign w:val="center"/>
            <w:textDirection w:val="lrTb"/>
            <w:noWrap w:val="false"/>
          </w:tcPr>
          <w:p>
            <w:pPr>
              <w:spacing w:line="360" w:lineRule="auto"/>
              <w:rPr>
                <w:color w:val="000000"/>
                <w:sz w:val="24"/>
                <w:highlight w:val="none"/>
              </w:rPr>
            </w:pPr>
            <w:r>
              <w:rPr>
                <w:color w:val="000000"/>
                <w:sz w:val="24"/>
                <w:highlight w:val="none"/>
              </w:rPr>
            </w:r>
            <w:r/>
          </w:p>
        </w:tc>
        <w:tc>
          <w:tcPr>
            <w:tcW w:w="1332" w:type="dxa"/>
            <w:vAlign w:val="center"/>
            <w:textDirection w:val="lrTb"/>
            <w:noWrap w:val="false"/>
          </w:tcPr>
          <w:p>
            <w:pPr>
              <w:spacing w:line="360" w:lineRule="auto"/>
              <w:rPr>
                <w:color w:val="000000"/>
                <w:sz w:val="24"/>
                <w:highlight w:val="none"/>
              </w:rPr>
            </w:pPr>
            <w:r>
              <w:rPr>
                <w:color w:val="000000"/>
                <w:sz w:val="24"/>
                <w:highlight w:val="none"/>
              </w:rPr>
            </w:r>
            <w:r/>
          </w:p>
        </w:tc>
        <w:tc>
          <w:tcPr>
            <w:tcW w:w="980" w:type="dxa"/>
            <w:vAlign w:val="center"/>
            <w:textDirection w:val="lrTb"/>
            <w:noWrap w:val="false"/>
          </w:tcPr>
          <w:p>
            <w:pPr>
              <w:spacing w:line="360" w:lineRule="auto"/>
              <w:rPr>
                <w:color w:val="000000"/>
                <w:sz w:val="24"/>
                <w:highlight w:val="none"/>
              </w:rPr>
            </w:pPr>
            <w:r>
              <w:rPr>
                <w:color w:val="000000"/>
                <w:sz w:val="24"/>
                <w:highlight w:val="none"/>
              </w:rPr>
            </w:r>
            <w:r/>
          </w:p>
        </w:tc>
        <w:tc>
          <w:tcPr>
            <w:tcW w:w="939" w:type="dxa"/>
            <w:vAlign w:val="center"/>
            <w:textDirection w:val="lrTb"/>
            <w:noWrap w:val="false"/>
          </w:tcPr>
          <w:p>
            <w:pPr>
              <w:spacing w:line="360" w:lineRule="auto"/>
              <w:rPr>
                <w:color w:val="000000"/>
                <w:sz w:val="24"/>
                <w:highlight w:val="none"/>
              </w:rPr>
            </w:pPr>
            <w:r>
              <w:rPr>
                <w:color w:val="000000"/>
                <w:sz w:val="24"/>
                <w:highlight w:val="none"/>
              </w:rPr>
            </w:r>
            <w:r/>
          </w:p>
        </w:tc>
        <w:tc>
          <w:tcPr>
            <w:tcW w:w="997" w:type="dxa"/>
            <w:vAlign w:val="center"/>
            <w:textDirection w:val="lrTb"/>
            <w:noWrap w:val="false"/>
          </w:tcPr>
          <w:p>
            <w:pPr>
              <w:spacing w:line="360" w:lineRule="auto"/>
              <w:rPr>
                <w:color w:val="000000"/>
                <w:sz w:val="24"/>
                <w:highlight w:val="none"/>
              </w:rPr>
            </w:pPr>
            <w:r>
              <w:rPr>
                <w:color w:val="000000"/>
                <w:sz w:val="24"/>
                <w:highlight w:val="none"/>
              </w:rPr>
            </w:r>
            <w:r/>
          </w:p>
        </w:tc>
        <w:tc>
          <w:tcPr>
            <w:tcW w:w="824" w:type="dxa"/>
            <w:vAlign w:val="center"/>
            <w:textDirection w:val="lrTb"/>
            <w:noWrap w:val="false"/>
          </w:tcPr>
          <w:p>
            <w:pPr>
              <w:jc w:val="center"/>
              <w:spacing w:line="360" w:lineRule="auto"/>
              <w:rPr>
                <w:color w:val="000000"/>
                <w:sz w:val="24"/>
                <w:highlight w:val="none"/>
              </w:rPr>
            </w:pPr>
            <w:r>
              <w:rPr>
                <w:color w:val="000000"/>
                <w:sz w:val="24"/>
                <w:highlight w:val="none"/>
              </w:rPr>
            </w:r>
            <w:r/>
          </w:p>
        </w:tc>
        <w:tc>
          <w:tcPr>
            <w:tcW w:w="825" w:type="dxa"/>
            <w:vAlign w:val="center"/>
            <w:textDirection w:val="lrTb"/>
            <w:noWrap w:val="false"/>
          </w:tcPr>
          <w:p>
            <w:pPr>
              <w:jc w:val="center"/>
              <w:spacing w:line="360" w:lineRule="auto"/>
              <w:rPr>
                <w:color w:val="000000"/>
                <w:sz w:val="24"/>
                <w:highlight w:val="none"/>
              </w:rPr>
            </w:pPr>
            <w:r>
              <w:rPr>
                <w:color w:val="000000"/>
                <w:sz w:val="24"/>
                <w:highlight w:val="none"/>
              </w:rPr>
            </w:r>
            <w:r/>
          </w:p>
        </w:tc>
      </w:tr>
      <w:tr>
        <w:trPr>
          <w:cantSplit/>
          <w:jc w:val="center"/>
          <w:trHeight w:val="495"/>
        </w:trPr>
        <w:tc>
          <w:tcPr>
            <w:tcW w:w="645" w:type="dxa"/>
            <w:vAlign w:val="center"/>
            <w:textDirection w:val="lrTb"/>
            <w:noWrap w:val="false"/>
          </w:tcPr>
          <w:p>
            <w:pPr>
              <w:jc w:val="center"/>
              <w:spacing w:line="360" w:lineRule="auto"/>
              <w:rPr>
                <w:color w:val="000000"/>
                <w:sz w:val="24"/>
                <w:highlight w:val="none"/>
              </w:rPr>
            </w:pPr>
            <w:r>
              <w:rPr>
                <w:color w:val="000000"/>
                <w:sz w:val="24"/>
                <w:highlight w:val="none"/>
              </w:rPr>
              <w:t xml:space="preserve">5</w:t>
            </w:r>
            <w:r/>
          </w:p>
        </w:tc>
        <w:tc>
          <w:tcPr>
            <w:tcW w:w="1839" w:type="dxa"/>
            <w:vAlign w:val="center"/>
            <w:textDirection w:val="lrTb"/>
            <w:noWrap w:val="false"/>
          </w:tcPr>
          <w:p>
            <w:pPr>
              <w:spacing w:line="360" w:lineRule="auto"/>
              <w:rPr>
                <w:color w:val="000000"/>
                <w:sz w:val="24"/>
                <w:highlight w:val="none"/>
              </w:rPr>
            </w:pPr>
            <w:r>
              <w:rPr>
                <w:color w:val="000000"/>
                <w:sz w:val="24"/>
                <w:highlight w:val="none"/>
              </w:rPr>
            </w:r>
            <w:r/>
          </w:p>
        </w:tc>
        <w:tc>
          <w:tcPr>
            <w:tcW w:w="1332" w:type="dxa"/>
            <w:vAlign w:val="center"/>
            <w:textDirection w:val="lrTb"/>
            <w:noWrap w:val="false"/>
          </w:tcPr>
          <w:p>
            <w:pPr>
              <w:spacing w:line="360" w:lineRule="auto"/>
              <w:rPr>
                <w:color w:val="000000"/>
                <w:sz w:val="24"/>
                <w:highlight w:val="none"/>
              </w:rPr>
            </w:pPr>
            <w:r>
              <w:rPr>
                <w:color w:val="000000"/>
                <w:sz w:val="24"/>
                <w:highlight w:val="none"/>
              </w:rPr>
            </w:r>
            <w:r/>
          </w:p>
        </w:tc>
        <w:tc>
          <w:tcPr>
            <w:tcW w:w="980" w:type="dxa"/>
            <w:vAlign w:val="center"/>
            <w:textDirection w:val="lrTb"/>
            <w:noWrap w:val="false"/>
          </w:tcPr>
          <w:p>
            <w:pPr>
              <w:spacing w:line="360" w:lineRule="auto"/>
              <w:rPr>
                <w:color w:val="000000"/>
                <w:sz w:val="24"/>
                <w:highlight w:val="none"/>
              </w:rPr>
            </w:pPr>
            <w:r>
              <w:rPr>
                <w:color w:val="000000"/>
                <w:sz w:val="24"/>
                <w:highlight w:val="none"/>
              </w:rPr>
            </w:r>
            <w:r/>
          </w:p>
        </w:tc>
        <w:tc>
          <w:tcPr>
            <w:tcW w:w="939" w:type="dxa"/>
            <w:vAlign w:val="center"/>
            <w:textDirection w:val="lrTb"/>
            <w:noWrap w:val="false"/>
          </w:tcPr>
          <w:p>
            <w:pPr>
              <w:spacing w:line="360" w:lineRule="auto"/>
              <w:rPr>
                <w:color w:val="000000"/>
                <w:sz w:val="24"/>
                <w:highlight w:val="none"/>
              </w:rPr>
            </w:pPr>
            <w:r>
              <w:rPr>
                <w:color w:val="000000"/>
                <w:sz w:val="24"/>
                <w:highlight w:val="none"/>
              </w:rPr>
            </w:r>
            <w:r/>
          </w:p>
        </w:tc>
        <w:tc>
          <w:tcPr>
            <w:tcW w:w="997" w:type="dxa"/>
            <w:vAlign w:val="center"/>
            <w:textDirection w:val="lrTb"/>
            <w:noWrap w:val="false"/>
          </w:tcPr>
          <w:p>
            <w:pPr>
              <w:spacing w:line="360" w:lineRule="auto"/>
              <w:rPr>
                <w:color w:val="000000"/>
                <w:sz w:val="24"/>
                <w:highlight w:val="none"/>
              </w:rPr>
            </w:pPr>
            <w:r>
              <w:rPr>
                <w:color w:val="000000"/>
                <w:sz w:val="24"/>
                <w:highlight w:val="none"/>
              </w:rPr>
            </w:r>
            <w:r/>
          </w:p>
        </w:tc>
        <w:tc>
          <w:tcPr>
            <w:tcW w:w="824" w:type="dxa"/>
            <w:vAlign w:val="center"/>
            <w:textDirection w:val="lrTb"/>
            <w:noWrap w:val="false"/>
          </w:tcPr>
          <w:p>
            <w:pPr>
              <w:jc w:val="center"/>
              <w:spacing w:line="360" w:lineRule="auto"/>
              <w:rPr>
                <w:color w:val="000000"/>
                <w:sz w:val="24"/>
                <w:highlight w:val="none"/>
              </w:rPr>
            </w:pPr>
            <w:r>
              <w:rPr>
                <w:color w:val="000000"/>
                <w:sz w:val="24"/>
                <w:highlight w:val="none"/>
              </w:rPr>
            </w:r>
            <w:r/>
          </w:p>
        </w:tc>
        <w:tc>
          <w:tcPr>
            <w:tcW w:w="825" w:type="dxa"/>
            <w:vAlign w:val="center"/>
            <w:textDirection w:val="lrTb"/>
            <w:noWrap w:val="false"/>
          </w:tcPr>
          <w:p>
            <w:pPr>
              <w:jc w:val="center"/>
              <w:spacing w:line="360" w:lineRule="auto"/>
              <w:rPr>
                <w:color w:val="000000"/>
                <w:sz w:val="24"/>
                <w:highlight w:val="none"/>
              </w:rPr>
            </w:pPr>
            <w:r>
              <w:rPr>
                <w:color w:val="000000"/>
                <w:sz w:val="24"/>
                <w:highlight w:val="none"/>
              </w:rPr>
            </w:r>
            <w:r/>
          </w:p>
        </w:tc>
      </w:tr>
      <w:tr>
        <w:trPr>
          <w:cantSplit/>
          <w:jc w:val="center"/>
          <w:trHeight w:val="495"/>
        </w:trPr>
        <w:tc>
          <w:tcPr>
            <w:tcW w:w="645" w:type="dxa"/>
            <w:vAlign w:val="center"/>
            <w:textDirection w:val="lrTb"/>
            <w:noWrap w:val="false"/>
          </w:tcPr>
          <w:p>
            <w:pPr>
              <w:jc w:val="center"/>
              <w:spacing w:line="360" w:lineRule="auto"/>
              <w:rPr>
                <w:color w:val="000000"/>
                <w:sz w:val="24"/>
                <w:highlight w:val="none"/>
              </w:rPr>
            </w:pPr>
            <w:r>
              <w:rPr>
                <w:color w:val="000000"/>
                <w:sz w:val="24"/>
                <w:highlight w:val="none"/>
              </w:rPr>
              <w:t xml:space="preserve">6</w:t>
            </w:r>
            <w:r/>
          </w:p>
        </w:tc>
        <w:tc>
          <w:tcPr>
            <w:tcW w:w="1839" w:type="dxa"/>
            <w:vAlign w:val="center"/>
            <w:textDirection w:val="lrTb"/>
            <w:noWrap w:val="false"/>
          </w:tcPr>
          <w:p>
            <w:pPr>
              <w:spacing w:line="360" w:lineRule="auto"/>
              <w:rPr>
                <w:color w:val="000000"/>
                <w:sz w:val="24"/>
                <w:highlight w:val="none"/>
              </w:rPr>
            </w:pPr>
            <w:r>
              <w:rPr>
                <w:color w:val="000000"/>
                <w:sz w:val="24"/>
                <w:highlight w:val="none"/>
              </w:rPr>
            </w:r>
            <w:r/>
          </w:p>
        </w:tc>
        <w:tc>
          <w:tcPr>
            <w:tcW w:w="1332" w:type="dxa"/>
            <w:vAlign w:val="center"/>
            <w:textDirection w:val="lrTb"/>
            <w:noWrap w:val="false"/>
          </w:tcPr>
          <w:p>
            <w:pPr>
              <w:spacing w:line="360" w:lineRule="auto"/>
              <w:rPr>
                <w:color w:val="000000"/>
                <w:sz w:val="24"/>
                <w:highlight w:val="none"/>
              </w:rPr>
            </w:pPr>
            <w:r>
              <w:rPr>
                <w:color w:val="000000"/>
                <w:sz w:val="24"/>
                <w:highlight w:val="none"/>
              </w:rPr>
            </w:r>
            <w:r/>
          </w:p>
        </w:tc>
        <w:tc>
          <w:tcPr>
            <w:tcW w:w="980" w:type="dxa"/>
            <w:vAlign w:val="center"/>
            <w:textDirection w:val="lrTb"/>
            <w:noWrap w:val="false"/>
          </w:tcPr>
          <w:p>
            <w:pPr>
              <w:spacing w:line="360" w:lineRule="auto"/>
              <w:rPr>
                <w:color w:val="000000"/>
                <w:sz w:val="24"/>
                <w:highlight w:val="none"/>
              </w:rPr>
            </w:pPr>
            <w:r>
              <w:rPr>
                <w:color w:val="000000"/>
                <w:sz w:val="24"/>
                <w:highlight w:val="none"/>
              </w:rPr>
            </w:r>
            <w:r/>
          </w:p>
        </w:tc>
        <w:tc>
          <w:tcPr>
            <w:tcW w:w="939" w:type="dxa"/>
            <w:vAlign w:val="center"/>
            <w:textDirection w:val="lrTb"/>
            <w:noWrap w:val="false"/>
          </w:tcPr>
          <w:p>
            <w:pPr>
              <w:spacing w:line="360" w:lineRule="auto"/>
              <w:rPr>
                <w:color w:val="000000"/>
                <w:sz w:val="24"/>
                <w:highlight w:val="none"/>
              </w:rPr>
            </w:pPr>
            <w:r>
              <w:rPr>
                <w:color w:val="000000"/>
                <w:sz w:val="24"/>
                <w:highlight w:val="none"/>
              </w:rPr>
            </w:r>
            <w:r/>
          </w:p>
        </w:tc>
        <w:tc>
          <w:tcPr>
            <w:tcW w:w="997" w:type="dxa"/>
            <w:vAlign w:val="center"/>
            <w:textDirection w:val="lrTb"/>
            <w:noWrap w:val="false"/>
          </w:tcPr>
          <w:p>
            <w:pPr>
              <w:spacing w:line="360" w:lineRule="auto"/>
              <w:rPr>
                <w:color w:val="000000"/>
                <w:sz w:val="24"/>
                <w:highlight w:val="none"/>
              </w:rPr>
            </w:pPr>
            <w:r>
              <w:rPr>
                <w:color w:val="000000"/>
                <w:sz w:val="24"/>
                <w:highlight w:val="none"/>
              </w:rPr>
            </w:r>
            <w:r/>
          </w:p>
        </w:tc>
        <w:tc>
          <w:tcPr>
            <w:tcW w:w="824" w:type="dxa"/>
            <w:vAlign w:val="center"/>
            <w:textDirection w:val="lrTb"/>
            <w:noWrap w:val="false"/>
          </w:tcPr>
          <w:p>
            <w:pPr>
              <w:jc w:val="center"/>
              <w:spacing w:line="360" w:lineRule="auto"/>
              <w:rPr>
                <w:color w:val="000000"/>
                <w:sz w:val="24"/>
                <w:highlight w:val="none"/>
              </w:rPr>
            </w:pPr>
            <w:r>
              <w:rPr>
                <w:color w:val="000000"/>
                <w:sz w:val="24"/>
                <w:highlight w:val="none"/>
              </w:rPr>
            </w:r>
            <w:r/>
          </w:p>
        </w:tc>
        <w:tc>
          <w:tcPr>
            <w:tcW w:w="825" w:type="dxa"/>
            <w:vAlign w:val="center"/>
            <w:textDirection w:val="lrTb"/>
            <w:noWrap w:val="false"/>
          </w:tcPr>
          <w:p>
            <w:pPr>
              <w:jc w:val="center"/>
              <w:spacing w:line="360" w:lineRule="auto"/>
              <w:rPr>
                <w:color w:val="000000"/>
                <w:sz w:val="24"/>
                <w:highlight w:val="none"/>
              </w:rPr>
            </w:pPr>
            <w:r>
              <w:rPr>
                <w:color w:val="000000"/>
                <w:sz w:val="24"/>
                <w:highlight w:val="none"/>
              </w:rPr>
            </w:r>
            <w:r/>
          </w:p>
        </w:tc>
      </w:tr>
      <w:tr>
        <w:trPr>
          <w:cantSplit/>
          <w:jc w:val="center"/>
          <w:trHeight w:val="495"/>
        </w:trPr>
        <w:tc>
          <w:tcPr>
            <w:tcW w:w="645" w:type="dxa"/>
            <w:vAlign w:val="center"/>
            <w:textDirection w:val="lrTb"/>
            <w:noWrap w:val="false"/>
          </w:tcPr>
          <w:p>
            <w:pPr>
              <w:jc w:val="center"/>
              <w:spacing w:line="360" w:lineRule="auto"/>
              <w:rPr>
                <w:color w:val="000000"/>
                <w:sz w:val="24"/>
                <w:highlight w:val="none"/>
              </w:rPr>
            </w:pPr>
            <w:r>
              <w:rPr>
                <w:color w:val="000000"/>
                <w:sz w:val="24"/>
                <w:highlight w:val="none"/>
              </w:rPr>
              <w:t xml:space="preserve">7</w:t>
            </w:r>
            <w:r/>
          </w:p>
        </w:tc>
        <w:tc>
          <w:tcPr>
            <w:tcW w:w="1839" w:type="dxa"/>
            <w:vAlign w:val="center"/>
            <w:textDirection w:val="lrTb"/>
            <w:noWrap w:val="false"/>
          </w:tcPr>
          <w:p>
            <w:pPr>
              <w:spacing w:line="360" w:lineRule="auto"/>
              <w:rPr>
                <w:color w:val="000000"/>
                <w:sz w:val="24"/>
                <w:highlight w:val="none"/>
              </w:rPr>
            </w:pPr>
            <w:r>
              <w:rPr>
                <w:color w:val="000000"/>
                <w:sz w:val="24"/>
                <w:highlight w:val="none"/>
              </w:rPr>
            </w:r>
            <w:r/>
          </w:p>
        </w:tc>
        <w:tc>
          <w:tcPr>
            <w:tcW w:w="1332" w:type="dxa"/>
            <w:vAlign w:val="center"/>
            <w:textDirection w:val="lrTb"/>
            <w:noWrap w:val="false"/>
          </w:tcPr>
          <w:p>
            <w:pPr>
              <w:spacing w:line="360" w:lineRule="auto"/>
              <w:rPr>
                <w:color w:val="000000"/>
                <w:sz w:val="24"/>
                <w:highlight w:val="none"/>
              </w:rPr>
            </w:pPr>
            <w:r>
              <w:rPr>
                <w:color w:val="000000"/>
                <w:sz w:val="24"/>
                <w:highlight w:val="none"/>
              </w:rPr>
            </w:r>
            <w:r/>
          </w:p>
        </w:tc>
        <w:tc>
          <w:tcPr>
            <w:tcW w:w="980" w:type="dxa"/>
            <w:vAlign w:val="center"/>
            <w:textDirection w:val="lrTb"/>
            <w:noWrap w:val="false"/>
          </w:tcPr>
          <w:p>
            <w:pPr>
              <w:spacing w:line="360" w:lineRule="auto"/>
              <w:rPr>
                <w:color w:val="000000"/>
                <w:sz w:val="24"/>
                <w:highlight w:val="none"/>
              </w:rPr>
            </w:pPr>
            <w:r>
              <w:rPr>
                <w:color w:val="000000"/>
                <w:sz w:val="24"/>
                <w:highlight w:val="none"/>
              </w:rPr>
            </w:r>
            <w:r/>
          </w:p>
        </w:tc>
        <w:tc>
          <w:tcPr>
            <w:tcW w:w="939" w:type="dxa"/>
            <w:vAlign w:val="center"/>
            <w:textDirection w:val="lrTb"/>
            <w:noWrap w:val="false"/>
          </w:tcPr>
          <w:p>
            <w:pPr>
              <w:spacing w:line="360" w:lineRule="auto"/>
              <w:rPr>
                <w:color w:val="000000"/>
                <w:sz w:val="24"/>
                <w:highlight w:val="none"/>
              </w:rPr>
            </w:pPr>
            <w:r>
              <w:rPr>
                <w:color w:val="000000"/>
                <w:sz w:val="24"/>
                <w:highlight w:val="none"/>
              </w:rPr>
            </w:r>
            <w:r/>
          </w:p>
        </w:tc>
        <w:tc>
          <w:tcPr>
            <w:tcW w:w="997" w:type="dxa"/>
            <w:vAlign w:val="center"/>
            <w:textDirection w:val="lrTb"/>
            <w:noWrap w:val="false"/>
          </w:tcPr>
          <w:p>
            <w:pPr>
              <w:spacing w:line="360" w:lineRule="auto"/>
              <w:rPr>
                <w:color w:val="000000"/>
                <w:sz w:val="24"/>
                <w:highlight w:val="none"/>
              </w:rPr>
            </w:pPr>
            <w:r>
              <w:rPr>
                <w:color w:val="000000"/>
                <w:sz w:val="24"/>
                <w:highlight w:val="none"/>
              </w:rPr>
            </w:r>
            <w:r/>
          </w:p>
        </w:tc>
        <w:tc>
          <w:tcPr>
            <w:tcW w:w="824" w:type="dxa"/>
            <w:vAlign w:val="center"/>
            <w:textDirection w:val="lrTb"/>
            <w:noWrap w:val="false"/>
          </w:tcPr>
          <w:p>
            <w:pPr>
              <w:jc w:val="center"/>
              <w:spacing w:line="360" w:lineRule="auto"/>
              <w:rPr>
                <w:color w:val="000000"/>
                <w:sz w:val="24"/>
                <w:highlight w:val="none"/>
              </w:rPr>
            </w:pPr>
            <w:r>
              <w:rPr>
                <w:color w:val="000000"/>
                <w:sz w:val="24"/>
                <w:highlight w:val="none"/>
              </w:rPr>
            </w:r>
            <w:r/>
          </w:p>
        </w:tc>
        <w:tc>
          <w:tcPr>
            <w:tcW w:w="825" w:type="dxa"/>
            <w:vAlign w:val="center"/>
            <w:textDirection w:val="lrTb"/>
            <w:noWrap w:val="false"/>
          </w:tcPr>
          <w:p>
            <w:pPr>
              <w:jc w:val="center"/>
              <w:spacing w:line="360" w:lineRule="auto"/>
              <w:rPr>
                <w:color w:val="000000"/>
                <w:sz w:val="24"/>
                <w:highlight w:val="none"/>
              </w:rPr>
            </w:pPr>
            <w:r>
              <w:rPr>
                <w:color w:val="000000"/>
                <w:sz w:val="24"/>
                <w:highlight w:val="none"/>
              </w:rPr>
            </w:r>
            <w:r/>
          </w:p>
        </w:tc>
      </w:tr>
      <w:tr>
        <w:trPr>
          <w:cantSplit/>
          <w:jc w:val="center"/>
          <w:trHeight w:val="495"/>
        </w:trPr>
        <w:tc>
          <w:tcPr>
            <w:tcW w:w="645" w:type="dxa"/>
            <w:vAlign w:val="center"/>
            <w:textDirection w:val="lrTb"/>
            <w:noWrap w:val="false"/>
          </w:tcPr>
          <w:p>
            <w:pPr>
              <w:jc w:val="center"/>
              <w:spacing w:line="360" w:lineRule="auto"/>
              <w:rPr>
                <w:color w:val="000000"/>
                <w:sz w:val="24"/>
                <w:highlight w:val="none"/>
              </w:rPr>
            </w:pPr>
            <w:r>
              <w:rPr>
                <w:color w:val="000000"/>
                <w:sz w:val="24"/>
                <w:highlight w:val="none"/>
              </w:rPr>
              <w:t xml:space="preserve">8</w:t>
            </w:r>
            <w:r/>
          </w:p>
        </w:tc>
        <w:tc>
          <w:tcPr>
            <w:tcW w:w="1839" w:type="dxa"/>
            <w:vAlign w:val="center"/>
            <w:textDirection w:val="lrTb"/>
            <w:noWrap w:val="false"/>
          </w:tcPr>
          <w:p>
            <w:pPr>
              <w:spacing w:line="360" w:lineRule="auto"/>
              <w:rPr>
                <w:color w:val="000000"/>
                <w:sz w:val="24"/>
                <w:highlight w:val="none"/>
              </w:rPr>
            </w:pPr>
            <w:r>
              <w:rPr>
                <w:color w:val="000000"/>
                <w:sz w:val="24"/>
                <w:highlight w:val="none"/>
              </w:rPr>
            </w:r>
            <w:r/>
          </w:p>
        </w:tc>
        <w:tc>
          <w:tcPr>
            <w:tcW w:w="1332" w:type="dxa"/>
            <w:vAlign w:val="center"/>
            <w:textDirection w:val="lrTb"/>
            <w:noWrap w:val="false"/>
          </w:tcPr>
          <w:p>
            <w:pPr>
              <w:spacing w:line="360" w:lineRule="auto"/>
              <w:rPr>
                <w:color w:val="000000"/>
                <w:sz w:val="24"/>
                <w:highlight w:val="none"/>
              </w:rPr>
            </w:pPr>
            <w:r>
              <w:rPr>
                <w:color w:val="000000"/>
                <w:sz w:val="24"/>
                <w:highlight w:val="none"/>
              </w:rPr>
            </w:r>
            <w:r/>
          </w:p>
        </w:tc>
        <w:tc>
          <w:tcPr>
            <w:tcW w:w="980" w:type="dxa"/>
            <w:vAlign w:val="center"/>
            <w:textDirection w:val="lrTb"/>
            <w:noWrap w:val="false"/>
          </w:tcPr>
          <w:p>
            <w:pPr>
              <w:spacing w:line="360" w:lineRule="auto"/>
              <w:rPr>
                <w:color w:val="000000"/>
                <w:sz w:val="24"/>
                <w:highlight w:val="none"/>
              </w:rPr>
            </w:pPr>
            <w:r>
              <w:rPr>
                <w:color w:val="000000"/>
                <w:sz w:val="24"/>
                <w:highlight w:val="none"/>
              </w:rPr>
            </w:r>
            <w:r/>
          </w:p>
        </w:tc>
        <w:tc>
          <w:tcPr>
            <w:tcW w:w="939" w:type="dxa"/>
            <w:vAlign w:val="center"/>
            <w:textDirection w:val="lrTb"/>
            <w:noWrap w:val="false"/>
          </w:tcPr>
          <w:p>
            <w:pPr>
              <w:spacing w:line="360" w:lineRule="auto"/>
              <w:rPr>
                <w:color w:val="000000"/>
                <w:sz w:val="24"/>
                <w:highlight w:val="none"/>
              </w:rPr>
            </w:pPr>
            <w:r>
              <w:rPr>
                <w:color w:val="000000"/>
                <w:sz w:val="24"/>
                <w:highlight w:val="none"/>
              </w:rPr>
            </w:r>
            <w:r/>
          </w:p>
        </w:tc>
        <w:tc>
          <w:tcPr>
            <w:tcW w:w="997" w:type="dxa"/>
            <w:vAlign w:val="center"/>
            <w:textDirection w:val="lrTb"/>
            <w:noWrap w:val="false"/>
          </w:tcPr>
          <w:p>
            <w:pPr>
              <w:spacing w:line="360" w:lineRule="auto"/>
              <w:rPr>
                <w:color w:val="000000"/>
                <w:sz w:val="24"/>
                <w:highlight w:val="none"/>
              </w:rPr>
            </w:pPr>
            <w:r>
              <w:rPr>
                <w:color w:val="000000"/>
                <w:sz w:val="24"/>
                <w:highlight w:val="none"/>
              </w:rPr>
            </w:r>
            <w:r/>
          </w:p>
        </w:tc>
        <w:tc>
          <w:tcPr>
            <w:tcW w:w="824" w:type="dxa"/>
            <w:vAlign w:val="center"/>
            <w:textDirection w:val="lrTb"/>
            <w:noWrap w:val="false"/>
          </w:tcPr>
          <w:p>
            <w:pPr>
              <w:jc w:val="center"/>
              <w:spacing w:line="360" w:lineRule="auto"/>
              <w:rPr>
                <w:color w:val="000000"/>
                <w:sz w:val="24"/>
                <w:highlight w:val="none"/>
              </w:rPr>
            </w:pPr>
            <w:r>
              <w:rPr>
                <w:color w:val="000000"/>
                <w:sz w:val="24"/>
                <w:highlight w:val="none"/>
              </w:rPr>
            </w:r>
            <w:r/>
          </w:p>
        </w:tc>
        <w:tc>
          <w:tcPr>
            <w:tcW w:w="825" w:type="dxa"/>
            <w:vAlign w:val="center"/>
            <w:textDirection w:val="lrTb"/>
            <w:noWrap w:val="false"/>
          </w:tcPr>
          <w:p>
            <w:pPr>
              <w:jc w:val="center"/>
              <w:spacing w:line="360" w:lineRule="auto"/>
              <w:rPr>
                <w:color w:val="000000"/>
                <w:sz w:val="24"/>
                <w:highlight w:val="none"/>
              </w:rPr>
            </w:pPr>
            <w:r>
              <w:rPr>
                <w:color w:val="000000"/>
                <w:sz w:val="24"/>
                <w:highlight w:val="none"/>
              </w:rPr>
            </w:r>
            <w:r/>
          </w:p>
        </w:tc>
      </w:tr>
      <w:tr>
        <w:trPr>
          <w:cantSplit/>
          <w:jc w:val="center"/>
          <w:trHeight w:val="495"/>
        </w:trPr>
        <w:tc>
          <w:tcPr>
            <w:tcW w:w="645" w:type="dxa"/>
            <w:vAlign w:val="center"/>
            <w:textDirection w:val="lrTb"/>
            <w:noWrap w:val="false"/>
          </w:tcPr>
          <w:p>
            <w:pPr>
              <w:jc w:val="center"/>
              <w:spacing w:line="360" w:lineRule="auto"/>
              <w:rPr>
                <w:color w:val="000000"/>
                <w:sz w:val="24"/>
                <w:highlight w:val="none"/>
              </w:rPr>
            </w:pPr>
            <w:r>
              <w:rPr>
                <w:color w:val="000000"/>
                <w:sz w:val="24"/>
                <w:highlight w:val="none"/>
              </w:rPr>
              <w:t xml:space="preserve">9</w:t>
            </w:r>
            <w:r/>
          </w:p>
        </w:tc>
        <w:tc>
          <w:tcPr>
            <w:tcW w:w="1839" w:type="dxa"/>
            <w:vAlign w:val="center"/>
            <w:textDirection w:val="lrTb"/>
            <w:noWrap w:val="false"/>
          </w:tcPr>
          <w:p>
            <w:pPr>
              <w:spacing w:line="360" w:lineRule="auto"/>
              <w:rPr>
                <w:color w:val="000000"/>
                <w:sz w:val="24"/>
                <w:highlight w:val="none"/>
              </w:rPr>
            </w:pPr>
            <w:r>
              <w:rPr>
                <w:color w:val="000000"/>
                <w:sz w:val="24"/>
                <w:highlight w:val="none"/>
              </w:rPr>
            </w:r>
            <w:r/>
          </w:p>
        </w:tc>
        <w:tc>
          <w:tcPr>
            <w:tcW w:w="1332" w:type="dxa"/>
            <w:vAlign w:val="center"/>
            <w:textDirection w:val="lrTb"/>
            <w:noWrap w:val="false"/>
          </w:tcPr>
          <w:p>
            <w:pPr>
              <w:spacing w:line="360" w:lineRule="auto"/>
              <w:rPr>
                <w:color w:val="000000"/>
                <w:sz w:val="24"/>
                <w:highlight w:val="none"/>
              </w:rPr>
            </w:pPr>
            <w:r>
              <w:rPr>
                <w:color w:val="000000"/>
                <w:sz w:val="24"/>
                <w:highlight w:val="none"/>
              </w:rPr>
            </w:r>
            <w:r/>
          </w:p>
        </w:tc>
        <w:tc>
          <w:tcPr>
            <w:tcW w:w="980" w:type="dxa"/>
            <w:vAlign w:val="center"/>
            <w:textDirection w:val="lrTb"/>
            <w:noWrap w:val="false"/>
          </w:tcPr>
          <w:p>
            <w:pPr>
              <w:spacing w:line="360" w:lineRule="auto"/>
              <w:rPr>
                <w:color w:val="000000"/>
                <w:sz w:val="24"/>
                <w:highlight w:val="none"/>
              </w:rPr>
            </w:pPr>
            <w:r>
              <w:rPr>
                <w:color w:val="000000"/>
                <w:sz w:val="24"/>
                <w:highlight w:val="none"/>
              </w:rPr>
            </w:r>
            <w:r/>
          </w:p>
        </w:tc>
        <w:tc>
          <w:tcPr>
            <w:tcW w:w="939" w:type="dxa"/>
            <w:vAlign w:val="center"/>
            <w:textDirection w:val="lrTb"/>
            <w:noWrap w:val="false"/>
          </w:tcPr>
          <w:p>
            <w:pPr>
              <w:spacing w:line="360" w:lineRule="auto"/>
              <w:rPr>
                <w:color w:val="000000"/>
                <w:sz w:val="24"/>
                <w:highlight w:val="none"/>
              </w:rPr>
            </w:pPr>
            <w:r>
              <w:rPr>
                <w:color w:val="000000"/>
                <w:sz w:val="24"/>
                <w:highlight w:val="none"/>
              </w:rPr>
            </w:r>
            <w:r/>
          </w:p>
        </w:tc>
        <w:tc>
          <w:tcPr>
            <w:tcW w:w="997" w:type="dxa"/>
            <w:vAlign w:val="center"/>
            <w:textDirection w:val="lrTb"/>
            <w:noWrap w:val="false"/>
          </w:tcPr>
          <w:p>
            <w:pPr>
              <w:spacing w:line="360" w:lineRule="auto"/>
              <w:rPr>
                <w:color w:val="000000"/>
                <w:sz w:val="24"/>
                <w:highlight w:val="none"/>
              </w:rPr>
            </w:pPr>
            <w:r>
              <w:rPr>
                <w:color w:val="000000"/>
                <w:sz w:val="24"/>
                <w:highlight w:val="none"/>
              </w:rPr>
            </w:r>
            <w:r/>
          </w:p>
        </w:tc>
        <w:tc>
          <w:tcPr>
            <w:tcW w:w="824" w:type="dxa"/>
            <w:vAlign w:val="center"/>
            <w:textDirection w:val="lrTb"/>
            <w:noWrap w:val="false"/>
          </w:tcPr>
          <w:p>
            <w:pPr>
              <w:jc w:val="center"/>
              <w:spacing w:line="360" w:lineRule="auto"/>
              <w:rPr>
                <w:color w:val="000000"/>
                <w:sz w:val="24"/>
                <w:highlight w:val="none"/>
              </w:rPr>
            </w:pPr>
            <w:r>
              <w:rPr>
                <w:color w:val="000000"/>
                <w:sz w:val="24"/>
                <w:highlight w:val="none"/>
              </w:rPr>
            </w:r>
            <w:r/>
          </w:p>
        </w:tc>
        <w:tc>
          <w:tcPr>
            <w:tcW w:w="825" w:type="dxa"/>
            <w:vAlign w:val="center"/>
            <w:textDirection w:val="lrTb"/>
            <w:noWrap w:val="false"/>
          </w:tcPr>
          <w:p>
            <w:pPr>
              <w:jc w:val="center"/>
              <w:spacing w:line="360" w:lineRule="auto"/>
              <w:rPr>
                <w:color w:val="000000"/>
                <w:sz w:val="24"/>
                <w:highlight w:val="none"/>
              </w:rPr>
            </w:pPr>
            <w:r>
              <w:rPr>
                <w:color w:val="000000"/>
                <w:sz w:val="24"/>
                <w:highlight w:val="none"/>
              </w:rPr>
            </w:r>
            <w:r/>
          </w:p>
        </w:tc>
      </w:tr>
      <w:tr>
        <w:trPr>
          <w:cantSplit/>
          <w:jc w:val="center"/>
          <w:trHeight w:val="495"/>
        </w:trPr>
        <w:tc>
          <w:tcPr>
            <w:tcW w:w="645" w:type="dxa"/>
            <w:vAlign w:val="center"/>
            <w:textDirection w:val="lrTb"/>
            <w:noWrap w:val="false"/>
          </w:tcPr>
          <w:p>
            <w:pPr>
              <w:jc w:val="center"/>
              <w:spacing w:line="360" w:lineRule="auto"/>
              <w:rPr>
                <w:color w:val="000000"/>
                <w:sz w:val="24"/>
                <w:highlight w:val="none"/>
              </w:rPr>
            </w:pPr>
            <w:r>
              <w:rPr>
                <w:color w:val="000000"/>
                <w:sz w:val="24"/>
                <w:highlight w:val="none"/>
              </w:rPr>
              <w:t xml:space="preserve">10</w:t>
            </w:r>
            <w:r/>
          </w:p>
        </w:tc>
        <w:tc>
          <w:tcPr>
            <w:tcW w:w="1839" w:type="dxa"/>
            <w:vAlign w:val="center"/>
            <w:textDirection w:val="lrTb"/>
            <w:noWrap w:val="false"/>
          </w:tcPr>
          <w:p>
            <w:pPr>
              <w:spacing w:line="360" w:lineRule="auto"/>
              <w:rPr>
                <w:color w:val="000000"/>
                <w:sz w:val="24"/>
                <w:highlight w:val="none"/>
              </w:rPr>
            </w:pPr>
            <w:r>
              <w:rPr>
                <w:color w:val="000000"/>
                <w:sz w:val="24"/>
                <w:highlight w:val="none"/>
              </w:rPr>
            </w:r>
            <w:r/>
          </w:p>
        </w:tc>
        <w:tc>
          <w:tcPr>
            <w:tcW w:w="1332" w:type="dxa"/>
            <w:vAlign w:val="center"/>
            <w:textDirection w:val="lrTb"/>
            <w:noWrap w:val="false"/>
          </w:tcPr>
          <w:p>
            <w:pPr>
              <w:spacing w:line="360" w:lineRule="auto"/>
              <w:rPr>
                <w:color w:val="000000"/>
                <w:sz w:val="24"/>
                <w:highlight w:val="none"/>
              </w:rPr>
            </w:pPr>
            <w:r>
              <w:rPr>
                <w:color w:val="000000"/>
                <w:sz w:val="24"/>
                <w:highlight w:val="none"/>
              </w:rPr>
            </w:r>
            <w:r/>
          </w:p>
        </w:tc>
        <w:tc>
          <w:tcPr>
            <w:tcW w:w="980" w:type="dxa"/>
            <w:vAlign w:val="center"/>
            <w:textDirection w:val="lrTb"/>
            <w:noWrap w:val="false"/>
          </w:tcPr>
          <w:p>
            <w:pPr>
              <w:spacing w:line="360" w:lineRule="auto"/>
              <w:rPr>
                <w:color w:val="000000"/>
                <w:sz w:val="24"/>
                <w:highlight w:val="none"/>
              </w:rPr>
            </w:pPr>
            <w:r>
              <w:rPr>
                <w:color w:val="000000"/>
                <w:sz w:val="24"/>
                <w:highlight w:val="none"/>
              </w:rPr>
            </w:r>
            <w:r/>
          </w:p>
        </w:tc>
        <w:tc>
          <w:tcPr>
            <w:tcW w:w="939" w:type="dxa"/>
            <w:vAlign w:val="center"/>
            <w:textDirection w:val="lrTb"/>
            <w:noWrap w:val="false"/>
          </w:tcPr>
          <w:p>
            <w:pPr>
              <w:spacing w:line="360" w:lineRule="auto"/>
              <w:rPr>
                <w:color w:val="000000"/>
                <w:sz w:val="24"/>
                <w:highlight w:val="none"/>
              </w:rPr>
            </w:pPr>
            <w:r>
              <w:rPr>
                <w:color w:val="000000"/>
                <w:sz w:val="24"/>
                <w:highlight w:val="none"/>
              </w:rPr>
            </w:r>
            <w:r/>
          </w:p>
        </w:tc>
        <w:tc>
          <w:tcPr>
            <w:tcW w:w="997" w:type="dxa"/>
            <w:vAlign w:val="center"/>
            <w:textDirection w:val="lrTb"/>
            <w:noWrap w:val="false"/>
          </w:tcPr>
          <w:p>
            <w:pPr>
              <w:spacing w:line="360" w:lineRule="auto"/>
              <w:rPr>
                <w:color w:val="000000"/>
                <w:sz w:val="24"/>
                <w:highlight w:val="none"/>
              </w:rPr>
            </w:pPr>
            <w:r>
              <w:rPr>
                <w:color w:val="000000"/>
                <w:sz w:val="24"/>
                <w:highlight w:val="none"/>
              </w:rPr>
            </w:r>
            <w:r/>
          </w:p>
        </w:tc>
        <w:tc>
          <w:tcPr>
            <w:tcW w:w="824" w:type="dxa"/>
            <w:vAlign w:val="center"/>
            <w:textDirection w:val="lrTb"/>
            <w:noWrap w:val="false"/>
          </w:tcPr>
          <w:p>
            <w:pPr>
              <w:jc w:val="center"/>
              <w:spacing w:line="360" w:lineRule="auto"/>
              <w:rPr>
                <w:color w:val="000000"/>
                <w:sz w:val="24"/>
                <w:highlight w:val="none"/>
              </w:rPr>
            </w:pPr>
            <w:r>
              <w:rPr>
                <w:color w:val="000000"/>
                <w:sz w:val="24"/>
                <w:highlight w:val="none"/>
              </w:rPr>
            </w:r>
            <w:r/>
          </w:p>
        </w:tc>
        <w:tc>
          <w:tcPr>
            <w:tcW w:w="825" w:type="dxa"/>
            <w:vAlign w:val="center"/>
            <w:textDirection w:val="lrTb"/>
            <w:noWrap w:val="false"/>
          </w:tcPr>
          <w:p>
            <w:pPr>
              <w:jc w:val="center"/>
              <w:spacing w:line="360" w:lineRule="auto"/>
              <w:rPr>
                <w:color w:val="000000"/>
                <w:sz w:val="24"/>
                <w:highlight w:val="none"/>
              </w:rPr>
            </w:pPr>
            <w:r>
              <w:rPr>
                <w:color w:val="000000"/>
                <w:sz w:val="24"/>
                <w:highlight w:val="none"/>
              </w:rPr>
            </w:r>
            <w:r/>
          </w:p>
        </w:tc>
      </w:tr>
      <w:tr>
        <w:trPr>
          <w:cantSplit/>
          <w:jc w:val="center"/>
          <w:trHeight w:val="495"/>
        </w:trPr>
        <w:tc>
          <w:tcPr>
            <w:tcW w:w="645" w:type="dxa"/>
            <w:vAlign w:val="center"/>
            <w:textDirection w:val="lrTb"/>
            <w:noWrap w:val="false"/>
          </w:tcPr>
          <w:p>
            <w:pPr>
              <w:jc w:val="center"/>
              <w:spacing w:line="360" w:lineRule="auto"/>
              <w:rPr>
                <w:color w:val="000000"/>
                <w:sz w:val="24"/>
                <w:highlight w:val="none"/>
              </w:rPr>
            </w:pPr>
            <w:r>
              <w:rPr>
                <w:color w:val="000000"/>
                <w:sz w:val="24"/>
                <w:highlight w:val="none"/>
              </w:rPr>
              <w:t xml:space="preserve">…</w:t>
            </w:r>
            <w:r/>
          </w:p>
        </w:tc>
        <w:tc>
          <w:tcPr>
            <w:tcW w:w="1839" w:type="dxa"/>
            <w:vAlign w:val="center"/>
            <w:textDirection w:val="lrTb"/>
            <w:noWrap w:val="false"/>
          </w:tcPr>
          <w:p>
            <w:pPr>
              <w:spacing w:line="360" w:lineRule="auto"/>
              <w:rPr>
                <w:color w:val="000000"/>
                <w:sz w:val="24"/>
                <w:highlight w:val="none"/>
              </w:rPr>
            </w:pPr>
            <w:r>
              <w:rPr>
                <w:color w:val="000000"/>
                <w:sz w:val="24"/>
                <w:highlight w:val="none"/>
              </w:rPr>
            </w:r>
            <w:r/>
          </w:p>
        </w:tc>
        <w:tc>
          <w:tcPr>
            <w:tcW w:w="1332" w:type="dxa"/>
            <w:vAlign w:val="center"/>
            <w:textDirection w:val="lrTb"/>
            <w:noWrap w:val="false"/>
          </w:tcPr>
          <w:p>
            <w:pPr>
              <w:spacing w:line="360" w:lineRule="auto"/>
              <w:rPr>
                <w:color w:val="000000"/>
                <w:sz w:val="24"/>
                <w:highlight w:val="none"/>
              </w:rPr>
            </w:pPr>
            <w:r>
              <w:rPr>
                <w:color w:val="000000"/>
                <w:sz w:val="24"/>
                <w:highlight w:val="none"/>
              </w:rPr>
            </w:r>
            <w:r/>
          </w:p>
        </w:tc>
        <w:tc>
          <w:tcPr>
            <w:tcW w:w="980" w:type="dxa"/>
            <w:vAlign w:val="center"/>
            <w:textDirection w:val="lrTb"/>
            <w:noWrap w:val="false"/>
          </w:tcPr>
          <w:p>
            <w:pPr>
              <w:spacing w:line="360" w:lineRule="auto"/>
              <w:rPr>
                <w:color w:val="000000"/>
                <w:sz w:val="24"/>
                <w:highlight w:val="none"/>
              </w:rPr>
            </w:pPr>
            <w:r>
              <w:rPr>
                <w:color w:val="000000"/>
                <w:sz w:val="24"/>
                <w:highlight w:val="none"/>
              </w:rPr>
            </w:r>
            <w:r/>
          </w:p>
        </w:tc>
        <w:tc>
          <w:tcPr>
            <w:tcW w:w="939" w:type="dxa"/>
            <w:vAlign w:val="center"/>
            <w:textDirection w:val="lrTb"/>
            <w:noWrap w:val="false"/>
          </w:tcPr>
          <w:p>
            <w:pPr>
              <w:spacing w:line="360" w:lineRule="auto"/>
              <w:rPr>
                <w:color w:val="000000"/>
                <w:sz w:val="24"/>
                <w:highlight w:val="none"/>
              </w:rPr>
            </w:pPr>
            <w:r>
              <w:rPr>
                <w:color w:val="000000"/>
                <w:sz w:val="24"/>
                <w:highlight w:val="none"/>
              </w:rPr>
            </w:r>
            <w:r/>
          </w:p>
        </w:tc>
        <w:tc>
          <w:tcPr>
            <w:tcW w:w="997" w:type="dxa"/>
            <w:vAlign w:val="center"/>
            <w:textDirection w:val="lrTb"/>
            <w:noWrap w:val="false"/>
          </w:tcPr>
          <w:p>
            <w:pPr>
              <w:spacing w:line="360" w:lineRule="auto"/>
              <w:rPr>
                <w:color w:val="000000"/>
                <w:sz w:val="24"/>
                <w:highlight w:val="none"/>
              </w:rPr>
            </w:pPr>
            <w:r>
              <w:rPr>
                <w:color w:val="000000"/>
                <w:sz w:val="24"/>
                <w:highlight w:val="none"/>
              </w:rPr>
            </w:r>
            <w:r/>
          </w:p>
        </w:tc>
        <w:tc>
          <w:tcPr>
            <w:tcW w:w="824" w:type="dxa"/>
            <w:vAlign w:val="center"/>
            <w:textDirection w:val="lrTb"/>
            <w:noWrap w:val="false"/>
          </w:tcPr>
          <w:p>
            <w:pPr>
              <w:jc w:val="center"/>
              <w:spacing w:line="360" w:lineRule="auto"/>
              <w:rPr>
                <w:color w:val="000000"/>
                <w:sz w:val="24"/>
                <w:highlight w:val="none"/>
              </w:rPr>
            </w:pPr>
            <w:r>
              <w:rPr>
                <w:color w:val="000000"/>
                <w:sz w:val="24"/>
                <w:highlight w:val="none"/>
              </w:rPr>
            </w:r>
            <w:r/>
          </w:p>
        </w:tc>
        <w:tc>
          <w:tcPr>
            <w:tcW w:w="825" w:type="dxa"/>
            <w:vAlign w:val="center"/>
            <w:textDirection w:val="lrTb"/>
            <w:noWrap w:val="false"/>
          </w:tcPr>
          <w:p>
            <w:pPr>
              <w:jc w:val="center"/>
              <w:spacing w:line="360" w:lineRule="auto"/>
              <w:rPr>
                <w:color w:val="000000"/>
                <w:sz w:val="24"/>
                <w:highlight w:val="none"/>
              </w:rPr>
            </w:pPr>
            <w:r>
              <w:rPr>
                <w:color w:val="000000"/>
                <w:sz w:val="24"/>
                <w:highlight w:val="none"/>
              </w:rPr>
            </w:r>
            <w:r/>
          </w:p>
        </w:tc>
      </w:tr>
      <w:tr>
        <w:trPr>
          <w:cantSplit/>
          <w:jc w:val="center"/>
          <w:trHeight w:val="495"/>
        </w:trPr>
        <w:tc>
          <w:tcPr>
            <w:tcW w:w="645" w:type="dxa"/>
            <w:vAlign w:val="center"/>
            <w:textDirection w:val="lrTb"/>
            <w:noWrap w:val="false"/>
          </w:tcPr>
          <w:p>
            <w:pPr>
              <w:jc w:val="center"/>
              <w:spacing w:line="360" w:lineRule="auto"/>
              <w:rPr>
                <w:color w:val="000000"/>
                <w:sz w:val="24"/>
                <w:highlight w:val="none"/>
              </w:rPr>
            </w:pPr>
            <w:r>
              <w:rPr>
                <w:color w:val="000000"/>
                <w:sz w:val="24"/>
                <w:highlight w:val="none"/>
              </w:rPr>
            </w:r>
            <w:r/>
          </w:p>
        </w:tc>
        <w:tc>
          <w:tcPr>
            <w:tcW w:w="1839" w:type="dxa"/>
            <w:vAlign w:val="center"/>
            <w:textDirection w:val="lrTb"/>
            <w:noWrap w:val="false"/>
          </w:tcPr>
          <w:p>
            <w:pPr>
              <w:spacing w:line="360" w:lineRule="auto"/>
              <w:rPr>
                <w:color w:val="000000"/>
                <w:sz w:val="24"/>
                <w:highlight w:val="none"/>
              </w:rPr>
            </w:pPr>
            <w:r>
              <w:rPr>
                <w:color w:val="000000"/>
                <w:sz w:val="24"/>
                <w:highlight w:val="none"/>
              </w:rPr>
            </w:r>
            <w:r/>
          </w:p>
        </w:tc>
        <w:tc>
          <w:tcPr>
            <w:tcW w:w="1332" w:type="dxa"/>
            <w:vAlign w:val="center"/>
            <w:textDirection w:val="lrTb"/>
            <w:noWrap w:val="false"/>
          </w:tcPr>
          <w:p>
            <w:pPr>
              <w:spacing w:line="360" w:lineRule="auto"/>
              <w:rPr>
                <w:color w:val="000000"/>
                <w:sz w:val="24"/>
                <w:highlight w:val="none"/>
              </w:rPr>
            </w:pPr>
            <w:r>
              <w:rPr>
                <w:color w:val="000000"/>
                <w:sz w:val="24"/>
                <w:highlight w:val="none"/>
              </w:rPr>
            </w:r>
            <w:r/>
          </w:p>
        </w:tc>
        <w:tc>
          <w:tcPr>
            <w:tcW w:w="980" w:type="dxa"/>
            <w:vAlign w:val="center"/>
            <w:textDirection w:val="lrTb"/>
            <w:noWrap w:val="false"/>
          </w:tcPr>
          <w:p>
            <w:pPr>
              <w:spacing w:line="360" w:lineRule="auto"/>
              <w:rPr>
                <w:color w:val="000000"/>
                <w:sz w:val="24"/>
                <w:highlight w:val="none"/>
              </w:rPr>
            </w:pPr>
            <w:r>
              <w:rPr>
                <w:color w:val="000000"/>
                <w:sz w:val="24"/>
                <w:highlight w:val="none"/>
              </w:rPr>
            </w:r>
            <w:r/>
          </w:p>
        </w:tc>
        <w:tc>
          <w:tcPr>
            <w:tcW w:w="939" w:type="dxa"/>
            <w:vAlign w:val="center"/>
            <w:textDirection w:val="lrTb"/>
            <w:noWrap w:val="false"/>
          </w:tcPr>
          <w:p>
            <w:pPr>
              <w:spacing w:line="360" w:lineRule="auto"/>
              <w:rPr>
                <w:color w:val="000000"/>
                <w:sz w:val="24"/>
                <w:highlight w:val="none"/>
              </w:rPr>
            </w:pPr>
            <w:r>
              <w:rPr>
                <w:color w:val="000000"/>
                <w:sz w:val="24"/>
                <w:highlight w:val="none"/>
              </w:rPr>
            </w:r>
            <w:r/>
          </w:p>
        </w:tc>
        <w:tc>
          <w:tcPr>
            <w:tcW w:w="997" w:type="dxa"/>
            <w:vAlign w:val="center"/>
            <w:textDirection w:val="lrTb"/>
            <w:noWrap w:val="false"/>
          </w:tcPr>
          <w:p>
            <w:pPr>
              <w:spacing w:line="360" w:lineRule="auto"/>
              <w:rPr>
                <w:color w:val="000000"/>
                <w:sz w:val="24"/>
                <w:highlight w:val="none"/>
              </w:rPr>
            </w:pPr>
            <w:r>
              <w:rPr>
                <w:color w:val="000000"/>
                <w:sz w:val="24"/>
                <w:highlight w:val="none"/>
              </w:rPr>
            </w:r>
            <w:r/>
          </w:p>
        </w:tc>
        <w:tc>
          <w:tcPr>
            <w:tcW w:w="824" w:type="dxa"/>
            <w:vAlign w:val="center"/>
            <w:textDirection w:val="lrTb"/>
            <w:noWrap w:val="false"/>
          </w:tcPr>
          <w:p>
            <w:pPr>
              <w:jc w:val="center"/>
              <w:spacing w:line="360" w:lineRule="auto"/>
              <w:rPr>
                <w:color w:val="000000"/>
                <w:sz w:val="24"/>
                <w:highlight w:val="none"/>
              </w:rPr>
            </w:pPr>
            <w:r>
              <w:rPr>
                <w:color w:val="000000"/>
                <w:sz w:val="24"/>
                <w:highlight w:val="none"/>
              </w:rPr>
            </w:r>
            <w:r/>
          </w:p>
        </w:tc>
        <w:tc>
          <w:tcPr>
            <w:tcW w:w="825" w:type="dxa"/>
            <w:vAlign w:val="center"/>
            <w:textDirection w:val="lrTb"/>
            <w:noWrap w:val="false"/>
          </w:tcPr>
          <w:p>
            <w:pPr>
              <w:jc w:val="center"/>
              <w:spacing w:line="360" w:lineRule="auto"/>
              <w:rPr>
                <w:color w:val="000000"/>
                <w:sz w:val="24"/>
                <w:highlight w:val="none"/>
              </w:rPr>
            </w:pPr>
            <w:r>
              <w:rPr>
                <w:color w:val="000000"/>
                <w:sz w:val="24"/>
                <w:highlight w:val="none"/>
              </w:rPr>
            </w:r>
            <w:r/>
          </w:p>
        </w:tc>
      </w:tr>
      <w:tr>
        <w:trPr>
          <w:cantSplit/>
          <w:jc w:val="center"/>
          <w:trHeight w:val="495"/>
        </w:trPr>
        <w:tc>
          <w:tcPr>
            <w:tcW w:w="645" w:type="dxa"/>
            <w:vAlign w:val="center"/>
            <w:textDirection w:val="lrTb"/>
            <w:noWrap w:val="false"/>
          </w:tcPr>
          <w:p>
            <w:pPr>
              <w:jc w:val="center"/>
              <w:spacing w:line="360" w:lineRule="auto"/>
              <w:rPr>
                <w:color w:val="000000"/>
                <w:sz w:val="24"/>
                <w:highlight w:val="none"/>
              </w:rPr>
            </w:pPr>
            <w:r>
              <w:rPr>
                <w:color w:val="000000"/>
                <w:sz w:val="24"/>
                <w:highlight w:val="none"/>
              </w:rPr>
            </w:r>
            <w:r/>
          </w:p>
        </w:tc>
        <w:tc>
          <w:tcPr>
            <w:tcW w:w="1839" w:type="dxa"/>
            <w:vAlign w:val="center"/>
            <w:textDirection w:val="lrTb"/>
            <w:noWrap w:val="false"/>
          </w:tcPr>
          <w:p>
            <w:pPr>
              <w:spacing w:line="360" w:lineRule="auto"/>
              <w:rPr>
                <w:color w:val="000000"/>
                <w:sz w:val="24"/>
                <w:highlight w:val="none"/>
              </w:rPr>
            </w:pPr>
            <w:r>
              <w:rPr>
                <w:color w:val="000000"/>
                <w:sz w:val="24"/>
                <w:highlight w:val="none"/>
              </w:rPr>
            </w:r>
            <w:r/>
          </w:p>
        </w:tc>
        <w:tc>
          <w:tcPr>
            <w:tcW w:w="1332" w:type="dxa"/>
            <w:vAlign w:val="center"/>
            <w:textDirection w:val="lrTb"/>
            <w:noWrap w:val="false"/>
          </w:tcPr>
          <w:p>
            <w:pPr>
              <w:spacing w:line="360" w:lineRule="auto"/>
              <w:rPr>
                <w:color w:val="000000"/>
                <w:sz w:val="24"/>
                <w:highlight w:val="none"/>
              </w:rPr>
            </w:pPr>
            <w:r>
              <w:rPr>
                <w:color w:val="000000"/>
                <w:sz w:val="24"/>
                <w:highlight w:val="none"/>
              </w:rPr>
            </w:r>
            <w:r/>
          </w:p>
        </w:tc>
        <w:tc>
          <w:tcPr>
            <w:tcW w:w="980" w:type="dxa"/>
            <w:vAlign w:val="center"/>
            <w:textDirection w:val="lrTb"/>
            <w:noWrap w:val="false"/>
          </w:tcPr>
          <w:p>
            <w:pPr>
              <w:spacing w:line="360" w:lineRule="auto"/>
              <w:rPr>
                <w:color w:val="000000"/>
                <w:sz w:val="24"/>
                <w:highlight w:val="none"/>
              </w:rPr>
            </w:pPr>
            <w:r>
              <w:rPr>
                <w:color w:val="000000"/>
                <w:sz w:val="24"/>
                <w:highlight w:val="none"/>
              </w:rPr>
            </w:r>
            <w:r/>
          </w:p>
        </w:tc>
        <w:tc>
          <w:tcPr>
            <w:tcW w:w="939" w:type="dxa"/>
            <w:vAlign w:val="center"/>
            <w:textDirection w:val="lrTb"/>
            <w:noWrap w:val="false"/>
          </w:tcPr>
          <w:p>
            <w:pPr>
              <w:spacing w:line="360" w:lineRule="auto"/>
              <w:rPr>
                <w:color w:val="000000"/>
                <w:sz w:val="24"/>
                <w:highlight w:val="none"/>
              </w:rPr>
            </w:pPr>
            <w:r>
              <w:rPr>
                <w:color w:val="000000"/>
                <w:sz w:val="24"/>
                <w:highlight w:val="none"/>
              </w:rPr>
            </w:r>
            <w:r/>
          </w:p>
        </w:tc>
        <w:tc>
          <w:tcPr>
            <w:tcW w:w="997" w:type="dxa"/>
            <w:vAlign w:val="center"/>
            <w:textDirection w:val="lrTb"/>
            <w:noWrap w:val="false"/>
          </w:tcPr>
          <w:p>
            <w:pPr>
              <w:spacing w:line="360" w:lineRule="auto"/>
              <w:rPr>
                <w:color w:val="000000"/>
                <w:sz w:val="24"/>
                <w:highlight w:val="none"/>
              </w:rPr>
            </w:pPr>
            <w:r>
              <w:rPr>
                <w:color w:val="000000"/>
                <w:sz w:val="24"/>
                <w:highlight w:val="none"/>
              </w:rPr>
            </w:r>
            <w:r/>
          </w:p>
        </w:tc>
        <w:tc>
          <w:tcPr>
            <w:tcW w:w="824" w:type="dxa"/>
            <w:vAlign w:val="center"/>
            <w:textDirection w:val="lrTb"/>
            <w:noWrap w:val="false"/>
          </w:tcPr>
          <w:p>
            <w:pPr>
              <w:jc w:val="center"/>
              <w:spacing w:line="360" w:lineRule="auto"/>
              <w:rPr>
                <w:color w:val="000000"/>
                <w:sz w:val="24"/>
                <w:highlight w:val="none"/>
              </w:rPr>
            </w:pPr>
            <w:r>
              <w:rPr>
                <w:color w:val="000000"/>
                <w:sz w:val="24"/>
                <w:highlight w:val="none"/>
              </w:rPr>
            </w:r>
            <w:r/>
          </w:p>
        </w:tc>
        <w:tc>
          <w:tcPr>
            <w:tcW w:w="825" w:type="dxa"/>
            <w:vAlign w:val="center"/>
            <w:textDirection w:val="lrTb"/>
            <w:noWrap w:val="false"/>
          </w:tcPr>
          <w:p>
            <w:pPr>
              <w:jc w:val="center"/>
              <w:spacing w:line="360" w:lineRule="auto"/>
              <w:rPr>
                <w:color w:val="000000"/>
                <w:sz w:val="24"/>
                <w:highlight w:val="none"/>
              </w:rPr>
            </w:pPr>
            <w:r>
              <w:rPr>
                <w:color w:val="000000"/>
                <w:sz w:val="24"/>
                <w:highlight w:val="none"/>
              </w:rPr>
            </w:r>
            <w:r/>
          </w:p>
        </w:tc>
      </w:tr>
      <w:tr>
        <w:trPr>
          <w:cantSplit/>
          <w:jc w:val="center"/>
          <w:trHeight w:val="495"/>
        </w:trPr>
        <w:tc>
          <w:tcPr>
            <w:gridSpan w:val="8"/>
            <w:tcW w:w="8381" w:type="dxa"/>
            <w:vAlign w:val="center"/>
            <w:textDirection w:val="lrTb"/>
            <w:noWrap w:val="false"/>
          </w:tcPr>
          <w:p>
            <w:pPr>
              <w:spacing w:line="360" w:lineRule="auto"/>
              <w:rPr>
                <w:color w:val="000000"/>
                <w:sz w:val="24"/>
                <w:highlight w:val="none"/>
              </w:rPr>
            </w:pPr>
            <w:r>
              <w:rPr>
                <w:color w:val="000000"/>
                <w:sz w:val="24"/>
                <w:highlight w:val="none"/>
              </w:rPr>
              <w:t xml:space="preserve">合计：   人数</w:t>
            </w:r>
            <w:r/>
          </w:p>
        </w:tc>
      </w:tr>
    </w:tbl>
    <w:p>
      <w:pPr>
        <w:pStyle w:val="1139"/>
        <w:spacing w:line="360" w:lineRule="auto"/>
        <w:rPr>
          <w:rFonts w:ascii="Times New Roman" w:hAnsi="Times New Roman" w:eastAsia="宋体"/>
          <w:b/>
          <w:color w:val="000000"/>
          <w:sz w:val="24"/>
          <w:highlight w:val="none"/>
        </w:rPr>
      </w:pPr>
      <w:r>
        <w:rPr>
          <w:rFonts w:ascii="Times New Roman" w:hAnsi="Times New Roman" w:eastAsia="宋体"/>
          <w:b/>
          <w:color w:val="000000"/>
          <w:sz w:val="24"/>
          <w:highlight w:val="none"/>
        </w:rPr>
        <w:t xml:space="preserve">备注：人员名单中必须明确</w:t>
      </w:r>
      <w:r>
        <w:rPr>
          <w:rFonts w:hint="eastAsia" w:ascii="Times New Roman" w:hAnsi="Times New Roman" w:eastAsia="宋体"/>
          <w:b/>
          <w:bCs/>
          <w:color w:val="000000"/>
          <w:sz w:val="24"/>
          <w:highlight w:val="none"/>
        </w:rPr>
        <w:t xml:space="preserve">项目</w:t>
      </w:r>
      <w:r>
        <w:rPr>
          <w:rFonts w:ascii="Times New Roman" w:hAnsi="Times New Roman" w:eastAsia="宋体"/>
          <w:b/>
          <w:bCs/>
          <w:color w:val="000000"/>
          <w:sz w:val="24"/>
          <w:highlight w:val="none"/>
        </w:rPr>
        <w:t xml:space="preserve">负责人</w:t>
      </w:r>
      <w:r>
        <w:rPr>
          <w:rFonts w:ascii="Times New Roman" w:hAnsi="Times New Roman" w:eastAsia="宋体"/>
          <w:b/>
          <w:color w:val="000000"/>
          <w:sz w:val="24"/>
          <w:highlight w:val="none"/>
        </w:rPr>
        <w:t xml:space="preserve">并标注“★”，未标注则视为未提供项目负责人。备注：证明材料需提供项目组人员的学历证书、职称证书的证明材料。</w:t>
      </w:r>
      <w:r/>
    </w:p>
    <w:p>
      <w:pPr>
        <w:pStyle w:val="1139"/>
        <w:spacing w:line="360" w:lineRule="auto"/>
        <w:rPr>
          <w:rFonts w:ascii="Times New Roman" w:hAnsi="Times New Roman" w:eastAsia="宋体"/>
          <w:color w:val="000000"/>
          <w:sz w:val="24"/>
          <w:highlight w:val="none"/>
        </w:rPr>
      </w:pPr>
      <w:r>
        <w:rPr>
          <w:rFonts w:ascii="Times New Roman" w:hAnsi="Times New Roman" w:eastAsia="宋体"/>
          <w:color w:val="000000"/>
          <w:sz w:val="24"/>
          <w:highlight w:val="none"/>
        </w:rPr>
        <w:t xml:space="preserve">投标人：（公章）</w:t>
      </w:r>
      <w:r/>
    </w:p>
    <w:p>
      <w:pPr>
        <w:pStyle w:val="1147"/>
        <w:spacing w:before="0" w:after="0" w:line="360" w:lineRule="auto"/>
        <w:rPr>
          <w:rFonts w:hint="eastAsia" w:ascii="Times New Roman" w:hAnsi="Times New Roman" w:eastAsia="宋体" w:cs="Times New Roman"/>
          <w:color w:val="000000"/>
          <w:highlight w:val="none"/>
          <w:lang w:eastAsia="zh-CN"/>
        </w:rPr>
      </w:pPr>
      <w:r>
        <w:rPr>
          <w:color w:val="000000"/>
          <w:highlight w:val="none"/>
        </w:rPr>
        <w:t xml:space="preserve">法定代表人或被授权人：（签字或盖章） </w:t>
      </w:r>
      <w:r>
        <w:rPr>
          <w:rFonts w:hint="eastAsia"/>
          <w:color w:val="000000"/>
          <w:highlight w:val="none"/>
        </w:rPr>
        <w:t xml:space="preserve">   </w:t>
      </w:r>
      <w:r>
        <w:rPr>
          <w:color w:val="000000"/>
          <w:highlight w:val="none"/>
        </w:rPr>
        <w:t xml:space="preserve"> 年  月  日</w:t>
      </w:r>
      <w:r>
        <w:rPr>
          <w:b/>
          <w:color w:val="000000"/>
          <w:highlight w:val="none"/>
        </w:rPr>
        <w:br w:type="page" w:clear="all"/>
      </w:r>
      <w:r>
        <w:rPr>
          <w:rFonts w:ascii="Times New Roman" w:hAnsi="Times New Roman" w:cs="Times New Roman"/>
          <w:b/>
          <w:bCs/>
          <w:color w:val="000000"/>
          <w:highlight w:val="none"/>
        </w:rPr>
        <w:t xml:space="preserve">附件</w:t>
      </w:r>
      <w:r>
        <w:rPr>
          <w:rFonts w:hint="eastAsia" w:ascii="Times New Roman" w:hAnsi="Times New Roman" w:cs="Times New Roman"/>
          <w:b/>
          <w:bCs/>
          <w:color w:val="000000"/>
          <w:highlight w:val="none"/>
          <w:lang w:val="en-US" w:eastAsia="zh-CN"/>
        </w:rPr>
        <w:t xml:space="preserve">11</w:t>
      </w:r>
      <w:r>
        <w:rPr>
          <w:rFonts w:ascii="Times New Roman" w:hAnsi="Times New Roman" w:cs="Times New Roman"/>
          <w:b/>
          <w:bCs/>
          <w:color w:val="000000"/>
          <w:highlight w:val="none"/>
        </w:rPr>
        <w:t xml:space="preserve">：</w:t>
      </w:r>
      <w:r/>
    </w:p>
    <w:p>
      <w:pPr>
        <w:spacing w:line="360" w:lineRule="auto"/>
        <w:rPr>
          <w:color w:val="000000"/>
          <w:sz w:val="24"/>
          <w:highlight w:val="none"/>
        </w:rPr>
      </w:pPr>
      <w:r>
        <w:rPr>
          <w:color w:val="000000"/>
          <w:sz w:val="24"/>
          <w:highlight w:val="none"/>
        </w:rPr>
      </w:r>
      <w:r/>
    </w:p>
    <w:p>
      <w:pPr>
        <w:jc w:val="center"/>
        <w:spacing w:line="360" w:lineRule="auto"/>
        <w:rPr>
          <w:b/>
          <w:bCs/>
          <w:color w:val="000000"/>
          <w:spacing w:val="20"/>
          <w:sz w:val="24"/>
          <w:highlight w:val="none"/>
        </w:rPr>
      </w:pPr>
      <w:r>
        <w:rPr>
          <w:b/>
          <w:bCs/>
          <w:color w:val="000000"/>
          <w:spacing w:val="20"/>
          <w:sz w:val="24"/>
          <w:highlight w:val="none"/>
        </w:rPr>
        <w:t xml:space="preserve">企业</w:t>
      </w:r>
      <w:r>
        <w:rPr>
          <w:rFonts w:hint="eastAsia"/>
          <w:b/>
          <w:bCs/>
          <w:color w:val="000000"/>
          <w:spacing w:val="20"/>
          <w:sz w:val="24"/>
          <w:highlight w:val="none"/>
        </w:rPr>
        <w:t xml:space="preserve">辅导评估</w:t>
      </w:r>
      <w:r>
        <w:rPr>
          <w:b/>
          <w:bCs/>
          <w:color w:val="000000"/>
          <w:spacing w:val="20"/>
          <w:sz w:val="24"/>
          <w:highlight w:val="none"/>
        </w:rPr>
        <w:t xml:space="preserve">人员名单及简历</w:t>
      </w:r>
      <w:r/>
    </w:p>
    <w:p>
      <w:pPr>
        <w:jc w:val="center"/>
        <w:spacing w:line="360" w:lineRule="auto"/>
        <w:rPr>
          <w:b/>
          <w:bCs/>
          <w:color w:val="000000"/>
          <w:spacing w:val="20"/>
          <w:sz w:val="24"/>
          <w:highlight w:val="none"/>
        </w:rPr>
      </w:pPr>
      <w:r>
        <w:rPr>
          <w:b/>
          <w:bCs/>
          <w:color w:val="000000"/>
          <w:spacing w:val="20"/>
          <w:sz w:val="24"/>
          <w:highlight w:val="none"/>
        </w:rPr>
      </w:r>
      <w:r/>
    </w:p>
    <w:tbl>
      <w:tblPr>
        <w:tblStyle w:val="915"/>
        <w:tblW w:w="83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1839"/>
        <w:gridCol w:w="1332"/>
        <w:gridCol w:w="980"/>
        <w:gridCol w:w="939"/>
        <w:gridCol w:w="997"/>
        <w:gridCol w:w="824"/>
        <w:gridCol w:w="825"/>
      </w:tblGrid>
      <w:tr>
        <w:trPr>
          <w:jc w:val="center"/>
          <w:trHeight w:val="760"/>
        </w:trPr>
        <w:tc>
          <w:tcPr>
            <w:tcW w:w="645" w:type="dxa"/>
            <w:vAlign w:val="center"/>
            <w:textDirection w:val="lrTb"/>
            <w:noWrap w:val="false"/>
          </w:tcPr>
          <w:p>
            <w:pPr>
              <w:jc w:val="center"/>
              <w:spacing w:line="360" w:lineRule="auto"/>
              <w:rPr>
                <w:color w:val="000000"/>
                <w:sz w:val="24"/>
                <w:highlight w:val="none"/>
              </w:rPr>
            </w:pPr>
            <w:r>
              <w:rPr>
                <w:color w:val="000000"/>
                <w:sz w:val="24"/>
                <w:highlight w:val="none"/>
              </w:rPr>
              <w:t xml:space="preserve">序号</w:t>
            </w:r>
            <w:r/>
          </w:p>
        </w:tc>
        <w:tc>
          <w:tcPr>
            <w:tcW w:w="1839" w:type="dxa"/>
            <w:vAlign w:val="center"/>
            <w:textDirection w:val="lrTb"/>
            <w:noWrap w:val="false"/>
          </w:tcPr>
          <w:p>
            <w:pPr>
              <w:jc w:val="center"/>
              <w:spacing w:line="360" w:lineRule="auto"/>
              <w:rPr>
                <w:color w:val="000000"/>
                <w:sz w:val="24"/>
                <w:highlight w:val="none"/>
              </w:rPr>
            </w:pPr>
            <w:r>
              <w:rPr>
                <w:color w:val="000000"/>
                <w:sz w:val="24"/>
                <w:highlight w:val="none"/>
              </w:rPr>
              <w:t xml:space="preserve">岗位</w:t>
            </w:r>
            <w:r/>
          </w:p>
        </w:tc>
        <w:tc>
          <w:tcPr>
            <w:tcW w:w="1332" w:type="dxa"/>
            <w:vAlign w:val="center"/>
            <w:textDirection w:val="lrTb"/>
            <w:noWrap w:val="false"/>
          </w:tcPr>
          <w:p>
            <w:pPr>
              <w:jc w:val="center"/>
              <w:spacing w:line="360" w:lineRule="auto"/>
              <w:rPr>
                <w:color w:val="000000"/>
                <w:sz w:val="24"/>
                <w:highlight w:val="none"/>
              </w:rPr>
            </w:pPr>
            <w:r>
              <w:rPr>
                <w:color w:val="000000"/>
                <w:sz w:val="24"/>
                <w:highlight w:val="none"/>
              </w:rPr>
              <w:t xml:space="preserve">姓名</w:t>
            </w:r>
            <w:r/>
          </w:p>
        </w:tc>
        <w:tc>
          <w:tcPr>
            <w:tcW w:w="980" w:type="dxa"/>
            <w:vAlign w:val="center"/>
            <w:textDirection w:val="lrTb"/>
            <w:noWrap w:val="false"/>
          </w:tcPr>
          <w:p>
            <w:pPr>
              <w:jc w:val="center"/>
              <w:spacing w:line="360" w:lineRule="auto"/>
              <w:rPr>
                <w:color w:val="000000"/>
                <w:sz w:val="24"/>
                <w:highlight w:val="none"/>
              </w:rPr>
            </w:pPr>
            <w:r>
              <w:rPr>
                <w:color w:val="000000"/>
                <w:sz w:val="24"/>
                <w:highlight w:val="none"/>
              </w:rPr>
              <w:t xml:space="preserve">性别</w:t>
            </w:r>
            <w:r/>
          </w:p>
        </w:tc>
        <w:tc>
          <w:tcPr>
            <w:tcW w:w="939" w:type="dxa"/>
            <w:vAlign w:val="center"/>
            <w:textDirection w:val="lrTb"/>
            <w:noWrap w:val="false"/>
          </w:tcPr>
          <w:p>
            <w:pPr>
              <w:jc w:val="center"/>
              <w:spacing w:line="360" w:lineRule="auto"/>
              <w:rPr>
                <w:color w:val="000000"/>
                <w:sz w:val="24"/>
                <w:highlight w:val="none"/>
              </w:rPr>
            </w:pPr>
            <w:r>
              <w:rPr>
                <w:color w:val="000000"/>
                <w:sz w:val="24"/>
                <w:highlight w:val="none"/>
              </w:rPr>
              <w:t xml:space="preserve">学历</w:t>
            </w:r>
            <w:r/>
          </w:p>
        </w:tc>
        <w:tc>
          <w:tcPr>
            <w:tcW w:w="997" w:type="dxa"/>
            <w:vAlign w:val="center"/>
            <w:textDirection w:val="lrTb"/>
            <w:noWrap w:val="false"/>
          </w:tcPr>
          <w:p>
            <w:pPr>
              <w:jc w:val="center"/>
              <w:spacing w:line="360" w:lineRule="auto"/>
              <w:rPr>
                <w:color w:val="000000"/>
                <w:sz w:val="24"/>
                <w:highlight w:val="none"/>
              </w:rPr>
            </w:pPr>
            <w:r>
              <w:rPr>
                <w:color w:val="000000"/>
                <w:sz w:val="24"/>
                <w:highlight w:val="none"/>
              </w:rPr>
              <w:t xml:space="preserve">职称</w:t>
            </w:r>
            <w:r/>
          </w:p>
        </w:tc>
        <w:tc>
          <w:tcPr>
            <w:tcW w:w="824" w:type="dxa"/>
            <w:vAlign w:val="center"/>
            <w:textDirection w:val="lrTb"/>
            <w:noWrap w:val="false"/>
          </w:tcPr>
          <w:p>
            <w:pPr>
              <w:jc w:val="center"/>
              <w:spacing w:line="360" w:lineRule="auto"/>
              <w:rPr>
                <w:color w:val="000000"/>
                <w:sz w:val="24"/>
                <w:highlight w:val="none"/>
              </w:rPr>
            </w:pPr>
            <w:r>
              <w:rPr>
                <w:color w:val="000000"/>
                <w:sz w:val="24"/>
                <w:highlight w:val="none"/>
              </w:rPr>
              <w:t xml:space="preserve">个人业绩</w:t>
            </w:r>
            <w:r/>
          </w:p>
        </w:tc>
        <w:tc>
          <w:tcPr>
            <w:tcW w:w="825" w:type="dxa"/>
            <w:vAlign w:val="center"/>
            <w:textDirection w:val="lrTb"/>
            <w:noWrap w:val="false"/>
          </w:tcPr>
          <w:p>
            <w:pPr>
              <w:jc w:val="center"/>
              <w:spacing w:line="360" w:lineRule="auto"/>
              <w:rPr>
                <w:color w:val="000000"/>
                <w:sz w:val="24"/>
                <w:highlight w:val="none"/>
              </w:rPr>
            </w:pPr>
            <w:r>
              <w:rPr>
                <w:color w:val="000000"/>
                <w:sz w:val="24"/>
                <w:highlight w:val="none"/>
              </w:rPr>
              <w:t xml:space="preserve">备注</w:t>
            </w:r>
            <w:r/>
          </w:p>
        </w:tc>
      </w:tr>
      <w:tr>
        <w:trPr>
          <w:jc w:val="center"/>
          <w:trHeight w:val="354"/>
        </w:trPr>
        <w:tc>
          <w:tcPr>
            <w:tcW w:w="645" w:type="dxa"/>
            <w:vAlign w:val="center"/>
            <w:textDirection w:val="lrTb"/>
            <w:noWrap w:val="false"/>
          </w:tcPr>
          <w:p>
            <w:pPr>
              <w:jc w:val="center"/>
              <w:spacing w:line="360" w:lineRule="auto"/>
              <w:rPr>
                <w:color w:val="000000"/>
                <w:sz w:val="24"/>
                <w:highlight w:val="none"/>
              </w:rPr>
            </w:pPr>
            <w:r>
              <w:rPr>
                <w:color w:val="000000"/>
                <w:sz w:val="24"/>
                <w:highlight w:val="none"/>
              </w:rPr>
              <w:t xml:space="preserve">1</w:t>
            </w:r>
            <w:r/>
          </w:p>
        </w:tc>
        <w:tc>
          <w:tcPr>
            <w:tcW w:w="1839" w:type="dxa"/>
            <w:vAlign w:val="center"/>
            <w:textDirection w:val="lrTb"/>
            <w:noWrap w:val="false"/>
          </w:tcPr>
          <w:p>
            <w:pPr>
              <w:spacing w:line="360" w:lineRule="auto"/>
              <w:rPr>
                <w:color w:val="000000"/>
                <w:sz w:val="24"/>
                <w:highlight w:val="none"/>
              </w:rPr>
            </w:pPr>
            <w:r>
              <w:rPr>
                <w:color w:val="000000"/>
                <w:sz w:val="24"/>
                <w:highlight w:val="none"/>
              </w:rPr>
            </w:r>
            <w:r/>
          </w:p>
        </w:tc>
        <w:tc>
          <w:tcPr>
            <w:tcW w:w="1332" w:type="dxa"/>
            <w:vAlign w:val="center"/>
            <w:textDirection w:val="lrTb"/>
            <w:noWrap w:val="false"/>
          </w:tcPr>
          <w:p>
            <w:pPr>
              <w:jc w:val="center"/>
              <w:spacing w:line="360" w:lineRule="auto"/>
              <w:rPr>
                <w:color w:val="000000"/>
                <w:sz w:val="24"/>
                <w:highlight w:val="none"/>
              </w:rPr>
            </w:pPr>
            <w:r>
              <w:rPr>
                <w:color w:val="000000"/>
                <w:sz w:val="24"/>
                <w:highlight w:val="none"/>
              </w:rPr>
            </w:r>
            <w:r/>
          </w:p>
        </w:tc>
        <w:tc>
          <w:tcPr>
            <w:tcW w:w="980" w:type="dxa"/>
            <w:vAlign w:val="center"/>
            <w:textDirection w:val="lrTb"/>
            <w:noWrap w:val="false"/>
          </w:tcPr>
          <w:p>
            <w:pPr>
              <w:jc w:val="center"/>
              <w:spacing w:line="360" w:lineRule="auto"/>
              <w:rPr>
                <w:color w:val="000000"/>
                <w:sz w:val="24"/>
                <w:highlight w:val="none"/>
              </w:rPr>
            </w:pPr>
            <w:r>
              <w:rPr>
                <w:color w:val="000000"/>
                <w:sz w:val="24"/>
                <w:highlight w:val="none"/>
              </w:rPr>
            </w:r>
            <w:r/>
          </w:p>
        </w:tc>
        <w:tc>
          <w:tcPr>
            <w:tcW w:w="939" w:type="dxa"/>
            <w:vAlign w:val="center"/>
            <w:textDirection w:val="lrTb"/>
            <w:noWrap w:val="false"/>
          </w:tcPr>
          <w:p>
            <w:pPr>
              <w:jc w:val="center"/>
              <w:spacing w:line="360" w:lineRule="auto"/>
              <w:rPr>
                <w:color w:val="000000"/>
                <w:sz w:val="24"/>
                <w:highlight w:val="none"/>
              </w:rPr>
            </w:pPr>
            <w:r>
              <w:rPr>
                <w:color w:val="000000"/>
                <w:sz w:val="24"/>
                <w:highlight w:val="none"/>
              </w:rPr>
            </w:r>
            <w:r/>
          </w:p>
        </w:tc>
        <w:tc>
          <w:tcPr>
            <w:tcW w:w="997" w:type="dxa"/>
            <w:vAlign w:val="center"/>
            <w:textDirection w:val="lrTb"/>
            <w:noWrap w:val="false"/>
          </w:tcPr>
          <w:p>
            <w:pPr>
              <w:jc w:val="center"/>
              <w:spacing w:line="360" w:lineRule="auto"/>
              <w:rPr>
                <w:color w:val="000000"/>
                <w:sz w:val="24"/>
                <w:highlight w:val="none"/>
              </w:rPr>
            </w:pPr>
            <w:r>
              <w:rPr>
                <w:color w:val="000000"/>
                <w:sz w:val="24"/>
                <w:highlight w:val="none"/>
              </w:rPr>
            </w:r>
            <w:r/>
          </w:p>
        </w:tc>
        <w:tc>
          <w:tcPr>
            <w:tcW w:w="824" w:type="dxa"/>
            <w:vAlign w:val="center"/>
            <w:textDirection w:val="lrTb"/>
            <w:noWrap w:val="false"/>
          </w:tcPr>
          <w:p>
            <w:pPr>
              <w:jc w:val="center"/>
              <w:spacing w:line="360" w:lineRule="auto"/>
              <w:rPr>
                <w:color w:val="000000"/>
                <w:sz w:val="24"/>
                <w:highlight w:val="none"/>
              </w:rPr>
            </w:pPr>
            <w:r>
              <w:rPr>
                <w:color w:val="000000"/>
                <w:sz w:val="24"/>
                <w:highlight w:val="none"/>
              </w:rPr>
            </w:r>
            <w:r/>
          </w:p>
        </w:tc>
        <w:tc>
          <w:tcPr>
            <w:tcW w:w="825" w:type="dxa"/>
            <w:vAlign w:val="center"/>
            <w:textDirection w:val="lrTb"/>
            <w:noWrap w:val="false"/>
          </w:tcPr>
          <w:p>
            <w:pPr>
              <w:jc w:val="center"/>
              <w:spacing w:line="360" w:lineRule="auto"/>
              <w:rPr>
                <w:color w:val="000000"/>
                <w:sz w:val="24"/>
                <w:highlight w:val="none"/>
              </w:rPr>
            </w:pPr>
            <w:r>
              <w:rPr>
                <w:color w:val="000000"/>
                <w:sz w:val="24"/>
                <w:highlight w:val="none"/>
              </w:rPr>
            </w:r>
            <w:r/>
          </w:p>
        </w:tc>
      </w:tr>
      <w:tr>
        <w:trPr>
          <w:cantSplit/>
          <w:jc w:val="center"/>
          <w:trHeight w:val="495"/>
        </w:trPr>
        <w:tc>
          <w:tcPr>
            <w:tcW w:w="645" w:type="dxa"/>
            <w:vAlign w:val="center"/>
            <w:textDirection w:val="lrTb"/>
            <w:noWrap w:val="false"/>
          </w:tcPr>
          <w:p>
            <w:pPr>
              <w:jc w:val="center"/>
              <w:spacing w:line="360" w:lineRule="auto"/>
              <w:rPr>
                <w:color w:val="000000"/>
                <w:sz w:val="24"/>
                <w:highlight w:val="none"/>
              </w:rPr>
            </w:pPr>
            <w:r>
              <w:rPr>
                <w:color w:val="000000"/>
                <w:sz w:val="24"/>
                <w:highlight w:val="none"/>
              </w:rPr>
              <w:t xml:space="preserve">2</w:t>
            </w:r>
            <w:r/>
          </w:p>
        </w:tc>
        <w:tc>
          <w:tcPr>
            <w:tcW w:w="1839" w:type="dxa"/>
            <w:vAlign w:val="center"/>
            <w:textDirection w:val="lrTb"/>
            <w:noWrap w:val="false"/>
          </w:tcPr>
          <w:p>
            <w:pPr>
              <w:spacing w:line="360" w:lineRule="auto"/>
              <w:rPr>
                <w:color w:val="000000"/>
                <w:sz w:val="24"/>
                <w:highlight w:val="none"/>
              </w:rPr>
            </w:pPr>
            <w:r>
              <w:rPr>
                <w:color w:val="000000"/>
                <w:sz w:val="24"/>
                <w:highlight w:val="none"/>
              </w:rPr>
            </w:r>
            <w:r/>
          </w:p>
        </w:tc>
        <w:tc>
          <w:tcPr>
            <w:tcW w:w="1332" w:type="dxa"/>
            <w:vAlign w:val="center"/>
            <w:textDirection w:val="lrTb"/>
            <w:noWrap w:val="false"/>
          </w:tcPr>
          <w:p>
            <w:pPr>
              <w:jc w:val="center"/>
              <w:spacing w:line="360" w:lineRule="auto"/>
              <w:rPr>
                <w:color w:val="000000"/>
                <w:sz w:val="24"/>
                <w:highlight w:val="none"/>
              </w:rPr>
            </w:pPr>
            <w:r>
              <w:rPr>
                <w:color w:val="000000"/>
                <w:sz w:val="24"/>
                <w:highlight w:val="none"/>
              </w:rPr>
            </w:r>
            <w:r/>
          </w:p>
        </w:tc>
        <w:tc>
          <w:tcPr>
            <w:tcW w:w="980" w:type="dxa"/>
            <w:vAlign w:val="center"/>
            <w:textDirection w:val="lrTb"/>
            <w:noWrap w:val="false"/>
          </w:tcPr>
          <w:p>
            <w:pPr>
              <w:jc w:val="center"/>
              <w:spacing w:line="360" w:lineRule="auto"/>
              <w:rPr>
                <w:color w:val="000000"/>
                <w:sz w:val="24"/>
                <w:highlight w:val="none"/>
              </w:rPr>
            </w:pPr>
            <w:r>
              <w:rPr>
                <w:color w:val="000000"/>
                <w:sz w:val="24"/>
                <w:highlight w:val="none"/>
              </w:rPr>
            </w:r>
            <w:r/>
          </w:p>
        </w:tc>
        <w:tc>
          <w:tcPr>
            <w:tcW w:w="939" w:type="dxa"/>
            <w:vAlign w:val="center"/>
            <w:textDirection w:val="lrTb"/>
            <w:noWrap w:val="false"/>
          </w:tcPr>
          <w:p>
            <w:pPr>
              <w:jc w:val="center"/>
              <w:spacing w:line="360" w:lineRule="auto"/>
              <w:rPr>
                <w:color w:val="000000"/>
                <w:sz w:val="24"/>
                <w:highlight w:val="none"/>
              </w:rPr>
            </w:pPr>
            <w:r>
              <w:rPr>
                <w:color w:val="000000"/>
                <w:sz w:val="24"/>
                <w:highlight w:val="none"/>
              </w:rPr>
            </w:r>
            <w:r/>
          </w:p>
        </w:tc>
        <w:tc>
          <w:tcPr>
            <w:tcW w:w="997" w:type="dxa"/>
            <w:vAlign w:val="center"/>
            <w:textDirection w:val="lrTb"/>
            <w:noWrap w:val="false"/>
          </w:tcPr>
          <w:p>
            <w:pPr>
              <w:jc w:val="center"/>
              <w:spacing w:line="360" w:lineRule="auto"/>
              <w:rPr>
                <w:color w:val="000000"/>
                <w:sz w:val="24"/>
                <w:highlight w:val="none"/>
              </w:rPr>
            </w:pPr>
            <w:r>
              <w:rPr>
                <w:color w:val="000000"/>
                <w:sz w:val="24"/>
                <w:highlight w:val="none"/>
              </w:rPr>
            </w:r>
            <w:r/>
          </w:p>
        </w:tc>
        <w:tc>
          <w:tcPr>
            <w:tcW w:w="824" w:type="dxa"/>
            <w:vAlign w:val="center"/>
            <w:textDirection w:val="lrTb"/>
            <w:noWrap w:val="false"/>
          </w:tcPr>
          <w:p>
            <w:pPr>
              <w:jc w:val="center"/>
              <w:spacing w:line="360" w:lineRule="auto"/>
              <w:rPr>
                <w:color w:val="000000"/>
                <w:sz w:val="24"/>
                <w:highlight w:val="none"/>
              </w:rPr>
            </w:pPr>
            <w:r>
              <w:rPr>
                <w:color w:val="000000"/>
                <w:sz w:val="24"/>
                <w:highlight w:val="none"/>
              </w:rPr>
            </w:r>
            <w:r/>
          </w:p>
        </w:tc>
        <w:tc>
          <w:tcPr>
            <w:tcW w:w="825" w:type="dxa"/>
            <w:vAlign w:val="center"/>
            <w:textDirection w:val="lrTb"/>
            <w:noWrap w:val="false"/>
          </w:tcPr>
          <w:p>
            <w:pPr>
              <w:jc w:val="center"/>
              <w:spacing w:line="360" w:lineRule="auto"/>
              <w:rPr>
                <w:color w:val="000000"/>
                <w:sz w:val="24"/>
                <w:highlight w:val="none"/>
              </w:rPr>
            </w:pPr>
            <w:r>
              <w:rPr>
                <w:color w:val="000000"/>
                <w:sz w:val="24"/>
                <w:highlight w:val="none"/>
              </w:rPr>
            </w:r>
            <w:r/>
          </w:p>
        </w:tc>
      </w:tr>
      <w:tr>
        <w:trPr>
          <w:cantSplit/>
          <w:jc w:val="center"/>
          <w:trHeight w:val="495"/>
        </w:trPr>
        <w:tc>
          <w:tcPr>
            <w:tcW w:w="645" w:type="dxa"/>
            <w:vAlign w:val="center"/>
            <w:textDirection w:val="lrTb"/>
            <w:noWrap w:val="false"/>
          </w:tcPr>
          <w:p>
            <w:pPr>
              <w:jc w:val="center"/>
              <w:spacing w:line="360" w:lineRule="auto"/>
              <w:rPr>
                <w:color w:val="000000"/>
                <w:sz w:val="24"/>
                <w:highlight w:val="none"/>
              </w:rPr>
            </w:pPr>
            <w:r>
              <w:rPr>
                <w:color w:val="000000"/>
                <w:sz w:val="24"/>
                <w:highlight w:val="none"/>
              </w:rPr>
              <w:t xml:space="preserve">3</w:t>
            </w:r>
            <w:r/>
          </w:p>
        </w:tc>
        <w:tc>
          <w:tcPr>
            <w:tcW w:w="1839" w:type="dxa"/>
            <w:vAlign w:val="center"/>
            <w:textDirection w:val="lrTb"/>
            <w:noWrap w:val="false"/>
          </w:tcPr>
          <w:p>
            <w:pPr>
              <w:spacing w:line="360" w:lineRule="auto"/>
              <w:rPr>
                <w:color w:val="000000"/>
                <w:sz w:val="24"/>
                <w:highlight w:val="none"/>
              </w:rPr>
            </w:pPr>
            <w:r>
              <w:rPr>
                <w:color w:val="000000"/>
                <w:sz w:val="24"/>
                <w:highlight w:val="none"/>
              </w:rPr>
            </w:r>
            <w:r/>
          </w:p>
        </w:tc>
        <w:tc>
          <w:tcPr>
            <w:tcW w:w="1332" w:type="dxa"/>
            <w:vAlign w:val="center"/>
            <w:textDirection w:val="lrTb"/>
            <w:noWrap w:val="false"/>
          </w:tcPr>
          <w:p>
            <w:pPr>
              <w:spacing w:line="360" w:lineRule="auto"/>
              <w:rPr>
                <w:color w:val="000000"/>
                <w:sz w:val="24"/>
                <w:highlight w:val="none"/>
              </w:rPr>
            </w:pPr>
            <w:r>
              <w:rPr>
                <w:color w:val="000000"/>
                <w:sz w:val="24"/>
                <w:highlight w:val="none"/>
              </w:rPr>
            </w:r>
            <w:r/>
          </w:p>
        </w:tc>
        <w:tc>
          <w:tcPr>
            <w:tcW w:w="980" w:type="dxa"/>
            <w:vAlign w:val="center"/>
            <w:textDirection w:val="lrTb"/>
            <w:noWrap w:val="false"/>
          </w:tcPr>
          <w:p>
            <w:pPr>
              <w:spacing w:line="360" w:lineRule="auto"/>
              <w:rPr>
                <w:color w:val="000000"/>
                <w:sz w:val="24"/>
                <w:highlight w:val="none"/>
              </w:rPr>
            </w:pPr>
            <w:r>
              <w:rPr>
                <w:color w:val="000000"/>
                <w:sz w:val="24"/>
                <w:highlight w:val="none"/>
              </w:rPr>
            </w:r>
            <w:r/>
          </w:p>
        </w:tc>
        <w:tc>
          <w:tcPr>
            <w:tcW w:w="939" w:type="dxa"/>
            <w:vAlign w:val="center"/>
            <w:textDirection w:val="lrTb"/>
            <w:noWrap w:val="false"/>
          </w:tcPr>
          <w:p>
            <w:pPr>
              <w:spacing w:line="360" w:lineRule="auto"/>
              <w:rPr>
                <w:color w:val="000000"/>
                <w:sz w:val="24"/>
                <w:highlight w:val="none"/>
              </w:rPr>
            </w:pPr>
            <w:r>
              <w:rPr>
                <w:color w:val="000000"/>
                <w:sz w:val="24"/>
                <w:highlight w:val="none"/>
              </w:rPr>
            </w:r>
            <w:r/>
          </w:p>
        </w:tc>
        <w:tc>
          <w:tcPr>
            <w:tcW w:w="997" w:type="dxa"/>
            <w:vAlign w:val="center"/>
            <w:textDirection w:val="lrTb"/>
            <w:noWrap w:val="false"/>
          </w:tcPr>
          <w:p>
            <w:pPr>
              <w:spacing w:line="360" w:lineRule="auto"/>
              <w:rPr>
                <w:color w:val="000000"/>
                <w:sz w:val="24"/>
                <w:highlight w:val="none"/>
              </w:rPr>
            </w:pPr>
            <w:r>
              <w:rPr>
                <w:color w:val="000000"/>
                <w:sz w:val="24"/>
                <w:highlight w:val="none"/>
              </w:rPr>
            </w:r>
            <w:r/>
          </w:p>
        </w:tc>
        <w:tc>
          <w:tcPr>
            <w:tcW w:w="824" w:type="dxa"/>
            <w:vAlign w:val="center"/>
            <w:textDirection w:val="lrTb"/>
            <w:noWrap w:val="false"/>
          </w:tcPr>
          <w:p>
            <w:pPr>
              <w:jc w:val="center"/>
              <w:spacing w:line="360" w:lineRule="auto"/>
              <w:rPr>
                <w:color w:val="000000"/>
                <w:sz w:val="24"/>
                <w:highlight w:val="none"/>
              </w:rPr>
            </w:pPr>
            <w:r>
              <w:rPr>
                <w:color w:val="000000"/>
                <w:sz w:val="24"/>
                <w:highlight w:val="none"/>
              </w:rPr>
            </w:r>
            <w:r/>
          </w:p>
        </w:tc>
        <w:tc>
          <w:tcPr>
            <w:tcW w:w="825" w:type="dxa"/>
            <w:vAlign w:val="center"/>
            <w:textDirection w:val="lrTb"/>
            <w:noWrap w:val="false"/>
          </w:tcPr>
          <w:p>
            <w:pPr>
              <w:jc w:val="center"/>
              <w:spacing w:line="360" w:lineRule="auto"/>
              <w:rPr>
                <w:color w:val="000000"/>
                <w:sz w:val="24"/>
                <w:highlight w:val="none"/>
              </w:rPr>
            </w:pPr>
            <w:r>
              <w:rPr>
                <w:color w:val="000000"/>
                <w:sz w:val="24"/>
                <w:highlight w:val="none"/>
              </w:rPr>
            </w:r>
            <w:r/>
          </w:p>
        </w:tc>
      </w:tr>
      <w:tr>
        <w:trPr>
          <w:cantSplit/>
          <w:jc w:val="center"/>
          <w:trHeight w:val="495"/>
        </w:trPr>
        <w:tc>
          <w:tcPr>
            <w:tcW w:w="645" w:type="dxa"/>
            <w:vAlign w:val="center"/>
            <w:textDirection w:val="lrTb"/>
            <w:noWrap w:val="false"/>
          </w:tcPr>
          <w:p>
            <w:pPr>
              <w:jc w:val="center"/>
              <w:spacing w:line="360" w:lineRule="auto"/>
              <w:rPr>
                <w:color w:val="000000"/>
                <w:sz w:val="24"/>
                <w:highlight w:val="none"/>
              </w:rPr>
            </w:pPr>
            <w:r>
              <w:rPr>
                <w:color w:val="000000"/>
                <w:sz w:val="24"/>
                <w:highlight w:val="none"/>
              </w:rPr>
              <w:t xml:space="preserve">4</w:t>
            </w:r>
            <w:r/>
          </w:p>
        </w:tc>
        <w:tc>
          <w:tcPr>
            <w:tcW w:w="1839" w:type="dxa"/>
            <w:vAlign w:val="center"/>
            <w:textDirection w:val="lrTb"/>
            <w:noWrap w:val="false"/>
          </w:tcPr>
          <w:p>
            <w:pPr>
              <w:spacing w:line="360" w:lineRule="auto"/>
              <w:rPr>
                <w:color w:val="000000"/>
                <w:sz w:val="24"/>
                <w:highlight w:val="none"/>
              </w:rPr>
            </w:pPr>
            <w:r>
              <w:rPr>
                <w:color w:val="000000"/>
                <w:sz w:val="24"/>
                <w:highlight w:val="none"/>
              </w:rPr>
            </w:r>
            <w:r/>
          </w:p>
        </w:tc>
        <w:tc>
          <w:tcPr>
            <w:tcW w:w="1332" w:type="dxa"/>
            <w:vAlign w:val="center"/>
            <w:textDirection w:val="lrTb"/>
            <w:noWrap w:val="false"/>
          </w:tcPr>
          <w:p>
            <w:pPr>
              <w:spacing w:line="360" w:lineRule="auto"/>
              <w:rPr>
                <w:color w:val="000000"/>
                <w:sz w:val="24"/>
                <w:highlight w:val="none"/>
              </w:rPr>
            </w:pPr>
            <w:r>
              <w:rPr>
                <w:color w:val="000000"/>
                <w:sz w:val="24"/>
                <w:highlight w:val="none"/>
              </w:rPr>
            </w:r>
            <w:r/>
          </w:p>
        </w:tc>
        <w:tc>
          <w:tcPr>
            <w:tcW w:w="980" w:type="dxa"/>
            <w:vAlign w:val="center"/>
            <w:textDirection w:val="lrTb"/>
            <w:noWrap w:val="false"/>
          </w:tcPr>
          <w:p>
            <w:pPr>
              <w:spacing w:line="360" w:lineRule="auto"/>
              <w:rPr>
                <w:color w:val="000000"/>
                <w:sz w:val="24"/>
                <w:highlight w:val="none"/>
              </w:rPr>
            </w:pPr>
            <w:r>
              <w:rPr>
                <w:color w:val="000000"/>
                <w:sz w:val="24"/>
                <w:highlight w:val="none"/>
              </w:rPr>
            </w:r>
            <w:r/>
          </w:p>
        </w:tc>
        <w:tc>
          <w:tcPr>
            <w:tcW w:w="939" w:type="dxa"/>
            <w:vAlign w:val="center"/>
            <w:textDirection w:val="lrTb"/>
            <w:noWrap w:val="false"/>
          </w:tcPr>
          <w:p>
            <w:pPr>
              <w:spacing w:line="360" w:lineRule="auto"/>
              <w:rPr>
                <w:color w:val="000000"/>
                <w:sz w:val="24"/>
                <w:highlight w:val="none"/>
              </w:rPr>
            </w:pPr>
            <w:r>
              <w:rPr>
                <w:color w:val="000000"/>
                <w:sz w:val="24"/>
                <w:highlight w:val="none"/>
              </w:rPr>
            </w:r>
            <w:r/>
          </w:p>
        </w:tc>
        <w:tc>
          <w:tcPr>
            <w:tcW w:w="997" w:type="dxa"/>
            <w:vAlign w:val="center"/>
            <w:textDirection w:val="lrTb"/>
            <w:noWrap w:val="false"/>
          </w:tcPr>
          <w:p>
            <w:pPr>
              <w:spacing w:line="360" w:lineRule="auto"/>
              <w:rPr>
                <w:color w:val="000000"/>
                <w:sz w:val="24"/>
                <w:highlight w:val="none"/>
              </w:rPr>
            </w:pPr>
            <w:r>
              <w:rPr>
                <w:color w:val="000000"/>
                <w:sz w:val="24"/>
                <w:highlight w:val="none"/>
              </w:rPr>
            </w:r>
            <w:r/>
          </w:p>
        </w:tc>
        <w:tc>
          <w:tcPr>
            <w:tcW w:w="824" w:type="dxa"/>
            <w:vAlign w:val="center"/>
            <w:textDirection w:val="lrTb"/>
            <w:noWrap w:val="false"/>
          </w:tcPr>
          <w:p>
            <w:pPr>
              <w:jc w:val="center"/>
              <w:spacing w:line="360" w:lineRule="auto"/>
              <w:rPr>
                <w:color w:val="000000"/>
                <w:sz w:val="24"/>
                <w:highlight w:val="none"/>
              </w:rPr>
            </w:pPr>
            <w:r>
              <w:rPr>
                <w:color w:val="000000"/>
                <w:sz w:val="24"/>
                <w:highlight w:val="none"/>
              </w:rPr>
            </w:r>
            <w:r/>
          </w:p>
        </w:tc>
        <w:tc>
          <w:tcPr>
            <w:tcW w:w="825" w:type="dxa"/>
            <w:vAlign w:val="center"/>
            <w:textDirection w:val="lrTb"/>
            <w:noWrap w:val="false"/>
          </w:tcPr>
          <w:p>
            <w:pPr>
              <w:jc w:val="center"/>
              <w:spacing w:line="360" w:lineRule="auto"/>
              <w:rPr>
                <w:color w:val="000000"/>
                <w:sz w:val="24"/>
                <w:highlight w:val="none"/>
              </w:rPr>
            </w:pPr>
            <w:r>
              <w:rPr>
                <w:color w:val="000000"/>
                <w:sz w:val="24"/>
                <w:highlight w:val="none"/>
              </w:rPr>
            </w:r>
            <w:r/>
          </w:p>
        </w:tc>
      </w:tr>
      <w:tr>
        <w:trPr>
          <w:cantSplit/>
          <w:jc w:val="center"/>
          <w:trHeight w:val="495"/>
        </w:trPr>
        <w:tc>
          <w:tcPr>
            <w:tcW w:w="645" w:type="dxa"/>
            <w:vAlign w:val="center"/>
            <w:textDirection w:val="lrTb"/>
            <w:noWrap w:val="false"/>
          </w:tcPr>
          <w:p>
            <w:pPr>
              <w:jc w:val="center"/>
              <w:spacing w:line="360" w:lineRule="auto"/>
              <w:rPr>
                <w:color w:val="000000"/>
                <w:sz w:val="24"/>
                <w:highlight w:val="none"/>
              </w:rPr>
            </w:pPr>
            <w:r>
              <w:rPr>
                <w:color w:val="000000"/>
                <w:sz w:val="24"/>
                <w:highlight w:val="none"/>
              </w:rPr>
              <w:t xml:space="preserve">5</w:t>
            </w:r>
            <w:r/>
          </w:p>
        </w:tc>
        <w:tc>
          <w:tcPr>
            <w:tcW w:w="1839" w:type="dxa"/>
            <w:vAlign w:val="center"/>
            <w:textDirection w:val="lrTb"/>
            <w:noWrap w:val="false"/>
          </w:tcPr>
          <w:p>
            <w:pPr>
              <w:spacing w:line="360" w:lineRule="auto"/>
              <w:rPr>
                <w:color w:val="000000"/>
                <w:sz w:val="24"/>
                <w:highlight w:val="none"/>
              </w:rPr>
            </w:pPr>
            <w:r>
              <w:rPr>
                <w:color w:val="000000"/>
                <w:sz w:val="24"/>
                <w:highlight w:val="none"/>
              </w:rPr>
            </w:r>
            <w:r/>
          </w:p>
        </w:tc>
        <w:tc>
          <w:tcPr>
            <w:tcW w:w="1332" w:type="dxa"/>
            <w:vAlign w:val="center"/>
            <w:textDirection w:val="lrTb"/>
            <w:noWrap w:val="false"/>
          </w:tcPr>
          <w:p>
            <w:pPr>
              <w:spacing w:line="360" w:lineRule="auto"/>
              <w:rPr>
                <w:color w:val="000000"/>
                <w:sz w:val="24"/>
                <w:highlight w:val="none"/>
              </w:rPr>
            </w:pPr>
            <w:r>
              <w:rPr>
                <w:color w:val="000000"/>
                <w:sz w:val="24"/>
                <w:highlight w:val="none"/>
              </w:rPr>
            </w:r>
            <w:r/>
          </w:p>
        </w:tc>
        <w:tc>
          <w:tcPr>
            <w:tcW w:w="980" w:type="dxa"/>
            <w:vAlign w:val="center"/>
            <w:textDirection w:val="lrTb"/>
            <w:noWrap w:val="false"/>
          </w:tcPr>
          <w:p>
            <w:pPr>
              <w:spacing w:line="360" w:lineRule="auto"/>
              <w:rPr>
                <w:color w:val="000000"/>
                <w:sz w:val="24"/>
                <w:highlight w:val="none"/>
              </w:rPr>
            </w:pPr>
            <w:r>
              <w:rPr>
                <w:color w:val="000000"/>
                <w:sz w:val="24"/>
                <w:highlight w:val="none"/>
              </w:rPr>
            </w:r>
            <w:r/>
          </w:p>
        </w:tc>
        <w:tc>
          <w:tcPr>
            <w:tcW w:w="939" w:type="dxa"/>
            <w:vAlign w:val="center"/>
            <w:textDirection w:val="lrTb"/>
            <w:noWrap w:val="false"/>
          </w:tcPr>
          <w:p>
            <w:pPr>
              <w:spacing w:line="360" w:lineRule="auto"/>
              <w:rPr>
                <w:color w:val="000000"/>
                <w:sz w:val="24"/>
                <w:highlight w:val="none"/>
              </w:rPr>
            </w:pPr>
            <w:r>
              <w:rPr>
                <w:color w:val="000000"/>
                <w:sz w:val="24"/>
                <w:highlight w:val="none"/>
              </w:rPr>
            </w:r>
            <w:r/>
          </w:p>
        </w:tc>
        <w:tc>
          <w:tcPr>
            <w:tcW w:w="997" w:type="dxa"/>
            <w:vAlign w:val="center"/>
            <w:textDirection w:val="lrTb"/>
            <w:noWrap w:val="false"/>
          </w:tcPr>
          <w:p>
            <w:pPr>
              <w:spacing w:line="360" w:lineRule="auto"/>
              <w:rPr>
                <w:color w:val="000000"/>
                <w:sz w:val="24"/>
                <w:highlight w:val="none"/>
              </w:rPr>
            </w:pPr>
            <w:r>
              <w:rPr>
                <w:color w:val="000000"/>
                <w:sz w:val="24"/>
                <w:highlight w:val="none"/>
              </w:rPr>
            </w:r>
            <w:r/>
          </w:p>
        </w:tc>
        <w:tc>
          <w:tcPr>
            <w:tcW w:w="824" w:type="dxa"/>
            <w:vAlign w:val="center"/>
            <w:textDirection w:val="lrTb"/>
            <w:noWrap w:val="false"/>
          </w:tcPr>
          <w:p>
            <w:pPr>
              <w:jc w:val="center"/>
              <w:spacing w:line="360" w:lineRule="auto"/>
              <w:rPr>
                <w:color w:val="000000"/>
                <w:sz w:val="24"/>
                <w:highlight w:val="none"/>
              </w:rPr>
            </w:pPr>
            <w:r>
              <w:rPr>
                <w:color w:val="000000"/>
                <w:sz w:val="24"/>
                <w:highlight w:val="none"/>
              </w:rPr>
            </w:r>
            <w:r/>
          </w:p>
        </w:tc>
        <w:tc>
          <w:tcPr>
            <w:tcW w:w="825" w:type="dxa"/>
            <w:vAlign w:val="center"/>
            <w:textDirection w:val="lrTb"/>
            <w:noWrap w:val="false"/>
          </w:tcPr>
          <w:p>
            <w:pPr>
              <w:jc w:val="center"/>
              <w:spacing w:line="360" w:lineRule="auto"/>
              <w:rPr>
                <w:color w:val="000000"/>
                <w:sz w:val="24"/>
                <w:highlight w:val="none"/>
              </w:rPr>
            </w:pPr>
            <w:r>
              <w:rPr>
                <w:color w:val="000000"/>
                <w:sz w:val="24"/>
                <w:highlight w:val="none"/>
              </w:rPr>
            </w:r>
            <w:r/>
          </w:p>
        </w:tc>
      </w:tr>
      <w:tr>
        <w:trPr>
          <w:cantSplit/>
          <w:jc w:val="center"/>
          <w:trHeight w:val="495"/>
        </w:trPr>
        <w:tc>
          <w:tcPr>
            <w:tcW w:w="645" w:type="dxa"/>
            <w:vAlign w:val="center"/>
            <w:textDirection w:val="lrTb"/>
            <w:noWrap w:val="false"/>
          </w:tcPr>
          <w:p>
            <w:pPr>
              <w:jc w:val="center"/>
              <w:spacing w:line="360" w:lineRule="auto"/>
              <w:rPr>
                <w:color w:val="000000"/>
                <w:sz w:val="24"/>
                <w:highlight w:val="none"/>
              </w:rPr>
            </w:pPr>
            <w:r>
              <w:rPr>
                <w:color w:val="000000"/>
                <w:sz w:val="24"/>
                <w:highlight w:val="none"/>
              </w:rPr>
              <w:t xml:space="preserve">6</w:t>
            </w:r>
            <w:r/>
          </w:p>
        </w:tc>
        <w:tc>
          <w:tcPr>
            <w:tcW w:w="1839" w:type="dxa"/>
            <w:vAlign w:val="center"/>
            <w:textDirection w:val="lrTb"/>
            <w:noWrap w:val="false"/>
          </w:tcPr>
          <w:p>
            <w:pPr>
              <w:spacing w:line="360" w:lineRule="auto"/>
              <w:rPr>
                <w:color w:val="000000"/>
                <w:sz w:val="24"/>
                <w:highlight w:val="none"/>
              </w:rPr>
            </w:pPr>
            <w:r>
              <w:rPr>
                <w:color w:val="000000"/>
                <w:sz w:val="24"/>
                <w:highlight w:val="none"/>
              </w:rPr>
            </w:r>
            <w:r/>
          </w:p>
        </w:tc>
        <w:tc>
          <w:tcPr>
            <w:tcW w:w="1332" w:type="dxa"/>
            <w:vAlign w:val="center"/>
            <w:textDirection w:val="lrTb"/>
            <w:noWrap w:val="false"/>
          </w:tcPr>
          <w:p>
            <w:pPr>
              <w:spacing w:line="360" w:lineRule="auto"/>
              <w:rPr>
                <w:color w:val="000000"/>
                <w:sz w:val="24"/>
                <w:highlight w:val="none"/>
              </w:rPr>
            </w:pPr>
            <w:r>
              <w:rPr>
                <w:color w:val="000000"/>
                <w:sz w:val="24"/>
                <w:highlight w:val="none"/>
              </w:rPr>
            </w:r>
            <w:r/>
          </w:p>
        </w:tc>
        <w:tc>
          <w:tcPr>
            <w:tcW w:w="980" w:type="dxa"/>
            <w:vAlign w:val="center"/>
            <w:textDirection w:val="lrTb"/>
            <w:noWrap w:val="false"/>
          </w:tcPr>
          <w:p>
            <w:pPr>
              <w:spacing w:line="360" w:lineRule="auto"/>
              <w:rPr>
                <w:color w:val="000000"/>
                <w:sz w:val="24"/>
                <w:highlight w:val="none"/>
              </w:rPr>
            </w:pPr>
            <w:r>
              <w:rPr>
                <w:color w:val="000000"/>
                <w:sz w:val="24"/>
                <w:highlight w:val="none"/>
              </w:rPr>
            </w:r>
            <w:r/>
          </w:p>
        </w:tc>
        <w:tc>
          <w:tcPr>
            <w:tcW w:w="939" w:type="dxa"/>
            <w:vAlign w:val="center"/>
            <w:textDirection w:val="lrTb"/>
            <w:noWrap w:val="false"/>
          </w:tcPr>
          <w:p>
            <w:pPr>
              <w:spacing w:line="360" w:lineRule="auto"/>
              <w:rPr>
                <w:color w:val="000000"/>
                <w:sz w:val="24"/>
                <w:highlight w:val="none"/>
              </w:rPr>
            </w:pPr>
            <w:r>
              <w:rPr>
                <w:color w:val="000000"/>
                <w:sz w:val="24"/>
                <w:highlight w:val="none"/>
              </w:rPr>
            </w:r>
            <w:r/>
          </w:p>
        </w:tc>
        <w:tc>
          <w:tcPr>
            <w:tcW w:w="997" w:type="dxa"/>
            <w:vAlign w:val="center"/>
            <w:textDirection w:val="lrTb"/>
            <w:noWrap w:val="false"/>
          </w:tcPr>
          <w:p>
            <w:pPr>
              <w:spacing w:line="360" w:lineRule="auto"/>
              <w:rPr>
                <w:color w:val="000000"/>
                <w:sz w:val="24"/>
                <w:highlight w:val="none"/>
              </w:rPr>
            </w:pPr>
            <w:r>
              <w:rPr>
                <w:color w:val="000000"/>
                <w:sz w:val="24"/>
                <w:highlight w:val="none"/>
              </w:rPr>
            </w:r>
            <w:r/>
          </w:p>
        </w:tc>
        <w:tc>
          <w:tcPr>
            <w:tcW w:w="824" w:type="dxa"/>
            <w:vAlign w:val="center"/>
            <w:textDirection w:val="lrTb"/>
            <w:noWrap w:val="false"/>
          </w:tcPr>
          <w:p>
            <w:pPr>
              <w:jc w:val="center"/>
              <w:spacing w:line="360" w:lineRule="auto"/>
              <w:rPr>
                <w:color w:val="000000"/>
                <w:sz w:val="24"/>
                <w:highlight w:val="none"/>
              </w:rPr>
            </w:pPr>
            <w:r>
              <w:rPr>
                <w:color w:val="000000"/>
                <w:sz w:val="24"/>
                <w:highlight w:val="none"/>
              </w:rPr>
            </w:r>
            <w:r/>
          </w:p>
        </w:tc>
        <w:tc>
          <w:tcPr>
            <w:tcW w:w="825" w:type="dxa"/>
            <w:vAlign w:val="center"/>
            <w:textDirection w:val="lrTb"/>
            <w:noWrap w:val="false"/>
          </w:tcPr>
          <w:p>
            <w:pPr>
              <w:jc w:val="center"/>
              <w:spacing w:line="360" w:lineRule="auto"/>
              <w:rPr>
                <w:color w:val="000000"/>
                <w:sz w:val="24"/>
                <w:highlight w:val="none"/>
              </w:rPr>
            </w:pPr>
            <w:r>
              <w:rPr>
                <w:color w:val="000000"/>
                <w:sz w:val="24"/>
                <w:highlight w:val="none"/>
              </w:rPr>
            </w:r>
            <w:r/>
          </w:p>
        </w:tc>
      </w:tr>
      <w:tr>
        <w:trPr>
          <w:cantSplit/>
          <w:jc w:val="center"/>
          <w:trHeight w:val="495"/>
        </w:trPr>
        <w:tc>
          <w:tcPr>
            <w:tcW w:w="645" w:type="dxa"/>
            <w:vAlign w:val="center"/>
            <w:textDirection w:val="lrTb"/>
            <w:noWrap w:val="false"/>
          </w:tcPr>
          <w:p>
            <w:pPr>
              <w:jc w:val="center"/>
              <w:spacing w:line="360" w:lineRule="auto"/>
              <w:rPr>
                <w:color w:val="000000"/>
                <w:sz w:val="24"/>
                <w:highlight w:val="none"/>
              </w:rPr>
            </w:pPr>
            <w:r>
              <w:rPr>
                <w:color w:val="000000"/>
                <w:sz w:val="24"/>
                <w:highlight w:val="none"/>
              </w:rPr>
              <w:t xml:space="preserve">7</w:t>
            </w:r>
            <w:r/>
          </w:p>
        </w:tc>
        <w:tc>
          <w:tcPr>
            <w:tcW w:w="1839" w:type="dxa"/>
            <w:vAlign w:val="center"/>
            <w:textDirection w:val="lrTb"/>
            <w:noWrap w:val="false"/>
          </w:tcPr>
          <w:p>
            <w:pPr>
              <w:spacing w:line="360" w:lineRule="auto"/>
              <w:rPr>
                <w:color w:val="000000"/>
                <w:sz w:val="24"/>
                <w:highlight w:val="none"/>
              </w:rPr>
            </w:pPr>
            <w:r>
              <w:rPr>
                <w:color w:val="000000"/>
                <w:sz w:val="24"/>
                <w:highlight w:val="none"/>
              </w:rPr>
            </w:r>
            <w:r/>
          </w:p>
        </w:tc>
        <w:tc>
          <w:tcPr>
            <w:tcW w:w="1332" w:type="dxa"/>
            <w:vAlign w:val="center"/>
            <w:textDirection w:val="lrTb"/>
            <w:noWrap w:val="false"/>
          </w:tcPr>
          <w:p>
            <w:pPr>
              <w:spacing w:line="360" w:lineRule="auto"/>
              <w:rPr>
                <w:color w:val="000000"/>
                <w:sz w:val="24"/>
                <w:highlight w:val="none"/>
              </w:rPr>
            </w:pPr>
            <w:r>
              <w:rPr>
                <w:color w:val="000000"/>
                <w:sz w:val="24"/>
                <w:highlight w:val="none"/>
              </w:rPr>
            </w:r>
            <w:r/>
          </w:p>
        </w:tc>
        <w:tc>
          <w:tcPr>
            <w:tcW w:w="980" w:type="dxa"/>
            <w:vAlign w:val="center"/>
            <w:textDirection w:val="lrTb"/>
            <w:noWrap w:val="false"/>
          </w:tcPr>
          <w:p>
            <w:pPr>
              <w:spacing w:line="360" w:lineRule="auto"/>
              <w:rPr>
                <w:color w:val="000000"/>
                <w:sz w:val="24"/>
                <w:highlight w:val="none"/>
              </w:rPr>
            </w:pPr>
            <w:r>
              <w:rPr>
                <w:color w:val="000000"/>
                <w:sz w:val="24"/>
                <w:highlight w:val="none"/>
              </w:rPr>
            </w:r>
            <w:r/>
          </w:p>
        </w:tc>
        <w:tc>
          <w:tcPr>
            <w:tcW w:w="939" w:type="dxa"/>
            <w:vAlign w:val="center"/>
            <w:textDirection w:val="lrTb"/>
            <w:noWrap w:val="false"/>
          </w:tcPr>
          <w:p>
            <w:pPr>
              <w:spacing w:line="360" w:lineRule="auto"/>
              <w:rPr>
                <w:color w:val="000000"/>
                <w:sz w:val="24"/>
                <w:highlight w:val="none"/>
              </w:rPr>
            </w:pPr>
            <w:r>
              <w:rPr>
                <w:color w:val="000000"/>
                <w:sz w:val="24"/>
                <w:highlight w:val="none"/>
              </w:rPr>
            </w:r>
            <w:r/>
          </w:p>
        </w:tc>
        <w:tc>
          <w:tcPr>
            <w:tcW w:w="997" w:type="dxa"/>
            <w:vAlign w:val="center"/>
            <w:textDirection w:val="lrTb"/>
            <w:noWrap w:val="false"/>
          </w:tcPr>
          <w:p>
            <w:pPr>
              <w:spacing w:line="360" w:lineRule="auto"/>
              <w:rPr>
                <w:color w:val="000000"/>
                <w:sz w:val="24"/>
                <w:highlight w:val="none"/>
              </w:rPr>
            </w:pPr>
            <w:r>
              <w:rPr>
                <w:color w:val="000000"/>
                <w:sz w:val="24"/>
                <w:highlight w:val="none"/>
              </w:rPr>
            </w:r>
            <w:r/>
          </w:p>
        </w:tc>
        <w:tc>
          <w:tcPr>
            <w:tcW w:w="824" w:type="dxa"/>
            <w:vAlign w:val="center"/>
            <w:textDirection w:val="lrTb"/>
            <w:noWrap w:val="false"/>
          </w:tcPr>
          <w:p>
            <w:pPr>
              <w:jc w:val="center"/>
              <w:spacing w:line="360" w:lineRule="auto"/>
              <w:rPr>
                <w:color w:val="000000"/>
                <w:sz w:val="24"/>
                <w:highlight w:val="none"/>
              </w:rPr>
            </w:pPr>
            <w:r>
              <w:rPr>
                <w:color w:val="000000"/>
                <w:sz w:val="24"/>
                <w:highlight w:val="none"/>
              </w:rPr>
            </w:r>
            <w:r/>
          </w:p>
        </w:tc>
        <w:tc>
          <w:tcPr>
            <w:tcW w:w="825" w:type="dxa"/>
            <w:vAlign w:val="center"/>
            <w:textDirection w:val="lrTb"/>
            <w:noWrap w:val="false"/>
          </w:tcPr>
          <w:p>
            <w:pPr>
              <w:jc w:val="center"/>
              <w:spacing w:line="360" w:lineRule="auto"/>
              <w:rPr>
                <w:color w:val="000000"/>
                <w:sz w:val="24"/>
                <w:highlight w:val="none"/>
              </w:rPr>
            </w:pPr>
            <w:r>
              <w:rPr>
                <w:color w:val="000000"/>
                <w:sz w:val="24"/>
                <w:highlight w:val="none"/>
              </w:rPr>
            </w:r>
            <w:r/>
          </w:p>
        </w:tc>
      </w:tr>
      <w:tr>
        <w:trPr>
          <w:cantSplit/>
          <w:jc w:val="center"/>
          <w:trHeight w:val="495"/>
        </w:trPr>
        <w:tc>
          <w:tcPr>
            <w:tcW w:w="645" w:type="dxa"/>
            <w:vAlign w:val="center"/>
            <w:textDirection w:val="lrTb"/>
            <w:noWrap w:val="false"/>
          </w:tcPr>
          <w:p>
            <w:pPr>
              <w:jc w:val="center"/>
              <w:spacing w:line="360" w:lineRule="auto"/>
              <w:rPr>
                <w:color w:val="000000"/>
                <w:sz w:val="24"/>
                <w:highlight w:val="none"/>
              </w:rPr>
            </w:pPr>
            <w:r>
              <w:rPr>
                <w:color w:val="000000"/>
                <w:sz w:val="24"/>
                <w:highlight w:val="none"/>
              </w:rPr>
              <w:t xml:space="preserve">8</w:t>
            </w:r>
            <w:r/>
          </w:p>
        </w:tc>
        <w:tc>
          <w:tcPr>
            <w:tcW w:w="1839" w:type="dxa"/>
            <w:vAlign w:val="center"/>
            <w:textDirection w:val="lrTb"/>
            <w:noWrap w:val="false"/>
          </w:tcPr>
          <w:p>
            <w:pPr>
              <w:spacing w:line="360" w:lineRule="auto"/>
              <w:rPr>
                <w:color w:val="000000"/>
                <w:sz w:val="24"/>
                <w:highlight w:val="none"/>
              </w:rPr>
            </w:pPr>
            <w:r>
              <w:rPr>
                <w:color w:val="000000"/>
                <w:sz w:val="24"/>
                <w:highlight w:val="none"/>
              </w:rPr>
            </w:r>
            <w:r/>
          </w:p>
        </w:tc>
        <w:tc>
          <w:tcPr>
            <w:tcW w:w="1332" w:type="dxa"/>
            <w:vAlign w:val="center"/>
            <w:textDirection w:val="lrTb"/>
            <w:noWrap w:val="false"/>
          </w:tcPr>
          <w:p>
            <w:pPr>
              <w:spacing w:line="360" w:lineRule="auto"/>
              <w:rPr>
                <w:color w:val="000000"/>
                <w:sz w:val="24"/>
                <w:highlight w:val="none"/>
              </w:rPr>
            </w:pPr>
            <w:r>
              <w:rPr>
                <w:color w:val="000000"/>
                <w:sz w:val="24"/>
                <w:highlight w:val="none"/>
              </w:rPr>
            </w:r>
            <w:r/>
          </w:p>
        </w:tc>
        <w:tc>
          <w:tcPr>
            <w:tcW w:w="980" w:type="dxa"/>
            <w:vAlign w:val="center"/>
            <w:textDirection w:val="lrTb"/>
            <w:noWrap w:val="false"/>
          </w:tcPr>
          <w:p>
            <w:pPr>
              <w:spacing w:line="360" w:lineRule="auto"/>
              <w:rPr>
                <w:color w:val="000000"/>
                <w:sz w:val="24"/>
                <w:highlight w:val="none"/>
              </w:rPr>
            </w:pPr>
            <w:r>
              <w:rPr>
                <w:color w:val="000000"/>
                <w:sz w:val="24"/>
                <w:highlight w:val="none"/>
              </w:rPr>
            </w:r>
            <w:r/>
          </w:p>
        </w:tc>
        <w:tc>
          <w:tcPr>
            <w:tcW w:w="939" w:type="dxa"/>
            <w:vAlign w:val="center"/>
            <w:textDirection w:val="lrTb"/>
            <w:noWrap w:val="false"/>
          </w:tcPr>
          <w:p>
            <w:pPr>
              <w:spacing w:line="360" w:lineRule="auto"/>
              <w:rPr>
                <w:color w:val="000000"/>
                <w:sz w:val="24"/>
                <w:highlight w:val="none"/>
              </w:rPr>
            </w:pPr>
            <w:r>
              <w:rPr>
                <w:color w:val="000000"/>
                <w:sz w:val="24"/>
                <w:highlight w:val="none"/>
              </w:rPr>
            </w:r>
            <w:r/>
          </w:p>
        </w:tc>
        <w:tc>
          <w:tcPr>
            <w:tcW w:w="997" w:type="dxa"/>
            <w:vAlign w:val="center"/>
            <w:textDirection w:val="lrTb"/>
            <w:noWrap w:val="false"/>
          </w:tcPr>
          <w:p>
            <w:pPr>
              <w:spacing w:line="360" w:lineRule="auto"/>
              <w:rPr>
                <w:color w:val="000000"/>
                <w:sz w:val="24"/>
                <w:highlight w:val="none"/>
              </w:rPr>
            </w:pPr>
            <w:r>
              <w:rPr>
                <w:color w:val="000000"/>
                <w:sz w:val="24"/>
                <w:highlight w:val="none"/>
              </w:rPr>
            </w:r>
            <w:r/>
          </w:p>
        </w:tc>
        <w:tc>
          <w:tcPr>
            <w:tcW w:w="824" w:type="dxa"/>
            <w:vAlign w:val="center"/>
            <w:textDirection w:val="lrTb"/>
            <w:noWrap w:val="false"/>
          </w:tcPr>
          <w:p>
            <w:pPr>
              <w:jc w:val="center"/>
              <w:spacing w:line="360" w:lineRule="auto"/>
              <w:rPr>
                <w:color w:val="000000"/>
                <w:sz w:val="24"/>
                <w:highlight w:val="none"/>
              </w:rPr>
            </w:pPr>
            <w:r>
              <w:rPr>
                <w:color w:val="000000"/>
                <w:sz w:val="24"/>
                <w:highlight w:val="none"/>
              </w:rPr>
            </w:r>
            <w:r/>
          </w:p>
        </w:tc>
        <w:tc>
          <w:tcPr>
            <w:tcW w:w="825" w:type="dxa"/>
            <w:vAlign w:val="center"/>
            <w:textDirection w:val="lrTb"/>
            <w:noWrap w:val="false"/>
          </w:tcPr>
          <w:p>
            <w:pPr>
              <w:jc w:val="center"/>
              <w:spacing w:line="360" w:lineRule="auto"/>
              <w:rPr>
                <w:color w:val="000000"/>
                <w:sz w:val="24"/>
                <w:highlight w:val="none"/>
              </w:rPr>
            </w:pPr>
            <w:r>
              <w:rPr>
                <w:color w:val="000000"/>
                <w:sz w:val="24"/>
                <w:highlight w:val="none"/>
              </w:rPr>
            </w:r>
            <w:r/>
          </w:p>
        </w:tc>
      </w:tr>
      <w:tr>
        <w:trPr>
          <w:cantSplit/>
          <w:jc w:val="center"/>
          <w:trHeight w:val="495"/>
        </w:trPr>
        <w:tc>
          <w:tcPr>
            <w:tcW w:w="645" w:type="dxa"/>
            <w:vAlign w:val="center"/>
            <w:textDirection w:val="lrTb"/>
            <w:noWrap w:val="false"/>
          </w:tcPr>
          <w:p>
            <w:pPr>
              <w:jc w:val="center"/>
              <w:spacing w:line="360" w:lineRule="auto"/>
              <w:rPr>
                <w:color w:val="000000"/>
                <w:sz w:val="24"/>
                <w:highlight w:val="none"/>
              </w:rPr>
            </w:pPr>
            <w:r>
              <w:rPr>
                <w:color w:val="000000"/>
                <w:sz w:val="24"/>
                <w:highlight w:val="none"/>
              </w:rPr>
              <w:t xml:space="preserve">9</w:t>
            </w:r>
            <w:r/>
          </w:p>
        </w:tc>
        <w:tc>
          <w:tcPr>
            <w:tcW w:w="1839" w:type="dxa"/>
            <w:vAlign w:val="center"/>
            <w:textDirection w:val="lrTb"/>
            <w:noWrap w:val="false"/>
          </w:tcPr>
          <w:p>
            <w:pPr>
              <w:spacing w:line="360" w:lineRule="auto"/>
              <w:rPr>
                <w:color w:val="000000"/>
                <w:sz w:val="24"/>
                <w:highlight w:val="none"/>
              </w:rPr>
            </w:pPr>
            <w:r>
              <w:rPr>
                <w:color w:val="000000"/>
                <w:sz w:val="24"/>
                <w:highlight w:val="none"/>
              </w:rPr>
            </w:r>
            <w:r/>
          </w:p>
        </w:tc>
        <w:tc>
          <w:tcPr>
            <w:tcW w:w="1332" w:type="dxa"/>
            <w:vAlign w:val="center"/>
            <w:textDirection w:val="lrTb"/>
            <w:noWrap w:val="false"/>
          </w:tcPr>
          <w:p>
            <w:pPr>
              <w:spacing w:line="360" w:lineRule="auto"/>
              <w:rPr>
                <w:color w:val="000000"/>
                <w:sz w:val="24"/>
                <w:highlight w:val="none"/>
              </w:rPr>
            </w:pPr>
            <w:r>
              <w:rPr>
                <w:color w:val="000000"/>
                <w:sz w:val="24"/>
                <w:highlight w:val="none"/>
              </w:rPr>
            </w:r>
            <w:r/>
          </w:p>
        </w:tc>
        <w:tc>
          <w:tcPr>
            <w:tcW w:w="980" w:type="dxa"/>
            <w:vAlign w:val="center"/>
            <w:textDirection w:val="lrTb"/>
            <w:noWrap w:val="false"/>
          </w:tcPr>
          <w:p>
            <w:pPr>
              <w:spacing w:line="360" w:lineRule="auto"/>
              <w:rPr>
                <w:color w:val="000000"/>
                <w:sz w:val="24"/>
                <w:highlight w:val="none"/>
              </w:rPr>
            </w:pPr>
            <w:r>
              <w:rPr>
                <w:color w:val="000000"/>
                <w:sz w:val="24"/>
                <w:highlight w:val="none"/>
              </w:rPr>
            </w:r>
            <w:r/>
          </w:p>
        </w:tc>
        <w:tc>
          <w:tcPr>
            <w:tcW w:w="939" w:type="dxa"/>
            <w:vAlign w:val="center"/>
            <w:textDirection w:val="lrTb"/>
            <w:noWrap w:val="false"/>
          </w:tcPr>
          <w:p>
            <w:pPr>
              <w:spacing w:line="360" w:lineRule="auto"/>
              <w:rPr>
                <w:color w:val="000000"/>
                <w:sz w:val="24"/>
                <w:highlight w:val="none"/>
              </w:rPr>
            </w:pPr>
            <w:r>
              <w:rPr>
                <w:color w:val="000000"/>
                <w:sz w:val="24"/>
                <w:highlight w:val="none"/>
              </w:rPr>
            </w:r>
            <w:r/>
          </w:p>
        </w:tc>
        <w:tc>
          <w:tcPr>
            <w:tcW w:w="997" w:type="dxa"/>
            <w:vAlign w:val="center"/>
            <w:textDirection w:val="lrTb"/>
            <w:noWrap w:val="false"/>
          </w:tcPr>
          <w:p>
            <w:pPr>
              <w:spacing w:line="360" w:lineRule="auto"/>
              <w:rPr>
                <w:color w:val="000000"/>
                <w:sz w:val="24"/>
                <w:highlight w:val="none"/>
              </w:rPr>
            </w:pPr>
            <w:r>
              <w:rPr>
                <w:color w:val="000000"/>
                <w:sz w:val="24"/>
                <w:highlight w:val="none"/>
              </w:rPr>
            </w:r>
            <w:r/>
          </w:p>
        </w:tc>
        <w:tc>
          <w:tcPr>
            <w:tcW w:w="824" w:type="dxa"/>
            <w:vAlign w:val="center"/>
            <w:textDirection w:val="lrTb"/>
            <w:noWrap w:val="false"/>
          </w:tcPr>
          <w:p>
            <w:pPr>
              <w:jc w:val="center"/>
              <w:spacing w:line="360" w:lineRule="auto"/>
              <w:rPr>
                <w:color w:val="000000"/>
                <w:sz w:val="24"/>
                <w:highlight w:val="none"/>
              </w:rPr>
            </w:pPr>
            <w:r>
              <w:rPr>
                <w:color w:val="000000"/>
                <w:sz w:val="24"/>
                <w:highlight w:val="none"/>
              </w:rPr>
            </w:r>
            <w:r/>
          </w:p>
        </w:tc>
        <w:tc>
          <w:tcPr>
            <w:tcW w:w="825" w:type="dxa"/>
            <w:vAlign w:val="center"/>
            <w:textDirection w:val="lrTb"/>
            <w:noWrap w:val="false"/>
          </w:tcPr>
          <w:p>
            <w:pPr>
              <w:jc w:val="center"/>
              <w:spacing w:line="360" w:lineRule="auto"/>
              <w:rPr>
                <w:color w:val="000000"/>
                <w:sz w:val="24"/>
                <w:highlight w:val="none"/>
              </w:rPr>
            </w:pPr>
            <w:r>
              <w:rPr>
                <w:color w:val="000000"/>
                <w:sz w:val="24"/>
                <w:highlight w:val="none"/>
              </w:rPr>
            </w:r>
            <w:r/>
          </w:p>
        </w:tc>
      </w:tr>
      <w:tr>
        <w:trPr>
          <w:cantSplit/>
          <w:jc w:val="center"/>
          <w:trHeight w:val="495"/>
        </w:trPr>
        <w:tc>
          <w:tcPr>
            <w:tcW w:w="645" w:type="dxa"/>
            <w:vAlign w:val="center"/>
            <w:textDirection w:val="lrTb"/>
            <w:noWrap w:val="false"/>
          </w:tcPr>
          <w:p>
            <w:pPr>
              <w:jc w:val="center"/>
              <w:spacing w:line="360" w:lineRule="auto"/>
              <w:rPr>
                <w:color w:val="000000"/>
                <w:sz w:val="24"/>
                <w:highlight w:val="none"/>
              </w:rPr>
            </w:pPr>
            <w:r>
              <w:rPr>
                <w:color w:val="000000"/>
                <w:sz w:val="24"/>
                <w:highlight w:val="none"/>
              </w:rPr>
              <w:t xml:space="preserve">10</w:t>
            </w:r>
            <w:r/>
          </w:p>
        </w:tc>
        <w:tc>
          <w:tcPr>
            <w:tcW w:w="1839" w:type="dxa"/>
            <w:vAlign w:val="center"/>
            <w:textDirection w:val="lrTb"/>
            <w:noWrap w:val="false"/>
          </w:tcPr>
          <w:p>
            <w:pPr>
              <w:spacing w:line="360" w:lineRule="auto"/>
              <w:rPr>
                <w:color w:val="000000"/>
                <w:sz w:val="24"/>
                <w:highlight w:val="none"/>
              </w:rPr>
            </w:pPr>
            <w:r>
              <w:rPr>
                <w:color w:val="000000"/>
                <w:sz w:val="24"/>
                <w:highlight w:val="none"/>
              </w:rPr>
            </w:r>
            <w:r/>
          </w:p>
        </w:tc>
        <w:tc>
          <w:tcPr>
            <w:tcW w:w="1332" w:type="dxa"/>
            <w:vAlign w:val="center"/>
            <w:textDirection w:val="lrTb"/>
            <w:noWrap w:val="false"/>
          </w:tcPr>
          <w:p>
            <w:pPr>
              <w:spacing w:line="360" w:lineRule="auto"/>
              <w:rPr>
                <w:color w:val="000000"/>
                <w:sz w:val="24"/>
                <w:highlight w:val="none"/>
              </w:rPr>
            </w:pPr>
            <w:r>
              <w:rPr>
                <w:color w:val="000000"/>
                <w:sz w:val="24"/>
                <w:highlight w:val="none"/>
              </w:rPr>
            </w:r>
            <w:r/>
          </w:p>
        </w:tc>
        <w:tc>
          <w:tcPr>
            <w:tcW w:w="980" w:type="dxa"/>
            <w:vAlign w:val="center"/>
            <w:textDirection w:val="lrTb"/>
            <w:noWrap w:val="false"/>
          </w:tcPr>
          <w:p>
            <w:pPr>
              <w:spacing w:line="360" w:lineRule="auto"/>
              <w:rPr>
                <w:color w:val="000000"/>
                <w:sz w:val="24"/>
                <w:highlight w:val="none"/>
              </w:rPr>
            </w:pPr>
            <w:r>
              <w:rPr>
                <w:color w:val="000000"/>
                <w:sz w:val="24"/>
                <w:highlight w:val="none"/>
              </w:rPr>
            </w:r>
            <w:r/>
          </w:p>
        </w:tc>
        <w:tc>
          <w:tcPr>
            <w:tcW w:w="939" w:type="dxa"/>
            <w:vAlign w:val="center"/>
            <w:textDirection w:val="lrTb"/>
            <w:noWrap w:val="false"/>
          </w:tcPr>
          <w:p>
            <w:pPr>
              <w:spacing w:line="360" w:lineRule="auto"/>
              <w:rPr>
                <w:color w:val="000000"/>
                <w:sz w:val="24"/>
                <w:highlight w:val="none"/>
              </w:rPr>
            </w:pPr>
            <w:r>
              <w:rPr>
                <w:color w:val="000000"/>
                <w:sz w:val="24"/>
                <w:highlight w:val="none"/>
              </w:rPr>
            </w:r>
            <w:r/>
          </w:p>
        </w:tc>
        <w:tc>
          <w:tcPr>
            <w:tcW w:w="997" w:type="dxa"/>
            <w:vAlign w:val="center"/>
            <w:textDirection w:val="lrTb"/>
            <w:noWrap w:val="false"/>
          </w:tcPr>
          <w:p>
            <w:pPr>
              <w:spacing w:line="360" w:lineRule="auto"/>
              <w:rPr>
                <w:color w:val="000000"/>
                <w:sz w:val="24"/>
                <w:highlight w:val="none"/>
              </w:rPr>
            </w:pPr>
            <w:r>
              <w:rPr>
                <w:color w:val="000000"/>
                <w:sz w:val="24"/>
                <w:highlight w:val="none"/>
              </w:rPr>
            </w:r>
            <w:r/>
          </w:p>
        </w:tc>
        <w:tc>
          <w:tcPr>
            <w:tcW w:w="824" w:type="dxa"/>
            <w:vAlign w:val="center"/>
            <w:textDirection w:val="lrTb"/>
            <w:noWrap w:val="false"/>
          </w:tcPr>
          <w:p>
            <w:pPr>
              <w:jc w:val="center"/>
              <w:spacing w:line="360" w:lineRule="auto"/>
              <w:rPr>
                <w:color w:val="000000"/>
                <w:sz w:val="24"/>
                <w:highlight w:val="none"/>
              </w:rPr>
            </w:pPr>
            <w:r>
              <w:rPr>
                <w:color w:val="000000"/>
                <w:sz w:val="24"/>
                <w:highlight w:val="none"/>
              </w:rPr>
            </w:r>
            <w:r/>
          </w:p>
        </w:tc>
        <w:tc>
          <w:tcPr>
            <w:tcW w:w="825" w:type="dxa"/>
            <w:vAlign w:val="center"/>
            <w:textDirection w:val="lrTb"/>
            <w:noWrap w:val="false"/>
          </w:tcPr>
          <w:p>
            <w:pPr>
              <w:jc w:val="center"/>
              <w:spacing w:line="360" w:lineRule="auto"/>
              <w:rPr>
                <w:color w:val="000000"/>
                <w:sz w:val="24"/>
                <w:highlight w:val="none"/>
              </w:rPr>
            </w:pPr>
            <w:r>
              <w:rPr>
                <w:color w:val="000000"/>
                <w:sz w:val="24"/>
                <w:highlight w:val="none"/>
              </w:rPr>
            </w:r>
            <w:r/>
          </w:p>
        </w:tc>
      </w:tr>
      <w:tr>
        <w:trPr>
          <w:cantSplit/>
          <w:jc w:val="center"/>
          <w:trHeight w:val="495"/>
        </w:trPr>
        <w:tc>
          <w:tcPr>
            <w:tcW w:w="645" w:type="dxa"/>
            <w:vAlign w:val="center"/>
            <w:textDirection w:val="lrTb"/>
            <w:noWrap w:val="false"/>
          </w:tcPr>
          <w:p>
            <w:pPr>
              <w:jc w:val="center"/>
              <w:spacing w:line="360" w:lineRule="auto"/>
              <w:rPr>
                <w:color w:val="000000"/>
                <w:sz w:val="24"/>
                <w:highlight w:val="none"/>
              </w:rPr>
            </w:pPr>
            <w:r>
              <w:rPr>
                <w:color w:val="000000"/>
                <w:sz w:val="24"/>
                <w:highlight w:val="none"/>
              </w:rPr>
              <w:t xml:space="preserve">…</w:t>
            </w:r>
            <w:r/>
          </w:p>
        </w:tc>
        <w:tc>
          <w:tcPr>
            <w:tcW w:w="1839" w:type="dxa"/>
            <w:vAlign w:val="center"/>
            <w:textDirection w:val="lrTb"/>
            <w:noWrap w:val="false"/>
          </w:tcPr>
          <w:p>
            <w:pPr>
              <w:spacing w:line="360" w:lineRule="auto"/>
              <w:rPr>
                <w:color w:val="000000"/>
                <w:sz w:val="24"/>
                <w:highlight w:val="none"/>
              </w:rPr>
            </w:pPr>
            <w:r>
              <w:rPr>
                <w:color w:val="000000"/>
                <w:sz w:val="24"/>
                <w:highlight w:val="none"/>
              </w:rPr>
            </w:r>
            <w:r/>
          </w:p>
        </w:tc>
        <w:tc>
          <w:tcPr>
            <w:tcW w:w="1332" w:type="dxa"/>
            <w:vAlign w:val="center"/>
            <w:textDirection w:val="lrTb"/>
            <w:noWrap w:val="false"/>
          </w:tcPr>
          <w:p>
            <w:pPr>
              <w:spacing w:line="360" w:lineRule="auto"/>
              <w:rPr>
                <w:color w:val="000000"/>
                <w:sz w:val="24"/>
                <w:highlight w:val="none"/>
              </w:rPr>
            </w:pPr>
            <w:r>
              <w:rPr>
                <w:color w:val="000000"/>
                <w:sz w:val="24"/>
                <w:highlight w:val="none"/>
              </w:rPr>
            </w:r>
            <w:r/>
          </w:p>
        </w:tc>
        <w:tc>
          <w:tcPr>
            <w:tcW w:w="980" w:type="dxa"/>
            <w:vAlign w:val="center"/>
            <w:textDirection w:val="lrTb"/>
            <w:noWrap w:val="false"/>
          </w:tcPr>
          <w:p>
            <w:pPr>
              <w:spacing w:line="360" w:lineRule="auto"/>
              <w:rPr>
                <w:color w:val="000000"/>
                <w:sz w:val="24"/>
                <w:highlight w:val="none"/>
              </w:rPr>
            </w:pPr>
            <w:r>
              <w:rPr>
                <w:color w:val="000000"/>
                <w:sz w:val="24"/>
                <w:highlight w:val="none"/>
              </w:rPr>
            </w:r>
            <w:r/>
          </w:p>
        </w:tc>
        <w:tc>
          <w:tcPr>
            <w:tcW w:w="939" w:type="dxa"/>
            <w:vAlign w:val="center"/>
            <w:textDirection w:val="lrTb"/>
            <w:noWrap w:val="false"/>
          </w:tcPr>
          <w:p>
            <w:pPr>
              <w:spacing w:line="360" w:lineRule="auto"/>
              <w:rPr>
                <w:color w:val="000000"/>
                <w:sz w:val="24"/>
                <w:highlight w:val="none"/>
              </w:rPr>
            </w:pPr>
            <w:r>
              <w:rPr>
                <w:color w:val="000000"/>
                <w:sz w:val="24"/>
                <w:highlight w:val="none"/>
              </w:rPr>
            </w:r>
            <w:r/>
          </w:p>
        </w:tc>
        <w:tc>
          <w:tcPr>
            <w:tcW w:w="997" w:type="dxa"/>
            <w:vAlign w:val="center"/>
            <w:textDirection w:val="lrTb"/>
            <w:noWrap w:val="false"/>
          </w:tcPr>
          <w:p>
            <w:pPr>
              <w:spacing w:line="360" w:lineRule="auto"/>
              <w:rPr>
                <w:color w:val="000000"/>
                <w:sz w:val="24"/>
                <w:highlight w:val="none"/>
              </w:rPr>
            </w:pPr>
            <w:r>
              <w:rPr>
                <w:color w:val="000000"/>
                <w:sz w:val="24"/>
                <w:highlight w:val="none"/>
              </w:rPr>
            </w:r>
            <w:r/>
          </w:p>
        </w:tc>
        <w:tc>
          <w:tcPr>
            <w:tcW w:w="824" w:type="dxa"/>
            <w:vAlign w:val="center"/>
            <w:textDirection w:val="lrTb"/>
            <w:noWrap w:val="false"/>
          </w:tcPr>
          <w:p>
            <w:pPr>
              <w:jc w:val="center"/>
              <w:spacing w:line="360" w:lineRule="auto"/>
              <w:rPr>
                <w:color w:val="000000"/>
                <w:sz w:val="24"/>
                <w:highlight w:val="none"/>
              </w:rPr>
            </w:pPr>
            <w:r>
              <w:rPr>
                <w:color w:val="000000"/>
                <w:sz w:val="24"/>
                <w:highlight w:val="none"/>
              </w:rPr>
            </w:r>
            <w:r/>
          </w:p>
        </w:tc>
        <w:tc>
          <w:tcPr>
            <w:tcW w:w="825" w:type="dxa"/>
            <w:vAlign w:val="center"/>
            <w:textDirection w:val="lrTb"/>
            <w:noWrap w:val="false"/>
          </w:tcPr>
          <w:p>
            <w:pPr>
              <w:jc w:val="center"/>
              <w:spacing w:line="360" w:lineRule="auto"/>
              <w:rPr>
                <w:color w:val="000000"/>
                <w:sz w:val="24"/>
                <w:highlight w:val="none"/>
              </w:rPr>
            </w:pPr>
            <w:r>
              <w:rPr>
                <w:color w:val="000000"/>
                <w:sz w:val="24"/>
                <w:highlight w:val="none"/>
              </w:rPr>
            </w:r>
            <w:r/>
          </w:p>
        </w:tc>
      </w:tr>
      <w:tr>
        <w:trPr>
          <w:cantSplit/>
          <w:jc w:val="center"/>
          <w:trHeight w:val="495"/>
        </w:trPr>
        <w:tc>
          <w:tcPr>
            <w:tcW w:w="645" w:type="dxa"/>
            <w:vAlign w:val="center"/>
            <w:textDirection w:val="lrTb"/>
            <w:noWrap w:val="false"/>
          </w:tcPr>
          <w:p>
            <w:pPr>
              <w:jc w:val="center"/>
              <w:spacing w:line="360" w:lineRule="auto"/>
              <w:rPr>
                <w:color w:val="000000"/>
                <w:sz w:val="24"/>
                <w:highlight w:val="none"/>
              </w:rPr>
            </w:pPr>
            <w:r>
              <w:rPr>
                <w:color w:val="000000"/>
                <w:sz w:val="24"/>
                <w:highlight w:val="none"/>
              </w:rPr>
            </w:r>
            <w:r/>
          </w:p>
        </w:tc>
        <w:tc>
          <w:tcPr>
            <w:tcW w:w="1839" w:type="dxa"/>
            <w:vAlign w:val="center"/>
            <w:textDirection w:val="lrTb"/>
            <w:noWrap w:val="false"/>
          </w:tcPr>
          <w:p>
            <w:pPr>
              <w:spacing w:line="360" w:lineRule="auto"/>
              <w:rPr>
                <w:color w:val="000000"/>
                <w:sz w:val="24"/>
                <w:highlight w:val="none"/>
              </w:rPr>
            </w:pPr>
            <w:r>
              <w:rPr>
                <w:color w:val="000000"/>
                <w:sz w:val="24"/>
                <w:highlight w:val="none"/>
              </w:rPr>
            </w:r>
            <w:r/>
          </w:p>
        </w:tc>
        <w:tc>
          <w:tcPr>
            <w:tcW w:w="1332" w:type="dxa"/>
            <w:vAlign w:val="center"/>
            <w:textDirection w:val="lrTb"/>
            <w:noWrap w:val="false"/>
          </w:tcPr>
          <w:p>
            <w:pPr>
              <w:spacing w:line="360" w:lineRule="auto"/>
              <w:rPr>
                <w:color w:val="000000"/>
                <w:sz w:val="24"/>
                <w:highlight w:val="none"/>
              </w:rPr>
            </w:pPr>
            <w:r>
              <w:rPr>
                <w:color w:val="000000"/>
                <w:sz w:val="24"/>
                <w:highlight w:val="none"/>
              </w:rPr>
            </w:r>
            <w:r/>
          </w:p>
        </w:tc>
        <w:tc>
          <w:tcPr>
            <w:tcW w:w="980" w:type="dxa"/>
            <w:vAlign w:val="center"/>
            <w:textDirection w:val="lrTb"/>
            <w:noWrap w:val="false"/>
          </w:tcPr>
          <w:p>
            <w:pPr>
              <w:spacing w:line="360" w:lineRule="auto"/>
              <w:rPr>
                <w:color w:val="000000"/>
                <w:sz w:val="24"/>
                <w:highlight w:val="none"/>
              </w:rPr>
            </w:pPr>
            <w:r>
              <w:rPr>
                <w:color w:val="000000"/>
                <w:sz w:val="24"/>
                <w:highlight w:val="none"/>
              </w:rPr>
            </w:r>
            <w:r/>
          </w:p>
        </w:tc>
        <w:tc>
          <w:tcPr>
            <w:tcW w:w="939" w:type="dxa"/>
            <w:vAlign w:val="center"/>
            <w:textDirection w:val="lrTb"/>
            <w:noWrap w:val="false"/>
          </w:tcPr>
          <w:p>
            <w:pPr>
              <w:spacing w:line="360" w:lineRule="auto"/>
              <w:rPr>
                <w:color w:val="000000"/>
                <w:sz w:val="24"/>
                <w:highlight w:val="none"/>
              </w:rPr>
            </w:pPr>
            <w:r>
              <w:rPr>
                <w:color w:val="000000"/>
                <w:sz w:val="24"/>
                <w:highlight w:val="none"/>
              </w:rPr>
            </w:r>
            <w:r/>
          </w:p>
        </w:tc>
        <w:tc>
          <w:tcPr>
            <w:tcW w:w="997" w:type="dxa"/>
            <w:vAlign w:val="center"/>
            <w:textDirection w:val="lrTb"/>
            <w:noWrap w:val="false"/>
          </w:tcPr>
          <w:p>
            <w:pPr>
              <w:spacing w:line="360" w:lineRule="auto"/>
              <w:rPr>
                <w:color w:val="000000"/>
                <w:sz w:val="24"/>
                <w:highlight w:val="none"/>
              </w:rPr>
            </w:pPr>
            <w:r>
              <w:rPr>
                <w:color w:val="000000"/>
                <w:sz w:val="24"/>
                <w:highlight w:val="none"/>
              </w:rPr>
            </w:r>
            <w:r/>
          </w:p>
        </w:tc>
        <w:tc>
          <w:tcPr>
            <w:tcW w:w="824" w:type="dxa"/>
            <w:vAlign w:val="center"/>
            <w:textDirection w:val="lrTb"/>
            <w:noWrap w:val="false"/>
          </w:tcPr>
          <w:p>
            <w:pPr>
              <w:jc w:val="center"/>
              <w:spacing w:line="360" w:lineRule="auto"/>
              <w:rPr>
                <w:color w:val="000000"/>
                <w:sz w:val="24"/>
                <w:highlight w:val="none"/>
              </w:rPr>
            </w:pPr>
            <w:r>
              <w:rPr>
                <w:color w:val="000000"/>
                <w:sz w:val="24"/>
                <w:highlight w:val="none"/>
              </w:rPr>
            </w:r>
            <w:r/>
          </w:p>
        </w:tc>
        <w:tc>
          <w:tcPr>
            <w:tcW w:w="825" w:type="dxa"/>
            <w:vAlign w:val="center"/>
            <w:textDirection w:val="lrTb"/>
            <w:noWrap w:val="false"/>
          </w:tcPr>
          <w:p>
            <w:pPr>
              <w:jc w:val="center"/>
              <w:spacing w:line="360" w:lineRule="auto"/>
              <w:rPr>
                <w:color w:val="000000"/>
                <w:sz w:val="24"/>
                <w:highlight w:val="none"/>
              </w:rPr>
            </w:pPr>
            <w:r>
              <w:rPr>
                <w:color w:val="000000"/>
                <w:sz w:val="24"/>
                <w:highlight w:val="none"/>
              </w:rPr>
            </w:r>
            <w:r/>
          </w:p>
        </w:tc>
      </w:tr>
      <w:tr>
        <w:trPr>
          <w:cantSplit/>
          <w:jc w:val="center"/>
          <w:trHeight w:val="495"/>
        </w:trPr>
        <w:tc>
          <w:tcPr>
            <w:tcW w:w="645" w:type="dxa"/>
            <w:vAlign w:val="center"/>
            <w:textDirection w:val="lrTb"/>
            <w:noWrap w:val="false"/>
          </w:tcPr>
          <w:p>
            <w:pPr>
              <w:jc w:val="center"/>
              <w:spacing w:line="360" w:lineRule="auto"/>
              <w:rPr>
                <w:color w:val="000000"/>
                <w:sz w:val="24"/>
                <w:highlight w:val="none"/>
              </w:rPr>
            </w:pPr>
            <w:r>
              <w:rPr>
                <w:color w:val="000000"/>
                <w:sz w:val="24"/>
                <w:highlight w:val="none"/>
              </w:rPr>
            </w:r>
            <w:r/>
          </w:p>
        </w:tc>
        <w:tc>
          <w:tcPr>
            <w:tcW w:w="1839" w:type="dxa"/>
            <w:vAlign w:val="center"/>
            <w:textDirection w:val="lrTb"/>
            <w:noWrap w:val="false"/>
          </w:tcPr>
          <w:p>
            <w:pPr>
              <w:spacing w:line="360" w:lineRule="auto"/>
              <w:rPr>
                <w:color w:val="000000"/>
                <w:sz w:val="24"/>
                <w:highlight w:val="none"/>
              </w:rPr>
            </w:pPr>
            <w:r>
              <w:rPr>
                <w:color w:val="000000"/>
                <w:sz w:val="24"/>
                <w:highlight w:val="none"/>
              </w:rPr>
            </w:r>
            <w:r/>
          </w:p>
        </w:tc>
        <w:tc>
          <w:tcPr>
            <w:tcW w:w="1332" w:type="dxa"/>
            <w:vAlign w:val="center"/>
            <w:textDirection w:val="lrTb"/>
            <w:noWrap w:val="false"/>
          </w:tcPr>
          <w:p>
            <w:pPr>
              <w:spacing w:line="360" w:lineRule="auto"/>
              <w:rPr>
                <w:color w:val="000000"/>
                <w:sz w:val="24"/>
                <w:highlight w:val="none"/>
              </w:rPr>
            </w:pPr>
            <w:r>
              <w:rPr>
                <w:color w:val="000000"/>
                <w:sz w:val="24"/>
                <w:highlight w:val="none"/>
              </w:rPr>
            </w:r>
            <w:r/>
          </w:p>
        </w:tc>
        <w:tc>
          <w:tcPr>
            <w:tcW w:w="980" w:type="dxa"/>
            <w:vAlign w:val="center"/>
            <w:textDirection w:val="lrTb"/>
            <w:noWrap w:val="false"/>
          </w:tcPr>
          <w:p>
            <w:pPr>
              <w:spacing w:line="360" w:lineRule="auto"/>
              <w:rPr>
                <w:color w:val="000000"/>
                <w:sz w:val="24"/>
                <w:highlight w:val="none"/>
              </w:rPr>
            </w:pPr>
            <w:r>
              <w:rPr>
                <w:color w:val="000000"/>
                <w:sz w:val="24"/>
                <w:highlight w:val="none"/>
              </w:rPr>
            </w:r>
            <w:r/>
          </w:p>
        </w:tc>
        <w:tc>
          <w:tcPr>
            <w:tcW w:w="939" w:type="dxa"/>
            <w:vAlign w:val="center"/>
            <w:textDirection w:val="lrTb"/>
            <w:noWrap w:val="false"/>
          </w:tcPr>
          <w:p>
            <w:pPr>
              <w:spacing w:line="360" w:lineRule="auto"/>
              <w:rPr>
                <w:color w:val="000000"/>
                <w:sz w:val="24"/>
                <w:highlight w:val="none"/>
              </w:rPr>
            </w:pPr>
            <w:r>
              <w:rPr>
                <w:color w:val="000000"/>
                <w:sz w:val="24"/>
                <w:highlight w:val="none"/>
              </w:rPr>
            </w:r>
            <w:r/>
          </w:p>
        </w:tc>
        <w:tc>
          <w:tcPr>
            <w:tcW w:w="997" w:type="dxa"/>
            <w:vAlign w:val="center"/>
            <w:textDirection w:val="lrTb"/>
            <w:noWrap w:val="false"/>
          </w:tcPr>
          <w:p>
            <w:pPr>
              <w:spacing w:line="360" w:lineRule="auto"/>
              <w:rPr>
                <w:color w:val="000000"/>
                <w:sz w:val="24"/>
                <w:highlight w:val="none"/>
              </w:rPr>
            </w:pPr>
            <w:r>
              <w:rPr>
                <w:color w:val="000000"/>
                <w:sz w:val="24"/>
                <w:highlight w:val="none"/>
              </w:rPr>
            </w:r>
            <w:r/>
          </w:p>
        </w:tc>
        <w:tc>
          <w:tcPr>
            <w:tcW w:w="824" w:type="dxa"/>
            <w:vAlign w:val="center"/>
            <w:textDirection w:val="lrTb"/>
            <w:noWrap w:val="false"/>
          </w:tcPr>
          <w:p>
            <w:pPr>
              <w:jc w:val="center"/>
              <w:spacing w:line="360" w:lineRule="auto"/>
              <w:rPr>
                <w:color w:val="000000"/>
                <w:sz w:val="24"/>
                <w:highlight w:val="none"/>
              </w:rPr>
            </w:pPr>
            <w:r>
              <w:rPr>
                <w:color w:val="000000"/>
                <w:sz w:val="24"/>
                <w:highlight w:val="none"/>
              </w:rPr>
            </w:r>
            <w:r/>
          </w:p>
        </w:tc>
        <w:tc>
          <w:tcPr>
            <w:tcW w:w="825" w:type="dxa"/>
            <w:vAlign w:val="center"/>
            <w:textDirection w:val="lrTb"/>
            <w:noWrap w:val="false"/>
          </w:tcPr>
          <w:p>
            <w:pPr>
              <w:jc w:val="center"/>
              <w:spacing w:line="360" w:lineRule="auto"/>
              <w:rPr>
                <w:color w:val="000000"/>
                <w:sz w:val="24"/>
                <w:highlight w:val="none"/>
              </w:rPr>
            </w:pPr>
            <w:r>
              <w:rPr>
                <w:color w:val="000000"/>
                <w:sz w:val="24"/>
                <w:highlight w:val="none"/>
              </w:rPr>
            </w:r>
            <w:r/>
          </w:p>
        </w:tc>
      </w:tr>
      <w:tr>
        <w:trPr>
          <w:cantSplit/>
          <w:jc w:val="center"/>
          <w:trHeight w:val="495"/>
        </w:trPr>
        <w:tc>
          <w:tcPr>
            <w:gridSpan w:val="8"/>
            <w:tcW w:w="8381" w:type="dxa"/>
            <w:vAlign w:val="center"/>
            <w:textDirection w:val="lrTb"/>
            <w:noWrap w:val="false"/>
          </w:tcPr>
          <w:p>
            <w:pPr>
              <w:spacing w:line="360" w:lineRule="auto"/>
              <w:rPr>
                <w:color w:val="000000"/>
                <w:sz w:val="24"/>
                <w:highlight w:val="none"/>
              </w:rPr>
            </w:pPr>
            <w:r>
              <w:rPr>
                <w:color w:val="000000"/>
                <w:sz w:val="24"/>
                <w:highlight w:val="none"/>
              </w:rPr>
              <w:t xml:space="preserve">合计：   人数</w:t>
            </w:r>
            <w:r/>
          </w:p>
        </w:tc>
      </w:tr>
    </w:tbl>
    <w:p>
      <w:pPr>
        <w:pStyle w:val="1139"/>
        <w:spacing w:line="360" w:lineRule="auto"/>
        <w:rPr>
          <w:rFonts w:ascii="Times New Roman" w:hAnsi="Times New Roman" w:eastAsia="宋体"/>
          <w:b/>
          <w:color w:val="000000"/>
          <w:sz w:val="24"/>
          <w:highlight w:val="none"/>
        </w:rPr>
      </w:pPr>
      <w:r>
        <w:rPr>
          <w:rFonts w:ascii="Times New Roman" w:hAnsi="Times New Roman" w:eastAsia="宋体"/>
          <w:b/>
          <w:color w:val="000000"/>
          <w:sz w:val="24"/>
          <w:highlight w:val="none"/>
        </w:rPr>
        <w:t xml:space="preserve">备注：证明材料需提供项目组人员的学历证书、职称证书的证明材料。</w:t>
      </w:r>
      <w:r/>
    </w:p>
    <w:p>
      <w:pPr>
        <w:pStyle w:val="1139"/>
        <w:spacing w:line="360" w:lineRule="auto"/>
        <w:rPr>
          <w:rFonts w:ascii="Times New Roman" w:hAnsi="Times New Roman" w:eastAsia="宋体"/>
          <w:color w:val="000000"/>
          <w:sz w:val="24"/>
          <w:highlight w:val="none"/>
        </w:rPr>
      </w:pPr>
      <w:r>
        <w:rPr>
          <w:rFonts w:ascii="Times New Roman" w:hAnsi="Times New Roman" w:eastAsia="宋体"/>
          <w:color w:val="000000"/>
          <w:sz w:val="24"/>
          <w:highlight w:val="none"/>
        </w:rPr>
        <w:t xml:space="preserve">投标人：（公章）</w:t>
      </w:r>
      <w:r/>
    </w:p>
    <w:p>
      <w:pPr>
        <w:spacing w:line="360" w:lineRule="auto"/>
        <w:rPr>
          <w:b/>
          <w:bCs/>
          <w:color w:val="000000"/>
          <w:sz w:val="24"/>
          <w:highlight w:val="none"/>
        </w:rPr>
      </w:pPr>
      <w:r>
        <w:rPr>
          <w:color w:val="000000"/>
          <w:sz w:val="24"/>
          <w:highlight w:val="none"/>
        </w:rPr>
        <w:t xml:space="preserve">法定代表人或被授权人：（签字或盖章）                   年  月  日</w:t>
      </w:r>
      <w:r/>
    </w:p>
    <w:p>
      <w:pPr>
        <w:rPr>
          <w:b/>
          <w:color w:val="000000"/>
          <w:sz w:val="24"/>
          <w:highlight w:val="none"/>
        </w:rPr>
      </w:pPr>
      <w:r>
        <w:rPr>
          <w:b/>
          <w:color w:val="000000"/>
          <w:sz w:val="24"/>
          <w:highlight w:val="none"/>
        </w:rPr>
      </w:r>
      <w:r/>
    </w:p>
    <w:p>
      <w:pPr>
        <w:widowControl/>
        <w:rPr>
          <w:b/>
          <w:color w:val="auto"/>
          <w:sz w:val="24"/>
          <w:highlight w:val="none"/>
        </w:rPr>
      </w:pPr>
      <w:r>
        <w:rPr>
          <w:b/>
          <w:color w:val="000000"/>
          <w:sz w:val="24"/>
          <w:highlight w:val="none"/>
        </w:rPr>
        <w:br w:type="page" w:clear="all"/>
      </w:r>
      <w:r>
        <w:rPr>
          <w:b/>
          <w:color w:val="auto"/>
          <w:sz w:val="24"/>
          <w:highlight w:val="none"/>
        </w:rPr>
        <w:t xml:space="preserve">附件</w:t>
      </w:r>
      <w:r>
        <w:rPr>
          <w:rFonts w:hint="eastAsia"/>
          <w:b/>
          <w:color w:val="auto"/>
          <w:sz w:val="24"/>
          <w:highlight w:val="none"/>
        </w:rPr>
        <w:t xml:space="preserve">1</w:t>
      </w:r>
      <w:r>
        <w:rPr>
          <w:rFonts w:hint="eastAsia"/>
          <w:b/>
          <w:color w:val="auto"/>
          <w:sz w:val="24"/>
          <w:highlight w:val="none"/>
          <w:lang w:val="en-US" w:eastAsia="zh-CN"/>
        </w:rPr>
        <w:t xml:space="preserve">2</w:t>
      </w:r>
      <w:r>
        <w:rPr>
          <w:rFonts w:hint="eastAsia"/>
          <w:b/>
          <w:color w:val="auto"/>
          <w:sz w:val="24"/>
          <w:highlight w:val="none"/>
        </w:rPr>
        <w:t xml:space="preserve">：</w:t>
      </w:r>
      <w:r/>
    </w:p>
    <w:p>
      <w:pPr>
        <w:jc w:val="center"/>
        <w:spacing w:line="360" w:lineRule="auto"/>
        <w:tabs>
          <w:tab w:val="left" w:pos="1320" w:leader="none"/>
        </w:tabs>
        <w:rPr>
          <w:rFonts w:ascii="宋体" w:hAnsi="宋体"/>
          <w:b/>
          <w:color w:val="auto"/>
          <w:sz w:val="24"/>
          <w:highlight w:val="none"/>
        </w:rPr>
      </w:pPr>
      <w:r>
        <w:rPr>
          <w:rFonts w:hint="eastAsia" w:ascii="宋体" w:hAnsi="宋体"/>
          <w:b/>
          <w:color w:val="auto"/>
          <w:sz w:val="24"/>
          <w:highlight w:val="none"/>
        </w:rPr>
        <w:t xml:space="preserve">针对本项目的技术方案及制度</w:t>
      </w:r>
      <w:r/>
    </w:p>
    <w:tbl>
      <w:tblPr>
        <w:tblStyle w:val="915"/>
        <w:tblpPr w:horzAnchor="page" w:tblpX="969" w:vertAnchor="text" w:tblpY="751" w:leftFromText="180" w:topFromText="0" w:rightFromText="180" w:bottomFromText="0"/>
        <w:tblW w:w="987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提示：</w:t>
            </w:r>
            <w:r/>
          </w:p>
          <w:p>
            <w:pPr>
              <w:jc w:val="left"/>
              <w:rPr>
                <w:rFonts w:ascii="宋体" w:hAnsi="宋体"/>
                <w:color w:val="auto"/>
                <w:sz w:val="24"/>
                <w:highlight w:val="none"/>
              </w:rPr>
            </w:pPr>
            <w:r>
              <w:rPr>
                <w:rFonts w:hint="eastAsia" w:ascii="宋体" w:hAnsi="宋体"/>
                <w:color w:val="auto"/>
                <w:sz w:val="24"/>
                <w:highlight w:val="none"/>
              </w:rPr>
              <w:t xml:space="preserve">1、供应商应针对本次采购项目特点编写公司成交后拟采取的管理技术方案。</w:t>
            </w:r>
            <w:r/>
          </w:p>
          <w:p>
            <w:pPr>
              <w:jc w:val="left"/>
              <w:rPr>
                <w:rFonts w:ascii="宋体" w:hAnsi="宋体"/>
                <w:b/>
                <w:color w:val="auto"/>
                <w:sz w:val="24"/>
                <w:highlight w:val="none"/>
              </w:rPr>
            </w:pPr>
            <w:r>
              <w:rPr>
                <w:rFonts w:hint="eastAsia" w:ascii="宋体" w:hAnsi="宋体"/>
                <w:color w:val="auto"/>
                <w:sz w:val="24"/>
                <w:highlight w:val="none"/>
              </w:rPr>
              <w:t xml:space="preserve">2、供应商可根据自身情况编写，本页不够可另加页附后。</w:t>
            </w:r>
            <w:r/>
          </w:p>
        </w:tc>
      </w:tr>
      <w:tr>
        <w:trPr>
          <w:trHeight w:val="9719"/>
        </w:trPr>
        <w:tc>
          <w:tcPr>
            <w:tcW w:w="9874" w:type="dxa"/>
            <w:textDirection w:val="lrTb"/>
            <w:noWrap w:val="false"/>
          </w:tcPr>
          <w:p>
            <w:pPr>
              <w:jc w:val="left"/>
              <w:rPr>
                <w:rFonts w:ascii="宋体" w:hAnsi="宋体"/>
                <w:b/>
                <w:color w:val="auto"/>
                <w:sz w:val="24"/>
                <w:highlight w:val="none"/>
              </w:rPr>
            </w:pPr>
            <w:r>
              <w:rPr>
                <w:rFonts w:ascii="宋体" w:hAnsi="宋体"/>
                <w:b/>
                <w:color w:val="auto"/>
                <w:sz w:val="24"/>
                <w:highlight w:val="none"/>
              </w:rPr>
            </w:r>
            <w:r/>
          </w:p>
          <w:p>
            <w:pPr>
              <w:jc w:val="left"/>
              <w:rPr>
                <w:rFonts w:ascii="宋体" w:hAnsi="宋体"/>
                <w:b/>
                <w:color w:val="auto"/>
                <w:sz w:val="24"/>
                <w:highlight w:val="none"/>
              </w:rPr>
            </w:pPr>
            <w:r>
              <w:rPr>
                <w:rFonts w:ascii="宋体" w:hAnsi="宋体"/>
                <w:b/>
                <w:color w:val="auto"/>
                <w:sz w:val="24"/>
                <w:highlight w:val="none"/>
              </w:rPr>
            </w:r>
            <w:r/>
          </w:p>
          <w:p>
            <w:pPr>
              <w:jc w:val="left"/>
              <w:rPr>
                <w:rFonts w:ascii="宋体" w:hAnsi="宋体"/>
                <w:b/>
                <w:color w:val="auto"/>
                <w:sz w:val="24"/>
                <w:highlight w:val="none"/>
              </w:rPr>
            </w:pPr>
            <w:r>
              <w:rPr>
                <w:rFonts w:ascii="宋体" w:hAnsi="宋体"/>
                <w:b/>
                <w:color w:val="auto"/>
                <w:sz w:val="24"/>
                <w:highlight w:val="none"/>
              </w:rPr>
            </w:r>
            <w:r/>
          </w:p>
          <w:p>
            <w:pPr>
              <w:jc w:val="left"/>
              <w:rPr>
                <w:rFonts w:ascii="宋体" w:hAnsi="宋体"/>
                <w:b/>
                <w:color w:val="auto"/>
                <w:sz w:val="24"/>
                <w:highlight w:val="none"/>
              </w:rPr>
            </w:pPr>
            <w:r>
              <w:rPr>
                <w:rFonts w:ascii="宋体" w:hAnsi="宋体"/>
                <w:b/>
                <w:color w:val="auto"/>
                <w:sz w:val="24"/>
                <w:highlight w:val="none"/>
              </w:rPr>
            </w:r>
            <w:r/>
          </w:p>
          <w:p>
            <w:pPr>
              <w:jc w:val="left"/>
              <w:rPr>
                <w:rFonts w:ascii="宋体" w:hAnsi="宋体"/>
                <w:b/>
                <w:color w:val="auto"/>
                <w:sz w:val="24"/>
                <w:highlight w:val="none"/>
              </w:rPr>
            </w:pPr>
            <w:r>
              <w:rPr>
                <w:rFonts w:ascii="宋体" w:hAnsi="宋体"/>
                <w:b/>
                <w:color w:val="auto"/>
                <w:sz w:val="24"/>
                <w:highlight w:val="none"/>
              </w:rPr>
            </w:r>
            <w:r/>
          </w:p>
          <w:p>
            <w:pPr>
              <w:jc w:val="left"/>
              <w:rPr>
                <w:rFonts w:ascii="宋体" w:hAnsi="宋体"/>
                <w:b/>
                <w:color w:val="auto"/>
                <w:sz w:val="24"/>
                <w:highlight w:val="none"/>
              </w:rPr>
            </w:pPr>
            <w:r>
              <w:rPr>
                <w:rFonts w:ascii="宋体" w:hAnsi="宋体"/>
                <w:b/>
                <w:color w:val="auto"/>
                <w:sz w:val="24"/>
                <w:highlight w:val="none"/>
              </w:rPr>
            </w:r>
            <w:r/>
          </w:p>
          <w:p>
            <w:pPr>
              <w:jc w:val="left"/>
              <w:rPr>
                <w:rFonts w:ascii="宋体" w:hAnsi="宋体"/>
                <w:b/>
                <w:color w:val="auto"/>
                <w:sz w:val="24"/>
                <w:highlight w:val="none"/>
              </w:rPr>
            </w:pPr>
            <w:r>
              <w:rPr>
                <w:rFonts w:ascii="宋体" w:hAnsi="宋体"/>
                <w:b/>
                <w:color w:val="auto"/>
                <w:sz w:val="24"/>
                <w:highlight w:val="none"/>
              </w:rPr>
            </w:r>
            <w:r/>
          </w:p>
          <w:p>
            <w:pPr>
              <w:jc w:val="left"/>
              <w:rPr>
                <w:rFonts w:ascii="宋体" w:hAnsi="宋体"/>
                <w:b/>
                <w:color w:val="auto"/>
                <w:sz w:val="24"/>
                <w:highlight w:val="none"/>
              </w:rPr>
            </w:pPr>
            <w:r>
              <w:rPr>
                <w:rFonts w:ascii="宋体" w:hAnsi="宋体"/>
                <w:b/>
                <w:color w:val="auto"/>
                <w:sz w:val="24"/>
                <w:highlight w:val="none"/>
              </w:rPr>
            </w:r>
            <w:r/>
          </w:p>
          <w:p>
            <w:pPr>
              <w:jc w:val="left"/>
              <w:rPr>
                <w:rFonts w:ascii="宋体" w:hAnsi="宋体"/>
                <w:b/>
                <w:color w:val="auto"/>
                <w:sz w:val="24"/>
                <w:highlight w:val="none"/>
              </w:rPr>
            </w:pPr>
            <w:r>
              <w:rPr>
                <w:rFonts w:ascii="宋体" w:hAnsi="宋体"/>
                <w:b/>
                <w:color w:val="auto"/>
                <w:sz w:val="24"/>
                <w:highlight w:val="none"/>
              </w:rPr>
            </w:r>
            <w:r/>
          </w:p>
          <w:p>
            <w:pPr>
              <w:jc w:val="left"/>
              <w:rPr>
                <w:rFonts w:ascii="宋体" w:hAnsi="宋体"/>
                <w:b/>
                <w:color w:val="auto"/>
                <w:sz w:val="24"/>
                <w:highlight w:val="none"/>
              </w:rPr>
            </w:pPr>
            <w:r>
              <w:rPr>
                <w:rFonts w:ascii="宋体" w:hAnsi="宋体"/>
                <w:b/>
                <w:color w:val="auto"/>
                <w:sz w:val="24"/>
                <w:highlight w:val="none"/>
              </w:rPr>
            </w:r>
            <w:r/>
          </w:p>
          <w:p>
            <w:pPr>
              <w:jc w:val="left"/>
              <w:rPr>
                <w:rFonts w:ascii="宋体" w:hAnsi="宋体"/>
                <w:b/>
                <w:color w:val="auto"/>
                <w:sz w:val="24"/>
                <w:highlight w:val="none"/>
              </w:rPr>
            </w:pPr>
            <w:r>
              <w:rPr>
                <w:rFonts w:ascii="宋体" w:hAnsi="宋体"/>
                <w:b/>
                <w:color w:val="auto"/>
                <w:sz w:val="24"/>
                <w:highlight w:val="none"/>
              </w:rPr>
            </w:r>
            <w:r/>
          </w:p>
          <w:p>
            <w:pPr>
              <w:jc w:val="left"/>
              <w:rPr>
                <w:rFonts w:ascii="宋体" w:hAnsi="宋体"/>
                <w:b/>
                <w:color w:val="auto"/>
                <w:sz w:val="24"/>
                <w:highlight w:val="none"/>
              </w:rPr>
            </w:pPr>
            <w:r>
              <w:rPr>
                <w:rFonts w:ascii="宋体" w:hAnsi="宋体"/>
                <w:b/>
                <w:color w:val="auto"/>
                <w:sz w:val="24"/>
                <w:highlight w:val="none"/>
              </w:rPr>
            </w:r>
            <w:r/>
          </w:p>
          <w:p>
            <w:pPr>
              <w:jc w:val="left"/>
              <w:rPr>
                <w:rFonts w:ascii="宋体" w:hAnsi="宋体"/>
                <w:b/>
                <w:color w:val="auto"/>
                <w:sz w:val="24"/>
                <w:highlight w:val="none"/>
              </w:rPr>
            </w:pPr>
            <w:r>
              <w:rPr>
                <w:rFonts w:ascii="宋体" w:hAnsi="宋体"/>
                <w:b/>
                <w:color w:val="auto"/>
                <w:sz w:val="24"/>
                <w:highlight w:val="none"/>
              </w:rPr>
            </w:r>
            <w:r/>
          </w:p>
          <w:p>
            <w:pPr>
              <w:jc w:val="left"/>
              <w:rPr>
                <w:rFonts w:ascii="宋体" w:hAnsi="宋体"/>
                <w:b/>
                <w:color w:val="auto"/>
                <w:sz w:val="24"/>
                <w:highlight w:val="none"/>
              </w:rPr>
            </w:pPr>
            <w:r>
              <w:rPr>
                <w:rFonts w:ascii="宋体" w:hAnsi="宋体"/>
                <w:b/>
                <w:color w:val="auto"/>
                <w:sz w:val="24"/>
                <w:highlight w:val="none"/>
              </w:rPr>
            </w:r>
            <w:r/>
          </w:p>
          <w:p>
            <w:pPr>
              <w:jc w:val="left"/>
              <w:rPr>
                <w:rFonts w:ascii="宋体" w:hAnsi="宋体"/>
                <w:b/>
                <w:color w:val="auto"/>
                <w:sz w:val="24"/>
                <w:highlight w:val="none"/>
              </w:rPr>
            </w:pPr>
            <w:r>
              <w:rPr>
                <w:rFonts w:ascii="宋体" w:hAnsi="宋体"/>
                <w:b/>
                <w:color w:val="auto"/>
                <w:sz w:val="24"/>
                <w:highlight w:val="none"/>
              </w:rPr>
            </w:r>
            <w:r/>
          </w:p>
          <w:p>
            <w:pPr>
              <w:jc w:val="left"/>
              <w:rPr>
                <w:rFonts w:ascii="宋体" w:hAnsi="宋体"/>
                <w:b/>
                <w:color w:val="auto"/>
                <w:sz w:val="24"/>
                <w:highlight w:val="none"/>
              </w:rPr>
            </w:pPr>
            <w:r>
              <w:rPr>
                <w:rFonts w:ascii="宋体" w:hAnsi="宋体"/>
                <w:b/>
                <w:color w:val="auto"/>
                <w:sz w:val="24"/>
                <w:highlight w:val="none"/>
              </w:rPr>
            </w:r>
            <w:r/>
          </w:p>
          <w:p>
            <w:pPr>
              <w:jc w:val="left"/>
              <w:rPr>
                <w:rFonts w:ascii="宋体" w:hAnsi="宋体"/>
                <w:b/>
                <w:color w:val="auto"/>
                <w:sz w:val="24"/>
                <w:highlight w:val="none"/>
              </w:rPr>
            </w:pPr>
            <w:r>
              <w:rPr>
                <w:rFonts w:ascii="宋体" w:hAnsi="宋体"/>
                <w:b/>
                <w:color w:val="auto"/>
                <w:sz w:val="24"/>
                <w:highlight w:val="none"/>
              </w:rPr>
            </w:r>
            <w:r/>
          </w:p>
          <w:p>
            <w:pPr>
              <w:jc w:val="left"/>
              <w:rPr>
                <w:rFonts w:ascii="宋体" w:hAnsi="宋体"/>
                <w:b/>
                <w:color w:val="auto"/>
                <w:sz w:val="24"/>
                <w:highlight w:val="none"/>
              </w:rPr>
            </w:pPr>
            <w:r>
              <w:rPr>
                <w:rFonts w:ascii="宋体" w:hAnsi="宋体"/>
                <w:b/>
                <w:color w:val="auto"/>
                <w:sz w:val="24"/>
                <w:highlight w:val="none"/>
              </w:rPr>
            </w:r>
            <w:r/>
          </w:p>
          <w:p>
            <w:pPr>
              <w:jc w:val="left"/>
              <w:rPr>
                <w:rFonts w:ascii="宋体" w:hAnsi="宋体"/>
                <w:b/>
                <w:color w:val="auto"/>
                <w:sz w:val="24"/>
                <w:highlight w:val="none"/>
              </w:rPr>
            </w:pPr>
            <w:r>
              <w:rPr>
                <w:rFonts w:ascii="宋体" w:hAnsi="宋体"/>
                <w:b/>
                <w:color w:val="auto"/>
                <w:sz w:val="24"/>
                <w:highlight w:val="none"/>
              </w:rPr>
            </w:r>
            <w:r/>
          </w:p>
          <w:p>
            <w:pPr>
              <w:jc w:val="left"/>
              <w:rPr>
                <w:rFonts w:ascii="宋体" w:hAnsi="宋体"/>
                <w:b/>
                <w:color w:val="auto"/>
                <w:sz w:val="24"/>
                <w:highlight w:val="none"/>
              </w:rPr>
            </w:pPr>
            <w:r>
              <w:rPr>
                <w:rFonts w:ascii="宋体" w:hAnsi="宋体"/>
                <w:b/>
                <w:color w:val="auto"/>
                <w:sz w:val="24"/>
                <w:highlight w:val="none"/>
              </w:rPr>
            </w:r>
            <w:r/>
          </w:p>
          <w:p>
            <w:pPr>
              <w:jc w:val="left"/>
              <w:rPr>
                <w:rFonts w:ascii="宋体" w:hAnsi="宋体"/>
                <w:b/>
                <w:color w:val="auto"/>
                <w:sz w:val="24"/>
                <w:highlight w:val="none"/>
              </w:rPr>
            </w:pPr>
            <w:r>
              <w:rPr>
                <w:rFonts w:ascii="宋体" w:hAnsi="宋体"/>
                <w:b/>
                <w:color w:val="auto"/>
                <w:sz w:val="24"/>
                <w:highlight w:val="none"/>
              </w:rPr>
            </w:r>
            <w:r/>
          </w:p>
          <w:p>
            <w:pPr>
              <w:jc w:val="left"/>
              <w:rPr>
                <w:rFonts w:ascii="宋体" w:hAnsi="宋体"/>
                <w:b/>
                <w:color w:val="auto"/>
                <w:sz w:val="24"/>
                <w:highlight w:val="none"/>
              </w:rPr>
            </w:pPr>
            <w:r>
              <w:rPr>
                <w:rFonts w:ascii="宋体" w:hAnsi="宋体"/>
                <w:b/>
                <w:color w:val="auto"/>
                <w:sz w:val="24"/>
                <w:highlight w:val="none"/>
              </w:rPr>
            </w:r>
            <w:r/>
          </w:p>
          <w:p>
            <w:pPr>
              <w:jc w:val="left"/>
              <w:rPr>
                <w:rFonts w:ascii="宋体" w:hAnsi="宋体"/>
                <w:b/>
                <w:color w:val="auto"/>
                <w:sz w:val="24"/>
                <w:highlight w:val="none"/>
              </w:rPr>
            </w:pPr>
            <w:r>
              <w:rPr>
                <w:rFonts w:ascii="宋体" w:hAnsi="宋体"/>
                <w:b/>
                <w:color w:val="auto"/>
                <w:sz w:val="24"/>
                <w:highlight w:val="none"/>
              </w:rPr>
            </w:r>
            <w:r/>
          </w:p>
          <w:p>
            <w:pPr>
              <w:jc w:val="left"/>
              <w:rPr>
                <w:rFonts w:ascii="宋体" w:hAnsi="宋体"/>
                <w:b/>
                <w:color w:val="auto"/>
                <w:sz w:val="24"/>
                <w:highlight w:val="none"/>
              </w:rPr>
            </w:pPr>
            <w:r>
              <w:rPr>
                <w:rFonts w:ascii="宋体" w:hAnsi="宋体"/>
                <w:b/>
                <w:color w:val="auto"/>
                <w:sz w:val="24"/>
                <w:highlight w:val="none"/>
              </w:rPr>
            </w:r>
            <w:r/>
          </w:p>
          <w:p>
            <w:pPr>
              <w:jc w:val="left"/>
              <w:rPr>
                <w:rFonts w:ascii="宋体" w:hAnsi="宋体"/>
                <w:color w:val="auto"/>
                <w:sz w:val="24"/>
                <w:highlight w:val="none"/>
              </w:rPr>
            </w:pPr>
            <w:r>
              <w:rPr>
                <w:rFonts w:hint="eastAsia" w:ascii="宋体" w:hAnsi="宋体"/>
                <w:color w:val="auto"/>
                <w:sz w:val="24"/>
                <w:highlight w:val="none"/>
              </w:rPr>
              <w:t xml:space="preserve">        </w:t>
            </w:r>
            <w:r/>
          </w:p>
        </w:tc>
      </w:tr>
    </w:tbl>
    <w:p>
      <w:pPr>
        <w:ind w:right="-210"/>
        <w:jc w:val="center"/>
        <w:spacing w:line="360" w:lineRule="auto"/>
        <w:rPr>
          <w:rFonts w:ascii="宋体" w:hAnsi="宋体" w:cs="宋体"/>
          <w:color w:val="auto"/>
          <w:sz w:val="24"/>
          <w:highlight w:val="none"/>
          <w:lang w:val="zh-CN"/>
        </w:rPr>
      </w:pPr>
      <w:r>
        <w:rPr>
          <w:rFonts w:hint="eastAsia" w:ascii="宋体" w:hAnsi="宋体" w:cs="宋体"/>
          <w:color w:val="auto"/>
          <w:szCs w:val="21"/>
          <w:highlight w:val="none"/>
        </w:rPr>
        <w:t xml:space="preserve"> </w:t>
      </w:r>
      <w:r>
        <w:rPr>
          <w:rFonts w:ascii="宋体" w:hAnsi="宋体" w:cs="宋体"/>
          <w:color w:val="auto"/>
          <w:szCs w:val="21"/>
          <w:highlight w:val="none"/>
        </w:rPr>
        <w:t xml:space="preserve">                                </w:t>
      </w:r>
      <w:r>
        <w:rPr>
          <w:rFonts w:ascii="宋体" w:hAnsi="宋体" w:cs="宋体"/>
          <w:color w:val="auto"/>
          <w:sz w:val="24"/>
          <w:highlight w:val="none"/>
        </w:rPr>
        <w:t xml:space="preserve">        </w:t>
      </w:r>
      <w:r>
        <w:rPr>
          <w:rFonts w:hint="eastAsia" w:ascii="宋体" w:hAnsi="宋体" w:cs="宋体"/>
          <w:color w:val="auto"/>
          <w:sz w:val="24"/>
          <w:highlight w:val="none"/>
        </w:rPr>
        <w:t xml:space="preserve">  响应单位：（签章）</w:t>
      </w:r>
      <w:r>
        <w:rPr>
          <w:rFonts w:hint="eastAsia" w:ascii="宋体" w:hAnsi="宋体" w:cs="宋体"/>
          <w:color w:val="auto"/>
          <w:sz w:val="24"/>
          <w:highlight w:val="none"/>
          <w:lang w:val="zh-CN"/>
        </w:rPr>
        <w:t xml:space="preserve"> </w:t>
      </w:r>
      <w:r/>
    </w:p>
    <w:p>
      <w:pPr>
        <w:ind w:firstLine="210"/>
        <w:jc w:val="right"/>
        <w:spacing w:line="360" w:lineRule="auto"/>
        <w:widowControl/>
        <w:rPr>
          <w:rFonts w:ascii="宋体" w:hAnsi="宋体" w:cs="宋体"/>
          <w:color w:val="auto"/>
          <w:sz w:val="24"/>
          <w:highlight w:val="none"/>
          <w:lang w:val="zh-CN"/>
        </w:rPr>
      </w:pPr>
      <w:r>
        <w:rPr>
          <w:rFonts w:hint="eastAsia" w:ascii="宋体" w:hAnsi="宋体" w:cs="宋体"/>
          <w:color w:val="auto"/>
          <w:szCs w:val="21"/>
          <w:highlight w:val="none"/>
        </w:rPr>
        <w:t xml:space="preserve">  </w:t>
      </w:r>
      <w:r>
        <w:rPr>
          <w:rFonts w:hint="eastAsia" w:ascii="宋体" w:hAnsi="宋体" w:cs="宋体"/>
          <w:color w:val="auto"/>
          <w:sz w:val="24"/>
          <w:highlight w:val="none"/>
          <w:lang w:val="zh-CN"/>
        </w:rPr>
        <w:t xml:space="preserve">法定代表人或</w:t>
      </w:r>
      <w:r>
        <w:rPr>
          <w:rFonts w:hint="eastAsia" w:ascii="宋体" w:hAnsi="宋体" w:cs="宋体"/>
          <w:color w:val="auto"/>
          <w:sz w:val="24"/>
          <w:highlight w:val="none"/>
        </w:rPr>
        <w:t xml:space="preserve">被授权</w:t>
      </w:r>
      <w:r>
        <w:rPr>
          <w:rFonts w:hint="eastAsia" w:ascii="宋体" w:hAnsi="宋体" w:cs="宋体"/>
          <w:color w:val="auto"/>
          <w:sz w:val="24"/>
          <w:highlight w:val="none"/>
          <w:lang w:val="zh-CN"/>
        </w:rPr>
        <w:t xml:space="preserve">人：（签字或盖章）</w:t>
      </w:r>
      <w:r/>
    </w:p>
    <w:p>
      <w:pPr>
        <w:ind w:right="615" w:firstLine="960"/>
        <w:jc w:val="right"/>
        <w:spacing w:line="400" w:lineRule="exact"/>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 日    期：     年</w:t>
      </w:r>
      <w:r>
        <w:rPr>
          <w:rFonts w:hint="eastAsia" w:ascii="宋体" w:hAnsi="宋体" w:cs="宋体"/>
          <w:color w:val="auto"/>
          <w:sz w:val="24"/>
          <w:highlight w:val="none"/>
        </w:rPr>
        <w:t xml:space="preserve">     </w:t>
      </w:r>
      <w:r>
        <w:rPr>
          <w:rFonts w:hint="eastAsia" w:ascii="宋体" w:hAnsi="宋体" w:cs="宋体"/>
          <w:color w:val="auto"/>
          <w:sz w:val="24"/>
          <w:highlight w:val="none"/>
          <w:lang w:val="zh-CN"/>
        </w:rPr>
        <w:t xml:space="preserve">月   </w:t>
      </w:r>
      <w:r>
        <w:rPr>
          <w:rFonts w:hint="eastAsia" w:ascii="宋体" w:hAnsi="宋体" w:cs="宋体"/>
          <w:color w:val="auto"/>
          <w:sz w:val="24"/>
          <w:highlight w:val="none"/>
        </w:rPr>
        <w:t xml:space="preserve"> </w:t>
      </w:r>
      <w:r>
        <w:rPr>
          <w:rFonts w:hint="eastAsia" w:ascii="宋体" w:hAnsi="宋体" w:cs="宋体"/>
          <w:color w:val="auto"/>
          <w:sz w:val="24"/>
          <w:highlight w:val="none"/>
          <w:lang w:val="zh-CN"/>
        </w:rPr>
        <w:t xml:space="preserve">日</w:t>
      </w:r>
      <w:r/>
    </w:p>
    <w:p>
      <w:pPr>
        <w:jc w:val="left"/>
        <w:widowControl/>
        <w:rPr>
          <w:rFonts w:ascii="宋体" w:hAnsi="宋体"/>
          <w:color w:val="auto"/>
          <w:sz w:val="24"/>
          <w:highlight w:val="none"/>
        </w:rPr>
      </w:pPr>
      <w:r>
        <w:rPr>
          <w:rFonts w:hint="eastAsia" w:ascii="宋体" w:hAnsi="宋体"/>
          <w:color w:val="auto"/>
          <w:sz w:val="24"/>
          <w:highlight w:val="none"/>
        </w:rPr>
        <w:t xml:space="preserve"> </w:t>
      </w:r>
      <w:r/>
    </w:p>
    <w:p>
      <w:pPr>
        <w:spacing w:after="120"/>
        <w:rPr>
          <w:rFonts w:ascii="Calibri" w:hAnsi="宋体"/>
          <w:color w:val="auto"/>
          <w:szCs w:val="21"/>
          <w:highlight w:val="none"/>
        </w:rPr>
      </w:pPr>
      <w:r>
        <w:rPr>
          <w:rFonts w:ascii="Calibri" w:hAnsi="宋体"/>
          <w:color w:val="auto"/>
          <w:szCs w:val="21"/>
          <w:highlight w:val="none"/>
        </w:rPr>
      </w:r>
      <w:r/>
    </w:p>
    <w:p>
      <w:pPr>
        <w:widowControl/>
        <w:rPr>
          <w:rFonts w:ascii="宋体" w:hAnsi="宋体"/>
          <w:b/>
          <w:color w:val="auto"/>
          <w:sz w:val="24"/>
          <w:highlight w:val="none"/>
        </w:rPr>
      </w:pPr>
      <w:r>
        <w:rPr>
          <w:rFonts w:ascii="宋体" w:hAnsi="宋体"/>
          <w:b/>
          <w:color w:val="auto"/>
          <w:sz w:val="24"/>
          <w:highlight w:val="none"/>
        </w:rPr>
        <w:t xml:space="preserve">附件</w:t>
      </w:r>
      <w:r>
        <w:rPr>
          <w:rFonts w:hint="eastAsia" w:ascii="宋体" w:hAnsi="宋体"/>
          <w:b/>
          <w:color w:val="auto"/>
          <w:sz w:val="24"/>
          <w:highlight w:val="none"/>
        </w:rPr>
        <w:t xml:space="preserve">1</w:t>
      </w:r>
      <w:r>
        <w:rPr>
          <w:rFonts w:hint="eastAsia" w:ascii="宋体" w:hAnsi="宋体"/>
          <w:b/>
          <w:color w:val="auto"/>
          <w:sz w:val="24"/>
          <w:highlight w:val="none"/>
          <w:lang w:val="en-US" w:eastAsia="zh-CN"/>
        </w:rPr>
        <w:t xml:space="preserve">3</w:t>
      </w:r>
      <w:r>
        <w:rPr>
          <w:rFonts w:hint="eastAsia" w:ascii="宋体" w:hAnsi="宋体"/>
          <w:b/>
          <w:color w:val="auto"/>
          <w:sz w:val="24"/>
          <w:highlight w:val="none"/>
        </w:rPr>
        <w:t xml:space="preserve">：</w:t>
      </w:r>
      <w:r/>
    </w:p>
    <w:p>
      <w:pPr>
        <w:rPr>
          <w:rFonts w:ascii="宋体" w:hAnsi="宋体" w:cs="宋体"/>
          <w:b/>
          <w:bCs/>
          <w:color w:val="auto"/>
          <w:sz w:val="24"/>
          <w:highlight w:val="none"/>
        </w:rPr>
      </w:pPr>
      <w:r>
        <w:rPr>
          <w:rFonts w:ascii="宋体" w:hAnsi="宋体" w:cs="宋体"/>
          <w:b/>
          <w:bCs/>
          <w:color w:val="auto"/>
          <w:sz w:val="24"/>
          <w:highlight w:val="none"/>
        </w:rPr>
      </w:r>
      <w:r/>
    </w:p>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相关业绩一览表</w:t>
      </w:r>
      <w:r/>
    </w:p>
    <w:p>
      <w:pPr>
        <w:jc w:val="center"/>
        <w:rPr>
          <w:rFonts w:ascii="宋体" w:hAnsi="宋体" w:cs="宋体"/>
          <w:b/>
          <w:bCs/>
          <w:color w:val="auto"/>
          <w:sz w:val="24"/>
          <w:highlight w:val="none"/>
        </w:rPr>
      </w:pPr>
      <w:r>
        <w:rPr>
          <w:rFonts w:ascii="宋体" w:hAnsi="宋体" w:cs="宋体"/>
          <w:b/>
          <w:bCs/>
          <w:color w:val="auto"/>
          <w:sz w:val="24"/>
          <w:highlight w:val="none"/>
        </w:rPr>
      </w:r>
      <w:r/>
    </w:p>
    <w:tbl>
      <w:tblPr>
        <w:tblStyle w:val="915"/>
        <w:tblW w:w="764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1622" w:type="dxa"/>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项目名称</w:t>
            </w:r>
            <w:r/>
          </w:p>
        </w:tc>
        <w:tc>
          <w:tcPr>
            <w:tcW w:w="1622" w:type="dxa"/>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合同期</w:t>
            </w:r>
            <w:r/>
          </w:p>
        </w:tc>
        <w:tc>
          <w:tcPr>
            <w:tcW w:w="1930" w:type="dxa"/>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合同金额</w:t>
            </w:r>
            <w:r/>
          </w:p>
        </w:tc>
        <w:tc>
          <w:tcPr>
            <w:tcW w:w="1467" w:type="dxa"/>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备注</w:t>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1</w:t>
            </w:r>
            <w:r/>
          </w:p>
        </w:tc>
        <w:tc>
          <w:tcPr>
            <w:tcW w:w="1622"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1622"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1930"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1467"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2</w:t>
            </w:r>
            <w:r/>
          </w:p>
        </w:tc>
        <w:tc>
          <w:tcPr>
            <w:tcW w:w="1622"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1622"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1930"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1467"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3</w:t>
            </w:r>
            <w:r/>
          </w:p>
        </w:tc>
        <w:tc>
          <w:tcPr>
            <w:tcW w:w="1622"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1622"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1930"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1467"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4</w:t>
            </w:r>
            <w:r/>
          </w:p>
        </w:tc>
        <w:tc>
          <w:tcPr>
            <w:tcW w:w="1622"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1622"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1930"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1467"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5</w:t>
            </w:r>
            <w:r/>
          </w:p>
        </w:tc>
        <w:tc>
          <w:tcPr>
            <w:tcW w:w="1622"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1622"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1930"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1467"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1622"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1622"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1930"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1467"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1622"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1622"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1930"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1467"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1622"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1622"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1930"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1467"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r>
    </w:tbl>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注：1.若事项较多，供应商可根据实际情况另纸说明。</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2.请将其他相关证明材料复印件加盖公章后附在本表后面。</w:t>
      </w:r>
      <w:r/>
    </w:p>
    <w:p>
      <w:pPr>
        <w:jc w:val="left"/>
        <w:spacing w:line="360" w:lineRule="auto"/>
        <w:rPr>
          <w:rFonts w:ascii="宋体" w:hAnsi="宋体" w:cs="宋体"/>
          <w:b/>
          <w:color w:val="auto"/>
          <w:sz w:val="24"/>
          <w:highlight w:val="none"/>
        </w:rPr>
      </w:pPr>
      <w:r>
        <w:rPr>
          <w:rFonts w:ascii="宋体" w:hAnsi="宋体" w:cs="宋体"/>
          <w:b/>
          <w:color w:val="auto"/>
          <w:sz w:val="24"/>
          <w:highlight w:val="none"/>
        </w:rPr>
      </w:r>
      <w:r/>
    </w:p>
    <w:p>
      <w:pPr>
        <w:ind w:right="-210"/>
        <w:jc w:val="center"/>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                                            响应单位：（签章）</w:t>
      </w:r>
      <w:r>
        <w:rPr>
          <w:rFonts w:hint="eastAsia" w:ascii="宋体" w:hAnsi="宋体" w:cs="宋体"/>
          <w:color w:val="auto"/>
          <w:sz w:val="24"/>
          <w:highlight w:val="none"/>
          <w:lang w:val="zh-CN"/>
        </w:rPr>
        <w:t xml:space="preserve"> </w:t>
      </w:r>
      <w:r/>
    </w:p>
    <w:p>
      <w:pPr>
        <w:ind w:firstLine="240"/>
        <w:jc w:val="right"/>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rPr>
        <w:t xml:space="preserve">  </w:t>
      </w:r>
      <w:r>
        <w:rPr>
          <w:rFonts w:hint="eastAsia" w:ascii="宋体" w:hAnsi="宋体" w:cs="宋体"/>
          <w:color w:val="auto"/>
          <w:sz w:val="24"/>
          <w:highlight w:val="none"/>
          <w:lang w:val="zh-CN"/>
        </w:rPr>
        <w:t xml:space="preserve">法定代表人或</w:t>
      </w:r>
      <w:r>
        <w:rPr>
          <w:rFonts w:hint="eastAsia" w:ascii="宋体" w:hAnsi="宋体" w:cs="宋体"/>
          <w:color w:val="auto"/>
          <w:sz w:val="24"/>
          <w:highlight w:val="none"/>
        </w:rPr>
        <w:t xml:space="preserve">被授权</w:t>
      </w:r>
      <w:r>
        <w:rPr>
          <w:rFonts w:hint="eastAsia" w:ascii="宋体" w:hAnsi="宋体" w:cs="宋体"/>
          <w:color w:val="auto"/>
          <w:sz w:val="24"/>
          <w:highlight w:val="none"/>
          <w:lang w:val="zh-CN"/>
        </w:rPr>
        <w:t xml:space="preserve">人：（签字或盖章）</w:t>
      </w:r>
      <w:r/>
    </w:p>
    <w:p>
      <w:pPr>
        <w:ind w:right="615" w:firstLine="960"/>
        <w:jc w:val="right"/>
        <w:spacing w:line="400" w:lineRule="exact"/>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 日    期：     年</w:t>
      </w:r>
      <w:r>
        <w:rPr>
          <w:rFonts w:hint="eastAsia" w:ascii="宋体" w:hAnsi="宋体" w:cs="宋体"/>
          <w:color w:val="auto"/>
          <w:sz w:val="24"/>
          <w:highlight w:val="none"/>
        </w:rPr>
        <w:t xml:space="preserve">     </w:t>
      </w:r>
      <w:r>
        <w:rPr>
          <w:rFonts w:hint="eastAsia" w:ascii="宋体" w:hAnsi="宋体" w:cs="宋体"/>
          <w:color w:val="auto"/>
          <w:sz w:val="24"/>
          <w:highlight w:val="none"/>
          <w:lang w:val="zh-CN"/>
        </w:rPr>
        <w:t xml:space="preserve">月   </w:t>
      </w:r>
      <w:r>
        <w:rPr>
          <w:rFonts w:hint="eastAsia" w:ascii="宋体" w:hAnsi="宋体" w:cs="宋体"/>
          <w:color w:val="auto"/>
          <w:sz w:val="24"/>
          <w:highlight w:val="none"/>
        </w:rPr>
        <w:t xml:space="preserve"> </w:t>
      </w:r>
      <w:r>
        <w:rPr>
          <w:rFonts w:hint="eastAsia" w:ascii="宋体" w:hAnsi="宋体" w:cs="宋体"/>
          <w:color w:val="auto"/>
          <w:sz w:val="24"/>
          <w:highlight w:val="none"/>
          <w:lang w:val="zh-CN"/>
        </w:rPr>
        <w:t xml:space="preserve">日</w:t>
      </w:r>
      <w:r/>
    </w:p>
    <w:p>
      <w:pPr>
        <w:spacing w:line="400" w:lineRule="exact"/>
        <w:rPr>
          <w:rFonts w:ascii="宋体" w:hAnsi="宋体" w:cs="宋体"/>
          <w:b/>
          <w:color w:val="auto"/>
          <w:sz w:val="24"/>
          <w:highlight w:val="none"/>
        </w:rPr>
      </w:pPr>
      <w:r>
        <w:rPr>
          <w:rFonts w:ascii="宋体" w:hAnsi="宋体" w:cs="宋体"/>
          <w:b/>
          <w:color w:val="auto"/>
          <w:sz w:val="24"/>
          <w:highlight w:val="none"/>
        </w:rPr>
      </w:r>
      <w:r/>
    </w:p>
    <w:p>
      <w:pPr>
        <w:spacing w:line="400" w:lineRule="exact"/>
        <w:rPr>
          <w:rFonts w:ascii="宋体" w:hAnsi="宋体" w:cs="宋体"/>
          <w:b/>
          <w:color w:val="auto"/>
          <w:sz w:val="24"/>
          <w:highlight w:val="none"/>
        </w:rPr>
      </w:pPr>
      <w:r>
        <w:rPr>
          <w:rFonts w:ascii="宋体" w:hAnsi="宋体" w:cs="宋体"/>
          <w:b/>
          <w:color w:val="auto"/>
          <w:sz w:val="24"/>
          <w:highlight w:val="none"/>
        </w:rPr>
      </w:r>
      <w:r/>
    </w:p>
    <w:p>
      <w:pPr>
        <w:spacing w:line="400" w:lineRule="exact"/>
        <w:rPr>
          <w:rFonts w:ascii="宋体" w:hAnsi="宋体" w:cs="宋体"/>
          <w:b/>
          <w:color w:val="auto"/>
          <w:sz w:val="24"/>
          <w:highlight w:val="none"/>
        </w:rPr>
      </w:pPr>
      <w:r>
        <w:rPr>
          <w:rFonts w:ascii="宋体" w:hAnsi="宋体" w:cs="宋体"/>
          <w:b/>
          <w:color w:val="auto"/>
          <w:sz w:val="24"/>
          <w:highlight w:val="none"/>
        </w:rPr>
      </w:r>
      <w:r/>
    </w:p>
    <w:p>
      <w:pPr>
        <w:spacing w:line="400" w:lineRule="exact"/>
        <w:rPr>
          <w:rFonts w:ascii="宋体" w:hAnsi="宋体" w:cs="宋体"/>
          <w:b/>
          <w:color w:val="auto"/>
          <w:sz w:val="24"/>
          <w:highlight w:val="none"/>
        </w:rPr>
      </w:pPr>
      <w:r>
        <w:rPr>
          <w:rFonts w:ascii="宋体" w:hAnsi="宋体" w:cs="宋体"/>
          <w:b/>
          <w:color w:val="auto"/>
          <w:sz w:val="24"/>
          <w:highlight w:val="none"/>
        </w:rPr>
      </w:r>
      <w:r/>
    </w:p>
    <w:p>
      <w:pPr>
        <w:spacing w:line="400" w:lineRule="exact"/>
        <w:rPr>
          <w:rFonts w:ascii="宋体" w:hAnsi="宋体" w:cs="宋体"/>
          <w:b/>
          <w:color w:val="auto"/>
          <w:sz w:val="24"/>
          <w:highlight w:val="none"/>
        </w:rPr>
      </w:pPr>
      <w:r>
        <w:rPr>
          <w:rFonts w:ascii="宋体" w:hAnsi="宋体" w:cs="宋体"/>
          <w:b/>
          <w:color w:val="auto"/>
          <w:sz w:val="24"/>
          <w:highlight w:val="none"/>
        </w:rPr>
      </w:r>
      <w:r/>
    </w:p>
    <w:p>
      <w:pPr>
        <w:spacing w:line="400" w:lineRule="exact"/>
        <w:rPr>
          <w:rFonts w:ascii="宋体" w:hAnsi="宋体" w:cs="宋体"/>
          <w:b/>
          <w:color w:val="auto"/>
          <w:sz w:val="24"/>
          <w:highlight w:val="none"/>
        </w:rPr>
      </w:pPr>
      <w:r>
        <w:rPr>
          <w:rFonts w:ascii="宋体" w:hAnsi="宋体" w:cs="宋体"/>
          <w:b/>
          <w:color w:val="auto"/>
          <w:sz w:val="24"/>
          <w:highlight w:val="none"/>
        </w:rPr>
      </w:r>
      <w:r/>
    </w:p>
    <w:p>
      <w:pPr>
        <w:spacing w:line="400" w:lineRule="exact"/>
        <w:rPr>
          <w:rFonts w:ascii="宋体" w:hAnsi="宋体" w:cs="宋体"/>
          <w:b/>
          <w:color w:val="auto"/>
          <w:sz w:val="24"/>
          <w:highlight w:val="none"/>
        </w:rPr>
      </w:pPr>
      <w:r>
        <w:rPr>
          <w:rFonts w:ascii="宋体" w:hAnsi="宋体" w:cs="宋体"/>
          <w:b/>
          <w:color w:val="auto"/>
          <w:sz w:val="24"/>
          <w:highlight w:val="none"/>
        </w:rPr>
      </w:r>
      <w:r/>
    </w:p>
    <w:p>
      <w:pPr>
        <w:spacing w:line="400" w:lineRule="exact"/>
        <w:rPr>
          <w:rFonts w:ascii="宋体" w:hAnsi="宋体" w:cs="宋体"/>
          <w:b/>
          <w:color w:val="auto"/>
          <w:sz w:val="24"/>
          <w:highlight w:val="none"/>
        </w:rPr>
      </w:pPr>
      <w:r>
        <w:rPr>
          <w:rFonts w:ascii="宋体" w:hAnsi="宋体" w:cs="宋体"/>
          <w:b/>
          <w:color w:val="auto"/>
          <w:sz w:val="24"/>
          <w:highlight w:val="none"/>
        </w:rPr>
      </w:r>
      <w:r/>
    </w:p>
    <w:p>
      <w:pPr>
        <w:spacing w:line="400" w:lineRule="exact"/>
        <w:rPr>
          <w:rFonts w:ascii="宋体" w:hAnsi="宋体" w:cs="宋体"/>
          <w:b/>
          <w:color w:val="auto"/>
          <w:sz w:val="24"/>
          <w:highlight w:val="none"/>
        </w:rPr>
      </w:pPr>
      <w:r>
        <w:rPr>
          <w:rFonts w:ascii="宋体" w:hAnsi="宋体" w:cs="宋体"/>
          <w:b/>
          <w:color w:val="auto"/>
          <w:sz w:val="24"/>
          <w:highlight w:val="none"/>
        </w:rPr>
      </w:r>
      <w:r/>
    </w:p>
    <w:p>
      <w:pPr>
        <w:spacing w:line="400" w:lineRule="exact"/>
        <w:rPr>
          <w:rFonts w:ascii="宋体" w:hAnsi="宋体" w:cs="宋体"/>
          <w:b/>
          <w:color w:val="auto"/>
          <w:sz w:val="24"/>
          <w:highlight w:val="none"/>
        </w:rPr>
      </w:pPr>
      <w:r>
        <w:rPr>
          <w:rFonts w:ascii="宋体" w:hAnsi="宋体" w:cs="宋体"/>
          <w:b/>
          <w:color w:val="auto"/>
          <w:sz w:val="24"/>
          <w:highlight w:val="none"/>
        </w:rPr>
      </w:r>
      <w:r/>
    </w:p>
    <w:p>
      <w:pPr>
        <w:spacing w:line="400" w:lineRule="exact"/>
        <w:rPr>
          <w:rFonts w:ascii="宋体" w:hAnsi="宋体" w:cs="宋体"/>
          <w:b/>
          <w:color w:val="auto"/>
          <w:sz w:val="24"/>
          <w:highlight w:val="none"/>
        </w:rPr>
      </w:pPr>
      <w:r>
        <w:rPr>
          <w:rFonts w:ascii="宋体" w:hAnsi="宋体" w:cs="宋体"/>
          <w:b/>
          <w:color w:val="auto"/>
          <w:sz w:val="24"/>
          <w:highlight w:val="none"/>
        </w:rPr>
      </w:r>
      <w:r/>
    </w:p>
    <w:p>
      <w:pPr>
        <w:spacing w:line="400" w:lineRule="exact"/>
        <w:rPr>
          <w:rFonts w:ascii="宋体" w:hAnsi="宋体" w:cs="宋体"/>
          <w:b/>
          <w:color w:val="auto"/>
          <w:sz w:val="24"/>
          <w:highlight w:val="none"/>
        </w:rPr>
      </w:pPr>
      <w:r>
        <w:rPr>
          <w:rFonts w:ascii="宋体" w:hAnsi="宋体" w:cs="宋体"/>
          <w:b/>
          <w:color w:val="auto"/>
          <w:sz w:val="24"/>
          <w:highlight w:val="none"/>
        </w:rPr>
      </w:r>
      <w:r/>
    </w:p>
    <w:p>
      <w:pPr>
        <w:ind w:right="-4"/>
        <w:pageBreakBefore/>
        <w:spacing w:line="360" w:lineRule="auto"/>
        <w:rPr>
          <w:bCs/>
          <w:color w:val="000000"/>
          <w:highlight w:val="none"/>
        </w:rPr>
      </w:pPr>
      <w:r>
        <w:rPr>
          <w:b/>
          <w:bCs/>
          <w:color w:val="000000"/>
          <w:sz w:val="24"/>
          <w:highlight w:val="none"/>
        </w:rPr>
        <w:t xml:space="preserve">附件1</w:t>
      </w:r>
      <w:r>
        <w:rPr>
          <w:rFonts w:hint="eastAsia"/>
          <w:b/>
          <w:bCs/>
          <w:color w:val="000000"/>
          <w:sz w:val="24"/>
          <w:highlight w:val="none"/>
          <w:lang w:val="en-US" w:eastAsia="zh-CN"/>
        </w:rPr>
        <w:t xml:space="preserve">4</w:t>
      </w:r>
      <w:r>
        <w:rPr>
          <w:b/>
          <w:bCs/>
          <w:color w:val="000000"/>
          <w:sz w:val="24"/>
          <w:highlight w:val="none"/>
        </w:rPr>
        <w:t xml:space="preserve">：</w:t>
      </w:r>
      <w:r/>
    </w:p>
    <w:p>
      <w:pPr>
        <w:jc w:val="center"/>
        <w:spacing w:line="600" w:lineRule="atLeast"/>
        <w:widowControl/>
        <w:rPr>
          <w:color w:val="000000"/>
          <w:sz w:val="24"/>
          <w:highlight w:val="none"/>
        </w:rPr>
      </w:pPr>
      <w:r>
        <w:rPr>
          <w:color w:val="000000"/>
          <w:sz w:val="24"/>
          <w:highlight w:val="none"/>
        </w:rPr>
        <w:t xml:space="preserve">投标（响应）保证承诺书</w:t>
      </w:r>
      <w:r/>
    </w:p>
    <w:p>
      <w:pPr>
        <w:jc w:val="left"/>
        <w:spacing w:line="360" w:lineRule="auto"/>
        <w:widowControl/>
        <w:rPr>
          <w:color w:val="000000"/>
          <w:sz w:val="24"/>
          <w:highlight w:val="none"/>
        </w:rPr>
      </w:pPr>
      <w:r>
        <w:rPr>
          <w:color w:val="000000"/>
          <w:sz w:val="24"/>
          <w:highlight w:val="none"/>
        </w:rPr>
        <w:t xml:space="preserve">致：</w:t>
      </w:r>
      <w:r>
        <w:rPr>
          <w:color w:val="000000"/>
          <w:sz w:val="24"/>
          <w:highlight w:val="none"/>
          <w:u w:val="single"/>
        </w:rPr>
        <w:t xml:space="preserve">         （采购代理机构名称）</w:t>
      </w:r>
      <w:r/>
    </w:p>
    <w:p>
      <w:pPr>
        <w:ind w:firstLine="600"/>
        <w:jc w:val="left"/>
        <w:spacing w:line="360" w:lineRule="auto"/>
        <w:widowControl/>
        <w:rPr>
          <w:color w:val="000000"/>
          <w:sz w:val="24"/>
          <w:highlight w:val="none"/>
        </w:rPr>
      </w:pPr>
      <w:r>
        <w:rPr>
          <w:color w:val="000000"/>
          <w:sz w:val="24"/>
          <w:highlight w:val="none"/>
        </w:rPr>
        <w:t xml:space="preserve">我（单位/本人，以下统称我单位）自愿参加</w:t>
      </w:r>
      <w:r>
        <w:rPr>
          <w:color w:val="000000"/>
          <w:sz w:val="24"/>
          <w:highlight w:val="none"/>
          <w:u w:val="single"/>
        </w:rPr>
        <w:t xml:space="preserve">              （项目名称和采购编号）</w:t>
      </w:r>
      <w:r>
        <w:rPr>
          <w:color w:val="000000"/>
          <w:sz w:val="24"/>
          <w:highlight w:val="none"/>
        </w:rPr>
        <w:t xml:space="preserve">的投标（响应）,并做出如下承诺：</w:t>
      </w:r>
      <w:r/>
    </w:p>
    <w:p>
      <w:pPr>
        <w:ind w:firstLine="600"/>
        <w:jc w:val="left"/>
        <w:spacing w:line="360" w:lineRule="auto"/>
        <w:widowControl/>
        <w:rPr>
          <w:color w:val="000000"/>
          <w:sz w:val="24"/>
          <w:highlight w:val="none"/>
        </w:rPr>
      </w:pPr>
      <w:r>
        <w:rPr>
          <w:color w:val="000000"/>
          <w:sz w:val="24"/>
          <w:highlight w:val="none"/>
        </w:rPr>
        <w:t xml:space="preserve">一、  除不可抗力外，我单位如果发生以下行为，将在行为发生的10个工作日内，向贵方</w:t>
      </w:r>
      <w:r>
        <w:rPr>
          <w:color w:val="000000"/>
          <w:sz w:val="24"/>
          <w:highlight w:val="none"/>
          <w:u w:val="single"/>
        </w:rPr>
        <w:t xml:space="preserve">（或</w:t>
      </w:r>
      <w:r>
        <w:rPr>
          <w:rFonts w:hint="eastAsia"/>
          <w:color w:val="000000"/>
          <w:sz w:val="24"/>
          <w:highlight w:val="none"/>
          <w:u w:val="single"/>
        </w:rPr>
        <w:t xml:space="preserve">采购人</w:t>
      </w:r>
      <w:r>
        <w:rPr>
          <w:color w:val="000000"/>
          <w:sz w:val="24"/>
          <w:highlight w:val="none"/>
          <w:u w:val="single"/>
        </w:rPr>
        <w:t xml:space="preserve">）</w:t>
      </w:r>
      <w:r>
        <w:rPr>
          <w:color w:val="000000"/>
          <w:sz w:val="24"/>
          <w:highlight w:val="none"/>
        </w:rPr>
        <w:t xml:space="preserve">支付本招标文件公布的预算金额（或最高限价）的2%作为违约赔偿金（数量不确定的单价采购须约定具体金额）。</w:t>
      </w:r>
      <w:r/>
    </w:p>
    <w:p>
      <w:pPr>
        <w:ind w:firstLine="555"/>
        <w:jc w:val="left"/>
        <w:spacing w:line="360" w:lineRule="auto"/>
        <w:widowControl/>
        <w:rPr>
          <w:color w:val="000000"/>
          <w:sz w:val="24"/>
          <w:highlight w:val="none"/>
        </w:rPr>
      </w:pPr>
      <w:r>
        <w:rPr>
          <w:color w:val="000000"/>
          <w:sz w:val="24"/>
          <w:highlight w:val="none"/>
        </w:rPr>
        <w:t xml:space="preserve">1.自投标（响应）截止时间至本项目发布中标（成交）公告为止，撤销投标（响应）；</w:t>
      </w:r>
      <w:r/>
    </w:p>
    <w:p>
      <w:pPr>
        <w:ind w:firstLine="555"/>
        <w:jc w:val="left"/>
        <w:spacing w:line="360" w:lineRule="auto"/>
        <w:widowControl/>
        <w:rPr>
          <w:color w:val="000000"/>
          <w:sz w:val="24"/>
          <w:highlight w:val="none"/>
        </w:rPr>
      </w:pPr>
      <w:r>
        <w:rPr>
          <w:color w:val="000000"/>
          <w:sz w:val="24"/>
          <w:highlight w:val="none"/>
        </w:rPr>
        <w:t xml:space="preserve">2.中标（成交）后不依法与</w:t>
      </w:r>
      <w:r>
        <w:rPr>
          <w:rFonts w:hint="eastAsia"/>
          <w:color w:val="000000"/>
          <w:sz w:val="24"/>
          <w:highlight w:val="none"/>
        </w:rPr>
        <w:t xml:space="preserve">采购人</w:t>
      </w:r>
      <w:r>
        <w:rPr>
          <w:color w:val="000000"/>
          <w:sz w:val="24"/>
          <w:highlight w:val="none"/>
        </w:rPr>
        <w:t xml:space="preserve">签订合同；</w:t>
      </w:r>
      <w:r/>
    </w:p>
    <w:p>
      <w:pPr>
        <w:ind w:firstLine="555"/>
        <w:jc w:val="left"/>
        <w:spacing w:line="360" w:lineRule="auto"/>
        <w:widowControl/>
        <w:rPr>
          <w:color w:val="000000"/>
          <w:sz w:val="24"/>
          <w:highlight w:val="none"/>
        </w:rPr>
      </w:pPr>
      <w:r>
        <w:rPr>
          <w:color w:val="000000"/>
          <w:sz w:val="24"/>
          <w:highlight w:val="none"/>
        </w:rPr>
        <w:t xml:space="preserve">3.中标（成交）后不按本招标文件规定向</w:t>
      </w:r>
      <w:r>
        <w:rPr>
          <w:rFonts w:hint="eastAsia"/>
          <w:color w:val="000000"/>
          <w:sz w:val="24"/>
          <w:highlight w:val="none"/>
        </w:rPr>
        <w:t xml:space="preserve">采购人</w:t>
      </w:r>
      <w:r>
        <w:rPr>
          <w:color w:val="000000"/>
          <w:sz w:val="24"/>
          <w:highlight w:val="none"/>
        </w:rPr>
        <w:t xml:space="preserve">提交履约保证金（如有）；</w:t>
      </w:r>
      <w:r/>
    </w:p>
    <w:p>
      <w:pPr>
        <w:ind w:firstLine="555"/>
        <w:jc w:val="left"/>
        <w:spacing w:line="360" w:lineRule="auto"/>
        <w:widowControl/>
        <w:rPr>
          <w:color w:val="000000"/>
          <w:sz w:val="24"/>
          <w:highlight w:val="none"/>
        </w:rPr>
      </w:pPr>
      <w:r>
        <w:rPr>
          <w:color w:val="000000"/>
          <w:sz w:val="24"/>
          <w:highlight w:val="none"/>
        </w:rPr>
        <w:t xml:space="preserve">4.中标（成交）后不按本招标文件规定向贵方缴纳采购代理费。</w:t>
      </w:r>
      <w:r/>
    </w:p>
    <w:p>
      <w:pPr>
        <w:ind w:firstLine="600"/>
        <w:jc w:val="left"/>
        <w:spacing w:line="360" w:lineRule="auto"/>
        <w:widowControl/>
        <w:rPr>
          <w:color w:val="000000"/>
          <w:sz w:val="24"/>
          <w:highlight w:val="none"/>
        </w:rPr>
      </w:pPr>
      <w:r>
        <w:rPr>
          <w:color w:val="000000"/>
          <w:sz w:val="24"/>
          <w:highlight w:val="none"/>
        </w:rPr>
        <w:t xml:space="preserve">二、  我单位知晓上述行为的法律后果，承认本承诺书作为贵方</w:t>
      </w:r>
      <w:r>
        <w:rPr>
          <w:color w:val="000000"/>
          <w:sz w:val="24"/>
          <w:highlight w:val="none"/>
          <w:u w:val="single"/>
        </w:rPr>
        <w:t xml:space="preserve">（或</w:t>
      </w:r>
      <w:r>
        <w:rPr>
          <w:rFonts w:hint="eastAsia"/>
          <w:color w:val="000000"/>
          <w:sz w:val="24"/>
          <w:highlight w:val="none"/>
          <w:u w:val="single"/>
        </w:rPr>
        <w:t xml:space="preserve">采购人</w:t>
      </w:r>
      <w:r>
        <w:rPr>
          <w:color w:val="000000"/>
          <w:sz w:val="24"/>
          <w:highlight w:val="none"/>
          <w:u w:val="single"/>
        </w:rPr>
        <w:t xml:space="preserve">）</w:t>
      </w:r>
      <w:r>
        <w:rPr>
          <w:color w:val="000000"/>
          <w:sz w:val="24"/>
          <w:highlight w:val="none"/>
        </w:rPr>
        <w:t xml:space="preserve">要求我单位履行违约赔偿义务的依据作用。</w:t>
      </w:r>
      <w:r/>
    </w:p>
    <w:p>
      <w:pPr>
        <w:jc w:val="left"/>
        <w:spacing w:line="360" w:lineRule="auto"/>
        <w:widowControl/>
        <w:rPr>
          <w:color w:val="000000"/>
          <w:sz w:val="24"/>
          <w:highlight w:val="none"/>
        </w:rPr>
      </w:pPr>
      <w:r>
        <w:rPr>
          <w:color w:val="000000"/>
          <w:sz w:val="24"/>
          <w:highlight w:val="none"/>
        </w:rPr>
        <w:t xml:space="preserve"> </w:t>
      </w:r>
      <w:r/>
    </w:p>
    <w:p>
      <w:pPr>
        <w:jc w:val="left"/>
        <w:spacing w:line="360" w:lineRule="auto"/>
        <w:widowControl/>
        <w:rPr>
          <w:color w:val="000000"/>
          <w:sz w:val="24"/>
          <w:highlight w:val="none"/>
        </w:rPr>
      </w:pPr>
      <w:r>
        <w:rPr>
          <w:rFonts w:hint="eastAsia"/>
          <w:color w:val="000000"/>
          <w:sz w:val="24"/>
          <w:highlight w:val="none"/>
        </w:rPr>
        <w:t xml:space="preserve">供</w:t>
      </w:r>
      <w:r>
        <w:rPr>
          <w:color w:val="000000"/>
          <w:sz w:val="24"/>
          <w:highlight w:val="none"/>
        </w:rPr>
        <w:t xml:space="preserve">应商签章：</w:t>
      </w:r>
      <w:r>
        <w:rPr>
          <w:color w:val="000000"/>
          <w:sz w:val="24"/>
          <w:highlight w:val="none"/>
          <w:u w:val="single"/>
        </w:rPr>
        <w:t xml:space="preserve">                      </w:t>
      </w:r>
      <w:r/>
    </w:p>
    <w:p>
      <w:pPr>
        <w:jc w:val="left"/>
        <w:spacing w:line="360" w:lineRule="auto"/>
        <w:widowControl/>
        <w:rPr>
          <w:color w:val="000000"/>
          <w:sz w:val="24"/>
          <w:highlight w:val="none"/>
        </w:rPr>
      </w:pPr>
      <w:r>
        <w:rPr>
          <w:color w:val="000000"/>
          <w:sz w:val="24"/>
          <w:highlight w:val="none"/>
        </w:rPr>
        <w:t xml:space="preserve">地址：</w:t>
      </w:r>
      <w:r>
        <w:rPr>
          <w:color w:val="000000"/>
          <w:sz w:val="24"/>
          <w:highlight w:val="none"/>
          <w:u w:val="single"/>
        </w:rPr>
        <w:t xml:space="preserve">                  </w:t>
      </w:r>
      <w:r/>
    </w:p>
    <w:p>
      <w:pPr>
        <w:jc w:val="left"/>
        <w:spacing w:line="360" w:lineRule="auto"/>
        <w:widowControl/>
        <w:rPr>
          <w:color w:val="000000"/>
          <w:sz w:val="24"/>
          <w:highlight w:val="none"/>
        </w:rPr>
      </w:pPr>
      <w:r>
        <w:rPr>
          <w:color w:val="000000"/>
          <w:sz w:val="24"/>
          <w:highlight w:val="none"/>
        </w:rPr>
        <w:t xml:space="preserve">电话：</w:t>
      </w:r>
      <w:r>
        <w:rPr>
          <w:color w:val="000000"/>
          <w:sz w:val="24"/>
          <w:highlight w:val="none"/>
          <w:u w:val="single"/>
        </w:rPr>
        <w:t xml:space="preserve">                     </w:t>
      </w:r>
      <w:r>
        <w:rPr>
          <w:color w:val="000000"/>
          <w:sz w:val="24"/>
          <w:highlight w:val="none"/>
        </w:rPr>
        <w:t xml:space="preserve">     </w:t>
      </w:r>
      <w:r/>
    </w:p>
    <w:p>
      <w:pPr>
        <w:jc w:val="left"/>
        <w:spacing w:line="360" w:lineRule="auto"/>
        <w:widowControl/>
        <w:rPr>
          <w:color w:val="000000"/>
          <w:sz w:val="24"/>
          <w:highlight w:val="none"/>
        </w:rPr>
      </w:pPr>
      <w:r>
        <w:rPr>
          <w:color w:val="000000"/>
          <w:sz w:val="24"/>
          <w:highlight w:val="none"/>
        </w:rPr>
        <w:t xml:space="preserve">传真：</w:t>
      </w:r>
      <w:r>
        <w:rPr>
          <w:color w:val="000000"/>
          <w:sz w:val="24"/>
          <w:highlight w:val="none"/>
          <w:u w:val="single"/>
        </w:rPr>
        <w:t xml:space="preserve">                      </w:t>
      </w:r>
      <w:r/>
    </w:p>
    <w:p>
      <w:pPr>
        <w:jc w:val="left"/>
        <w:spacing w:line="360" w:lineRule="auto"/>
        <w:widowControl/>
        <w:rPr>
          <w:color w:val="000000"/>
          <w:sz w:val="24"/>
          <w:highlight w:val="none"/>
        </w:rPr>
      </w:pPr>
      <w:r>
        <w:rPr>
          <w:color w:val="000000"/>
          <w:sz w:val="24"/>
          <w:highlight w:val="none"/>
        </w:rPr>
        <w:t xml:space="preserve">电子邮件：</w:t>
      </w:r>
      <w:r>
        <w:rPr>
          <w:color w:val="000000"/>
          <w:sz w:val="24"/>
          <w:highlight w:val="none"/>
          <w:u w:val="single"/>
        </w:rPr>
        <w:t xml:space="preserve">             </w:t>
      </w:r>
      <w:r>
        <w:rPr>
          <w:color w:val="000000"/>
          <w:sz w:val="24"/>
          <w:highlight w:val="none"/>
        </w:rPr>
        <w:t xml:space="preserve">                   </w:t>
      </w:r>
      <w:r/>
    </w:p>
    <w:p>
      <w:pPr>
        <w:jc w:val="left"/>
        <w:spacing w:line="360" w:lineRule="auto"/>
        <w:widowControl/>
        <w:rPr>
          <w:color w:val="000000"/>
          <w:sz w:val="24"/>
          <w:highlight w:val="none"/>
        </w:rPr>
      </w:pPr>
      <w:r>
        <w:rPr>
          <w:color w:val="000000"/>
          <w:sz w:val="24"/>
          <w:highlight w:val="none"/>
        </w:rPr>
        <w:t xml:space="preserve">邮编：</w:t>
      </w:r>
      <w:r>
        <w:rPr>
          <w:color w:val="000000"/>
          <w:sz w:val="24"/>
          <w:highlight w:val="none"/>
          <w:u w:val="single"/>
        </w:rPr>
        <w:t xml:space="preserve">                      </w:t>
      </w:r>
      <w:r/>
    </w:p>
    <w:p>
      <w:pPr>
        <w:jc w:val="left"/>
        <w:spacing w:line="360" w:lineRule="auto"/>
        <w:widowControl/>
        <w:rPr>
          <w:color w:val="000000"/>
          <w:sz w:val="24"/>
          <w:highlight w:val="none"/>
        </w:rPr>
      </w:pPr>
      <w:r>
        <w:rPr>
          <w:rFonts w:hint="eastAsia"/>
          <w:color w:val="000000"/>
          <w:sz w:val="24"/>
          <w:highlight w:val="none"/>
        </w:rPr>
        <w:t xml:space="preserve">供应商</w:t>
      </w:r>
      <w:r>
        <w:rPr>
          <w:color w:val="000000"/>
          <w:sz w:val="24"/>
          <w:highlight w:val="none"/>
        </w:rPr>
        <w:t xml:space="preserve">法定代表人或委托代理人(签字或签章)：</w:t>
      </w:r>
      <w:r>
        <w:rPr>
          <w:color w:val="000000"/>
          <w:sz w:val="24"/>
          <w:highlight w:val="none"/>
          <w:u w:val="single"/>
        </w:rPr>
        <w:t xml:space="preserve">                     </w:t>
      </w:r>
      <w:r/>
    </w:p>
    <w:p>
      <w:pPr>
        <w:jc w:val="left"/>
        <w:spacing w:line="360" w:lineRule="auto"/>
        <w:widowControl/>
        <w:rPr>
          <w:color w:val="000000"/>
          <w:sz w:val="24"/>
          <w:highlight w:val="none"/>
        </w:rPr>
      </w:pPr>
      <w:r>
        <w:rPr>
          <w:color w:val="000000"/>
          <w:sz w:val="24"/>
          <w:highlight w:val="none"/>
        </w:rPr>
        <w:t xml:space="preserve">日期：</w:t>
      </w:r>
      <w:r>
        <w:rPr>
          <w:color w:val="000000"/>
          <w:sz w:val="24"/>
          <w:highlight w:val="none"/>
          <w:u w:val="single"/>
        </w:rPr>
        <w:t xml:space="preserve">                    </w:t>
      </w:r>
      <w:r/>
    </w:p>
    <w:p>
      <w:pPr>
        <w:spacing w:line="360" w:lineRule="auto"/>
        <w:rPr>
          <w:b/>
          <w:color w:val="000000"/>
          <w:sz w:val="24"/>
          <w:highlight w:val="none"/>
        </w:rPr>
      </w:pPr>
      <w:r>
        <w:rPr>
          <w:b/>
          <w:color w:val="000000"/>
          <w:sz w:val="24"/>
          <w:highlight w:val="none"/>
        </w:rPr>
      </w:r>
      <w:r/>
    </w:p>
    <w:p>
      <w:pPr>
        <w:spacing w:line="360" w:lineRule="auto"/>
        <w:rPr>
          <w:b/>
          <w:color w:val="000000"/>
          <w:sz w:val="24"/>
          <w:highlight w:val="none"/>
        </w:rPr>
      </w:pPr>
      <w:r>
        <w:rPr>
          <w:b/>
          <w:color w:val="000000"/>
          <w:sz w:val="24"/>
          <w:highlight w:val="none"/>
        </w:rPr>
        <w:t xml:space="preserve">附件1</w:t>
      </w:r>
      <w:r>
        <w:rPr>
          <w:rFonts w:hint="eastAsia"/>
          <w:b/>
          <w:color w:val="000000"/>
          <w:sz w:val="24"/>
          <w:highlight w:val="none"/>
          <w:lang w:val="en-US" w:eastAsia="zh-CN"/>
        </w:rPr>
        <w:t xml:space="preserve">5</w:t>
      </w:r>
      <w:r>
        <w:rPr>
          <w:b/>
          <w:color w:val="000000"/>
          <w:sz w:val="24"/>
          <w:highlight w:val="none"/>
        </w:rPr>
        <w:t xml:space="preserve">：其他相关资料</w:t>
      </w:r>
      <w:r>
        <w:rPr>
          <w:rFonts w:hint="eastAsia"/>
          <w:b/>
          <w:color w:val="000000"/>
          <w:sz w:val="24"/>
          <w:highlight w:val="none"/>
        </w:rPr>
        <w:t xml:space="preserve">供应商</w:t>
      </w:r>
      <w:r>
        <w:rPr>
          <w:b/>
          <w:color w:val="000000"/>
          <w:sz w:val="24"/>
          <w:highlight w:val="none"/>
        </w:rPr>
        <w:t xml:space="preserve">可自行编制。</w:t>
      </w:r>
      <w:r/>
    </w:p>
    <w:p>
      <w:pPr>
        <w:jc w:val="center"/>
        <w:spacing w:line="360" w:lineRule="auto"/>
        <w:rPr>
          <w:color w:val="auto"/>
          <w:sz w:val="24"/>
          <w:highlight w:val="none"/>
        </w:rPr>
      </w:pPr>
      <w:r>
        <w:rPr>
          <w:color w:val="auto"/>
          <w:sz w:val="24"/>
          <w:highlight w:val="none"/>
        </w:rPr>
        <w:t xml:space="preserve">（全文完）</w:t>
      </w:r>
      <w:r/>
    </w:p>
    <w:p>
      <w:pPr>
        <w:spacing w:line="360" w:lineRule="auto"/>
        <w:rPr>
          <w:color w:val="auto"/>
          <w:highlight w:val="none"/>
        </w:rPr>
      </w:pPr>
      <w:r>
        <w:rPr>
          <w:color w:val="auto"/>
          <w:highlight w:val="none"/>
        </w:rPr>
      </w:r>
      <w:r/>
    </w:p>
    <w:sectPr>
      <w:footerReference w:type="default" r:id="rId14"/>
      <w:footerReference w:type="first" r:id="rId15"/>
      <w:footnotePr/>
      <w:endnotePr/>
      <w:type w:val="nextPage"/>
      <w:pgSz w:w="11906" w:h="16838" w:orient="portrait"/>
      <w:pgMar w:top="1440" w:right="1797" w:bottom="1440" w:left="1797"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ymbol">
    <w:panose1 w:val="05050102010706020507"/>
  </w:font>
  <w:font w:name="Wingdings">
    <w:panose1 w:val="05000000000000000000"/>
  </w:font>
  <w:font w:name="华文新魏">
    <w:panose1 w:val="02010800040101010101"/>
  </w:font>
  <w:font w:name="仿宋">
    <w:panose1 w:val="02010609060101010101"/>
  </w:font>
  <w:font w:name="等线">
    <w:panose1 w:val="02010600030101010101"/>
  </w:font>
  <w:font w:name="Calibri">
    <w:panose1 w:val="020F0502020204030204"/>
  </w:font>
  <w:font w:name="黑体">
    <w:panose1 w:val="02010609060101010101"/>
  </w:font>
  <w:font w:name="仿宋_GB2312">
    <w:panose1 w:val="02010609060101010101"/>
  </w:font>
  <w:font w:name="Courier New">
    <w:panose1 w:val="02070309020205020404"/>
  </w:font>
  <w:font w:name="楷体_GB2312">
    <w:panose1 w:val="02010609060101010101"/>
  </w:font>
  <w:font w:name="sans-serif">
    <w:panose1 w:val="020B0503020202020204"/>
  </w:font>
  <w:font w:name="方正仿宋简体">
    <w:panose1 w:val="020B0503020202020204"/>
  </w:font>
  <w:font w:name="Arial">
    <w:panose1 w:val="020B0604020202020204"/>
  </w:font>
  <w:font w:name="创艺简仿宋">
    <w:panose1 w:val="020B0503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jc w:val="center"/>
    </w:pPr>
    <w:r>
      <w:rPr>
        <w:lang w:val="zh-CN"/>
      </w:rPr>
      <w:t xml:space="preserve"> </w:t>
    </w:r>
    <w:r/>
  </w:p>
  <w:p>
    <w:pPr>
      <w:pStyle w:val="111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jc w:val="center"/>
    </w:pPr>
    <w:r>
      <w:rPr>
        <w:lang w:val="zh-CN"/>
      </w:rPr>
      <w:t xml:space="preserve"> </w:t>
    </w:r>
    <w:r/>
  </w:p>
  <w:p>
    <w:pPr>
      <w:pStyle w:val="111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16"/>
                            <w:tabs>
                              <w:tab w:val="clear" w:pos="4153" w:leader="none"/>
                              <w:tab w:val="clear" w:pos="8306" w:leader="none"/>
                            </w:tabs>
                          </w:pPr>
                          <w:r>
                            <w:fldChar w:fldCharType="begin"/>
                          </w:r>
                          <w:r>
                            <w:instrText xml:space="preserve"> PAGE  \* MERGEFORMAT </w:instrText>
                          </w:r>
                          <w:r>
                            <w:fldChar w:fldCharType="separate"/>
                          </w:r>
                          <w:r>
                            <w:t xml:space="preserve">15</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16"/>
                      <w:tabs>
                        <w:tab w:val="clear" w:pos="4153" w:leader="none"/>
                        <w:tab w:val="clear" w:pos="8306" w:leader="none"/>
                      </w:tabs>
                    </w:pPr>
                    <w:r>
                      <w:fldChar w:fldCharType="begin"/>
                    </w:r>
                    <w:r>
                      <w:instrText xml:space="preserve"> PAGE  \* MERGEFORMAT </w:instrText>
                    </w:r>
                    <w:r>
                      <w:fldChar w:fldCharType="separate"/>
                    </w:r>
                    <w:r>
                      <w:t xml:space="preserve">15</w:t>
                    </w:r>
                    <w:r>
                      <w:fldChar w:fldCharType="end"/>
                    </w:r>
                    <w:r/>
                  </w:p>
                  <w:p>
                    <w:r/>
                    <w:r/>
                  </w:p>
                </w:txbxContent>
              </v:textbox>
            </v:shape>
          </w:pict>
        </mc:Fallback>
      </mc:AlternateContent>
    </w:r>
    <w:r>
      <w:rPr>
        <w:lang w:val="zh-CN"/>
      </w:rPr>
      <w:t xml:space="preserve"> </w:t>
    </w:r>
    <w:r/>
  </w:p>
  <w:p>
    <w:pPr>
      <w:pStyle w:val="111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16"/>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16"/>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16"/>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16"/>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rPr>
          <w:rFonts w:ascii="宋体" w:hAnsi="宋体"/>
          <w:color w:val="000000"/>
        </w:rPr>
        <w:outlineLvl w:val="0"/>
      </w:pPr>
      <w:r>
        <w:rPr>
          <w:rFonts w:hint="eastAsia" w:ascii="宋体" w:hAnsi="宋体"/>
          <w:b/>
          <w:color w:val="000000"/>
        </w:rPr>
        <w:footnoteRef/>
      </w: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ind w:firstLine="630"/>
        <w:rPr>
          <w:rFonts w:ascii="宋体" w:hAnsi="宋体"/>
          <w:color w:val="000000"/>
        </w:rPr>
        <w:outlineLvl w:val="0"/>
      </w:pPr>
      <w:r>
        <w:rPr>
          <w:rFonts w:ascii="宋体" w:hAnsi="宋体"/>
          <w:color w:val="000000"/>
        </w:rPr>
        <w:t xml:space="preserve">2.</w:t>
      </w:r>
      <w:r>
        <w:rPr>
          <w:rFonts w:hint="eastAsia" w:ascii="宋体" w:hAnsi="宋体"/>
          <w:color w:val="000000"/>
        </w:rPr>
        <w:t xml:space="preserve">在服务采购项目中，服务由中小企业承接，即提供服务的人员为中小企业依照《中华人民共和国劳动合同法》订立劳动合同的从业人员。3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本采购标的对应的中小企业划分标准所属行业，以采购文件中具体规定为准。</w:t>
      </w:r>
      <w:r/>
    </w:p>
    <w:p>
      <w:pPr>
        <w:ind w:firstLine="630"/>
        <w:rPr>
          <w:rFonts w:ascii="宋体" w:hAnsi="宋体"/>
          <w:color w:val="000000"/>
        </w:rPr>
        <w:outlineLvl w:val="0"/>
      </w:pPr>
      <w:r>
        <w:rPr>
          <w:rFonts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ind w:firstLine="630"/>
        <w:rPr>
          <w:rFonts w:ascii="宋体" w:hAnsi="宋体"/>
        </w:rPr>
        <w:outlineLvl w:val="0"/>
      </w:pPr>
      <w:r>
        <w:rPr>
          <w:rFonts w:hint="eastAsia" w:ascii="宋体" w:hAnsi="宋体"/>
        </w:rPr>
        <w:t xml:space="preserve">5</w:t>
      </w:r>
      <w:r>
        <w:rPr>
          <w:rFonts w:ascii="宋体" w:hAnsi="宋体"/>
        </w:rPr>
        <w:t xml:space="preserve">.</w:t>
      </w:r>
      <w:r>
        <w:rPr>
          <w:rFonts w:hint="eastAsia" w:ascii="宋体" w:hAnsi="宋体"/>
        </w:rPr>
        <w:t xml:space="preserve">成交单位为中小企业的，《中小企业声明函》将随成交结果同时公告。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113"/>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105"/>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7">
    <w:name w:val="Heading 1 Char"/>
    <w:basedOn w:val="914"/>
    <w:link w:val="905"/>
    <w:uiPriority w:val="9"/>
    <w:rPr>
      <w:rFonts w:ascii="Arial" w:hAnsi="Arial" w:eastAsia="Arial" w:cs="Arial"/>
      <w:sz w:val="40"/>
      <w:szCs w:val="40"/>
    </w:rPr>
  </w:style>
  <w:style w:type="character" w:styleId="868">
    <w:name w:val="Heading 2 Char"/>
    <w:basedOn w:val="914"/>
    <w:link w:val="906"/>
    <w:uiPriority w:val="9"/>
    <w:rPr>
      <w:rFonts w:ascii="Arial" w:hAnsi="Arial" w:eastAsia="Arial" w:cs="Arial"/>
      <w:sz w:val="34"/>
    </w:rPr>
  </w:style>
  <w:style w:type="character" w:styleId="869">
    <w:name w:val="Heading 3 Char"/>
    <w:basedOn w:val="914"/>
    <w:link w:val="907"/>
    <w:uiPriority w:val="9"/>
    <w:rPr>
      <w:rFonts w:ascii="Arial" w:hAnsi="Arial" w:eastAsia="Arial" w:cs="Arial"/>
      <w:sz w:val="30"/>
      <w:szCs w:val="30"/>
    </w:rPr>
  </w:style>
  <w:style w:type="character" w:styleId="870">
    <w:name w:val="Heading 4 Char"/>
    <w:basedOn w:val="914"/>
    <w:link w:val="908"/>
    <w:uiPriority w:val="9"/>
    <w:rPr>
      <w:rFonts w:ascii="Arial" w:hAnsi="Arial" w:eastAsia="Arial" w:cs="Arial"/>
      <w:b/>
      <w:bCs/>
      <w:sz w:val="26"/>
      <w:szCs w:val="26"/>
    </w:rPr>
  </w:style>
  <w:style w:type="character" w:styleId="871">
    <w:name w:val="Heading 5 Char"/>
    <w:basedOn w:val="914"/>
    <w:link w:val="909"/>
    <w:uiPriority w:val="9"/>
    <w:rPr>
      <w:rFonts w:ascii="Arial" w:hAnsi="Arial" w:eastAsia="Arial" w:cs="Arial"/>
      <w:b/>
      <w:bCs/>
      <w:sz w:val="24"/>
      <w:szCs w:val="24"/>
    </w:rPr>
  </w:style>
  <w:style w:type="character" w:styleId="872">
    <w:name w:val="Heading 6 Char"/>
    <w:basedOn w:val="914"/>
    <w:link w:val="910"/>
    <w:uiPriority w:val="9"/>
    <w:rPr>
      <w:rFonts w:ascii="Arial" w:hAnsi="Arial" w:eastAsia="Arial" w:cs="Arial"/>
      <w:b/>
      <w:bCs/>
      <w:sz w:val="22"/>
      <w:szCs w:val="22"/>
    </w:rPr>
  </w:style>
  <w:style w:type="character" w:styleId="873">
    <w:name w:val="Heading 7 Char"/>
    <w:basedOn w:val="914"/>
    <w:link w:val="911"/>
    <w:uiPriority w:val="9"/>
    <w:rPr>
      <w:rFonts w:ascii="Arial" w:hAnsi="Arial" w:eastAsia="Arial" w:cs="Arial"/>
      <w:b/>
      <w:bCs/>
      <w:i/>
      <w:iCs/>
      <w:sz w:val="22"/>
      <w:szCs w:val="22"/>
    </w:rPr>
  </w:style>
  <w:style w:type="character" w:styleId="874">
    <w:name w:val="Heading 8 Char"/>
    <w:basedOn w:val="914"/>
    <w:link w:val="912"/>
    <w:uiPriority w:val="9"/>
    <w:rPr>
      <w:rFonts w:ascii="Arial" w:hAnsi="Arial" w:eastAsia="Arial" w:cs="Arial"/>
      <w:i/>
      <w:iCs/>
      <w:sz w:val="22"/>
      <w:szCs w:val="22"/>
    </w:rPr>
  </w:style>
  <w:style w:type="character" w:styleId="875">
    <w:name w:val="Heading 9 Char"/>
    <w:basedOn w:val="914"/>
    <w:link w:val="913"/>
    <w:uiPriority w:val="9"/>
    <w:rPr>
      <w:rFonts w:ascii="Arial" w:hAnsi="Arial" w:eastAsia="Arial" w:cs="Arial"/>
      <w:i/>
      <w:iCs/>
      <w:sz w:val="21"/>
      <w:szCs w:val="21"/>
    </w:rPr>
  </w:style>
  <w:style w:type="character" w:styleId="876">
    <w:name w:val="Title Char"/>
    <w:basedOn w:val="914"/>
    <w:link w:val="942"/>
    <w:uiPriority w:val="10"/>
    <w:rPr>
      <w:sz w:val="48"/>
      <w:szCs w:val="48"/>
    </w:rPr>
  </w:style>
  <w:style w:type="character" w:styleId="877">
    <w:name w:val="Subtitle Char"/>
    <w:basedOn w:val="914"/>
    <w:link w:val="935"/>
    <w:uiPriority w:val="11"/>
    <w:rPr>
      <w:sz w:val="24"/>
      <w:szCs w:val="24"/>
    </w:rPr>
  </w:style>
  <w:style w:type="character" w:styleId="878">
    <w:name w:val="Quote Char"/>
    <w:link w:val="963"/>
    <w:uiPriority w:val="29"/>
    <w:rPr>
      <w:i/>
    </w:rPr>
  </w:style>
  <w:style w:type="character" w:styleId="879">
    <w:name w:val="Intense Quote Char"/>
    <w:link w:val="965"/>
    <w:uiPriority w:val="30"/>
    <w:rPr>
      <w:i/>
    </w:rPr>
  </w:style>
  <w:style w:type="character" w:styleId="880">
    <w:name w:val="Header Char"/>
    <w:basedOn w:val="914"/>
    <w:link w:val="932"/>
    <w:uiPriority w:val="99"/>
  </w:style>
  <w:style w:type="character" w:styleId="881">
    <w:name w:val="Caption Char"/>
    <w:basedOn w:val="920"/>
    <w:link w:val="931"/>
    <w:uiPriority w:val="99"/>
  </w:style>
  <w:style w:type="table" w:styleId="882">
    <w:name w:val="Plain Table 1"/>
    <w:basedOn w:val="9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3">
    <w:name w:val="Plain Table 2"/>
    <w:basedOn w:val="9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4">
    <w:name w:val="Plain Table 3"/>
    <w:basedOn w:val="9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5">
    <w:name w:val="Plain Table 4"/>
    <w:basedOn w:val="9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6">
    <w:name w:val="Plain Table 5"/>
    <w:basedOn w:val="9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7">
    <w:name w:val="Grid Table 1 Light"/>
    <w:basedOn w:val="9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8">
    <w:name w:val="Grid Table 2"/>
    <w:basedOn w:val="9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9">
    <w:name w:val="Grid Table 3"/>
    <w:basedOn w:val="9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4"/>
    <w:basedOn w:val="9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1">
    <w:name w:val="Grid Table 5 Dark"/>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2">
    <w:name w:val="Grid Table 6 Colorful"/>
    <w:basedOn w:val="9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3">
    <w:name w:val="Grid Table 7 Colorful"/>
    <w:basedOn w:val="9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4">
    <w:name w:val="List Table 1 Light"/>
    <w:basedOn w:val="9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5">
    <w:name w:val="List Table 2"/>
    <w:basedOn w:val="9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6">
    <w:name w:val="List Table 3"/>
    <w:basedOn w:val="9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7">
    <w:name w:val="List Table 4"/>
    <w:basedOn w:val="9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8">
    <w:name w:val="List Table 5 Dark"/>
    <w:basedOn w:val="9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6 Colorful"/>
    <w:basedOn w:val="9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0">
    <w:name w:val="List Table 7 Colorful"/>
    <w:basedOn w:val="9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01">
    <w:name w:val="Footnote Text Char"/>
    <w:link w:val="936"/>
    <w:uiPriority w:val="99"/>
    <w:rPr>
      <w:sz w:val="18"/>
    </w:rPr>
  </w:style>
  <w:style w:type="character" w:styleId="902">
    <w:name w:val="Endnote Text Char"/>
    <w:link w:val="929"/>
    <w:uiPriority w:val="99"/>
    <w:rPr>
      <w:sz w:val="20"/>
    </w:rPr>
  </w:style>
  <w:style w:type="paragraph" w:styleId="903">
    <w:name w:val="TOC Heading"/>
    <w:uiPriority w:val="39"/>
    <w:unhideWhenUsed/>
  </w:style>
  <w:style w:type="paragraph" w:styleId="904" w:default="1">
    <w:name w:val="Normal"/>
    <w:next w:val="916"/>
    <w:uiPriority w:val="0"/>
    <w:qFormat/>
    <w:pPr>
      <w:jc w:val="both"/>
      <w:widowControl w:val="off"/>
    </w:pPr>
    <w:rPr>
      <w:rFonts w:ascii="Times New Roman" w:hAnsi="Times New Roman" w:eastAsia="宋体" w:cs="Times New Roman"/>
      <w:sz w:val="21"/>
      <w:szCs w:val="24"/>
      <w:lang w:val="en-US" w:eastAsia="zh-CN" w:bidi="ar-SA"/>
    </w:rPr>
  </w:style>
  <w:style w:type="paragraph" w:styleId="905">
    <w:name w:val="Heading 1"/>
    <w:basedOn w:val="904"/>
    <w:next w:val="904"/>
    <w:link w:val="950"/>
    <w:uiPriority w:val="9"/>
    <w:qFormat/>
    <w:pPr>
      <w:keepLines/>
      <w:keepNext/>
      <w:spacing w:before="480" w:after="200"/>
      <w:outlineLvl w:val="0"/>
    </w:pPr>
    <w:rPr>
      <w:rFonts w:ascii="Arial" w:hAnsi="Arial" w:eastAsia="Arial" w:cs="Arial"/>
      <w:sz w:val="40"/>
      <w:szCs w:val="40"/>
    </w:rPr>
  </w:style>
  <w:style w:type="paragraph" w:styleId="906">
    <w:name w:val="Heading 2"/>
    <w:basedOn w:val="904"/>
    <w:next w:val="904"/>
    <w:link w:val="951"/>
    <w:uiPriority w:val="9"/>
    <w:unhideWhenUsed/>
    <w:qFormat/>
    <w:pPr>
      <w:keepLines/>
      <w:keepNext/>
      <w:spacing w:before="360" w:after="200"/>
      <w:outlineLvl w:val="1"/>
    </w:pPr>
    <w:rPr>
      <w:rFonts w:ascii="Arial" w:hAnsi="Arial" w:eastAsia="Arial" w:cs="Arial"/>
      <w:sz w:val="34"/>
    </w:rPr>
  </w:style>
  <w:style w:type="paragraph" w:styleId="907">
    <w:name w:val="Heading 3"/>
    <w:basedOn w:val="904"/>
    <w:next w:val="904"/>
    <w:link w:val="952"/>
    <w:uiPriority w:val="9"/>
    <w:unhideWhenUsed/>
    <w:qFormat/>
    <w:pPr>
      <w:keepLines/>
      <w:keepNext/>
      <w:spacing w:before="320" w:after="200"/>
      <w:outlineLvl w:val="2"/>
    </w:pPr>
    <w:rPr>
      <w:rFonts w:ascii="Arial" w:hAnsi="Arial" w:eastAsia="Arial" w:cs="Arial"/>
      <w:sz w:val="30"/>
      <w:szCs w:val="30"/>
    </w:rPr>
  </w:style>
  <w:style w:type="paragraph" w:styleId="908">
    <w:name w:val="Heading 4"/>
    <w:basedOn w:val="904"/>
    <w:next w:val="904"/>
    <w:link w:val="953"/>
    <w:uiPriority w:val="9"/>
    <w:unhideWhenUsed/>
    <w:qFormat/>
    <w:pPr>
      <w:keepLines/>
      <w:keepNext/>
      <w:spacing w:before="320" w:after="200"/>
      <w:outlineLvl w:val="3"/>
    </w:pPr>
    <w:rPr>
      <w:rFonts w:ascii="Arial" w:hAnsi="Arial" w:eastAsia="Arial" w:cs="Arial"/>
      <w:b/>
      <w:bCs/>
      <w:sz w:val="26"/>
      <w:szCs w:val="26"/>
    </w:rPr>
  </w:style>
  <w:style w:type="paragraph" w:styleId="909">
    <w:name w:val="Heading 5"/>
    <w:basedOn w:val="904"/>
    <w:next w:val="904"/>
    <w:link w:val="954"/>
    <w:uiPriority w:val="9"/>
    <w:unhideWhenUsed/>
    <w:qFormat/>
    <w:pPr>
      <w:keepLines/>
      <w:keepNext/>
      <w:spacing w:before="320" w:after="200"/>
      <w:outlineLvl w:val="4"/>
    </w:pPr>
    <w:rPr>
      <w:rFonts w:ascii="Arial" w:hAnsi="Arial" w:eastAsia="Arial" w:cs="Arial"/>
      <w:b/>
      <w:bCs/>
      <w:sz w:val="24"/>
    </w:rPr>
  </w:style>
  <w:style w:type="paragraph" w:styleId="910">
    <w:name w:val="Heading 6"/>
    <w:basedOn w:val="904"/>
    <w:next w:val="904"/>
    <w:link w:val="955"/>
    <w:uiPriority w:val="9"/>
    <w:unhideWhenUsed/>
    <w:qFormat/>
    <w:pPr>
      <w:keepLines/>
      <w:keepNext/>
      <w:spacing w:before="320" w:after="200"/>
      <w:outlineLvl w:val="5"/>
    </w:pPr>
    <w:rPr>
      <w:rFonts w:ascii="Arial" w:hAnsi="Arial" w:eastAsia="Arial" w:cs="Arial"/>
      <w:b/>
      <w:bCs/>
      <w:sz w:val="22"/>
      <w:szCs w:val="22"/>
    </w:rPr>
  </w:style>
  <w:style w:type="paragraph" w:styleId="911">
    <w:name w:val="Heading 7"/>
    <w:basedOn w:val="904"/>
    <w:next w:val="904"/>
    <w:link w:val="956"/>
    <w:uiPriority w:val="9"/>
    <w:unhideWhenUsed/>
    <w:qFormat/>
    <w:pPr>
      <w:keepLines/>
      <w:keepNext/>
      <w:spacing w:before="320" w:after="200"/>
      <w:outlineLvl w:val="6"/>
    </w:pPr>
    <w:rPr>
      <w:rFonts w:ascii="Arial" w:hAnsi="Arial" w:eastAsia="Arial" w:cs="Arial"/>
      <w:b/>
      <w:bCs/>
      <w:i/>
      <w:iCs/>
      <w:sz w:val="22"/>
      <w:szCs w:val="22"/>
    </w:rPr>
  </w:style>
  <w:style w:type="paragraph" w:styleId="912">
    <w:name w:val="Heading 8"/>
    <w:basedOn w:val="904"/>
    <w:next w:val="904"/>
    <w:link w:val="957"/>
    <w:uiPriority w:val="9"/>
    <w:unhideWhenUsed/>
    <w:qFormat/>
    <w:pPr>
      <w:keepLines/>
      <w:keepNext/>
      <w:spacing w:before="320" w:after="200"/>
      <w:outlineLvl w:val="7"/>
    </w:pPr>
    <w:rPr>
      <w:rFonts w:ascii="Arial" w:hAnsi="Arial" w:eastAsia="Arial" w:cs="Arial"/>
      <w:i/>
      <w:iCs/>
      <w:sz w:val="22"/>
      <w:szCs w:val="22"/>
    </w:rPr>
  </w:style>
  <w:style w:type="paragraph" w:styleId="913">
    <w:name w:val="Heading 9"/>
    <w:basedOn w:val="904"/>
    <w:next w:val="904"/>
    <w:link w:val="958"/>
    <w:uiPriority w:val="9"/>
    <w:unhideWhenUsed/>
    <w:qFormat/>
    <w:pPr>
      <w:keepLines/>
      <w:keepNext/>
      <w:spacing w:before="320" w:after="200"/>
      <w:outlineLvl w:val="8"/>
    </w:pPr>
    <w:rPr>
      <w:rFonts w:ascii="Arial" w:hAnsi="Arial" w:eastAsia="Arial" w:cs="Arial"/>
      <w:i/>
      <w:iCs/>
      <w:szCs w:val="21"/>
    </w:rPr>
  </w:style>
  <w:style w:type="character" w:styleId="914" w:default="1">
    <w:name w:val="Default Paragraph Font"/>
    <w:uiPriority w:val="1"/>
    <w:semiHidden/>
    <w:unhideWhenUsed/>
    <w:qFormat/>
  </w:style>
  <w:style w:type="table" w:styleId="915" w:default="1">
    <w:name w:val="Normal Table"/>
    <w:uiPriority w:val="99"/>
    <w:semiHidden/>
    <w:unhideWhenUsed/>
    <w:qFormat/>
    <w:tblPr>
      <w:tblCellMar>
        <w:left w:w="108" w:type="dxa"/>
        <w:top w:w="0" w:type="dxa"/>
        <w:right w:w="108" w:type="dxa"/>
        <w:bottom w:w="0" w:type="dxa"/>
      </w:tblCellMar>
    </w:tblPr>
  </w:style>
  <w:style w:type="paragraph" w:styleId="916" w:customStyle="1">
    <w:name w:val="正文文本缩进1"/>
    <w:basedOn w:val="904"/>
    <w:next w:val="917"/>
    <w:uiPriority w:val="0"/>
    <w:qFormat/>
    <w:pPr>
      <w:ind w:left="570"/>
      <w:spacing w:line="520" w:lineRule="exact"/>
    </w:pPr>
    <w:rPr>
      <w:rFonts w:ascii="方正仿宋简体" w:hAnsi="创艺简仿宋" w:eastAsia="方正仿宋简体"/>
      <w:sz w:val="24"/>
      <w:szCs w:val="20"/>
    </w:rPr>
  </w:style>
  <w:style w:type="paragraph" w:styleId="917" w:customStyle="1">
    <w:name w:val="寄信人地址1"/>
    <w:basedOn w:val="904"/>
    <w:uiPriority w:val="0"/>
    <w:qFormat/>
    <w:rPr>
      <w:rFonts w:ascii="Arial" w:hAnsi="Arial" w:eastAsia="楷体_GB2312"/>
      <w:sz w:val="26"/>
      <w:szCs w:val="20"/>
    </w:rPr>
  </w:style>
  <w:style w:type="paragraph" w:styleId="918">
    <w:name w:val="toc 7"/>
    <w:basedOn w:val="904"/>
    <w:next w:val="904"/>
    <w:uiPriority w:val="39"/>
    <w:unhideWhenUsed/>
    <w:qFormat/>
    <w:pPr>
      <w:ind w:left="1701"/>
      <w:spacing w:after="57"/>
    </w:pPr>
  </w:style>
  <w:style w:type="paragraph" w:styleId="919">
    <w:name w:val="Normal Indent"/>
    <w:basedOn w:val="904"/>
    <w:uiPriority w:val="0"/>
    <w:qFormat/>
    <w:pPr>
      <w:ind w:firstLine="420"/>
      <w:jc w:val="left"/>
      <w:widowControl/>
    </w:pPr>
    <w:rPr>
      <w:rFonts w:eastAsia="楷体_GB2312"/>
      <w:sz w:val="24"/>
      <w:szCs w:val="20"/>
    </w:rPr>
  </w:style>
  <w:style w:type="paragraph" w:styleId="920">
    <w:name w:val="Caption"/>
    <w:basedOn w:val="904"/>
    <w:next w:val="90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21">
    <w:name w:val="annotation text"/>
    <w:basedOn w:val="904"/>
    <w:uiPriority w:val="99"/>
    <w:semiHidden/>
    <w:unhideWhenUsed/>
    <w:qFormat/>
    <w:pPr>
      <w:jc w:val="left"/>
    </w:pPr>
  </w:style>
  <w:style w:type="paragraph" w:styleId="922">
    <w:name w:val="Body Text"/>
    <w:basedOn w:val="904"/>
    <w:uiPriority w:val="0"/>
    <w:qFormat/>
    <w:pPr>
      <w:spacing w:after="120"/>
    </w:pPr>
    <w:rPr>
      <w:szCs w:val="20"/>
    </w:rPr>
  </w:style>
  <w:style w:type="paragraph" w:styleId="923">
    <w:name w:val="Body Text Indent"/>
    <w:basedOn w:val="904"/>
    <w:next w:val="924"/>
    <w:uiPriority w:val="0"/>
    <w:qFormat/>
    <w:pPr>
      <w:ind w:firstLine="560"/>
      <w:jc w:val="left"/>
      <w:spacing w:line="300" w:lineRule="auto"/>
    </w:pPr>
    <w:rPr>
      <w:sz w:val="28"/>
    </w:rPr>
  </w:style>
  <w:style w:type="paragraph" w:styleId="924">
    <w:name w:val="envelope return"/>
    <w:basedOn w:val="904"/>
    <w:uiPriority w:val="0"/>
    <w:qFormat/>
    <w:rPr>
      <w:rFonts w:ascii="Arial" w:hAnsi="Arial"/>
    </w:rPr>
  </w:style>
  <w:style w:type="paragraph" w:styleId="925">
    <w:name w:val="toc 5"/>
    <w:basedOn w:val="904"/>
    <w:next w:val="904"/>
    <w:uiPriority w:val="39"/>
    <w:unhideWhenUsed/>
    <w:qFormat/>
    <w:pPr>
      <w:ind w:left="1134"/>
      <w:spacing w:after="57"/>
    </w:pPr>
  </w:style>
  <w:style w:type="paragraph" w:styleId="926">
    <w:name w:val="toc 3"/>
    <w:basedOn w:val="904"/>
    <w:next w:val="904"/>
    <w:uiPriority w:val="39"/>
    <w:unhideWhenUsed/>
    <w:qFormat/>
    <w:pPr>
      <w:ind w:left="567"/>
      <w:spacing w:after="57"/>
    </w:pPr>
  </w:style>
  <w:style w:type="paragraph" w:styleId="927">
    <w:name w:val="Plain Text"/>
    <w:basedOn w:val="904"/>
    <w:uiPriority w:val="0"/>
    <w:qFormat/>
    <w:rPr>
      <w:rFonts w:ascii="宋体" w:hAnsi="Courier New" w:eastAsia="楷体_GB2312"/>
      <w:sz w:val="26"/>
    </w:rPr>
  </w:style>
  <w:style w:type="paragraph" w:styleId="928">
    <w:name w:val="toc 8"/>
    <w:basedOn w:val="904"/>
    <w:next w:val="904"/>
    <w:uiPriority w:val="39"/>
    <w:unhideWhenUsed/>
    <w:qFormat/>
    <w:pPr>
      <w:ind w:left="1984"/>
      <w:spacing w:after="57"/>
    </w:pPr>
  </w:style>
  <w:style w:type="paragraph" w:styleId="929">
    <w:name w:val="endnote text"/>
    <w:basedOn w:val="904"/>
    <w:link w:val="1096"/>
    <w:uiPriority w:val="99"/>
    <w:semiHidden/>
    <w:unhideWhenUsed/>
    <w:qFormat/>
    <w:rPr>
      <w:sz w:val="20"/>
    </w:rPr>
  </w:style>
  <w:style w:type="paragraph" w:styleId="930">
    <w:name w:val="Balloon Text"/>
    <w:basedOn w:val="904"/>
    <w:link w:val="1155"/>
    <w:uiPriority w:val="99"/>
    <w:semiHidden/>
    <w:unhideWhenUsed/>
    <w:qFormat/>
    <w:rPr>
      <w:sz w:val="18"/>
      <w:szCs w:val="18"/>
    </w:rPr>
  </w:style>
  <w:style w:type="paragraph" w:styleId="931">
    <w:name w:val="Footer"/>
    <w:basedOn w:val="904"/>
    <w:link w:val="969"/>
    <w:uiPriority w:val="99"/>
    <w:unhideWhenUsed/>
    <w:qFormat/>
    <w:pPr>
      <w:tabs>
        <w:tab w:val="center" w:pos="7143" w:leader="none"/>
        <w:tab w:val="right" w:pos="14287" w:leader="none"/>
      </w:tabs>
    </w:pPr>
  </w:style>
  <w:style w:type="paragraph" w:styleId="932">
    <w:name w:val="Header"/>
    <w:basedOn w:val="904"/>
    <w:link w:val="967"/>
    <w:uiPriority w:val="99"/>
    <w:unhideWhenUsed/>
    <w:qFormat/>
    <w:pPr>
      <w:tabs>
        <w:tab w:val="center" w:pos="7143" w:leader="none"/>
        <w:tab w:val="right" w:pos="14287" w:leader="none"/>
      </w:tabs>
    </w:pPr>
  </w:style>
  <w:style w:type="paragraph" w:styleId="933">
    <w:name w:val="toc 1"/>
    <w:basedOn w:val="904"/>
    <w:next w:val="904"/>
    <w:uiPriority w:val="39"/>
    <w:unhideWhenUsed/>
    <w:qFormat/>
    <w:pPr>
      <w:spacing w:after="57"/>
    </w:pPr>
  </w:style>
  <w:style w:type="paragraph" w:styleId="934">
    <w:name w:val="toc 4"/>
    <w:basedOn w:val="904"/>
    <w:next w:val="904"/>
    <w:uiPriority w:val="39"/>
    <w:unhideWhenUsed/>
    <w:qFormat/>
    <w:pPr>
      <w:ind w:left="850"/>
      <w:spacing w:after="57"/>
    </w:pPr>
  </w:style>
  <w:style w:type="paragraph" w:styleId="935">
    <w:name w:val="Subtitle"/>
    <w:basedOn w:val="904"/>
    <w:next w:val="904"/>
    <w:link w:val="962"/>
    <w:uiPriority w:val="11"/>
    <w:qFormat/>
    <w:pPr>
      <w:spacing w:before="200" w:after="200"/>
    </w:pPr>
    <w:rPr>
      <w:sz w:val="24"/>
    </w:rPr>
  </w:style>
  <w:style w:type="paragraph" w:styleId="936">
    <w:name w:val="footnote text"/>
    <w:basedOn w:val="904"/>
    <w:link w:val="1095"/>
    <w:uiPriority w:val="99"/>
    <w:semiHidden/>
    <w:unhideWhenUsed/>
    <w:qFormat/>
    <w:pPr>
      <w:spacing w:after="40"/>
    </w:pPr>
    <w:rPr>
      <w:sz w:val="18"/>
    </w:rPr>
  </w:style>
  <w:style w:type="paragraph" w:styleId="937">
    <w:name w:val="toc 6"/>
    <w:basedOn w:val="904"/>
    <w:next w:val="904"/>
    <w:uiPriority w:val="39"/>
    <w:unhideWhenUsed/>
    <w:qFormat/>
    <w:pPr>
      <w:ind w:left="1417"/>
      <w:spacing w:after="57"/>
    </w:pPr>
  </w:style>
  <w:style w:type="paragraph" w:styleId="938">
    <w:name w:val="table of figures"/>
    <w:basedOn w:val="904"/>
    <w:next w:val="904"/>
    <w:uiPriority w:val="99"/>
    <w:unhideWhenUsed/>
    <w:qFormat/>
  </w:style>
  <w:style w:type="paragraph" w:styleId="939">
    <w:name w:val="toc 2"/>
    <w:basedOn w:val="904"/>
    <w:next w:val="904"/>
    <w:uiPriority w:val="39"/>
    <w:unhideWhenUsed/>
    <w:qFormat/>
    <w:pPr>
      <w:ind w:left="283"/>
      <w:spacing w:after="57"/>
    </w:pPr>
  </w:style>
  <w:style w:type="paragraph" w:styleId="940">
    <w:name w:val="toc 9"/>
    <w:basedOn w:val="904"/>
    <w:next w:val="904"/>
    <w:uiPriority w:val="39"/>
    <w:unhideWhenUsed/>
    <w:qFormat/>
    <w:pPr>
      <w:ind w:left="2268"/>
      <w:spacing w:after="57"/>
    </w:pPr>
  </w:style>
  <w:style w:type="paragraph" w:styleId="941">
    <w:name w:val="Normal (Web)"/>
    <w:basedOn w:val="904"/>
    <w:uiPriority w:val="0"/>
    <w:qFormat/>
    <w:pPr>
      <w:jc w:val="left"/>
      <w:spacing w:before="100" w:beforeAutospacing="1" w:after="100" w:afterAutospacing="1"/>
      <w:widowControl/>
    </w:pPr>
    <w:rPr>
      <w:rFonts w:ascii="宋体" w:hAnsi="宋体" w:cs="宋体"/>
      <w:sz w:val="24"/>
    </w:rPr>
  </w:style>
  <w:style w:type="paragraph" w:styleId="942">
    <w:name w:val="Title"/>
    <w:basedOn w:val="904"/>
    <w:next w:val="904"/>
    <w:link w:val="961"/>
    <w:uiPriority w:val="10"/>
    <w:qFormat/>
    <w:pPr>
      <w:contextualSpacing/>
      <w:spacing w:before="300" w:after="200"/>
    </w:pPr>
    <w:rPr>
      <w:sz w:val="48"/>
      <w:szCs w:val="48"/>
    </w:rPr>
  </w:style>
  <w:style w:type="paragraph" w:styleId="943">
    <w:name w:val="Body Text First Indent 2"/>
    <w:basedOn w:val="923"/>
    <w:uiPriority w:val="0"/>
    <w:qFormat/>
    <w:pPr>
      <w:ind w:left="420" w:firstLine="210"/>
      <w:jc w:val="both"/>
      <w:spacing w:after="120" w:line="240" w:lineRule="auto"/>
    </w:pPr>
    <w:rPr>
      <w:rFonts w:eastAsia="仿宋_GB2312"/>
      <w:sz w:val="30"/>
    </w:rPr>
  </w:style>
  <w:style w:type="table" w:styleId="94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5">
    <w:name w:val="Strong"/>
    <w:basedOn w:val="914"/>
    <w:uiPriority w:val="22"/>
    <w:qFormat/>
    <w:rPr>
      <w:b/>
      <w:bCs/>
    </w:rPr>
  </w:style>
  <w:style w:type="character" w:styleId="946">
    <w:name w:val="endnote reference"/>
    <w:uiPriority w:val="99"/>
    <w:semiHidden/>
    <w:unhideWhenUsed/>
    <w:qFormat/>
    <w:rPr>
      <w:vertAlign w:val="superscript"/>
    </w:rPr>
  </w:style>
  <w:style w:type="character" w:styleId="947">
    <w:name w:val="Hyperlink"/>
    <w:uiPriority w:val="99"/>
    <w:unhideWhenUsed/>
    <w:qFormat/>
    <w:rPr>
      <w:color w:val="0000ff" w:themeColor="hyperlink"/>
      <w:u w:val="single"/>
      <w14:textFill>
        <w14:solidFill>
          <w14:schemeClr w14:val="hlink"/>
        </w14:solidFill>
      </w14:textFill>
    </w:rPr>
  </w:style>
  <w:style w:type="character" w:styleId="948">
    <w:name w:val="footnote reference"/>
    <w:uiPriority w:val="99"/>
    <w:unhideWhenUsed/>
    <w:qFormat/>
    <w:rPr>
      <w:vertAlign w:val="superscript"/>
    </w:rPr>
  </w:style>
  <w:style w:type="paragraph" w:styleId="949" w:customStyle="1">
    <w:name w:val="段"/>
    <w:basedOn w:val="904"/>
    <w:next w:val="904"/>
    <w:uiPriority w:val="0"/>
    <w:qFormat/>
    <w:pPr>
      <w:ind w:firstLine="200"/>
      <w:widowControl/>
    </w:pPr>
    <w:rPr>
      <w:rFonts w:hint="eastAsia" w:ascii="宋体"/>
      <w:szCs w:val="22"/>
    </w:rPr>
  </w:style>
  <w:style w:type="character" w:styleId="950" w:customStyle="1">
    <w:name w:val="标题 1 字符"/>
    <w:link w:val="905"/>
    <w:uiPriority w:val="9"/>
    <w:qFormat/>
    <w:rPr>
      <w:rFonts w:ascii="Arial" w:hAnsi="Arial" w:eastAsia="Arial" w:cs="Arial"/>
      <w:sz w:val="40"/>
      <w:szCs w:val="40"/>
    </w:rPr>
  </w:style>
  <w:style w:type="character" w:styleId="951" w:customStyle="1">
    <w:name w:val="标题 2 字符"/>
    <w:link w:val="906"/>
    <w:uiPriority w:val="9"/>
    <w:qFormat/>
    <w:rPr>
      <w:rFonts w:ascii="Arial" w:hAnsi="Arial" w:eastAsia="Arial" w:cs="Arial"/>
      <w:sz w:val="34"/>
    </w:rPr>
  </w:style>
  <w:style w:type="character" w:styleId="952" w:customStyle="1">
    <w:name w:val="标题 3 字符"/>
    <w:link w:val="907"/>
    <w:uiPriority w:val="9"/>
    <w:qFormat/>
    <w:rPr>
      <w:rFonts w:ascii="Arial" w:hAnsi="Arial" w:eastAsia="Arial" w:cs="Arial"/>
      <w:sz w:val="30"/>
      <w:szCs w:val="30"/>
    </w:rPr>
  </w:style>
  <w:style w:type="character" w:styleId="953" w:customStyle="1">
    <w:name w:val="标题 4 字符"/>
    <w:link w:val="908"/>
    <w:uiPriority w:val="9"/>
    <w:qFormat/>
    <w:rPr>
      <w:rFonts w:ascii="Arial" w:hAnsi="Arial" w:eastAsia="Arial" w:cs="Arial"/>
      <w:b/>
      <w:bCs/>
      <w:sz w:val="26"/>
      <w:szCs w:val="26"/>
    </w:rPr>
  </w:style>
  <w:style w:type="character" w:styleId="954" w:customStyle="1">
    <w:name w:val="标题 5 字符"/>
    <w:link w:val="909"/>
    <w:uiPriority w:val="9"/>
    <w:qFormat/>
    <w:rPr>
      <w:rFonts w:ascii="Arial" w:hAnsi="Arial" w:eastAsia="Arial" w:cs="Arial"/>
      <w:b/>
      <w:bCs/>
      <w:sz w:val="24"/>
      <w:szCs w:val="24"/>
    </w:rPr>
  </w:style>
  <w:style w:type="character" w:styleId="955" w:customStyle="1">
    <w:name w:val="标题 6 字符"/>
    <w:link w:val="910"/>
    <w:uiPriority w:val="9"/>
    <w:qFormat/>
    <w:rPr>
      <w:rFonts w:ascii="Arial" w:hAnsi="Arial" w:eastAsia="Arial" w:cs="Arial"/>
      <w:b/>
      <w:bCs/>
      <w:sz w:val="22"/>
      <w:szCs w:val="22"/>
    </w:rPr>
  </w:style>
  <w:style w:type="character" w:styleId="956" w:customStyle="1">
    <w:name w:val="标题 7 字符"/>
    <w:link w:val="911"/>
    <w:uiPriority w:val="9"/>
    <w:qFormat/>
    <w:rPr>
      <w:rFonts w:ascii="Arial" w:hAnsi="Arial" w:eastAsia="Arial" w:cs="Arial"/>
      <w:b/>
      <w:bCs/>
      <w:i/>
      <w:iCs/>
      <w:sz w:val="22"/>
      <w:szCs w:val="22"/>
    </w:rPr>
  </w:style>
  <w:style w:type="character" w:styleId="957" w:customStyle="1">
    <w:name w:val="标题 8 字符"/>
    <w:link w:val="912"/>
    <w:uiPriority w:val="9"/>
    <w:qFormat/>
    <w:rPr>
      <w:rFonts w:ascii="Arial" w:hAnsi="Arial" w:eastAsia="Arial" w:cs="Arial"/>
      <w:i/>
      <w:iCs/>
      <w:sz w:val="22"/>
      <w:szCs w:val="22"/>
    </w:rPr>
  </w:style>
  <w:style w:type="character" w:styleId="958" w:customStyle="1">
    <w:name w:val="标题 9 字符"/>
    <w:link w:val="913"/>
    <w:uiPriority w:val="9"/>
    <w:qFormat/>
    <w:rPr>
      <w:rFonts w:ascii="Arial" w:hAnsi="Arial" w:eastAsia="Arial" w:cs="Arial"/>
      <w:i/>
      <w:iCs/>
      <w:sz w:val="21"/>
      <w:szCs w:val="21"/>
    </w:rPr>
  </w:style>
  <w:style w:type="paragraph" w:styleId="959">
    <w:name w:val="List Paragraph"/>
    <w:basedOn w:val="904"/>
    <w:uiPriority w:val="34"/>
    <w:qFormat/>
    <w:pPr>
      <w:contextualSpacing/>
      <w:ind w:left="720"/>
    </w:pPr>
  </w:style>
  <w:style w:type="paragraph" w:styleId="960">
    <w:name w:val="No Spacing"/>
    <w:uiPriority w:val="1"/>
    <w:qFormat/>
    <w:rPr>
      <w:rFonts w:ascii="Times New Roman" w:hAnsi="Times New Roman" w:eastAsia="宋体" w:cs="Times New Roman"/>
      <w:lang w:val="en-US" w:eastAsia="zh-CN" w:bidi="ar-SA"/>
    </w:rPr>
  </w:style>
  <w:style w:type="character" w:styleId="961" w:customStyle="1">
    <w:name w:val="标题 字符"/>
    <w:link w:val="942"/>
    <w:uiPriority w:val="10"/>
    <w:qFormat/>
    <w:rPr>
      <w:sz w:val="48"/>
      <w:szCs w:val="48"/>
    </w:rPr>
  </w:style>
  <w:style w:type="character" w:styleId="962" w:customStyle="1">
    <w:name w:val="副标题 字符"/>
    <w:link w:val="935"/>
    <w:uiPriority w:val="11"/>
    <w:qFormat/>
    <w:rPr>
      <w:sz w:val="24"/>
      <w:szCs w:val="24"/>
    </w:rPr>
  </w:style>
  <w:style w:type="paragraph" w:styleId="963">
    <w:name w:val="Quote"/>
    <w:basedOn w:val="904"/>
    <w:next w:val="904"/>
    <w:link w:val="964"/>
    <w:uiPriority w:val="29"/>
    <w:qFormat/>
    <w:pPr>
      <w:ind w:left="720" w:right="720"/>
    </w:pPr>
    <w:rPr>
      <w:i/>
    </w:rPr>
  </w:style>
  <w:style w:type="character" w:styleId="964" w:customStyle="1">
    <w:name w:val="引用 字符"/>
    <w:link w:val="963"/>
    <w:uiPriority w:val="29"/>
    <w:qFormat/>
    <w:rPr>
      <w:i/>
    </w:rPr>
  </w:style>
  <w:style w:type="paragraph" w:styleId="965">
    <w:name w:val="Intense Quote"/>
    <w:basedOn w:val="904"/>
    <w:next w:val="904"/>
    <w:link w:val="9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6" w:customStyle="1">
    <w:name w:val="明显引用 字符"/>
    <w:link w:val="965"/>
    <w:uiPriority w:val="30"/>
    <w:qFormat/>
    <w:rPr>
      <w:i/>
    </w:rPr>
  </w:style>
  <w:style w:type="character" w:styleId="967" w:customStyle="1">
    <w:name w:val="页眉 字符"/>
    <w:link w:val="932"/>
    <w:uiPriority w:val="99"/>
    <w:qFormat/>
  </w:style>
  <w:style w:type="character" w:styleId="968" w:customStyle="1">
    <w:name w:val="Footer Char"/>
    <w:uiPriority w:val="99"/>
    <w:qFormat/>
  </w:style>
  <w:style w:type="character" w:styleId="969" w:customStyle="1">
    <w:name w:val="页脚 字符"/>
    <w:link w:val="931"/>
    <w:uiPriority w:val="99"/>
    <w:qFormat/>
  </w:style>
  <w:style w:type="table" w:styleId="97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7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8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8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8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8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8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8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9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9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0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0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0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0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1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1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1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1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1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1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2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2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3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3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3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4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4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5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5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5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6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6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6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6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6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6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6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7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9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9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9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5" w:customStyle="1">
    <w:name w:val="脚注文本 字符"/>
    <w:link w:val="936"/>
    <w:uiPriority w:val="99"/>
    <w:qFormat/>
    <w:rPr>
      <w:sz w:val="18"/>
    </w:rPr>
  </w:style>
  <w:style w:type="character" w:styleId="1096" w:customStyle="1">
    <w:name w:val="尾注文本 字符"/>
    <w:link w:val="929"/>
    <w:uiPriority w:val="99"/>
    <w:qFormat/>
    <w:rPr>
      <w:sz w:val="20"/>
    </w:rPr>
  </w:style>
  <w:style w:type="paragraph" w:styleId="1097" w:customStyle="1">
    <w:name w:val="TOC 标题1"/>
    <w:uiPriority w:val="39"/>
    <w:unhideWhenUsed/>
    <w:qFormat/>
    <w:rPr>
      <w:rFonts w:ascii="Times New Roman" w:hAnsi="Times New Roman" w:eastAsia="宋体" w:cs="Times New Roman"/>
      <w:lang w:val="en-US" w:eastAsia="zh-CN" w:bidi="ar-SA"/>
    </w:rPr>
  </w:style>
  <w:style w:type="paragraph" w:styleId="1098" w:customStyle="1">
    <w:name w:val="标题 11"/>
    <w:basedOn w:val="904"/>
    <w:next w:val="904"/>
    <w:uiPriority w:val="9"/>
    <w:qFormat/>
    <w:pPr>
      <w:jc w:val="left"/>
      <w:keepLines/>
      <w:keepNext/>
      <w:outlineLvl w:val="0"/>
    </w:pPr>
    <w:rPr>
      <w:b/>
      <w:bCs/>
      <w:sz w:val="30"/>
      <w:szCs w:val="44"/>
    </w:rPr>
  </w:style>
  <w:style w:type="paragraph" w:styleId="1099" w:customStyle="1">
    <w:name w:val="标题 21"/>
    <w:basedOn w:val="904"/>
    <w:next w:val="904"/>
    <w:uiPriority w:val="0"/>
    <w:qFormat/>
    <w:pPr>
      <w:keepLines/>
      <w:keepNext/>
      <w:spacing w:before="260" w:after="260" w:line="413" w:lineRule="auto"/>
      <w:outlineLvl w:val="1"/>
    </w:pPr>
    <w:rPr>
      <w:rFonts w:ascii="Arial" w:hAnsi="Arial" w:eastAsia="黑体"/>
      <w:b/>
      <w:sz w:val="32"/>
    </w:rPr>
  </w:style>
  <w:style w:type="paragraph" w:styleId="1100" w:customStyle="1">
    <w:name w:val="标题 31"/>
    <w:basedOn w:val="904"/>
    <w:next w:val="904"/>
    <w:uiPriority w:val="9"/>
    <w:qFormat/>
    <w:pPr>
      <w:keepLines/>
      <w:keepNext/>
      <w:spacing w:before="120" w:after="120"/>
      <w:outlineLvl w:val="2"/>
    </w:pPr>
    <w:rPr>
      <w:b/>
      <w:bCs/>
      <w:sz w:val="28"/>
      <w:szCs w:val="32"/>
    </w:rPr>
  </w:style>
  <w:style w:type="paragraph" w:styleId="1101" w:customStyle="1">
    <w:name w:val="标题 41"/>
    <w:basedOn w:val="904"/>
    <w:next w:val="904"/>
    <w:uiPriority w:val="9"/>
    <w:qFormat/>
    <w:pPr>
      <w:keepLines/>
      <w:keepNext/>
      <w:spacing w:before="120" w:after="120"/>
      <w:outlineLvl w:val="3"/>
    </w:pPr>
    <w:rPr>
      <w:b/>
      <w:bCs/>
      <w:sz w:val="28"/>
      <w:szCs w:val="28"/>
    </w:rPr>
  </w:style>
  <w:style w:type="character" w:styleId="1102" w:customStyle="1">
    <w:name w:val="默认段落字体1"/>
    <w:uiPriority w:val="0"/>
    <w:semiHidden/>
    <w:qFormat/>
  </w:style>
  <w:style w:type="table" w:styleId="1103" w:customStyle="1">
    <w:name w:val="普通表格1"/>
    <w:uiPriority w:val="0"/>
    <w:semiHidden/>
    <w:qFormat/>
    <w:tblPr>
      <w:tblCellMar>
        <w:left w:w="0" w:type="dxa"/>
        <w:top w:w="0" w:type="dxa"/>
        <w:right w:w="0" w:type="dxa"/>
        <w:bottom w:w="0" w:type="dxa"/>
      </w:tblCellMar>
    </w:tblPr>
  </w:style>
  <w:style w:type="paragraph" w:styleId="1104" w:customStyle="1">
    <w:name w:val="正文缩进1"/>
    <w:basedOn w:val="904"/>
    <w:uiPriority w:val="0"/>
    <w:qFormat/>
    <w:pPr>
      <w:ind w:firstLine="420"/>
      <w:jc w:val="left"/>
    </w:pPr>
    <w:rPr>
      <w:rFonts w:eastAsia="楷体_GB2312"/>
      <w:sz w:val="24"/>
      <w:szCs w:val="20"/>
    </w:rPr>
  </w:style>
  <w:style w:type="paragraph" w:styleId="1105" w:customStyle="1">
    <w:name w:val="列表项目符号1"/>
    <w:basedOn w:val="1098"/>
    <w:next w:val="904"/>
    <w:uiPriority w:val="0"/>
    <w:qFormat/>
    <w:pPr>
      <w:numPr>
        <w:ilvl w:val="0"/>
        <w:numId w:val="1"/>
      </w:numPr>
    </w:pPr>
  </w:style>
  <w:style w:type="paragraph" w:styleId="1106" w:customStyle="1">
    <w:name w:val="文档结构图1"/>
    <w:basedOn w:val="904"/>
    <w:uiPriority w:val="0"/>
    <w:semiHidden/>
    <w:qFormat/>
    <w:pPr>
      <w:shd w:val="clear" w:color="auto" w:fill="000080"/>
    </w:pPr>
  </w:style>
  <w:style w:type="paragraph" w:styleId="1107" w:customStyle="1">
    <w:name w:val="批注文字1"/>
    <w:basedOn w:val="904"/>
    <w:next w:val="904"/>
    <w:uiPriority w:val="0"/>
    <w:qFormat/>
    <w:pPr>
      <w:jc w:val="left"/>
    </w:pPr>
  </w:style>
  <w:style w:type="paragraph" w:styleId="1108" w:customStyle="1">
    <w:name w:val="正文文本1"/>
    <w:basedOn w:val="904"/>
    <w:uiPriority w:val="0"/>
    <w:qFormat/>
    <w:pPr>
      <w:spacing w:after="120"/>
    </w:pPr>
  </w:style>
  <w:style w:type="paragraph" w:styleId="1109" w:customStyle="1">
    <w:name w:val="正文文本缩进111"/>
    <w:basedOn w:val="904"/>
    <w:next w:val="1110"/>
    <w:uiPriority w:val="0"/>
    <w:qFormat/>
    <w:pPr>
      <w:ind w:firstLine="560"/>
      <w:jc w:val="left"/>
      <w:spacing w:line="300" w:lineRule="auto"/>
    </w:pPr>
    <w:rPr>
      <w:rFonts w:eastAsia="Times New Roman"/>
      <w:sz w:val="28"/>
    </w:rPr>
  </w:style>
  <w:style w:type="paragraph" w:styleId="1110" w:customStyle="1">
    <w:name w:val="寄信人地址11"/>
    <w:basedOn w:val="904"/>
    <w:uiPriority w:val="0"/>
    <w:qFormat/>
    <w:rPr>
      <w:rFonts w:ascii="Arial" w:hAnsi="Arial"/>
    </w:rPr>
  </w:style>
  <w:style w:type="paragraph" w:styleId="1111" w:customStyle="1">
    <w:name w:val="文本块1"/>
    <w:basedOn w:val="904"/>
    <w:uiPriority w:val="0"/>
    <w:qFormat/>
    <w:pPr>
      <w:ind w:left="630" w:right="-609" w:firstLine="420"/>
      <w:spacing w:line="360" w:lineRule="auto"/>
    </w:pPr>
    <w:rPr>
      <w:rFonts w:hint="eastAsia" w:ascii="仿宋_GB2312" w:eastAsia="仿宋_GB2312"/>
      <w:szCs w:val="20"/>
    </w:rPr>
  </w:style>
  <w:style w:type="paragraph" w:styleId="1112" w:customStyle="1">
    <w:name w:val="纯文本11"/>
    <w:basedOn w:val="904"/>
    <w:uiPriority w:val="0"/>
    <w:qFormat/>
    <w:pPr>
      <w:jc w:val="left"/>
      <w:widowControl/>
    </w:pPr>
    <w:rPr>
      <w:rFonts w:ascii="宋体" w:hAnsi="Courier New" w:eastAsia="楷体_GB2312"/>
      <w:sz w:val="26"/>
    </w:rPr>
  </w:style>
  <w:style w:type="paragraph" w:styleId="1113" w:customStyle="1">
    <w:name w:val="列表项目符号 51"/>
    <w:basedOn w:val="904"/>
    <w:uiPriority w:val="0"/>
    <w:qFormat/>
    <w:pPr>
      <w:numPr>
        <w:ilvl w:val="0"/>
        <w:numId w:val="2"/>
      </w:numPr>
    </w:pPr>
  </w:style>
  <w:style w:type="paragraph" w:styleId="1114" w:customStyle="1">
    <w:name w:val="正文文本缩进 21"/>
    <w:basedOn w:val="904"/>
    <w:next w:val="1115"/>
    <w:uiPriority w:val="0"/>
    <w:qFormat/>
    <w:pPr>
      <w:ind w:firstLine="540"/>
      <w:spacing w:line="360" w:lineRule="auto"/>
    </w:pPr>
    <w:rPr>
      <w:rFonts w:ascii="宋体" w:hAnsi="宋体"/>
      <w:sz w:val="24"/>
    </w:rPr>
  </w:style>
  <w:style w:type="paragraph" w:styleId="1115" w:customStyle="1">
    <w:name w:val="索引 91"/>
    <w:basedOn w:val="904"/>
    <w:next w:val="904"/>
    <w:uiPriority w:val="0"/>
    <w:semiHidden/>
    <w:qFormat/>
    <w:pPr>
      <w:ind w:left="1600"/>
    </w:pPr>
  </w:style>
  <w:style w:type="paragraph" w:styleId="1116" w:customStyle="1">
    <w:name w:val="页脚11"/>
    <w:basedOn w:val="904"/>
    <w:uiPriority w:val="0"/>
    <w:qFormat/>
    <w:pPr>
      <w:jc w:val="left"/>
      <w:tabs>
        <w:tab w:val="center" w:pos="4153" w:leader="none"/>
        <w:tab w:val="right" w:pos="8306" w:leader="none"/>
      </w:tabs>
    </w:pPr>
    <w:rPr>
      <w:sz w:val="18"/>
      <w:szCs w:val="18"/>
    </w:rPr>
  </w:style>
  <w:style w:type="paragraph" w:styleId="1117" w:customStyle="1">
    <w:name w:val="页眉11"/>
    <w:basedOn w:val="904"/>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1118" w:customStyle="1">
    <w:name w:val="目录 11"/>
    <w:basedOn w:val="904"/>
    <w:next w:val="904"/>
    <w:uiPriority w:val="0"/>
    <w:semiHidden/>
    <w:qFormat/>
    <w:pPr>
      <w:jc w:val="left"/>
    </w:pPr>
    <w:rPr>
      <w:rFonts w:eastAsia="楷体_GB2312"/>
      <w:sz w:val="24"/>
      <w:szCs w:val="20"/>
    </w:rPr>
  </w:style>
  <w:style w:type="paragraph" w:styleId="1119" w:customStyle="1">
    <w:name w:val="正文文本缩进 31"/>
    <w:basedOn w:val="904"/>
    <w:uiPriority w:val="0"/>
    <w:qFormat/>
    <w:pPr>
      <w:ind w:firstLine="480"/>
      <w:jc w:val="left"/>
      <w:spacing w:line="440" w:lineRule="atLeast"/>
    </w:pPr>
    <w:rPr>
      <w:sz w:val="24"/>
    </w:rPr>
  </w:style>
  <w:style w:type="paragraph" w:styleId="1120" w:customStyle="1">
    <w:name w:val="正文文本 21"/>
    <w:basedOn w:val="1098"/>
    <w:next w:val="1105"/>
    <w:uiPriority w:val="0"/>
    <w:qFormat/>
    <w:pPr>
      <w:ind w:firstLine="1024"/>
      <w:spacing w:after="120" w:line="480" w:lineRule="auto"/>
    </w:pPr>
  </w:style>
  <w:style w:type="paragraph" w:styleId="1121" w:customStyle="1">
    <w:name w:val="普通(网站)11"/>
    <w:basedOn w:val="904"/>
    <w:uiPriority w:val="99"/>
    <w:qFormat/>
    <w:pPr>
      <w:jc w:val="left"/>
      <w:spacing w:beforeAutospacing="1" w:afterAutospacing="1"/>
    </w:pPr>
    <w:rPr>
      <w:sz w:val="24"/>
    </w:rPr>
  </w:style>
  <w:style w:type="paragraph" w:styleId="1122" w:customStyle="1">
    <w:name w:val="正文首行缩进1"/>
    <w:basedOn w:val="904"/>
    <w:uiPriority w:val="0"/>
    <w:qFormat/>
    <w:pPr>
      <w:ind w:firstLine="420"/>
      <w:tabs>
        <w:tab w:val="left" w:pos="5250" w:leader="none"/>
      </w:tabs>
    </w:pPr>
  </w:style>
  <w:style w:type="paragraph" w:styleId="1123" w:customStyle="1">
    <w:name w:val="正文首行缩进 211"/>
    <w:basedOn w:val="1109"/>
    <w:uiPriority w:val="0"/>
    <w:qFormat/>
    <w:pPr>
      <w:ind w:left="420" w:firstLine="420"/>
      <w:spacing w:before="100" w:beforeAutospacing="1" w:after="120" w:line="240" w:lineRule="auto"/>
    </w:pPr>
  </w:style>
  <w:style w:type="table" w:styleId="1124" w:customStyle="1">
    <w:name w:val="网格型1"/>
    <w:basedOn w:val="1103"/>
    <w:uiPriority w:val="39"/>
    <w:qFormat/>
    <w:tblPr/>
  </w:style>
  <w:style w:type="character" w:styleId="1125" w:customStyle="1">
    <w:name w:val="要点1"/>
    <w:uiPriority w:val="0"/>
    <w:qFormat/>
    <w:rPr>
      <w:rFonts w:ascii="Calibri" w:hAnsi="Calibri" w:eastAsia="宋体" w:cs="Times New Roman"/>
      <w:b/>
    </w:rPr>
  </w:style>
  <w:style w:type="character" w:styleId="1126" w:customStyle="1">
    <w:name w:val="页码11"/>
    <w:uiPriority w:val="0"/>
    <w:qFormat/>
  </w:style>
  <w:style w:type="character" w:styleId="1127" w:customStyle="1">
    <w:name w:val="已访问的超链接1"/>
    <w:uiPriority w:val="0"/>
    <w:qFormat/>
    <w:rPr>
      <w:color w:val="333333"/>
      <w:u w:val="none"/>
    </w:rPr>
  </w:style>
  <w:style w:type="character" w:styleId="1128" w:customStyle="1">
    <w:name w:val="强调1"/>
    <w:uiPriority w:val="0"/>
    <w:qFormat/>
  </w:style>
  <w:style w:type="character" w:styleId="1129" w:customStyle="1">
    <w:name w:val="超链接1"/>
    <w:uiPriority w:val="0"/>
    <w:qFormat/>
    <w:rPr>
      <w:color w:val="333333"/>
      <w:u w:val="none"/>
    </w:rPr>
  </w:style>
  <w:style w:type="character" w:styleId="1130" w:customStyle="1">
    <w:name w:val="批注引用1"/>
    <w:uiPriority w:val="0"/>
    <w:qFormat/>
    <w:rPr>
      <w:sz w:val="20"/>
    </w:rPr>
  </w:style>
  <w:style w:type="paragraph" w:styleId="1131" w:customStyle="1">
    <w:name w:val="目录 51"/>
    <w:next w:val="904"/>
    <w:uiPriority w:val="0"/>
    <w:qFormat/>
    <w:pPr>
      <w:ind w:left="1275"/>
      <w:jc w:val="both"/>
    </w:pPr>
    <w:rPr>
      <w:rFonts w:ascii="Times New Roman" w:hAnsi="Times New Roman" w:eastAsia="宋体" w:cs="Times New Roman"/>
      <w:sz w:val="21"/>
      <w:lang w:val="en-US" w:eastAsia="zh-CN" w:bidi="ar-SA"/>
    </w:rPr>
  </w:style>
  <w:style w:type="paragraph" w:styleId="1132" w:customStyle="1">
    <w:name w:val="正文首行缩进 21"/>
    <w:basedOn w:val="916"/>
    <w:uiPriority w:val="0"/>
    <w:qFormat/>
    <w:pPr>
      <w:ind w:firstLine="420"/>
    </w:pPr>
    <w:rPr>
      <w:rFonts w:eastAsia="楷体_GB2312"/>
      <w:sz w:val="28"/>
    </w:rPr>
  </w:style>
  <w:style w:type="character" w:styleId="1133" w:customStyle="1">
    <w:name w:val="NormalCharacter1"/>
    <w:uiPriority w:val="99"/>
    <w:semiHidden/>
    <w:qFormat/>
  </w:style>
  <w:style w:type="character" w:styleId="1134" w:customStyle="1">
    <w:name w:val="页码1"/>
    <w:uiPriority w:val="0"/>
    <w:qFormat/>
  </w:style>
  <w:style w:type="paragraph" w:styleId="1135" w:customStyle="1">
    <w:name w:val="列出段落1"/>
    <w:basedOn w:val="904"/>
    <w:uiPriority w:val="0"/>
    <w:qFormat/>
    <w:pPr>
      <w:ind w:firstLine="420"/>
    </w:pPr>
    <w:rPr>
      <w:rFonts w:ascii="等线" w:hAnsi="等线" w:eastAsia="等线"/>
      <w:sz w:val="24"/>
    </w:rPr>
  </w:style>
  <w:style w:type="paragraph" w:styleId="1136" w:customStyle="1">
    <w:name w:val="修订1"/>
    <w:uiPriority w:val="99"/>
    <w:unhideWhenUsed/>
    <w:qFormat/>
    <w:rPr>
      <w:rFonts w:ascii="Times New Roman" w:hAnsi="Times New Roman" w:eastAsia="宋体" w:cs="Times New Roman"/>
      <w:sz w:val="21"/>
      <w:szCs w:val="24"/>
      <w:lang w:val="en-US" w:eastAsia="zh-CN" w:bidi="ar-SA"/>
    </w:rPr>
  </w:style>
  <w:style w:type="paragraph" w:styleId="1137" w:customStyle="1">
    <w:name w:val="纯文本4"/>
    <w:basedOn w:val="904"/>
    <w:uiPriority w:val="0"/>
    <w:qFormat/>
    <w:rPr>
      <w:rFonts w:ascii="宋体" w:hAnsi="Courier New" w:eastAsia="楷体_GB2312"/>
      <w:sz w:val="26"/>
      <w:szCs w:val="20"/>
    </w:rPr>
  </w:style>
  <w:style w:type="paragraph" w:styleId="1138" w:customStyle="1">
    <w:name w:val="Andy_正文"/>
    <w:basedOn w:val="904"/>
    <w:uiPriority w:val="0"/>
    <w:qFormat/>
    <w:pPr>
      <w:ind w:firstLine="480"/>
      <w:spacing w:line="360" w:lineRule="auto"/>
    </w:pPr>
    <w:rPr>
      <w:rFonts w:ascii="Calibri" w:hAnsi="Calibri"/>
      <w:sz w:val="24"/>
    </w:rPr>
  </w:style>
  <w:style w:type="paragraph" w:styleId="1139" w:customStyle="1">
    <w:name w:val="纯文本1"/>
    <w:basedOn w:val="904"/>
    <w:uiPriority w:val="0"/>
    <w:qFormat/>
    <w:rPr>
      <w:rFonts w:ascii="宋体" w:hAnsi="Courier New"/>
    </w:rPr>
  </w:style>
  <w:style w:type="paragraph" w:styleId="1140" w:customStyle="1">
    <w:name w:val="样式 正文文本缩进 + 首行缩进:  2 字符 行距: 1.5 倍行距"/>
    <w:basedOn w:val="1109"/>
    <w:uiPriority w:val="0"/>
    <w:qFormat/>
    <w:pPr>
      <w:ind w:firstLine="482"/>
      <w:spacing w:before="156"/>
    </w:pPr>
    <w:rPr>
      <w:rFonts w:cs="宋体"/>
      <w:b/>
    </w:rPr>
  </w:style>
  <w:style w:type="paragraph" w:styleId="1141" w:customStyle="1">
    <w:name w:val="纯文本2"/>
    <w:basedOn w:val="904"/>
    <w:uiPriority w:val="0"/>
    <w:qFormat/>
    <w:rPr>
      <w:rFonts w:ascii="宋体" w:hAnsi="Courier New"/>
    </w:rPr>
  </w:style>
  <w:style w:type="paragraph" w:styleId="1142" w:customStyle="1">
    <w:name w:val="Default"/>
    <w:uiPriority w:val="0"/>
    <w:qFormat/>
    <w:pPr>
      <w:widowControl w:val="off"/>
    </w:pPr>
    <w:rPr>
      <w:rFonts w:ascii="华文新魏" w:hAnsi="华文新魏" w:eastAsia="宋体" w:cs="Times New Roman"/>
      <w:color w:val="000000"/>
      <w:sz w:val="24"/>
      <w:lang w:val="en-US" w:eastAsia="zh-CN" w:bidi="ar-SA"/>
    </w:rPr>
  </w:style>
  <w:style w:type="paragraph" w:styleId="1143" w:customStyle="1">
    <w:name w:val="表文字"/>
    <w:basedOn w:val="904"/>
    <w:next w:val="904"/>
    <w:uiPriority w:val="0"/>
    <w:qFormat/>
    <w:rPr>
      <w:rFonts w:ascii="宋体" w:hAnsi="宋体"/>
    </w:rPr>
  </w:style>
  <w:style w:type="paragraph" w:styleId="1144" w:customStyle="1">
    <w:name w:val="列表段落1"/>
    <w:basedOn w:val="904"/>
    <w:uiPriority w:val="34"/>
    <w:qFormat/>
    <w:pPr>
      <w:ind w:firstLine="420"/>
    </w:pPr>
  </w:style>
  <w:style w:type="paragraph" w:styleId="1145" w:customStyle="1">
    <w:name w:val="xl91"/>
    <w:basedOn w:val="1098"/>
    <w:next w:val="1146"/>
    <w:uiPriority w:val="0"/>
    <w:qFormat/>
    <w:pPr>
      <w:ind w:firstLine="3584"/>
      <w:spacing w:before="280" w:after="280"/>
    </w:pPr>
  </w:style>
  <w:style w:type="paragraph" w:styleId="1146" w:customStyle="1">
    <w:name w:val="xl76"/>
    <w:basedOn w:val="1098"/>
    <w:next w:val="1120"/>
    <w:uiPriority w:val="0"/>
    <w:qFormat/>
    <w:pPr>
      <w:ind w:firstLine="3584"/>
      <w:jc w:val="center"/>
      <w:spacing w:before="280" w:after="280"/>
    </w:pPr>
  </w:style>
  <w:style w:type="paragraph" w:styleId="1147" w:customStyle="1">
    <w:name w:val="普通(网站)1"/>
    <w:basedOn w:val="904"/>
    <w:uiPriority w:val="0"/>
    <w:qFormat/>
    <w:pPr>
      <w:jc w:val="left"/>
      <w:spacing w:before="100" w:beforeAutospacing="1" w:after="100" w:afterAutospacing="1"/>
      <w:widowControl/>
    </w:pPr>
    <w:rPr>
      <w:rFonts w:ascii="宋体" w:hAnsi="宋体" w:cs="宋体"/>
      <w:sz w:val="24"/>
    </w:rPr>
  </w:style>
  <w:style w:type="paragraph" w:styleId="1148" w:customStyle="1">
    <w:name w:val="首行缩进"/>
    <w:basedOn w:val="904"/>
    <w:next w:val="904"/>
    <w:uiPriority w:val="0"/>
    <w:qFormat/>
    <w:pPr>
      <w:ind w:firstLine="480"/>
    </w:pPr>
    <w:rPr>
      <w:lang w:val="zh-CN"/>
    </w:rPr>
  </w:style>
  <w:style w:type="paragraph" w:styleId="1149" w:customStyle="1">
    <w:name w:val="正文文本缩进11"/>
    <w:basedOn w:val="904"/>
    <w:next w:val="1131"/>
    <w:uiPriority w:val="0"/>
    <w:qFormat/>
    <w:pPr>
      <w:ind w:left="420"/>
      <w:spacing w:after="120"/>
    </w:pPr>
    <w:rPr>
      <w:szCs w:val="21"/>
    </w:rPr>
  </w:style>
  <w:style w:type="paragraph" w:styleId="1150" w:customStyle="1">
    <w:name w:val="页眉1"/>
    <w:uiPriority w:val="0"/>
    <w:qFormat/>
    <w:pPr>
      <w:jc w:val="center"/>
      <w:widowControl w:val="off"/>
      <w:tabs>
        <w:tab w:val="center" w:pos="4153" w:leader="none"/>
        <w:tab w:val="right" w:pos="8306" w:leader="none"/>
      </w:tabs>
      <w:pBdr>
        <w:bottom w:val="single" w:color="000000" w:sz="6" w:space="1"/>
      </w:pBdr>
    </w:pPr>
    <w:rPr>
      <w:rFonts w:ascii="Times New Roman" w:hAnsi="Times New Roman" w:eastAsia="宋体" w:cs="Times New Roman"/>
      <w:sz w:val="18"/>
      <w:szCs w:val="18"/>
      <w:lang w:val="en-US" w:eastAsia="zh-CN" w:bidi="ar-SA"/>
    </w:rPr>
  </w:style>
  <w:style w:type="paragraph" w:styleId="1151" w:customStyle="1">
    <w:name w:val="页脚1"/>
    <w:uiPriority w:val="0"/>
    <w:qFormat/>
    <w:pPr>
      <w:widowControl w:val="off"/>
      <w:tabs>
        <w:tab w:val="center" w:pos="4153" w:leader="none"/>
        <w:tab w:val="right" w:pos="8306" w:leader="none"/>
      </w:tabs>
    </w:pPr>
    <w:rPr>
      <w:rFonts w:ascii="Times New Roman" w:hAnsi="Times New Roman" w:eastAsia="宋体" w:cs="Times New Roman"/>
      <w:sz w:val="18"/>
      <w:szCs w:val="18"/>
      <w:lang w:val="en-US" w:eastAsia="zh-CN" w:bidi="ar-SA"/>
    </w:rPr>
  </w:style>
  <w:style w:type="paragraph" w:styleId="1152" w:customStyle="1">
    <w:name w:val="列出段落2"/>
    <w:uiPriority w:val="34"/>
    <w:qFormat/>
    <w:pPr>
      <w:ind w:firstLine="420"/>
      <w:jc w:val="both"/>
      <w:widowControl w:val="off"/>
    </w:pPr>
    <w:rPr>
      <w:rFonts w:ascii="Calibri" w:hAnsi="Calibri" w:eastAsia="宋体" w:cs="Times New Roman"/>
      <w:sz w:val="21"/>
      <w:lang w:val="en-US" w:eastAsia="zh-CN" w:bidi="ar-SA"/>
    </w:rPr>
  </w:style>
  <w:style w:type="paragraph" w:styleId="1153"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154" w:customStyle="1">
    <w:name w:val="纯文本3"/>
    <w:basedOn w:val="904"/>
    <w:uiPriority w:val="0"/>
    <w:qFormat/>
    <w:rPr>
      <w:rFonts w:ascii="宋体" w:hAnsi="Courier New" w:eastAsia="楷体_GB2312"/>
      <w:sz w:val="26"/>
    </w:rPr>
  </w:style>
  <w:style w:type="character" w:styleId="1155" w:customStyle="1">
    <w:name w:val="批注框文本 字符"/>
    <w:basedOn w:val="914"/>
    <w:link w:val="930"/>
    <w:uiPriority w:val="99"/>
    <w:semiHidden/>
    <w:qFormat/>
    <w:rPr>
      <w:sz w:val="18"/>
      <w:szCs w:val="18"/>
    </w:rPr>
  </w:style>
  <w:style w:type="numbering" w:styleId="11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image" Target="media/image1.emf"/><Relationship Id="rId18"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达</dc:creator>
  <cp:lastModifiedBy>张晓雯</cp:lastModifiedBy>
  <cp:revision>18</cp:revision>
  <dcterms:created xsi:type="dcterms:W3CDTF">2025-08-01T10:33:00Z</dcterms:created>
  <dcterms:modified xsi:type="dcterms:W3CDTF">2026-03-13T02:13:18Z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eyJoZGlkIjoiMzE3YmZkYzVjYzJjMDlhNzkzZDIyNTVkZTBkOTA1NDMiLCJ1c2VySWQiOiIyNTI2ODgxNTEifQ==</vt:lpwstr>
  </property>
  <property fmtid="{D5CDD505-2E9C-101B-9397-08002B2CF9AE}" pid="3" name="KSOProductBuildVer">
    <vt:lpwstr>2052-12.1.0.25225</vt:lpwstr>
  </property>
  <property fmtid="{D5CDD505-2E9C-101B-9397-08002B2CF9AE}" pid="4" name="ICV">
    <vt:lpwstr>E21C5E93252B442EB032EDCE8352E781_13</vt:lpwstr>
  </property>
</Properties>
</file>