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pStyle w:val="923"/>
        <w:rPr>
          <w:rFonts w:hint="eastAsia" w:ascii="宋体" w:hAnsi="宋体" w:cs="宋体"/>
          <w:color w:val="auto"/>
          <w:highlight w:val="none"/>
        </w:rPr>
      </w:pPr>
      <w:r>
        <w:rPr>
          <w:rFonts w:hint="eastAsia" w:ascii="宋体" w:hAnsi="宋体" w:cs="宋体"/>
          <w:color w:val="auto"/>
          <w:highlight w:val="none"/>
        </w:rPr>
      </w:r>
      <w:r/>
    </w:p>
    <w:p>
      <w:pPr>
        <w:ind w:firstLine="1446"/>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苏州市</w:t>
      </w:r>
      <w:r>
        <w:rPr>
          <w:rFonts w:hint="eastAsia" w:ascii="宋体" w:hAnsi="宋体" w:cs="宋体"/>
          <w:b/>
          <w:color w:val="auto"/>
          <w:sz w:val="72"/>
          <w:highlight w:val="none"/>
          <w:lang w:eastAsia="zh-CN"/>
        </w:rPr>
        <w:t xml:space="preserve">吴中</w:t>
      </w:r>
      <w:r>
        <w:rPr>
          <w:rFonts w:hint="eastAsia" w:ascii="宋体" w:hAnsi="宋体" w:cs="宋体"/>
          <w:b/>
          <w:color w:val="auto"/>
          <w:sz w:val="72"/>
          <w:highlight w:val="none"/>
        </w:rPr>
        <w:t xml:space="preserve">区政府采购</w:t>
      </w:r>
      <w:r/>
    </w:p>
    <w:p>
      <w:pPr>
        <w:ind w:firstLine="1778"/>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1138"/>
        <w:spacing w:line="360" w:lineRule="auto"/>
        <w:rPr>
          <w:rFonts w:hint="eastAsia" w:ascii="宋体" w:hAnsi="宋体" w:cs="宋体"/>
          <w:b/>
          <w:bCs/>
          <w:color w:val="auto"/>
          <w:sz w:val="28"/>
          <w:highlight w:val="none"/>
        </w:rPr>
      </w:pPr>
      <w:r>
        <w:rPr>
          <w:rFonts w:hint="eastAsia" w:ascii="宋体" w:hAnsi="宋体" w:cs="宋体"/>
          <w:b/>
          <w:bCs/>
          <w:color w:val="auto"/>
          <w:sz w:val="28"/>
          <w:highlight w:val="none"/>
        </w:rPr>
      </w:r>
      <w:r/>
    </w:p>
    <w:p>
      <w:pPr>
        <w:ind w:firstLine="2080"/>
        <w:spacing w:line="360" w:lineRule="auto"/>
        <w:rPr>
          <w:rFonts w:hint="eastAsia" w:ascii="宋体" w:hAnsi="宋体" w:cs="宋体"/>
          <w:b/>
          <w:bCs/>
          <w:color w:val="auto"/>
          <w:sz w:val="28"/>
          <w:highlight w:val="none"/>
        </w:rPr>
      </w:pPr>
      <w:r>
        <w:rPr>
          <w:rFonts w:hint="eastAsia" w:ascii="宋体" w:hAnsi="宋体" w:cs="宋体"/>
          <w:b/>
          <w:bCs/>
          <w:color w:val="auto"/>
          <w:sz w:val="28"/>
          <w:highlight w:val="none"/>
        </w:rPr>
        <w:t xml:space="preserve">采购编号：</w:t>
      </w:r>
      <w:r>
        <w:rPr>
          <w:rFonts w:hint="eastAsia" w:ascii="宋体" w:hAnsi="宋体" w:cs="宋体"/>
          <w:b/>
          <w:bCs/>
          <w:color w:val="auto"/>
          <w:sz w:val="28"/>
          <w:highlight w:val="none"/>
          <w:lang w:eastAsia="zh-CN"/>
        </w:rPr>
        <w:t xml:space="preserve">JSZC-320506-SZDY-C2026-0001</w:t>
      </w:r>
      <w:r>
        <w:rPr>
          <w:rFonts w:hint="eastAsia" w:ascii="宋体" w:hAnsi="宋体" w:cs="宋体"/>
          <w:b/>
          <w:bCs/>
          <w:color w:val="auto"/>
          <w:sz w:val="28"/>
          <w:highlight w:val="none"/>
        </w:rPr>
        <w:t xml:space="preserve">号</w:t>
      </w:r>
      <w:r/>
    </w:p>
    <w:p>
      <w:pPr>
        <w:ind w:firstLine="2080"/>
        <w:spacing w:line="360" w:lineRule="auto"/>
        <w:rPr>
          <w:rFonts w:hint="eastAsia" w:ascii="宋体" w:hAnsi="宋体" w:cs="宋体"/>
          <w:b/>
          <w:bCs/>
          <w:color w:val="auto"/>
          <w:sz w:val="28"/>
          <w:highlight w:val="none"/>
        </w:rPr>
      </w:pPr>
      <w:r>
        <w:rPr>
          <w:rFonts w:hint="eastAsia" w:ascii="宋体" w:hAnsi="宋体" w:cs="宋体"/>
          <w:b/>
          <w:bCs/>
          <w:color w:val="auto"/>
          <w:sz w:val="28"/>
          <w:highlight w:val="none"/>
        </w:rPr>
        <w:t xml:space="preserve">采购项目：</w:t>
      </w:r>
      <w:r>
        <w:rPr>
          <w:rFonts w:hint="eastAsia" w:ascii="宋体" w:hAnsi="宋体" w:cs="宋体"/>
          <w:b/>
          <w:bCs/>
          <w:color w:val="auto"/>
          <w:sz w:val="28"/>
          <w:highlight w:val="none"/>
          <w:lang w:eastAsia="zh-CN"/>
        </w:rPr>
        <w:t xml:space="preserve">吴中区“绿色银行”基地苗木养护</w:t>
      </w:r>
      <w:r/>
    </w:p>
    <w:p>
      <w:pPr>
        <w:ind w:firstLine="2080"/>
        <w:spacing w:line="360" w:lineRule="auto"/>
        <w:rPr>
          <w:rFonts w:hint="eastAsia" w:ascii="宋体" w:hAnsi="宋体" w:eastAsia="宋体" w:cs="宋体"/>
          <w:b/>
          <w:bCs/>
          <w:color w:val="auto"/>
          <w:sz w:val="28"/>
          <w:highlight w:val="none"/>
          <w:lang w:eastAsia="zh-CN"/>
        </w:rPr>
      </w:pPr>
      <w:r>
        <w:rPr>
          <w:rFonts w:hint="eastAsia" w:ascii="宋体" w:hAnsi="宋体" w:cs="宋体"/>
          <w:b/>
          <w:bCs/>
          <w:color w:val="auto"/>
          <w:sz w:val="28"/>
          <w:highlight w:val="none"/>
        </w:rPr>
        <w:t xml:space="preserve">采购单位：</w:t>
      </w:r>
      <w:r>
        <w:rPr>
          <w:rFonts w:hint="eastAsia" w:ascii="宋体" w:hAnsi="宋体" w:cs="宋体"/>
          <w:b/>
          <w:bCs/>
          <w:color w:val="auto"/>
          <w:sz w:val="28"/>
          <w:highlight w:val="none"/>
          <w:lang w:eastAsia="zh-CN"/>
        </w:rPr>
        <w:t xml:space="preserve">苏州市吴中区园林和绿化管理站</w:t>
      </w:r>
      <w:r/>
    </w:p>
    <w:p>
      <w:pPr>
        <w:ind w:firstLine="2080"/>
        <w:spacing w:line="360" w:lineRule="auto"/>
        <w:rPr>
          <w:rFonts w:hint="eastAsia" w:ascii="宋体" w:hAnsi="宋体" w:cs="宋体"/>
          <w:b/>
          <w:bCs/>
          <w:color w:val="auto"/>
          <w:sz w:val="28"/>
          <w:highlight w:val="none"/>
        </w:rPr>
      </w:pPr>
      <w:r>
        <w:rPr>
          <w:rFonts w:hint="eastAsia" w:ascii="宋体" w:hAnsi="宋体" w:cs="宋体"/>
          <w:b/>
          <w:bCs/>
          <w:color w:val="auto"/>
          <w:sz w:val="28"/>
          <w:highlight w:val="none"/>
        </w:rPr>
        <w:t xml:space="preserve">采购类别：服务类</w:t>
      </w:r>
      <w:r/>
    </w:p>
    <w:p>
      <w:pPr>
        <w:ind w:firstLine="1200"/>
        <w:spacing w:line="360" w:lineRule="auto"/>
        <w:tabs>
          <w:tab w:val="left" w:pos="7170" w:leader="none"/>
        </w:tabs>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pacing w:val="-14"/>
          <w:sz w:val="30"/>
          <w:highlight w:val="none"/>
        </w:rPr>
      </w:pPr>
      <w:r>
        <w:rPr>
          <w:rFonts w:hint="eastAsia" w:ascii="宋体" w:hAnsi="宋体" w:cs="宋体"/>
          <w:color w:val="auto"/>
          <w:spacing w:val="-14"/>
          <w:sz w:val="30"/>
          <w:highlight w:val="none"/>
        </w:rPr>
      </w:r>
      <w:r/>
    </w:p>
    <w:p>
      <w:pPr>
        <w:jc w:val="center"/>
        <w:spacing w:line="360" w:lineRule="auto"/>
        <w:rPr>
          <w:rFonts w:hint="eastAsia" w:ascii="宋体" w:hAnsi="宋体" w:cs="宋体"/>
          <w:color w:val="auto"/>
          <w:spacing w:val="-14"/>
          <w:sz w:val="30"/>
          <w:highlight w:val="none"/>
        </w:rPr>
      </w:pPr>
      <w:r>
        <w:rPr>
          <w:rFonts w:hint="eastAsia" w:ascii="宋体" w:hAnsi="宋体" w:cs="宋体"/>
          <w:color w:val="auto"/>
          <w:spacing w:val="-14"/>
          <w:sz w:val="30"/>
          <w:highlight w:val="none"/>
        </w:rPr>
      </w:r>
      <w:r/>
    </w:p>
    <w:p>
      <w:pPr>
        <w:ind w:firstLine="2040"/>
        <w:spacing w:line="360" w:lineRule="auto"/>
        <w:rPr>
          <w:rFonts w:hint="eastAsia" w:ascii="宋体" w:hAnsi="宋体" w:cs="宋体"/>
          <w:color w:val="auto"/>
          <w:spacing w:val="-14"/>
          <w:sz w:val="30"/>
          <w:highlight w:val="none"/>
        </w:rPr>
      </w:pPr>
      <w:r>
        <w:rPr>
          <w:rFonts w:hint="eastAsia" w:ascii="宋体" w:hAnsi="宋体" w:cs="宋体"/>
          <w:color w:val="auto"/>
          <w:spacing w:val="-14"/>
          <w:sz w:val="30"/>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pacing w:val="-14"/>
          <w:sz w:val="30"/>
          <w:highlight w:val="none"/>
        </w:rPr>
        <w:t xml:space="preserve">苏州市东易工程招投标咨询有限公司</w:t>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二</w:t>
      </w:r>
      <w:r>
        <w:rPr>
          <w:rFonts w:hint="eastAsia" w:ascii="宋体" w:hAnsi="宋体" w:cs="宋体"/>
          <w:color w:val="auto"/>
          <w:sz w:val="30"/>
          <w:highlight w:val="none"/>
        </w:rPr>
        <w:t xml:space="preserve">月</w:t>
      </w:r>
      <w:r/>
    </w:p>
    <w:p>
      <w:pPr>
        <w:jc w:val="center"/>
        <w:spacing w:line="48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33"/>
        <w:rPr>
          <w:rFonts w:hint="eastAsia" w:hAnsi="宋体" w:cs="宋体"/>
          <w:b/>
          <w:color w:val="auto"/>
          <w:sz w:val="36"/>
          <w:highlight w:val="none"/>
        </w:rPr>
        <w:sectPr>
          <w:headerReference w:type="default" r:id="rId9"/>
          <w:headerReference w:type="first" r:id="rId10"/>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pPr>
      <w:r>
        <w:rPr>
          <w:rFonts w:hint="eastAsia" w:hAnsi="宋体" w:cs="宋体"/>
          <w:b/>
          <w:color w:val="auto"/>
          <w:sz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highlight w:val="none"/>
        </w:rPr>
      </w:pPr>
      <w:r>
        <w:rPr>
          <w:rFonts w:hint="eastAsia" w:ascii="宋体" w:hAnsi="宋体" w:cs="宋体"/>
          <w:b/>
          <w:color w:val="auto"/>
          <w:sz w:val="36"/>
          <w:highlight w:val="none"/>
        </w:rPr>
        <w:t xml:space="preserve">前附表</w:t>
      </w:r>
      <w:r/>
    </w:p>
    <w:tbl>
      <w:tblPr>
        <w:tblStyle w:val="92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37"/>
        <w:gridCol w:w="7047"/>
      </w:tblGrid>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bCs/>
                <w:color w:val="auto"/>
                <w:szCs w:val="21"/>
                <w:highlight w:val="none"/>
                <w:lang w:eastAsia="zh-CN"/>
              </w:rPr>
              <w:t xml:space="preserve">吴中区“绿色银行”基地苗木养护</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人民币贰佰肆拾柒万玖仟柒佰零肆元整（小写：</w:t>
            </w:r>
            <w:r>
              <w:rPr>
                <w:rFonts w:hint="eastAsia" w:ascii="宋体" w:hAnsi="宋体" w:cs="宋体"/>
                <w:color w:val="auto"/>
                <w:szCs w:val="21"/>
                <w:highlight w:val="none"/>
                <w:lang w:val="en-US" w:eastAsia="zh-CN"/>
              </w:rPr>
              <w:t xml:space="preserve">2479704</w:t>
            </w:r>
            <w:r>
              <w:rPr>
                <w:rFonts w:hint="eastAsia" w:ascii="宋体" w:hAnsi="宋体" w:cs="宋体"/>
                <w:color w:val="auto"/>
                <w:szCs w:val="21"/>
                <w:highlight w:val="none"/>
                <w:lang w:eastAsia="zh-CN"/>
              </w:rPr>
              <w:t xml:space="preserve">.00元）</w:t>
            </w:r>
            <w:r/>
          </w:p>
          <w:p>
            <w:pPr>
              <w:ind w:firstLine="420"/>
              <w:jc w:val="both"/>
              <w:keepLines w:val="0"/>
              <w:keepNext w:val="0"/>
              <w:pageBreakBefore w:val="0"/>
              <w:spacing w:line="440" w:lineRule="atLeas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壹佰肆拾柒万陆仟伍佰叁拾肆</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1476534</w:t>
            </w:r>
            <w:r>
              <w:rPr>
                <w:rFonts w:hint="eastAsia" w:ascii="宋体" w:hAnsi="宋体" w:eastAsia="宋体" w:cs="宋体"/>
                <w:color w:val="auto"/>
                <w:sz w:val="21"/>
                <w:szCs w:val="21"/>
                <w:highlight w:val="none"/>
                <w:lang w:val="en-US" w:eastAsia="zh-CN"/>
              </w:rPr>
              <w:t xml:space="preserve">.00）</w:t>
            </w:r>
            <w:r/>
          </w:p>
          <w:p>
            <w:pPr>
              <w:ind w:firstLine="420"/>
              <w:jc w:val="both"/>
              <w:keepLines w:val="0"/>
              <w:keepNext w:val="0"/>
              <w:pageBreakBefore w:val="0"/>
              <w:spacing w:line="440" w:lineRule="atLeast"/>
              <w:widowControl w:val="off"/>
              <w:rPr>
                <w:rFonts w:hint="eastAsia"/>
                <w:color w:val="auto"/>
                <w:highlight w:val="none"/>
                <w:lang w:eastAsia="zh-CN"/>
              </w:rPr>
            </w:pPr>
            <w:r>
              <w:rPr>
                <w:rFonts w:hint="eastAsia" w:ascii="宋体" w:hAnsi="宋体" w:cs="宋体"/>
                <w:color w:val="auto"/>
                <w:sz w:val="21"/>
                <w:szCs w:val="21"/>
                <w:highlight w:val="none"/>
                <w:lang w:val="en-US" w:eastAsia="zh-CN"/>
              </w:rPr>
              <w:t xml:space="preserve">二标段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壹佰万零叁仟壹佰柒拾</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1003170</w:t>
            </w:r>
            <w:r>
              <w:rPr>
                <w:rFonts w:hint="eastAsia" w:ascii="宋体" w:hAnsi="宋体" w:eastAsia="宋体" w:cs="宋体"/>
                <w:color w:val="auto"/>
                <w:sz w:val="21"/>
                <w:szCs w:val="21"/>
                <w:highlight w:val="none"/>
                <w:lang w:val="en-US" w:eastAsia="zh-CN"/>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90 </w:t>
            </w:r>
            <w:r>
              <w:rPr>
                <w:rFonts w:hint="eastAsia" w:ascii="宋体" w:hAnsi="宋体" w:cs="宋体"/>
                <w:color w:val="auto"/>
                <w:szCs w:val="21"/>
                <w:highlight w:val="none"/>
              </w:rPr>
              <w:t xml:space="preserve">日历天（从投标截止之日算起）</w:t>
            </w:r>
            <w:r/>
          </w:p>
        </w:tc>
      </w:tr>
      <w:tr>
        <w:trPr>
          <w:jc w:val="center"/>
          <w:trHeight w:val="680"/>
        </w:trPr>
        <w:tc>
          <w:tcPr>
            <w:tcBorders>
              <w:left w:val="single" w:color="auto" w:sz="4" w:space="0"/>
              <w:right w:val="single" w:color="auto" w:sz="4" w:space="0"/>
            </w:tcBorders>
            <w:tcW w:w="387" w:type="pct"/>
            <w:vAlign w:val="center"/>
            <w:vMerge w:val="restart"/>
            <w:textDirection w:val="lrTb"/>
            <w:noWrap w:val="false"/>
          </w:tcPr>
          <w:p>
            <w:pPr>
              <w:pStyle w:val="934"/>
              <w:ind w:firstLine="0"/>
              <w:jc w:val="center"/>
              <w:rPr>
                <w:rFonts w:hint="eastAsia" w:cs="宋体"/>
                <w:color w:val="auto"/>
                <w:sz w:val="21"/>
                <w:szCs w:val="21"/>
                <w:highlight w:val="none"/>
              </w:rPr>
            </w:pPr>
            <w:r>
              <w:rPr>
                <w:rFonts w:hint="eastAsia"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3月11日</w:t>
            </w:r>
            <w:r>
              <w:rPr>
                <w:rFonts w:hint="eastAsia" w:ascii="宋体" w:hAnsi="宋体" w:cs="宋体"/>
                <w:color w:val="auto"/>
                <w:szCs w:val="21"/>
                <w:highlight w:val="none"/>
                <w:lang w:eastAsia="zh-CN"/>
              </w:rPr>
              <w:t xml:space="preserve">下</w:t>
            </w:r>
            <w:r>
              <w:rPr>
                <w:rFonts w:hint="eastAsia" w:ascii="宋体" w:hAnsi="宋体" w:cs="宋体"/>
                <w:color w:val="auto"/>
                <w:szCs w:val="21"/>
                <w:highlight w:val="none"/>
              </w:rPr>
              <w:t xml:space="preserve">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680"/>
        </w:trPr>
        <w:tc>
          <w:tcPr>
            <w:tcBorders>
              <w:left w:val="single" w:color="auto" w:sz="4" w:space="0"/>
              <w:bottom w:val="single" w:color="auto" w:sz="4" w:space="0"/>
              <w:right w:val="single" w:color="auto" w:sz="4" w:space="0"/>
            </w:tcBorders>
            <w:tcW w:w="387" w:type="pct"/>
            <w:vAlign w:val="center"/>
            <w:vMerge w:val="continue"/>
            <w:textDirection w:val="lrTb"/>
            <w:noWrap w:val="false"/>
          </w:tcPr>
          <w:p>
            <w:pPr>
              <w:pStyle w:val="934"/>
              <w:jc w:val="center"/>
              <w:rPr>
                <w:rFonts w:hint="eastAsia" w:cs="宋体"/>
                <w:color w:val="auto"/>
                <w:highlight w:val="none"/>
              </w:rPr>
            </w:pPr>
            <w:r>
              <w:rPr>
                <w:rFonts w:hint="eastAsia" w:cs="宋体"/>
                <w:color w:val="auto"/>
                <w:highlight w:val="none"/>
              </w:rPr>
            </w:r>
            <w:r/>
          </w:p>
        </w:tc>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3月11日</w:t>
            </w:r>
            <w:r>
              <w:rPr>
                <w:rFonts w:hint="eastAsia" w:ascii="宋体" w:hAnsi="宋体" w:cs="宋体"/>
                <w:color w:val="auto"/>
                <w:szCs w:val="21"/>
                <w:highlight w:val="none"/>
                <w:lang w:eastAsia="zh-CN"/>
              </w:rPr>
              <w:t xml:space="preserve">下</w:t>
            </w:r>
            <w:r>
              <w:rPr>
                <w:rFonts w:hint="eastAsia" w:ascii="宋体" w:hAnsi="宋体" w:cs="宋体"/>
                <w:color w:val="auto"/>
                <w:szCs w:val="21"/>
                <w:highlight w:val="none"/>
              </w:rPr>
              <w:t xml:space="preserve">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tc>
      </w:tr>
      <w:tr>
        <w:trPr>
          <w:jc w:val="center"/>
          <w:trHeight w:val="129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3月11日</w:t>
            </w:r>
            <w:r>
              <w:rPr>
                <w:rFonts w:hint="eastAsia" w:ascii="宋体" w:hAnsi="宋体" w:cs="宋体"/>
                <w:color w:val="auto"/>
                <w:szCs w:val="21"/>
                <w:highlight w:val="none"/>
                <w:lang w:eastAsia="zh-CN"/>
              </w:rPr>
              <w:t xml:space="preserve">下</w:t>
            </w:r>
            <w:r>
              <w:rPr>
                <w:rFonts w:hint="eastAsia" w:ascii="宋体" w:hAnsi="宋体" w:cs="宋体"/>
                <w:color w:val="auto"/>
                <w:szCs w:val="21"/>
                <w:highlight w:val="none"/>
              </w:rPr>
              <w:t xml:space="preserve">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"http://jszfcg.jsczt.cn/" \o "http://jszfcg.jsczt.cn/" </w:instrText>
            </w:r>
            <w:r>
              <w:rPr>
                <w:rFonts w:hint="eastAsia" w:ascii="宋体" w:hAnsi="宋体" w:cs="宋体"/>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728"/>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357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3月 11日</w:t>
            </w:r>
            <w:r>
              <w:rPr>
                <w:rFonts w:hint="eastAsia" w:ascii="宋体" w:hAnsi="宋体" w:cs="宋体"/>
                <w:color w:val="auto"/>
                <w:szCs w:val="21"/>
                <w:highlight w:val="none"/>
                <w:lang w:eastAsia="zh-CN"/>
              </w:rPr>
              <w:t xml:space="preserve">下</w:t>
            </w:r>
            <w:r>
              <w:rPr>
                <w:rFonts w:hint="eastAsia" w:ascii="宋体" w:hAnsi="宋体" w:cs="宋体"/>
                <w:color w:val="auto"/>
                <w:szCs w:val="21"/>
                <w:highlight w:val="none"/>
              </w:rPr>
              <w:t xml:space="preserve">午</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:30（北京时间）</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苏州市高新区邓尉路105号狮山科技馆 </w:t>
            </w:r>
            <w:r/>
          </w:p>
        </w:tc>
      </w:tr>
    </w:tbl>
    <w:p>
      <w:pPr>
        <w:jc w:val="center"/>
        <w:rPr>
          <w:rFonts w:hint="eastAsia" w:ascii="宋体" w:hAnsi="宋体" w:cs="宋体"/>
          <w:b/>
          <w:bCs/>
          <w:color w:val="auto"/>
          <w:sz w:val="52"/>
          <w:szCs w:val="72"/>
          <w:highlight w:val="none"/>
        </w:rPr>
      </w:pPr>
      <w:r>
        <w:rPr>
          <w:rFonts w:hint="eastAsia" w:ascii="宋体" w:hAnsi="宋体" w:cs="宋体"/>
          <w:b/>
          <w:bCs/>
          <w:color w:val="auto"/>
          <w:sz w:val="52"/>
          <w:szCs w:val="72"/>
          <w:highlight w:val="none"/>
        </w:rPr>
      </w:r>
      <w:r/>
    </w:p>
    <w:p>
      <w:pPr>
        <w:pStyle w:val="934"/>
        <w:ind w:firstLine="1044"/>
        <w:rPr>
          <w:rFonts w:hint="eastAsia" w:cs="宋体"/>
          <w:b/>
          <w:bCs/>
          <w:color w:val="auto"/>
          <w:sz w:val="52"/>
          <w:szCs w:val="72"/>
          <w:highlight w:val="none"/>
        </w:rPr>
      </w:pPr>
      <w:r>
        <w:rPr>
          <w:rFonts w:hint="eastAsia" w:cs="宋体"/>
          <w:b/>
          <w:bCs/>
          <w:color w:val="auto"/>
          <w:sz w:val="52"/>
          <w:szCs w:val="72"/>
          <w:highlight w:val="none"/>
        </w:rPr>
      </w:r>
      <w:r/>
    </w:p>
    <w:p>
      <w:pPr>
        <w:spacing w:line="360" w:lineRule="auto"/>
        <w:tabs>
          <w:tab w:val="left" w:pos="315" w:leader="none"/>
          <w:tab w:val="center" w:pos="4153" w:leader="none"/>
        </w:tabs>
        <w:rPr>
          <w:rFonts w:hint="eastAsia" w:ascii="宋体" w:hAnsi="宋体" w:cs="宋体"/>
          <w:b/>
          <w:color w:val="auto"/>
          <w:sz w:val="48"/>
          <w:highlight w:val="none"/>
        </w:rPr>
      </w:pPr>
      <w:r>
        <w:rPr>
          <w:rFonts w:hint="eastAsia" w:ascii="宋体" w:hAnsi="宋体" w:cs="宋体"/>
          <w:b/>
          <w:color w:val="auto"/>
          <w:sz w:val="48"/>
          <w:highlight w:val="none"/>
        </w:rPr>
      </w:r>
      <w:r/>
    </w:p>
    <w:p>
      <w:pPr>
        <w:jc w:val="center"/>
        <w:spacing w:line="360" w:lineRule="auto"/>
        <w:tabs>
          <w:tab w:val="left" w:pos="315" w:leader="none"/>
          <w:tab w:val="center" w:pos="4153" w:leader="none"/>
        </w:tabs>
        <w:rPr>
          <w:rFonts w:hint="eastAsia" w:ascii="宋体" w:hAnsi="宋体" w:cs="宋体"/>
          <w:b/>
          <w:color w:val="auto"/>
          <w:sz w:val="48"/>
          <w:highlight w:val="none"/>
        </w:rPr>
      </w:pPr>
      <w:r>
        <w:rPr>
          <w:rFonts w:hint="eastAsia" w:ascii="宋体" w:hAnsi="宋体" w:cs="宋体"/>
          <w:b/>
          <w:color w:val="auto"/>
          <w:sz w:val="48"/>
          <w:highlight w:val="none"/>
        </w:rPr>
        <w:t xml:space="preserve">目   录</w:t>
      </w:r>
      <w:r/>
    </w:p>
    <w:p>
      <w:pPr>
        <w:pStyle w:val="927"/>
        <w:tabs>
          <w:tab w:val="right" w:pos="9638" w:leader="dot"/>
        </w:tabs>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"_Toc26893"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一、 竞争性磋商邀请函</w:t>
      </w:r>
      <w:r>
        <w:rPr>
          <w:rFonts w:hint="eastAsia" w:ascii="宋体" w:hAnsi="宋体" w:cs="宋体"/>
          <w:bCs/>
          <w:color w:val="auto"/>
          <w:szCs w:val="32"/>
          <w:highlight w:val="none"/>
        </w:rPr>
        <w:fldChar w:fldCharType="end"/>
      </w:r>
      <w:r/>
    </w:p>
    <w:p>
      <w:pPr>
        <w:pStyle w:val="927"/>
        <w:tabs>
          <w:tab w:val="right" w:pos="9638" w:leader="dot"/>
        </w:tabs>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"_Toc7179"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二、 采购内容</w:t>
      </w:r>
      <w:r>
        <w:rPr>
          <w:rFonts w:hint="eastAsia" w:ascii="宋体" w:hAnsi="宋体" w:cs="宋体"/>
          <w:bCs/>
          <w:color w:val="auto"/>
          <w:szCs w:val="32"/>
          <w:highlight w:val="none"/>
        </w:rPr>
        <w:fldChar w:fldCharType="end"/>
      </w:r>
      <w:r/>
    </w:p>
    <w:p>
      <w:pPr>
        <w:pStyle w:val="927"/>
        <w:tabs>
          <w:tab w:val="right" w:pos="9638" w:leader="dot"/>
        </w:tabs>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"_Toc25391"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三、 磋商采购程序</w:t>
      </w:r>
      <w:r>
        <w:rPr>
          <w:rFonts w:hint="eastAsia" w:ascii="宋体" w:hAnsi="宋体" w:cs="宋体"/>
          <w:bCs/>
          <w:color w:val="auto"/>
          <w:szCs w:val="32"/>
          <w:highlight w:val="none"/>
        </w:rPr>
        <w:fldChar w:fldCharType="end"/>
      </w:r>
      <w:r/>
    </w:p>
    <w:p>
      <w:pPr>
        <w:pStyle w:val="927"/>
        <w:tabs>
          <w:tab w:val="right" w:pos="9638" w:leader="dot"/>
        </w:tabs>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"_Toc24604"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四、 评审办法及评分标准</w:t>
      </w:r>
      <w:r>
        <w:rPr>
          <w:rFonts w:hint="eastAsia" w:ascii="宋体" w:hAnsi="宋体" w:cs="宋体"/>
          <w:bCs/>
          <w:color w:val="auto"/>
          <w:szCs w:val="32"/>
          <w:highlight w:val="none"/>
        </w:rPr>
        <w:fldChar w:fldCharType="end"/>
      </w:r>
      <w:r/>
    </w:p>
    <w:p>
      <w:pPr>
        <w:pStyle w:val="927"/>
        <w:tabs>
          <w:tab w:val="right" w:pos="9638" w:leader="dot"/>
        </w:tabs>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"_Toc23096"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五、 合同主要条款</w:t>
      </w:r>
      <w:r>
        <w:rPr>
          <w:rFonts w:hint="eastAsia" w:ascii="宋体" w:hAnsi="宋体" w:cs="宋体"/>
          <w:bCs/>
          <w:color w:val="auto"/>
          <w:szCs w:val="32"/>
          <w:highlight w:val="none"/>
        </w:rPr>
        <w:fldChar w:fldCharType="end"/>
      </w:r>
      <w:r/>
    </w:p>
    <w:p>
      <w:pPr>
        <w:pStyle w:val="927"/>
        <w:tabs>
          <w:tab w:val="right" w:pos="9638" w:leader="dot"/>
        </w:tabs>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"_Toc8552"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六、 附件格式</w:t>
      </w:r>
      <w:r>
        <w:rPr>
          <w:rFonts w:hint="eastAsia" w:ascii="宋体" w:hAnsi="宋体" w:cs="宋体"/>
          <w:bCs/>
          <w:color w:val="auto"/>
          <w:szCs w:val="32"/>
          <w:highlight w:val="none"/>
        </w:rPr>
        <w:fldChar w:fldCharType="end"/>
      </w:r>
      <w:r/>
    </w:p>
    <w:p>
      <w:pPr>
        <w:pStyle w:val="924"/>
        <w:rPr>
          <w:rFonts w:hint="eastAsia" w:ascii="宋体" w:hAnsi="宋体" w:cs="宋体"/>
          <w:color w:val="auto"/>
          <w:highlight w:val="none"/>
        </w:rPr>
      </w:pPr>
      <w:r>
        <w:rPr>
          <w:rFonts w:hint="eastAsia" w:ascii="宋体" w:hAnsi="宋体" w:cs="宋体"/>
          <w:color w:val="auto"/>
          <w:highlight w:val="none"/>
        </w:rPr>
        <w:fldChar w:fldCharType="end"/>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935"/>
        <w:numPr>
          <w:ilvl w:val="0"/>
          <w:numId w:val="1"/>
        </w:numPr>
        <w:spacing w:before="0" w:after="0" w:line="360" w:lineRule="auto"/>
        <w:rPr>
          <w:rFonts w:hint="eastAsia" w:cs="宋体"/>
          <w:b/>
          <w:bCs/>
          <w:color w:val="auto"/>
          <w:sz w:val="32"/>
          <w:szCs w:val="32"/>
          <w:highlight w:val="none"/>
        </w:rPr>
      </w:pPr>
      <w:r/>
      <w:bookmarkStart w:id="0" w:name="_Toc29130"/>
      <w:r/>
      <w:bookmarkStart w:id="1" w:name="_Toc26893"/>
      <w:r/>
      <w:bookmarkStart w:id="2" w:name="_Toc17807"/>
      <w:r/>
      <w:bookmarkStart w:id="3" w:name="_Toc14686"/>
      <w:r/>
      <w:bookmarkStart w:id="4" w:name="_Toc32237"/>
      <w:r/>
      <w:bookmarkStart w:id="5" w:name="_Toc8579"/>
      <w:r>
        <w:rPr>
          <w:rFonts w:hint="eastAsia" w:cs="宋体"/>
          <w:b/>
          <w:bCs/>
          <w:color w:val="auto"/>
          <w:sz w:val="32"/>
          <w:szCs w:val="32"/>
          <w:highlight w:val="none"/>
        </w:rPr>
        <w:t xml:space="preserve">竞争性磋商邀请函</w:t>
      </w:r>
      <w:bookmarkEnd w:id="0"/>
      <w:r/>
      <w:bookmarkEnd w:id="1"/>
      <w:r/>
      <w:bookmarkEnd w:id="2"/>
      <w:r/>
      <w:bookmarkEnd w:id="3"/>
      <w:r/>
      <w:bookmarkEnd w:id="4"/>
      <w:r/>
      <w:bookmarkEnd w:id="5"/>
      <w:r/>
      <w:r/>
    </w:p>
    <w:p>
      <w:pPr>
        <w:ind w:firstLine="482"/>
        <w:spacing w:line="360" w:lineRule="auto"/>
        <w:rPr>
          <w:rFonts w:hint="eastAsia"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rPr>
        <w:t xml:space="preserve"> </w:t>
      </w:r>
      <w:r>
        <w:rPr>
          <w:rFonts w:hint="eastAsia" w:ascii="宋体" w:hAnsi="宋体" w:cs="宋体"/>
          <w:color w:val="auto"/>
          <w:szCs w:val="21"/>
          <w:highlight w:val="none"/>
        </w:rPr>
        <w:t xml:space="preserve">项目概况</w:t>
      </w:r>
      <w:r/>
    </w:p>
    <w:p>
      <w:pPr>
        <w:ind w:firstLine="630"/>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eastAsia="zh-CN"/>
        </w:rPr>
        <w:t xml:space="preserve">吴中区“绿色银行”基地苗木养护</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lang w:eastAsia="zh-CN"/>
        </w:rPr>
        <w:t xml:space="preserve">日下</w:t>
      </w:r>
      <w:r>
        <w:rPr>
          <w:rFonts w:hint="eastAsia" w:ascii="宋体" w:hAnsi="宋体" w:cs="宋体"/>
          <w:color w:val="auto"/>
          <w:szCs w:val="21"/>
          <w:highlight w:val="none"/>
          <w:u w:val="single"/>
        </w:rPr>
        <w:t xml:space="preserve">午</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:30（北京时间）</w:t>
      </w:r>
      <w:r>
        <w:rPr>
          <w:rFonts w:hint="eastAsia" w:ascii="宋体" w:hAnsi="宋体" w:cs="宋体"/>
          <w:color w:val="auto"/>
          <w:szCs w:val="21"/>
          <w:highlight w:val="none"/>
        </w:rPr>
        <w:t xml:space="preserve">前提交响应文件。</w:t>
      </w:r>
      <w:bookmarkStart w:id="6" w:name="_Toc28359012"/>
      <w:r/>
      <w:bookmarkStart w:id="7" w:name="_Toc35393629"/>
      <w:r/>
      <w:bookmarkStart w:id="8" w:name="_Toc35393798"/>
      <w:r/>
      <w:bookmarkStart w:id="9" w:name="_Toc28359089"/>
      <w:r/>
      <w:r/>
    </w:p>
    <w:p>
      <w:pPr>
        <w:ind w:firstLine="422"/>
        <w:keepLines w:val="0"/>
        <w:keepNext w:val="0"/>
        <w:pageBreakBefore w:val="0"/>
        <w:spacing w:line="440" w:lineRule="atLeast"/>
        <w:widowControl w:val="off"/>
        <w:rPr>
          <w:rFonts w:hint="eastAsia" w:ascii="宋体" w:hAnsi="宋体" w:cs="宋体"/>
          <w:b/>
          <w:bCs/>
          <w:color w:val="auto"/>
          <w:szCs w:val="21"/>
          <w:highlight w:val="none"/>
        </w:rPr>
      </w:pPr>
      <w:r>
        <w:rPr>
          <w:rFonts w:hint="eastAsia" w:ascii="宋体" w:hAnsi="宋体" w:cs="宋体"/>
          <w:b/>
          <w:bCs/>
          <w:color w:val="auto"/>
          <w:highlight w:val="none"/>
        </w:rPr>
        <w:t xml:space="preserve">一、项目基本情况</w:t>
      </w:r>
      <w:bookmarkEnd w:id="6"/>
      <w:r/>
      <w:bookmarkEnd w:id="7"/>
      <w:r/>
      <w:bookmarkEnd w:id="8"/>
      <w:r/>
      <w:bookmarkEnd w:id="9"/>
      <w:r/>
      <w:r/>
    </w:p>
    <w:p>
      <w:pPr>
        <w:ind w:firstLine="420"/>
        <w:keepLines w:val="0"/>
        <w:keepNext w:val="0"/>
        <w:pageBreakBefore w:val="0"/>
        <w:spacing w:line="44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JSZC-320506-SZDY-C2026-0001</w:t>
      </w:r>
      <w:r>
        <w:rPr>
          <w:rFonts w:hint="eastAsia" w:ascii="宋体" w:hAnsi="宋体" w:eastAsia="宋体" w:cs="宋体"/>
          <w:color w:val="auto"/>
          <w:szCs w:val="21"/>
          <w:highlight w:val="none"/>
        </w:rPr>
        <w:t xml:space="preserve">号</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吴中区“绿色银行”基地苗木养护</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一标段</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 w:val="21"/>
          <w:szCs w:val="21"/>
          <w:highlight w:val="none"/>
          <w:vertAlign w:val="baseline"/>
          <w:lang w:val="en-US" w:eastAsia="zh-CN" w:bidi="ar-SA"/>
        </w:rPr>
        <w:t xml:space="preserve">绿色银行西片区</w:t>
      </w:r>
      <w:r/>
    </w:p>
    <w:p>
      <w:pPr>
        <w:ind w:firstLine="420"/>
        <w:keepLines w:val="0"/>
        <w:keepNext w:val="0"/>
        <w:pageBreakBefore w:val="0"/>
        <w:spacing w:line="440" w:lineRule="atLeas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二标段</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 w:val="21"/>
          <w:szCs w:val="21"/>
          <w:highlight w:val="none"/>
          <w:vertAlign w:val="baseline"/>
          <w:lang w:val="en-US" w:eastAsia="zh-CN" w:bidi="ar-SA"/>
        </w:rPr>
        <w:t xml:space="preserve">绿色银行东片区</w:t>
      </w:r>
      <w:r/>
    </w:p>
    <w:p>
      <w:pPr>
        <w:ind w:firstLine="420"/>
        <w:jc w:val="both"/>
        <w:keepLines w:val="0"/>
        <w:keepNext w:val="0"/>
        <w:pageBreakBefore w:val="0"/>
        <w:spacing w:line="440" w:lineRule="atLeast"/>
        <w:widowControl w:val="off"/>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3、预算金额：</w:t>
      </w:r>
      <w:r>
        <w:rPr>
          <w:rFonts w:hint="eastAsia" w:ascii="宋体" w:hAnsi="宋体" w:cs="宋体"/>
          <w:color w:val="auto"/>
          <w:szCs w:val="21"/>
          <w:highlight w:val="none"/>
          <w:lang w:eastAsia="zh-CN"/>
        </w:rPr>
        <w:t xml:space="preserve">人民币贰佰肆拾柒万玖仟柒佰零肆元整（小写：</w:t>
      </w:r>
      <w:r>
        <w:rPr>
          <w:rFonts w:hint="eastAsia" w:ascii="宋体" w:hAnsi="宋体" w:cs="宋体"/>
          <w:color w:val="auto"/>
          <w:szCs w:val="21"/>
          <w:highlight w:val="none"/>
          <w:lang w:val="en-US" w:eastAsia="zh-CN"/>
        </w:rPr>
        <w:t xml:space="preserve">2479704</w:t>
      </w:r>
      <w:r>
        <w:rPr>
          <w:rFonts w:hint="eastAsia" w:ascii="宋体" w:hAnsi="宋体" w:cs="宋体"/>
          <w:color w:val="auto"/>
          <w:szCs w:val="21"/>
          <w:highlight w:val="none"/>
          <w:lang w:eastAsia="zh-CN"/>
        </w:rPr>
        <w:t xml:space="preserve">.00元）</w:t>
      </w:r>
      <w:r/>
    </w:p>
    <w:p>
      <w:pPr>
        <w:ind w:firstLine="420"/>
        <w:jc w:val="both"/>
        <w:keepLines w:val="0"/>
        <w:keepNext w:val="0"/>
        <w:pageBreakBefore w:val="0"/>
        <w:spacing w:line="440" w:lineRule="atLeas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壹佰肆拾柒万陆仟伍佰叁拾肆</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1476534</w:t>
      </w:r>
      <w:r>
        <w:rPr>
          <w:rFonts w:hint="eastAsia" w:ascii="宋体" w:hAnsi="宋体" w:eastAsia="宋体" w:cs="宋体"/>
          <w:color w:val="auto"/>
          <w:sz w:val="21"/>
          <w:szCs w:val="21"/>
          <w:highlight w:val="none"/>
          <w:lang w:val="en-US" w:eastAsia="zh-CN"/>
        </w:rPr>
        <w:t xml:space="preserve">.00）</w:t>
      </w:r>
      <w:r/>
    </w:p>
    <w:p>
      <w:pPr>
        <w:ind w:firstLine="420"/>
        <w:jc w:val="both"/>
        <w:keepLines w:val="0"/>
        <w:keepNext w:val="0"/>
        <w:pageBreakBefore w:val="0"/>
        <w:spacing w:line="440" w:lineRule="atLeast"/>
        <w:widowControl w:val="off"/>
        <w:rPr>
          <w:rFonts w:hint="eastAsia"/>
          <w:color w:val="auto"/>
          <w:highlight w:val="none"/>
        </w:rPr>
      </w:pPr>
      <w:r>
        <w:rPr>
          <w:rFonts w:hint="eastAsia" w:ascii="宋体" w:hAnsi="宋体" w:cs="宋体"/>
          <w:color w:val="auto"/>
          <w:sz w:val="21"/>
          <w:szCs w:val="21"/>
          <w:highlight w:val="none"/>
          <w:lang w:val="en-US" w:eastAsia="zh-CN"/>
        </w:rPr>
        <w:t xml:space="preserve">二标段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壹佰万零叁仟壹佰柒拾</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1003170</w:t>
      </w:r>
      <w:r>
        <w:rPr>
          <w:rFonts w:hint="eastAsia" w:ascii="宋体" w:hAnsi="宋体" w:eastAsia="宋体" w:cs="宋体"/>
          <w:color w:val="auto"/>
          <w:sz w:val="21"/>
          <w:szCs w:val="21"/>
          <w:highlight w:val="none"/>
          <w:lang w:val="en-US" w:eastAsia="zh-CN"/>
        </w:rPr>
        <w:t xml:space="preserve">.00）</w:t>
      </w:r>
      <w:r/>
    </w:p>
    <w:p>
      <w:pPr>
        <w:numPr>
          <w:ilvl w:val="0"/>
          <w:numId w:val="2"/>
        </w:numPr>
        <w:ind w:firstLine="420"/>
        <w:jc w:val="left"/>
        <w:keepLines w:val="0"/>
        <w:keepNext w:val="0"/>
        <w:pageBreakBefore w:val="0"/>
        <w:spacing w:line="440" w:lineRule="atLeast"/>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最高单价：</w:t>
      </w:r>
      <w:r>
        <w:rPr>
          <w:rFonts w:hint="eastAsia" w:ascii="宋体" w:hAnsi="宋体" w:cs="宋体"/>
          <w:color w:val="auto"/>
          <w:szCs w:val="21"/>
          <w:highlight w:val="none"/>
          <w:lang w:eastAsia="zh-CN"/>
        </w:rPr>
        <w:t xml:space="preserve">人民币贰佰肆拾柒万玖仟柒佰零肆元整（小写：</w:t>
      </w:r>
      <w:r>
        <w:rPr>
          <w:rFonts w:hint="eastAsia" w:ascii="宋体" w:hAnsi="宋体" w:cs="宋体"/>
          <w:color w:val="auto"/>
          <w:szCs w:val="21"/>
          <w:highlight w:val="none"/>
          <w:lang w:val="en-US" w:eastAsia="zh-CN"/>
        </w:rPr>
        <w:t xml:space="preserve">2479704</w:t>
      </w:r>
      <w:r>
        <w:rPr>
          <w:rFonts w:hint="eastAsia" w:ascii="宋体" w:hAnsi="宋体" w:cs="宋体"/>
          <w:color w:val="auto"/>
          <w:szCs w:val="21"/>
          <w:highlight w:val="none"/>
          <w:lang w:eastAsia="zh-CN"/>
        </w:rPr>
        <w:t xml:space="preserve">.00元）</w:t>
      </w:r>
      <w:r>
        <w:rPr>
          <w:rFonts w:hint="eastAsia" w:ascii="宋体" w:hAnsi="宋体" w:eastAsia="宋体" w:cs="宋体"/>
          <w:color w:val="auto"/>
          <w:szCs w:val="21"/>
          <w:highlight w:val="none"/>
        </w:rPr>
        <w:t xml:space="preserve">（报价超过最高限价为无效投标）。</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2599"/>
        <w:gridCol w:w="1971"/>
        <w:gridCol w:w="1971"/>
        <w:gridCol w:w="1971"/>
      </w:tblGrid>
      <w:tr>
        <w:trPr/>
        <w:tc>
          <w:tcPr>
            <w:tcW w:w="1342"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序号</w:t>
            </w:r>
            <w:r/>
          </w:p>
        </w:tc>
        <w:tc>
          <w:tcPr>
            <w:tcW w:w="2599"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项目名称</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养护面积m²</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数量</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最高限价</w:t>
            </w:r>
            <w:r/>
          </w:p>
        </w:tc>
      </w:tr>
      <w:tr>
        <w:trPr/>
        <w:tc>
          <w:tcPr>
            <w:tcW w:w="1342"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2599" w:type="dxa"/>
            <w:textDirection w:val="lrTb"/>
            <w:noWrap w:val="false"/>
          </w:tcPr>
          <w:p>
            <w:pPr>
              <w:pStyle w:val="934"/>
              <w:ind w:left="0" w:firstLine="0"/>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绿色银行西片区</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246089</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36个月</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2元/m²/年</w:t>
            </w:r>
            <w:r/>
          </w:p>
        </w:tc>
      </w:tr>
      <w:tr>
        <w:trPr/>
        <w:tc>
          <w:tcPr>
            <w:tcW w:w="1342"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shd w:val="clear" w:color="auto" w:fill="auto"/>
            <w:tcW w:w="2599" w:type="dxa"/>
            <w:vAlign w:val="top"/>
            <w:textDirection w:val="lrTb"/>
            <w:noWrap w:val="false"/>
          </w:tcPr>
          <w:p>
            <w:pPr>
              <w:pStyle w:val="934"/>
              <w:ind w:left="0" w:firstLine="0"/>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绿色银行东片区</w:t>
            </w:r>
            <w:r/>
          </w:p>
        </w:tc>
        <w:tc>
          <w:tcPr>
            <w:shd w:val="clear" w:color="auto" w:fill="auto"/>
            <w:tcW w:w="1971" w:type="dxa"/>
            <w:vAlign w:val="top"/>
            <w:textDirection w:val="lrTb"/>
            <w:noWrap w:val="false"/>
          </w:tcPr>
          <w:p>
            <w:pPr>
              <w:pStyle w:val="934"/>
              <w:ind w:firstLine="480"/>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167195</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36个月</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2元/m²/年</w:t>
            </w:r>
            <w:r/>
          </w:p>
        </w:tc>
      </w:tr>
    </w:tbl>
    <w:p>
      <w:pPr>
        <w:ind w:firstLine="420"/>
        <w:jc w:val="left"/>
        <w:keepLines w:val="0"/>
        <w:keepNext w:val="0"/>
        <w:pageBreakBefore w:val="0"/>
        <w:spacing w:line="440" w:lineRule="atLeast"/>
        <w:widowControl w:val="off"/>
        <w:tabs>
          <w:tab w:val="left" w:pos="54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5、采购标的所属行业：其他未列明行业</w:t>
      </w:r>
      <w:r/>
    </w:p>
    <w:p>
      <w:pPr>
        <w:pStyle w:val="934"/>
        <w:ind w:firstLine="420"/>
        <w:keepLines w:val="0"/>
        <w:keepNext w:val="0"/>
        <w:pageBreakBefore w:val="0"/>
        <w:spacing w:line="440" w:lineRule="atLeast"/>
        <w:widowControl w:val="off"/>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rPr>
        <w:t xml:space="preserve">6、采购需</w:t>
      </w:r>
      <w:r>
        <w:rPr>
          <w:rFonts w:hint="eastAsia" w:ascii="宋体" w:hAnsi="宋体" w:eastAsia="宋体" w:cs="宋体"/>
          <w:color w:val="auto"/>
          <w:sz w:val="21"/>
          <w:szCs w:val="21"/>
          <w:highlight w:val="none"/>
          <w:lang w:val="en-US" w:eastAsia="zh-CN" w:bidi="ar-SA"/>
        </w:rPr>
        <w:t xml:space="preserve">求：</w:t>
      </w:r>
      <w:r>
        <w:rPr>
          <w:rFonts w:hint="default" w:ascii="宋体" w:hAnsi="宋体" w:eastAsia="宋体" w:cs="宋体"/>
          <w:color w:val="auto"/>
          <w:sz w:val="21"/>
          <w:szCs w:val="21"/>
          <w:highlight w:val="none"/>
          <w:lang w:val="en-US" w:eastAsia="zh-CN" w:bidi="ar-SA"/>
        </w:rPr>
        <w:t xml:space="preserve">吴中区园林和绿化管理站所需的吴中区“绿色银行”基地苗木养护</w:t>
      </w:r>
      <w:r>
        <w:rPr>
          <w:rFonts w:hint="eastAsia" w:ascii="宋体" w:hAnsi="宋体" w:eastAsia="宋体" w:cs="宋体"/>
          <w:color w:val="auto"/>
          <w:sz w:val="21"/>
          <w:szCs w:val="21"/>
          <w:highlight w:val="none"/>
          <w:lang w:val="en-US" w:eastAsia="zh-CN" w:bidi="ar-SA"/>
        </w:rPr>
        <w:t xml:space="preserve">（详见磋商文件）</w:t>
      </w:r>
      <w:r/>
    </w:p>
    <w:p>
      <w:pPr>
        <w:ind w:firstLine="420"/>
        <w:spacing w:line="360" w:lineRule="auto"/>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Cs w:val="21"/>
          <w:highlight w:val="none"/>
          <w:shd w:val="clear" w:color="auto" w:fill="ffffff"/>
          <w:lang w:val="en-US" w:eastAsia="zh-CN"/>
        </w:rPr>
        <w:t xml:space="preserve">、</w:t>
      </w:r>
      <w:r>
        <w:rPr>
          <w:rFonts w:hint="eastAsia" w:ascii="宋体" w:hAnsi="宋体" w:eastAsia="宋体" w:cs="宋体"/>
          <w:color w:val="auto"/>
          <w:szCs w:val="21"/>
          <w:highlight w:val="none"/>
          <w:shd w:val="clear" w:color="auto" w:fill="ffffff"/>
        </w:rPr>
        <w:t xml:space="preserve">本项目分标段采购，共分为</w:t>
      </w:r>
      <w:r>
        <w:rPr>
          <w:rFonts w:hint="eastAsia" w:ascii="宋体" w:hAnsi="宋体" w:eastAsia="宋体" w:cs="宋体"/>
          <w:color w:val="auto"/>
          <w:szCs w:val="21"/>
          <w:highlight w:val="none"/>
          <w:shd w:val="clear" w:color="auto" w:fill="ffffff"/>
          <w:lang w:val="en-US" w:eastAsia="zh-CN"/>
        </w:rPr>
        <w:t xml:space="preserve">二</w:t>
      </w:r>
      <w:r>
        <w:rPr>
          <w:rFonts w:hint="eastAsia" w:ascii="宋体" w:hAnsi="宋体" w:eastAsia="宋体" w:cs="宋体"/>
          <w:color w:val="auto"/>
          <w:szCs w:val="21"/>
          <w:highlight w:val="none"/>
          <w:shd w:val="clear" w:color="auto" w:fill="ffffff"/>
        </w:rPr>
        <w:t xml:space="preserve">个标</w:t>
      </w:r>
      <w:r>
        <w:rPr>
          <w:rFonts w:hint="eastAsia" w:ascii="宋体" w:hAnsi="宋体" w:eastAsia="宋体" w:cs="宋体"/>
          <w:color w:val="auto"/>
          <w:szCs w:val="21"/>
          <w:highlight w:val="none"/>
        </w:rPr>
        <w:t xml:space="preserve">段，</w:t>
      </w:r>
      <w:r>
        <w:rPr>
          <w:rFonts w:hint="eastAsia" w:ascii="宋体" w:hAnsi="宋体" w:eastAsia="宋体" w:cs="宋体"/>
          <w:color w:val="auto"/>
          <w:szCs w:val="21"/>
          <w:highlight w:val="none"/>
          <w:lang w:val="zh-CN"/>
        </w:rPr>
        <w:t xml:space="preserve">根据最终总得分排名，</w:t>
      </w:r>
      <w:r>
        <w:rPr>
          <w:rFonts w:hint="eastAsia" w:ascii="宋体" w:hAnsi="宋体" w:eastAsia="宋体" w:cs="宋体"/>
          <w:color w:val="auto"/>
          <w:szCs w:val="21"/>
          <w:highlight w:val="none"/>
        </w:rPr>
        <w:t xml:space="preserve">每个标段成交单位为一名。响应单位可选择其中一个或多个标段，标段开启顺序按标段号顺序确定，但只能就其中一个标段成交，成交标段按标段号顺序。进入每个标段评审的实质性响应且具有得标权的</w:t>
      </w: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响应文件不再参与价格分和技术标的评审），也不具备本次招标如有废标标段再次挂牌的磋商资格。</w:t>
      </w:r>
      <w:r/>
    </w:p>
    <w:p>
      <w:pPr>
        <w:pStyle w:val="934"/>
        <w:ind w:firstLine="422"/>
        <w:rPr>
          <w:rFonts w:hint="eastAsia" w:cs="宋体"/>
          <w:b/>
          <w:bCs/>
          <w:color w:val="auto"/>
          <w:sz w:val="21"/>
          <w:szCs w:val="21"/>
          <w:highlight w:val="none"/>
        </w:rPr>
      </w:pPr>
      <w:r>
        <w:rPr>
          <w:rFonts w:hint="eastAsia" w:cs="宋体"/>
          <w:b/>
          <w:bCs/>
          <w:color w:val="auto"/>
          <w:sz w:val="21"/>
          <w:szCs w:val="21"/>
          <w:highlight w:val="none"/>
        </w:rPr>
        <w:t xml:space="preserve">7、服务地点：</w:t>
      </w:r>
      <w:r>
        <w:rPr>
          <w:rFonts w:hint="eastAsia" w:cs="宋体"/>
          <w:color w:val="auto"/>
          <w:sz w:val="21"/>
          <w:szCs w:val="21"/>
          <w:highlight w:val="none"/>
        </w:rPr>
        <w:t xml:space="preserve">采购单位指定地点。</w:t>
      </w:r>
      <w:r/>
    </w:p>
    <w:p>
      <w:pPr>
        <w:ind w:firstLine="420"/>
        <w:jc w:val="left"/>
        <w:spacing w:line="360" w:lineRule="auto"/>
        <w:tabs>
          <w:tab w:val="left" w:pos="54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8、服务期限：</w:t>
      </w:r>
      <w:r>
        <w:rPr>
          <w:rFonts w:hint="eastAsia" w:ascii="宋体" w:hAnsi="宋体" w:eastAsia="宋体" w:cs="宋体"/>
          <w:color w:val="auto"/>
          <w:sz w:val="21"/>
          <w:szCs w:val="21"/>
          <w:highlight w:val="none"/>
          <w:lang w:val="en-US" w:eastAsia="zh-CN" w:bidi="ar-SA"/>
        </w:rPr>
        <w:t xml:space="preserve">签订合同后三年（具体以采购人进场通知为准）。</w:t>
      </w:r>
      <w:r/>
    </w:p>
    <w:p>
      <w:pPr>
        <w:ind w:firstLine="420"/>
        <w:jc w:val="left"/>
        <w:spacing w:line="360" w:lineRule="auto"/>
        <w:tabs>
          <w:tab w:val="left" w:pos="540" w:leader="none"/>
        </w:tabs>
        <w:rPr>
          <w:rFonts w:hint="eastAsia" w:ascii="宋体" w:hAnsi="宋体" w:cs="宋体"/>
          <w:color w:val="auto"/>
          <w:szCs w:val="21"/>
          <w:highlight w:val="none"/>
        </w:rPr>
        <w:outlineLvl w:val="1"/>
      </w:pPr>
      <w:r/>
      <w:bookmarkStart w:id="10" w:name="_Toc35393799"/>
      <w:r/>
      <w:bookmarkStart w:id="11" w:name="_Toc28359090"/>
      <w:r/>
      <w:bookmarkStart w:id="12" w:name="_Toc28359013"/>
      <w:r/>
      <w:bookmarkStart w:id="13" w:name="_Toc35393630"/>
      <w:r>
        <w:rPr>
          <w:rFonts w:hint="eastAsia" w:ascii="宋体" w:hAnsi="宋体" w:cs="宋体"/>
          <w:color w:val="auto"/>
          <w:szCs w:val="21"/>
          <w:highlight w:val="none"/>
        </w:rPr>
        <w:t xml:space="preserve">9、★本项目不接受联合体投标；不允许转包、分包。</w:t>
      </w:r>
      <w:r/>
    </w:p>
    <w:p>
      <w:pPr>
        <w:ind w:firstLine="422"/>
        <w:jc w:val="left"/>
        <w:spacing w:line="360" w:lineRule="auto"/>
        <w:tabs>
          <w:tab w:val="left" w:pos="54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10、验收标准：</w:t>
      </w:r>
      <w:r>
        <w:rPr>
          <w:rFonts w:hint="eastAsia" w:ascii="宋体" w:hAnsi="宋体" w:cs="宋体"/>
          <w:color w:val="auto"/>
          <w:szCs w:val="21"/>
          <w:highlight w:val="none"/>
        </w:rPr>
        <w:t xml:space="preserve">根据采购文件、国家、行业相关标准由采购人验收。</w:t>
      </w:r>
      <w:r/>
    </w:p>
    <w:p>
      <w:pPr>
        <w:ind w:firstLine="422"/>
        <w:spacing w:line="360" w:lineRule="auto"/>
        <w:rPr>
          <w:rFonts w:hint="eastAsia" w:ascii="宋体" w:hAnsi="宋体" w:cs="宋体"/>
          <w:bCs/>
          <w:color w:val="auto"/>
          <w:szCs w:val="21"/>
          <w:highlight w:val="none"/>
        </w:rPr>
      </w:pPr>
      <w:r>
        <w:rPr>
          <w:rFonts w:hint="eastAsia" w:ascii="宋体" w:hAnsi="宋体" w:cs="宋体"/>
          <w:b/>
          <w:bCs/>
          <w:color w:val="auto"/>
          <w:highlight w:val="none"/>
        </w:rPr>
        <w:t xml:space="preserve">二、申请人的资格要求：</w:t>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（1）具有独立承担民事责任的能力（提供包括法人或者其他组织的营业执照等证明文件，自然人的身份证明）。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rPr>
          <w:rFonts w:hint="eastAsia" w:ascii="宋体" w:hAnsi="宋体" w:cs="宋体"/>
          <w:color w:val="auto"/>
          <w:szCs w:val="21"/>
          <w:highlight w:val="none"/>
          <w:lang w:val="zh-CN"/>
        </w:rPr>
        <w:t xml:space="preserve">提供包括但不限于最近一期经审计的财务报告或最近一期财务报表，其他组织、自然人及成立未满一年的法人应提供银行出具的资信证明</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（3）具有履行合同所必需的设备和专业技术能力（提供证明材料或承诺）。</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rPr>
          <w:rFonts w:hint="eastAsia" w:ascii="宋体" w:hAnsi="宋体" w:cs="宋体"/>
          <w:color w:val="auto"/>
          <w:szCs w:val="21"/>
          <w:highlight w:val="none"/>
          <w:lang w:val="zh-CN"/>
        </w:rPr>
        <w:t xml:space="preserve">提供税务登记证（如有）和最近期的依法</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缴纳税收的凭据，最近期的依法缴纳社会保险的凭据（专用收据或社会保险缴纳清单），依法免税或不需要缴纳社会保障资金的供应商，应提供对应证明文件</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（5）参加政府采购活动前三年内，在经营活动中没有重大违法记录（提供书面声明函）。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 </w:t>
      </w:r>
      <w:r/>
    </w:p>
    <w:p>
      <w:pPr>
        <w:ind w:firstLine="420"/>
        <w:spacing w:line="360" w:lineRule="auto"/>
        <w:rPr>
          <w:rFonts w:hint="eastAsia" w:ascii="宋体" w:hAnsi="宋体" w:cs="宋体"/>
          <w:color w:val="auto"/>
          <w:szCs w:val="21"/>
          <w:highlight w:val="none"/>
          <w:u w:val="single"/>
        </w:rPr>
      </w:pPr>
      <w:r/>
      <w:bookmarkStart w:id="14" w:name="_Toc28359014"/>
      <w:r/>
      <w:bookmarkStart w:id="15" w:name="_Toc28359091"/>
      <w:r>
        <w:rPr>
          <w:rFonts w:hint="eastAsia" w:ascii="宋体" w:hAnsi="宋体" w:cs="宋体"/>
          <w:color w:val="auto"/>
          <w:szCs w:val="21"/>
          <w:highlight w:val="none"/>
        </w:rPr>
        <w:t xml:space="preserve">2.落实政府采购政策需满足的资格要求：</w:t>
      </w:r>
      <w:r>
        <w:rPr>
          <w:rFonts w:hint="eastAsia" w:ascii="宋体" w:hAnsi="宋体" w:cs="宋体"/>
          <w:b/>
          <w:bCs/>
          <w:color w:val="auto"/>
          <w:szCs w:val="21"/>
          <w:highlight w:val="none"/>
        </w:rPr>
        <w:t xml:space="preserve">本项目整体专门面向中小微企业采购，</w:t>
      </w:r>
      <w:r>
        <w:rPr>
          <w:rFonts w:hint="eastAsia" w:ascii="宋体" w:hAnsi="宋体" w:cs="宋体"/>
          <w:color w:val="auto"/>
          <w:szCs w:val="21"/>
          <w:highlight w:val="none"/>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cs="宋体"/>
          <w:color w:val="auto"/>
          <w:szCs w:val="21"/>
          <w:highlight w:val="none"/>
          <w:u w:val="singl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其他未列明行业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color w:val="auto"/>
          <w:szCs w:val="21"/>
          <w:highlight w:val="none"/>
        </w:rPr>
      </w:pPr>
      <w:r/>
      <w:bookmarkStart w:id="16" w:name="_Toc35393631"/>
      <w:r/>
      <w:bookmarkStart w:id="17" w:name="_Toc35393800"/>
      <w:r>
        <w:rPr>
          <w:rFonts w:hint="eastAsia" w:ascii="宋体" w:hAnsi="宋体" w:cs="宋体"/>
          <w:b/>
          <w:bCs/>
          <w:color w:val="auto"/>
          <w:szCs w:val="21"/>
          <w:highlight w:val="none"/>
        </w:rPr>
        <w:t xml:space="preserve">三、获取采购文件</w:t>
      </w:r>
      <w:bookmarkEnd w:id="14"/>
      <w:r/>
      <w:bookmarkEnd w:id="15"/>
      <w:r/>
      <w:bookmarkEnd w:id="16"/>
      <w:r/>
      <w:bookmarkEnd w:id="17"/>
      <w:r/>
      <w:r/>
    </w:p>
    <w:p>
      <w:pPr>
        <w:ind w:firstLine="420"/>
        <w:spacing w:line="360" w:lineRule="auto"/>
        <w:rPr>
          <w:rFonts w:ascii="宋体" w:hAnsi="宋体" w:cs="宋体"/>
          <w:color w:val="auto"/>
          <w:szCs w:val="21"/>
          <w:highlight w:val="none"/>
          <w:shd w:val="clear" w:color="auto" w:fill="ffffff"/>
        </w:rPr>
      </w:pPr>
      <w:r/>
      <w:bookmarkStart w:id="18" w:name="_Toc28359082"/>
      <w:r/>
      <w:bookmarkStart w:id="19" w:name="_Toc35393624"/>
      <w:r/>
      <w:bookmarkStart w:id="20" w:name="_Toc28359005"/>
      <w:r/>
      <w:bookmarkStart w:id="21" w:name="_Toc35393793"/>
      <w:r>
        <w:rPr>
          <w:rFonts w:hint="eastAsia" w:ascii="宋体" w:hAnsi="宋体" w:cs="宋体"/>
          <w:color w:val="auto"/>
          <w:szCs w:val="21"/>
          <w:highlight w:val="none"/>
          <w:shd w:val="clear" w:color="auto" w:fill="ffffff"/>
        </w:rPr>
        <w:t xml:space="preserve">1.时间：自公告发布之日起5个工作日（具体见政府采购网本项目招标公告）</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color w:val="auto"/>
          <w:szCs w:val="21"/>
          <w:highlight w:val="none"/>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（3）电子投标准备</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szCs w:val="21"/>
          <w:highlight w:val="none"/>
          <w:shd w:val="clear" w:color="auto" w:fill="ffffff"/>
        </w:rPr>
        <w:t xml:space="preserve">（具体详见《苏采云系统供应商操作手册》，网址链接https://czju.suzhou.gov.cn/zfcg/html/content/20231220161910031.shtml）</w:t>
      </w:r>
      <w:r>
        <w:rPr>
          <w:rFonts w:hint="eastAsia" w:ascii="宋体" w:hAnsi="宋体" w:cs="宋体"/>
          <w:color w:val="auto"/>
          <w:szCs w:val="21"/>
          <w:highlight w:val="none"/>
          <w:shd w:val="clear" w:color="auto" w:fill="ffffff"/>
        </w:rPr>
        <w:t xml:space="preserve">。在系统操作过程中如有疑问，请按以下方式联系：</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注册咨询：18261002950；</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CA技术咨询电话：400-608-6099；</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签章使用问题：025-83633811、025-83633812、15380932027、15371015030；</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系统使用指导与咨询：0512-69820854；智能客服：登录苏采云系统后，联系系统右下方智能客服图标进行咨询。</w:t>
      </w:r>
      <w:r/>
    </w:p>
    <w:p>
      <w:pPr>
        <w:ind w:firstLine="420"/>
        <w:jc w:val="left"/>
        <w:spacing w:line="360" w:lineRule="auto"/>
        <w:rPr>
          <w:rFonts w:hint="eastAsia" w:ascii="宋体" w:hAnsi="宋体" w:cs="宋体"/>
          <w:color w:val="auto"/>
          <w:highlight w:val="none"/>
        </w:rPr>
      </w:pPr>
      <w:r>
        <w:rPr>
          <w:rFonts w:hint="eastAsia" w:ascii="宋体" w:hAnsi="宋体" w:cs="宋体"/>
          <w:color w:val="auto"/>
          <w:szCs w:val="21"/>
          <w:highlight w:val="none"/>
          <w:shd w:val="clear" w:color="auto" w:fill="ffffff"/>
        </w:rPr>
        <w:t xml:space="preserve">4.售价：免费</w:t>
      </w:r>
      <w:r>
        <w:rPr>
          <w:rFonts w:hint="eastAsia" w:ascii="宋体" w:hAnsi="宋体" w:cs="宋体"/>
          <w:color w:val="auto"/>
          <w:szCs w:val="21"/>
          <w:highlight w:val="none"/>
        </w:rPr>
        <w:t xml:space="preserve">。</w:t>
      </w:r>
      <w:bookmarkEnd w:id="18"/>
      <w:r/>
      <w:bookmarkEnd w:id="19"/>
      <w:r/>
      <w:bookmarkEnd w:id="20"/>
      <w:r/>
      <w:bookmarkEnd w:id="21"/>
      <w:r/>
      <w:r/>
    </w:p>
    <w:p>
      <w:pPr>
        <w:ind w:firstLine="422"/>
        <w:spacing w:line="360" w:lineRule="auto"/>
        <w:rPr>
          <w:rFonts w:hint="eastAsia" w:ascii="宋体" w:hAnsi="宋体" w:cs="宋体"/>
          <w:b/>
          <w:bCs/>
          <w:color w:val="auto"/>
          <w:szCs w:val="21"/>
          <w:highlight w:val="none"/>
        </w:rPr>
      </w:pPr>
      <w:r/>
      <w:bookmarkStart w:id="22" w:name="_Toc28359015"/>
      <w:r/>
      <w:bookmarkStart w:id="23" w:name="_Toc35393801"/>
      <w:r/>
      <w:bookmarkStart w:id="24" w:name="_Toc28359092"/>
      <w:r/>
      <w:bookmarkStart w:id="25" w:name="_Toc35393632"/>
      <w:r>
        <w:rPr>
          <w:rFonts w:hint="eastAsia" w:ascii="宋体" w:hAnsi="宋体" w:cs="宋体"/>
          <w:b/>
          <w:color w:val="auto"/>
          <w:szCs w:val="21"/>
          <w:highlight w:val="none"/>
        </w:rPr>
        <w:t xml:space="preserve">四、</w:t>
      </w:r>
      <w:bookmarkEnd w:id="22"/>
      <w:r/>
      <w:bookmarkEnd w:id="23"/>
      <w:r/>
      <w:bookmarkEnd w:id="24"/>
      <w:r/>
      <w:bookmarkEnd w:id="25"/>
      <w:r>
        <w:rPr>
          <w:rFonts w:hint="eastAsia" w:ascii="宋体" w:hAnsi="宋体" w:cs="宋体"/>
          <w:b/>
          <w:color w:val="auto"/>
          <w:szCs w:val="21"/>
          <w:highlight w:val="none"/>
        </w:rPr>
        <w:t xml:space="preserve">提交磋商文件截止时间</w:t>
      </w:r>
      <w:r/>
    </w:p>
    <w:p>
      <w:pPr>
        <w:ind w:firstLine="420"/>
        <w:spacing w:line="360" w:lineRule="auto"/>
        <w:rPr>
          <w:rFonts w:ascii="宋体" w:hAnsi="宋体" w:cs="宋体"/>
          <w:color w:val="auto"/>
          <w:szCs w:val="21"/>
          <w:highlight w:val="none"/>
        </w:rPr>
      </w:pPr>
      <w:r/>
      <w:bookmarkStart w:id="26" w:name="_Toc28359094"/>
      <w:r/>
      <w:bookmarkStart w:id="27" w:name="_Toc35393634"/>
      <w:r/>
      <w:bookmarkStart w:id="28" w:name="_Toc28359017"/>
      <w:r/>
      <w:bookmarkStart w:id="29" w:name="_Toc35393803"/>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递交响应文件截止时间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2.地点：“苏采云”系统（网址：http://jszfcg.jsczt.cn/）。响应文件网上递交，不需要现场参加采购活动。</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3.本项目采用电子招投标形式，请</w:t>
      </w:r>
      <w:r>
        <w:rPr>
          <w:rFonts w:hint="eastAsia" w:ascii="宋体" w:hAnsi="宋体" w:cs="宋体"/>
          <w:bCs/>
          <w:color w:val="auto"/>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 xml:space="preserve">本项目为不见面磋商项目，</w:t>
      </w:r>
      <w:r>
        <w:rPr>
          <w:rFonts w:hint="eastAsia" w:ascii="宋体" w:hAnsi="宋体" w:cs="宋体"/>
          <w:b/>
          <w:color w:val="auto"/>
          <w:szCs w:val="21"/>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p>
    <w:p>
      <w:pPr>
        <w:ind w:firstLine="422"/>
        <w:spacing w:line="360" w:lineRule="auto"/>
        <w:rPr>
          <w:rFonts w:hint="eastAsia" w:ascii="宋体" w:hAnsi="宋体" w:cs="宋体"/>
          <w:color w:val="auto"/>
          <w:highlight w:val="none"/>
        </w:rPr>
      </w:pPr>
      <w:r>
        <w:rPr>
          <w:rFonts w:hint="eastAsia" w:ascii="宋体" w:hAnsi="宋体" w:cs="宋体"/>
          <w:b/>
          <w:bCs/>
          <w:color w:val="auto"/>
          <w:highlight w:val="none"/>
          <w:lang w:eastAsia="zh-CN"/>
        </w:rPr>
        <w:t xml:space="preserve">六</w:t>
      </w:r>
      <w:r>
        <w:rPr>
          <w:rFonts w:hint="eastAsia" w:ascii="宋体" w:hAnsi="宋体" w:cs="宋体"/>
          <w:b/>
          <w:bCs/>
          <w:color w:val="auto"/>
          <w:highlight w:val="none"/>
        </w:rPr>
        <w:t xml:space="preserve">、公告期限</w:t>
      </w:r>
      <w:bookmarkEnd w:id="26"/>
      <w:r/>
      <w:bookmarkEnd w:id="27"/>
      <w:r/>
      <w:bookmarkEnd w:id="28"/>
      <w:r/>
      <w:bookmarkEnd w:id="2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ind w:firstLine="422"/>
        <w:spacing w:line="360" w:lineRule="auto"/>
        <w:rPr>
          <w:rFonts w:hint="eastAsia" w:ascii="宋体" w:hAnsi="宋体" w:cs="宋体"/>
          <w:color w:val="auto"/>
          <w:highlight w:val="none"/>
        </w:rPr>
      </w:pPr>
      <w:r/>
      <w:bookmarkStart w:id="30" w:name="_Toc35393635"/>
      <w:r/>
      <w:bookmarkStart w:id="31" w:name="_Toc35393804"/>
      <w:r>
        <w:rPr>
          <w:rFonts w:hint="eastAsia" w:ascii="宋体" w:hAnsi="宋体" w:cs="宋体"/>
          <w:b/>
          <w:bCs/>
          <w:color w:val="auto"/>
          <w:highlight w:val="none"/>
          <w:lang w:eastAsia="zh-CN"/>
        </w:rPr>
        <w:t xml:space="preserve">七</w:t>
      </w:r>
      <w:r>
        <w:rPr>
          <w:rFonts w:hint="eastAsia" w:ascii="宋体" w:hAnsi="宋体" w:cs="宋体"/>
          <w:b/>
          <w:bCs/>
          <w:color w:val="auto"/>
          <w:highlight w:val="none"/>
        </w:rPr>
        <w:t xml:space="preserve">、其他补充事宜</w:t>
      </w:r>
      <w:bookmarkEnd w:id="30"/>
      <w:r/>
      <w:bookmarkEnd w:id="3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1.“苏采云”系统网址：http://jszfcg.jsczt.cn/</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内未能完成解密的视为放弃参与本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勘察现场费用自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采购代理机构：苏州市东易工程招投标咨询有限公司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地址：苏州市吴江区仲英大道10</w:t>
      </w:r>
      <w:r>
        <w:rPr>
          <w:rFonts w:hint="eastAsia" w:ascii="宋体" w:hAnsi="宋体" w:cs="宋体"/>
          <w:color w:val="auto"/>
          <w:szCs w:val="21"/>
          <w:highlight w:val="none"/>
          <w:lang w:val="en-US" w:eastAsia="zh-CN"/>
        </w:rPr>
        <w:t xml:space="preserve">38</w:t>
      </w:r>
      <w:r>
        <w:rPr>
          <w:rFonts w:hint="eastAsia" w:ascii="宋体" w:hAnsi="宋体" w:cs="宋体"/>
          <w:color w:val="auto"/>
          <w:szCs w:val="21"/>
          <w:highlight w:val="none"/>
        </w:rPr>
        <w:t xml:space="preserve">号明珠城公交首末站西门五楼     邮编：215000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联系人：潘致阳、戴勇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联系电话：0512-63661883  提交方式：书面形式原件（邮寄或当面递交）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5.苏州市吴中区政府采购办公室监督电话：0512-65283947</w:t>
      </w:r>
      <w:r>
        <w:rPr>
          <w:rFonts w:hint="eastAsia" w:ascii="宋体" w:hAnsi="宋体" w:cs="宋体"/>
          <w:color w:val="auto"/>
          <w:szCs w:val="21"/>
          <w:highlight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6.本次采购的相关信息刊登在江苏政府采购网、苏州政府采购网。</w:t>
      </w:r>
      <w:r/>
    </w:p>
    <w:p>
      <w:pPr>
        <w:ind w:left="426"/>
        <w:jc w:val="left"/>
        <w:spacing w:line="360" w:lineRule="auto"/>
        <w:tabs>
          <w:tab w:val="left" w:pos="540" w:leader="none"/>
          <w:tab w:val="left" w:pos="993" w:leader="none"/>
        </w:tabs>
        <w:rPr>
          <w:rFonts w:hint="eastAsia" w:ascii="宋体" w:hAnsi="宋体" w:cs="宋体"/>
          <w:b/>
          <w:color w:val="auto"/>
          <w:szCs w:val="21"/>
          <w:highlight w:val="none"/>
        </w:rPr>
      </w:pPr>
      <w:r>
        <w:rPr>
          <w:rFonts w:hint="eastAsia" w:ascii="宋体" w:hAnsi="宋体" w:cs="宋体"/>
          <w:b/>
          <w:bCs/>
          <w:color w:val="auto"/>
          <w:highlight w:val="none"/>
        </w:rPr>
        <w:t xml:space="preserve">7、</w:t>
      </w:r>
      <w:r>
        <w:rPr>
          <w:rFonts w:hint="eastAsia" w:ascii="宋体" w:hAnsi="宋体" w:cs="宋体"/>
          <w:b/>
          <w:color w:val="auto"/>
          <w:szCs w:val="21"/>
          <w:highlight w:val="none"/>
          <w:lang w:val="zh-CN"/>
        </w:rPr>
        <w:t xml:space="preserve">中标服务费</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7.1</w:t>
      </w:r>
      <w:r>
        <w:rPr>
          <w:rFonts w:hint="eastAsia" w:ascii="宋体" w:hAnsi="宋体" w:eastAsia="宋体" w:cs="宋体"/>
          <w:color w:val="auto"/>
          <w:szCs w:val="21"/>
          <w:highlight w:val="none"/>
          <w:lang w:val="zh-CN"/>
        </w:rPr>
        <w:t xml:space="preserve">收费标准：按差额定率累进法计算收取，</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val="zh-CN"/>
        </w:rPr>
        <w:t xml:space="preserve">单位在领取</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val="zh-CN"/>
        </w:rPr>
        <w:t xml:space="preserve">通知书时向采购代理机构一次性付清。预算金额100万以下费率为预算金额的1.5%；预算金额100万（含）-500万费率为预算金额的1.1%；预算金额500万（含）-1000万费率为预算金额的0.8%的。</w:t>
      </w:r>
      <w:r>
        <w:rPr>
          <w:rFonts w:hint="eastAsia" w:ascii="宋体" w:hAnsi="宋体" w:eastAsia="宋体" w:cs="宋体"/>
          <w:color w:val="auto"/>
          <w:szCs w:val="21"/>
          <w:highlight w:val="none"/>
        </w:rPr>
        <w:t xml:space="preserve">如按下列公式计算服务费低于4000元的则按最低服务费4000元收取。</w:t>
      </w:r>
      <w:r>
        <w:rPr>
          <w:rFonts w:hint="eastAsia" w:ascii="宋体" w:hAnsi="宋体" w:eastAsia="宋体" w:cs="宋体"/>
          <w:color w:val="auto"/>
          <w:szCs w:val="21"/>
          <w:highlight w:val="none"/>
          <w:lang w:val="zh-CN"/>
        </w:rPr>
        <w:t xml:space="preserve">本项目采购代理服务费为：</w:t>
      </w:r>
      <w:r>
        <w:rPr>
          <w:rFonts w:hint="eastAsia" w:ascii="宋体" w:hAnsi="宋体" w:cs="宋体"/>
          <w:color w:val="auto"/>
          <w:szCs w:val="21"/>
          <w:highlight w:val="none"/>
          <w:lang w:val="en-US" w:eastAsia="zh-CN"/>
        </w:rPr>
        <w:t xml:space="preserve">一标段</w:t>
      </w:r>
      <w:r>
        <w:rPr>
          <w:rFonts w:hint="eastAsia" w:ascii="宋体" w:hAnsi="宋体" w:eastAsia="宋体" w:cs="宋体"/>
          <w:color w:val="auto"/>
          <w:szCs w:val="21"/>
          <w:highlight w:val="none"/>
          <w:lang w:val="en-US" w:eastAsia="zh-CN"/>
        </w:rPr>
        <w:t xml:space="preserve">：人民币</w:t>
      </w:r>
      <w:r>
        <w:rPr>
          <w:rFonts w:hint="eastAsia" w:ascii="宋体" w:hAnsi="宋体" w:cs="宋体"/>
          <w:color w:val="auto"/>
          <w:szCs w:val="21"/>
          <w:highlight w:val="none"/>
          <w:lang w:val="en-US" w:eastAsia="zh-CN"/>
        </w:rPr>
        <w:t xml:space="preserve">贰万零贰佰肆拾贰</w:t>
      </w:r>
      <w:r>
        <w:rPr>
          <w:rFonts w:hint="eastAsia" w:ascii="宋体" w:hAnsi="宋体" w:eastAsia="宋体" w:cs="宋体"/>
          <w:color w:val="auto"/>
          <w:szCs w:val="21"/>
          <w:highlight w:val="none"/>
          <w:lang w:val="en-US" w:eastAsia="zh-CN"/>
        </w:rPr>
        <w:t xml:space="preserve">元整（</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20242</w:t>
      </w:r>
      <w:r>
        <w:rPr>
          <w:rFonts w:hint="eastAsia" w:ascii="宋体" w:hAnsi="宋体" w:eastAsia="宋体" w:cs="宋体"/>
          <w:color w:val="auto"/>
          <w:szCs w:val="21"/>
          <w:highlight w:val="none"/>
          <w:lang w:val="en-US" w:eastAsia="zh-CN"/>
        </w:rPr>
        <w:t xml:space="preserve">.00元）</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二标段</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人民币</w:t>
      </w:r>
      <w:r>
        <w:rPr>
          <w:rFonts w:hint="eastAsia" w:ascii="宋体" w:hAnsi="宋体" w:cs="宋体"/>
          <w:color w:val="auto"/>
          <w:szCs w:val="21"/>
          <w:highlight w:val="none"/>
          <w:lang w:val="en-US" w:eastAsia="zh-CN"/>
        </w:rPr>
        <w:t xml:space="preserve">壹万伍仟零叁拾伍</w:t>
      </w:r>
      <w:r>
        <w:rPr>
          <w:rFonts w:hint="eastAsia" w:ascii="宋体" w:hAnsi="宋体" w:eastAsia="宋体" w:cs="宋体"/>
          <w:color w:val="auto"/>
          <w:szCs w:val="21"/>
          <w:highlight w:val="none"/>
        </w:rPr>
        <w:t xml:space="preserve">元整（¥：</w:t>
      </w:r>
      <w:r>
        <w:rPr>
          <w:rFonts w:hint="eastAsia" w:ascii="宋体" w:hAnsi="宋体" w:cs="宋体"/>
          <w:color w:val="auto"/>
          <w:szCs w:val="21"/>
          <w:highlight w:val="none"/>
          <w:lang w:val="en-US" w:eastAsia="zh-CN"/>
        </w:rPr>
        <w:t xml:space="preserve">15035</w:t>
      </w:r>
      <w:r>
        <w:rPr>
          <w:rFonts w:hint="eastAsia" w:ascii="宋体" w:hAnsi="宋体" w:eastAsia="宋体" w:cs="宋体"/>
          <w:color w:val="auto"/>
          <w:szCs w:val="21"/>
          <w:highlight w:val="none"/>
        </w:rPr>
        <w:t xml:space="preserve">.00元）</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bidi="ar"/>
        </w:rPr>
        <w:t xml:space="preserve">代理服务费由成交单位支付，请各供应商在响应报价时予以综合考虑。</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8.2</w:t>
      </w:r>
      <w:r>
        <w:rPr>
          <w:rFonts w:hint="eastAsia" w:ascii="宋体" w:hAnsi="宋体" w:cs="宋体"/>
          <w:color w:val="auto"/>
          <w:szCs w:val="21"/>
          <w:highlight w:val="none"/>
          <w:lang w:val="zh-CN"/>
        </w:rPr>
        <w:t xml:space="preserve">缴纳账户：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账  户：</w:t>
      </w:r>
      <w:r>
        <w:rPr>
          <w:rFonts w:hint="eastAsia" w:ascii="宋体" w:hAnsi="宋体" w:cs="宋体"/>
          <w:color w:val="auto"/>
          <w:szCs w:val="21"/>
          <w:highlight w:val="none"/>
        </w:rPr>
        <w:t xml:space="preserve">苏州市东易工程招投标咨询有限公司</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开户行：</w:t>
      </w:r>
      <w:r>
        <w:rPr>
          <w:rFonts w:hint="eastAsia" w:ascii="宋体" w:hAnsi="宋体" w:cs="宋体"/>
          <w:color w:val="auto"/>
          <w:szCs w:val="21"/>
          <w:highlight w:val="none"/>
        </w:rPr>
        <w:t xml:space="preserve">中国工商银行苏州长三角一体化示范区分行</w:t>
      </w:r>
      <w:r/>
    </w:p>
    <w:p>
      <w:pPr>
        <w:ind w:firstLine="422"/>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账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号：</w:t>
      </w:r>
      <w:r>
        <w:rPr>
          <w:rFonts w:hint="eastAsia" w:ascii="宋体" w:hAnsi="宋体" w:cs="宋体"/>
          <w:color w:val="auto"/>
          <w:szCs w:val="21"/>
          <w:highlight w:val="none"/>
        </w:rPr>
        <w:t xml:space="preserve">1102022009200521638   </w:t>
      </w:r>
      <w:r/>
    </w:p>
    <w:p>
      <w:pPr>
        <w:ind w:firstLine="422"/>
        <w:spacing w:line="360" w:lineRule="auto"/>
        <w:rPr>
          <w:rFonts w:hint="eastAsia" w:ascii="宋体" w:hAnsi="宋体" w:cs="宋体"/>
          <w:b/>
          <w:bCs/>
          <w:color w:val="auto"/>
          <w:highlight w:val="none"/>
        </w:rPr>
      </w:pPr>
      <w:r/>
      <w:bookmarkStart w:id="32" w:name="_Toc35393805"/>
      <w:r/>
      <w:bookmarkStart w:id="33" w:name="_Toc28359095"/>
      <w:r/>
      <w:bookmarkStart w:id="34" w:name="_Toc35393636"/>
      <w:r/>
      <w:bookmarkStart w:id="35" w:name="_Toc28359018"/>
      <w:r>
        <w:rPr>
          <w:rFonts w:hint="eastAsia" w:ascii="宋体" w:hAnsi="宋体" w:cs="宋体"/>
          <w:b/>
          <w:bCs/>
          <w:color w:val="auto"/>
          <w:highlight w:val="none"/>
          <w:lang w:eastAsia="zh-CN"/>
        </w:rPr>
        <w:t xml:space="preserve">八</w:t>
      </w:r>
      <w:r>
        <w:rPr>
          <w:rFonts w:hint="eastAsia" w:ascii="宋体" w:hAnsi="宋体" w:cs="宋体"/>
          <w:b/>
          <w:bCs/>
          <w:color w:val="auto"/>
          <w:highlight w:val="none"/>
        </w:rPr>
        <w:t xml:space="preserve">、凡对本次采购提出询问，请按以下方式联系</w:t>
      </w:r>
      <w:bookmarkEnd w:id="32"/>
      <w:r/>
      <w:bookmarkEnd w:id="33"/>
      <w:r/>
      <w:bookmarkEnd w:id="34"/>
      <w:r/>
      <w:bookmarkEnd w:id="35"/>
      <w:r/>
      <w:r/>
    </w:p>
    <w:p>
      <w:pPr>
        <w:ind w:firstLine="420"/>
        <w:jc w:val="left"/>
        <w:spacing w:line="360" w:lineRule="auto"/>
        <w:widowControl/>
        <w:rPr>
          <w:rFonts w:hint="eastAsia" w:ascii="宋体" w:hAnsi="宋体" w:cs="宋体"/>
          <w:color w:val="auto"/>
          <w:szCs w:val="21"/>
          <w:highlight w:val="none"/>
        </w:rPr>
      </w:pPr>
      <w:r/>
      <w:bookmarkStart w:id="36" w:name="_Toc28359075"/>
      <w:r/>
      <w:bookmarkStart w:id="37" w:name="_Toc35393786"/>
      <w:r/>
      <w:bookmarkStart w:id="38" w:name="_Toc35393617"/>
      <w:r/>
      <w:bookmarkStart w:id="39" w:name="_Toc28358998"/>
      <w:r>
        <w:rPr>
          <w:rFonts w:hint="eastAsia" w:ascii="宋体" w:hAnsi="宋体" w:cs="宋体"/>
          <w:color w:val="auto"/>
          <w:szCs w:val="21"/>
          <w:highlight w:val="none"/>
        </w:rPr>
        <w:t xml:space="preserve">1.采购人信息</w:t>
      </w:r>
      <w:bookmarkEnd w:id="36"/>
      <w:r/>
      <w:bookmarkEnd w:id="37"/>
      <w:r/>
      <w:bookmarkEnd w:id="38"/>
      <w:r/>
      <w:bookmarkEnd w:id="39"/>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val="zh-CN"/>
        </w:rPr>
        <w:t xml:space="preserve">苏州市吴中区园林和绿化管理站</w:t>
      </w:r>
      <w:r/>
    </w:p>
    <w:p>
      <w:pPr>
        <w:ind w:firstLine="42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地 址：</w:t>
      </w:r>
      <w:r>
        <w:rPr>
          <w:rFonts w:hint="eastAsia" w:ascii="宋体" w:hAnsi="宋体" w:eastAsia="宋体" w:cs="宋体"/>
          <w:color w:val="auto"/>
          <w:szCs w:val="21"/>
          <w:highlight w:val="none"/>
        </w:rPr>
        <w:t xml:space="preserve">江苏省</w:t>
      </w:r>
      <w:r>
        <w:rPr>
          <w:rFonts w:hint="eastAsia" w:ascii="宋体" w:hAnsi="宋体" w:eastAsia="宋体" w:cs="宋体"/>
          <w:color w:val="auto"/>
          <w:szCs w:val="21"/>
          <w:highlight w:val="none"/>
          <w:lang w:eastAsia="zh-CN"/>
        </w:rPr>
        <w:t xml:space="preserve">苏州市吴中区吴中东路169号</w:t>
      </w:r>
      <w:r/>
    </w:p>
    <w:p>
      <w:pPr>
        <w:ind w:firstLine="420"/>
        <w:jc w:val="left"/>
        <w:spacing w:line="360" w:lineRule="auto"/>
        <w:widowControl/>
        <w:rPr>
          <w:rFonts w:hint="eastAsia" w:ascii="宋体" w:hAnsi="宋体" w:eastAsia="宋体" w:cs="宋体"/>
          <w:color w:val="auto"/>
          <w:szCs w:val="21"/>
          <w:highlight w:val="none"/>
        </w:rPr>
      </w:pPr>
      <w:r/>
      <w:bookmarkStart w:id="40" w:name="_Toc28359000"/>
      <w:r/>
      <w:bookmarkStart w:id="41" w:name="_Toc35393788"/>
      <w:r/>
      <w:bookmarkStart w:id="42" w:name="_Toc35393619"/>
      <w:r/>
      <w:bookmarkStart w:id="43" w:name="_Toc28359077"/>
      <w:r>
        <w:rPr>
          <w:rFonts w:hint="eastAsia" w:ascii="宋体" w:hAnsi="宋体" w:eastAsia="宋体" w:cs="宋体"/>
          <w:color w:val="auto"/>
          <w:szCs w:val="21"/>
          <w:highlight w:val="none"/>
          <w:lang w:val="zh-CN"/>
        </w:rPr>
        <w:t xml:space="preserve">联系人：</w:t>
      </w:r>
      <w:r>
        <w:rPr>
          <w:rFonts w:hint="eastAsia" w:ascii="宋体" w:hAnsi="宋体" w:eastAsia="宋体" w:cs="宋体"/>
          <w:color w:val="auto"/>
          <w:szCs w:val="21"/>
          <w:highlight w:val="none"/>
          <w:lang w:val="en-US" w:eastAsia="zh-CN"/>
        </w:rPr>
        <w:t xml:space="preserve">徐剑</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电　话：</w:t>
      </w:r>
      <w:r>
        <w:rPr>
          <w:rFonts w:hint="eastAsia" w:ascii="宋体" w:hAnsi="宋体" w:eastAsia="宋体" w:cs="宋体"/>
          <w:color w:val="auto"/>
          <w:szCs w:val="21"/>
          <w:highlight w:val="none"/>
          <w:lang w:eastAsia="zh-CN"/>
        </w:rPr>
        <w:t xml:space="preserve">0512-65628971</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40"/>
      <w:r/>
      <w:bookmarkEnd w:id="41"/>
      <w:r/>
      <w:bookmarkEnd w:id="42"/>
      <w:r/>
      <w:bookmarkEnd w:id="43"/>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w:t>
      </w:r>
      <w:bookmarkStart w:id="44" w:name="XTDLJG_2"/>
      <w:r>
        <w:rPr>
          <w:rFonts w:hint="eastAsia" w:ascii="宋体" w:hAnsi="宋体" w:cs="宋体"/>
          <w:color w:val="auto"/>
          <w:szCs w:val="21"/>
          <w:highlight w:val="none"/>
        </w:rPr>
        <w:t xml:space="preserve">：</w:t>
      </w:r>
      <w:bookmarkEnd w:id="44"/>
      <w:r>
        <w:rPr>
          <w:rFonts w:hint="eastAsia" w:ascii="宋体" w:hAnsi="宋体" w:cs="宋体"/>
          <w:color w:val="auto"/>
          <w:szCs w:val="21"/>
          <w:highlight w:val="none"/>
        </w:rPr>
        <w:t xml:space="preserve">苏州市东易工程招投标咨询有限公司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址：苏州市吴江区仲英大道10</w:t>
      </w:r>
      <w:r>
        <w:rPr>
          <w:rFonts w:hint="eastAsia" w:ascii="宋体" w:hAnsi="宋体" w:cs="宋体"/>
          <w:color w:val="auto"/>
          <w:szCs w:val="21"/>
          <w:highlight w:val="none"/>
          <w:lang w:val="en-US" w:eastAsia="zh-CN"/>
        </w:rPr>
        <w:t xml:space="preserve">38</w:t>
      </w:r>
      <w:r>
        <w:rPr>
          <w:rFonts w:hint="eastAsia" w:ascii="宋体" w:hAnsi="宋体" w:cs="宋体"/>
          <w:color w:val="auto"/>
          <w:szCs w:val="21"/>
          <w:highlight w:val="none"/>
        </w:rPr>
        <w:t xml:space="preserve">号明珠城公交首末站西门五楼</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林燕芳、</w:t>
      </w:r>
      <w:r>
        <w:rPr>
          <w:rFonts w:hint="eastAsia" w:ascii="宋体" w:hAnsi="宋体" w:cs="宋体"/>
          <w:color w:val="auto"/>
          <w:szCs w:val="21"/>
          <w:highlight w:val="none"/>
        </w:rPr>
        <w:t xml:space="preserve">潘致阳     电　话：0512-63661883 </w:t>
      </w:r>
      <w:r/>
    </w:p>
    <w:p>
      <w:pPr>
        <w:numPr>
          <w:ilvl w:val="0"/>
          <w:numId w:val="3"/>
        </w:num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项目联系方式</w:t>
      </w:r>
      <w:r/>
    </w:p>
    <w:p>
      <w:pPr>
        <w:numPr>
          <w:ilvl w:val="0"/>
          <w:numId w:val="0"/>
        </w:num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项目联系人：林燕芳</w:t>
      </w:r>
      <w:r/>
    </w:p>
    <w:p>
      <w:pPr>
        <w:numPr>
          <w:ilvl w:val="0"/>
          <w:numId w:val="0"/>
        </w:numPr>
        <w:ind w:firstLine="420"/>
        <w:jc w:val="left"/>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电话：</w:t>
      </w:r>
      <w:r>
        <w:rPr>
          <w:rFonts w:hint="eastAsia" w:ascii="宋体" w:hAnsi="宋体" w:cs="宋体"/>
          <w:color w:val="auto"/>
          <w:szCs w:val="21"/>
          <w:highlight w:val="none"/>
        </w:rPr>
        <w:t xml:space="preserve">0512-63661883 </w:t>
      </w:r>
      <w:r/>
    </w:p>
    <w:p>
      <w:pPr>
        <w:rPr>
          <w:rFonts w:hint="eastAsia" w:ascii="宋体" w:hAnsi="宋体" w:cs="宋体"/>
          <w:b/>
          <w:bCs/>
          <w:color w:val="auto"/>
          <w:sz w:val="32"/>
          <w:szCs w:val="32"/>
          <w:highlight w:val="none"/>
        </w:rPr>
      </w:pPr>
      <w:r/>
      <w:bookmarkStart w:id="87" w:name="_GoBack"/>
      <w:r/>
      <w:bookmarkEnd w:id="87"/>
      <w:r/>
      <w:bookmarkStart w:id="45" w:name="_Toc19638"/>
      <w:r/>
      <w:bookmarkStart w:id="46" w:name="_Toc7179"/>
      <w:r/>
      <w:bookmarkStart w:id="47" w:name="_Toc23541"/>
      <w:r/>
      <w:bookmarkStart w:id="48" w:name="_Toc11937"/>
      <w:r/>
      <w:bookmarkStart w:id="49" w:name="_Toc25272"/>
      <w:r/>
      <w:bookmarkStart w:id="50" w:name="_Toc6289"/>
      <w:r/>
      <w:bookmarkStart w:id="51" w:name="_Toc212609680"/>
      <w:r/>
      <w:r/>
    </w:p>
    <w:p>
      <w:pPr>
        <w:pStyle w:val="935"/>
        <w:numPr>
          <w:ilvl w:val="0"/>
          <w:numId w:val="1"/>
        </w:numPr>
        <w:spacing w:before="0" w:after="0" w:line="360" w:lineRule="auto"/>
        <w:rPr>
          <w:rFonts w:hint="eastAsia" w:cs="宋体"/>
          <w:b/>
          <w:bCs/>
          <w:color w:val="auto"/>
          <w:sz w:val="32"/>
          <w:szCs w:val="32"/>
          <w:highlight w:val="none"/>
        </w:rPr>
      </w:pPr>
      <w:r/>
      <w:bookmarkStart w:id="52" w:name="_Toc25391"/>
      <w:r/>
      <w:bookmarkStart w:id="53" w:name="_Toc22970"/>
      <w:r/>
      <w:bookmarkStart w:id="54" w:name="_Toc7046"/>
      <w:r/>
      <w:bookmarkStart w:id="55" w:name="_Toc14397"/>
      <w:r/>
      <w:bookmarkStart w:id="56" w:name="_Toc9042"/>
      <w:r/>
      <w:bookmarkStart w:id="57" w:name="_Toc15880"/>
      <w:r>
        <w:rPr>
          <w:rFonts w:hint="eastAsia" w:cs="宋体"/>
          <w:b/>
          <w:bCs/>
          <w:color w:val="auto"/>
          <w:sz w:val="32"/>
          <w:szCs w:val="32"/>
          <w:highlight w:val="none"/>
        </w:rPr>
        <w:t xml:space="preserve">采购</w:t>
      </w:r>
      <w:bookmarkEnd w:id="52"/>
      <w:r/>
      <w:bookmarkEnd w:id="53"/>
      <w:r/>
      <w:bookmarkEnd w:id="54"/>
      <w:r/>
      <w:bookmarkEnd w:id="55"/>
      <w:r/>
      <w:bookmarkEnd w:id="56"/>
      <w:r/>
      <w:bookmarkEnd w:id="57"/>
      <w:r>
        <w:rPr>
          <w:rFonts w:hint="eastAsia" w:cs="宋体"/>
          <w:b/>
          <w:bCs/>
          <w:color w:val="auto"/>
          <w:sz w:val="32"/>
          <w:szCs w:val="32"/>
          <w:highlight w:val="none"/>
        </w:rPr>
        <w:t xml:space="preserve">内容</w:t>
      </w:r>
      <w:r/>
    </w:p>
    <w:p>
      <w:pPr>
        <w:ind w:firstLine="420"/>
        <w:spacing w:line="440" w:lineRule="exact"/>
        <w:tabs>
          <w:tab w:val="left" w:pos="525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受苏州市吴中区园林和绿化管理站的委托，苏州市东易工程招投标咨询有限公司作为招标代理机构，就其委托的</w:t>
      </w:r>
      <w:r>
        <w:rPr>
          <w:rFonts w:hint="eastAsia" w:ascii="宋体" w:hAnsi="宋体" w:cs="宋体"/>
          <w:color w:val="auto"/>
          <w:szCs w:val="21"/>
          <w:highlight w:val="none"/>
          <w:lang w:eastAsia="zh-CN"/>
        </w:rPr>
        <w:t xml:space="preserve">吴中区“绿色银行”基地苗木养护</w:t>
      </w:r>
      <w:r>
        <w:rPr>
          <w:rFonts w:hint="eastAsia" w:ascii="宋体" w:hAnsi="宋体" w:cs="宋体"/>
          <w:color w:val="auto"/>
          <w:szCs w:val="21"/>
          <w:highlight w:val="none"/>
          <w:lang w:val="zh-CN"/>
        </w:rPr>
        <w:t xml:space="preserve">的政府采购进行国内</w:t>
      </w:r>
      <w:r>
        <w:rPr>
          <w:rFonts w:hint="eastAsia" w:ascii="宋体" w:hAnsi="宋体" w:cs="宋体"/>
          <w:color w:val="auto"/>
          <w:szCs w:val="21"/>
          <w:highlight w:val="none"/>
        </w:rPr>
        <w:t xml:space="preserve">竞争性磋商采购</w:t>
      </w:r>
      <w:r>
        <w:rPr>
          <w:rFonts w:hint="eastAsia" w:ascii="宋体" w:hAnsi="宋体" w:cs="宋体"/>
          <w:color w:val="auto"/>
          <w:szCs w:val="21"/>
          <w:highlight w:val="none"/>
          <w:lang w:val="zh-CN"/>
        </w:rPr>
        <w:t xml:space="preserve">。</w:t>
      </w:r>
      <w:r/>
    </w:p>
    <w:p>
      <w:pPr>
        <w:spacing w:line="440" w:lineRule="exact"/>
        <w:tabs>
          <w:tab w:val="left" w:pos="5250" w:leader="none"/>
        </w:tabs>
        <w:rPr>
          <w:rFonts w:hint="eastAsia" w:ascii="宋体" w:hAnsi="宋体" w:cs="宋体"/>
          <w:b/>
          <w:color w:val="auto"/>
          <w:szCs w:val="22"/>
          <w:highlight w:val="none"/>
        </w:rPr>
      </w:pPr>
      <w:r>
        <w:rPr>
          <w:rFonts w:hint="eastAsia" w:ascii="宋体" w:hAnsi="宋体" w:cs="宋体"/>
          <w:b/>
          <w:color w:val="auto"/>
          <w:szCs w:val="22"/>
          <w:highlight w:val="none"/>
        </w:rPr>
        <w:t xml:space="preserve">一、磋商编号：</w:t>
      </w:r>
      <w:r>
        <w:rPr>
          <w:rFonts w:hint="eastAsia" w:ascii="宋体" w:hAnsi="宋体" w:cs="宋体"/>
          <w:bCs/>
          <w:color w:val="auto"/>
          <w:szCs w:val="22"/>
          <w:highlight w:val="none"/>
          <w:lang w:eastAsia="zh-CN"/>
        </w:rPr>
        <w:t xml:space="preserve">JSZC-320506-SZDY-C2026-0001</w:t>
      </w:r>
      <w:r>
        <w:rPr>
          <w:rFonts w:hint="eastAsia" w:ascii="宋体" w:hAnsi="宋体" w:cs="宋体"/>
          <w:bCs/>
          <w:color w:val="auto"/>
          <w:szCs w:val="22"/>
          <w:highlight w:val="none"/>
        </w:rPr>
        <w:t xml:space="preserve">号</w:t>
      </w:r>
      <w:r/>
    </w:p>
    <w:p>
      <w:pPr>
        <w:spacing w:line="440" w:lineRule="exact"/>
        <w:tabs>
          <w:tab w:val="left" w:pos="5250" w:leader="none"/>
        </w:tabs>
        <w:rPr>
          <w:rFonts w:hint="eastAsia" w:ascii="宋体" w:hAnsi="宋体" w:eastAsia="宋体" w:cs="宋体"/>
          <w:bCs/>
          <w:color w:val="auto"/>
          <w:szCs w:val="22"/>
          <w:highlight w:val="none"/>
          <w:lang w:eastAsia="zh-CN"/>
        </w:rPr>
      </w:pPr>
      <w:r>
        <w:rPr>
          <w:rFonts w:hint="eastAsia" w:ascii="宋体" w:hAnsi="宋体" w:cs="宋体"/>
          <w:b/>
          <w:color w:val="auto"/>
          <w:szCs w:val="22"/>
          <w:highlight w:val="none"/>
        </w:rPr>
        <w:t xml:space="preserve">二、采购内容：</w:t>
      </w:r>
      <w:r>
        <w:rPr>
          <w:rFonts w:hint="eastAsia" w:ascii="宋体" w:hAnsi="宋体" w:cs="宋体"/>
          <w:color w:val="auto"/>
          <w:szCs w:val="21"/>
          <w:highlight w:val="none"/>
          <w:lang w:eastAsia="zh-CN"/>
        </w:rPr>
        <w:t xml:space="preserve">吴中区“绿色银行”基地苗木养护</w:t>
      </w:r>
      <w:r/>
    </w:p>
    <w:p>
      <w:pPr>
        <w:jc w:val="both"/>
        <w:keepLines w:val="0"/>
        <w:keepNext w:val="0"/>
        <w:pageBreakBefore w:val="0"/>
        <w:spacing w:line="440" w:lineRule="atLeast"/>
        <w:widowControl w:val="off"/>
        <w:rPr>
          <w:rFonts w:hint="eastAsia" w:ascii="宋体" w:hAnsi="宋体" w:cs="宋体"/>
          <w:color w:val="auto"/>
          <w:szCs w:val="21"/>
          <w:highlight w:val="none"/>
          <w:lang w:eastAsia="zh-CN"/>
        </w:rPr>
      </w:pPr>
      <w:r>
        <w:rPr>
          <w:rFonts w:hint="eastAsia" w:ascii="宋体" w:hAnsi="宋体" w:cs="宋体"/>
          <w:b/>
          <w:bCs/>
          <w:color w:val="auto"/>
          <w:szCs w:val="22"/>
          <w:highlight w:val="none"/>
        </w:rPr>
        <w:t xml:space="preserve">三、</w:t>
      </w:r>
      <w:r>
        <w:rPr>
          <w:rFonts w:hint="eastAsia" w:ascii="宋体" w:hAnsi="宋体" w:eastAsia="宋体" w:cs="宋体"/>
          <w:b/>
          <w:bCs/>
          <w:color w:val="auto"/>
          <w:szCs w:val="21"/>
          <w:highlight w:val="none"/>
        </w:rPr>
        <w:t xml:space="preserve">采购项目预算：</w:t>
      </w:r>
      <w:r>
        <w:rPr>
          <w:rFonts w:hint="eastAsia" w:ascii="宋体" w:hAnsi="宋体" w:cs="宋体"/>
          <w:color w:val="auto"/>
          <w:szCs w:val="21"/>
          <w:highlight w:val="none"/>
          <w:lang w:eastAsia="zh-CN"/>
        </w:rPr>
        <w:t xml:space="preserve">人民币贰佰肆拾柒万玖仟柒佰零肆元整（小写：</w:t>
      </w:r>
      <w:r>
        <w:rPr>
          <w:rFonts w:hint="eastAsia" w:ascii="宋体" w:hAnsi="宋体" w:cs="宋体"/>
          <w:color w:val="auto"/>
          <w:szCs w:val="21"/>
          <w:highlight w:val="none"/>
          <w:lang w:val="en-US" w:eastAsia="zh-CN"/>
        </w:rPr>
        <w:t xml:space="preserve">2479704</w:t>
      </w:r>
      <w:r>
        <w:rPr>
          <w:rFonts w:hint="eastAsia" w:ascii="宋体" w:hAnsi="宋体" w:cs="宋体"/>
          <w:color w:val="auto"/>
          <w:szCs w:val="21"/>
          <w:highlight w:val="none"/>
          <w:lang w:eastAsia="zh-CN"/>
        </w:rPr>
        <w:t xml:space="preserve">.00元）</w:t>
      </w:r>
      <w:r/>
    </w:p>
    <w:p>
      <w:pPr>
        <w:ind w:firstLine="420"/>
        <w:jc w:val="both"/>
        <w:keepLines w:val="0"/>
        <w:keepNext w:val="0"/>
        <w:pageBreakBefore w:val="0"/>
        <w:spacing w:line="440" w:lineRule="atLeas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壹佰肆拾柒万陆仟伍佰叁拾肆</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1476534</w:t>
      </w:r>
      <w:r>
        <w:rPr>
          <w:rFonts w:hint="eastAsia" w:ascii="宋体" w:hAnsi="宋体" w:eastAsia="宋体" w:cs="宋体"/>
          <w:color w:val="auto"/>
          <w:sz w:val="21"/>
          <w:szCs w:val="21"/>
          <w:highlight w:val="none"/>
          <w:lang w:val="en-US" w:eastAsia="zh-CN"/>
        </w:rPr>
        <w:t xml:space="preserve">.00）</w:t>
      </w:r>
      <w:r/>
    </w:p>
    <w:p>
      <w:pPr>
        <w:ind w:firstLine="420"/>
        <w:jc w:val="both"/>
        <w:keepLines w:val="0"/>
        <w:keepNext w:val="0"/>
        <w:pageBreakBefore w:val="0"/>
        <w:spacing w:line="440" w:lineRule="atLeast"/>
        <w:widowControl w:val="off"/>
        <w:rPr>
          <w:rFonts w:hint="eastAsia" w:ascii="宋体" w:hAnsi="宋体" w:eastAsia="宋体" w:cs="宋体"/>
          <w:bCs/>
          <w:color w:val="auto"/>
          <w:szCs w:val="21"/>
          <w:highlight w:val="none"/>
          <w:lang w:eastAsia="zh-CN"/>
        </w:rPr>
      </w:pPr>
      <w:r>
        <w:rPr>
          <w:rFonts w:hint="eastAsia" w:ascii="宋体" w:hAnsi="宋体" w:cs="宋体"/>
          <w:color w:val="auto"/>
          <w:sz w:val="21"/>
          <w:szCs w:val="21"/>
          <w:highlight w:val="none"/>
          <w:lang w:val="en-US" w:eastAsia="zh-CN"/>
        </w:rPr>
        <w:t xml:space="preserve">二标段</w:t>
      </w:r>
      <w:r>
        <w:rPr>
          <w:rFonts w:hint="eastAsia" w:ascii="宋体" w:hAnsi="宋体" w:eastAsia="宋体" w:cs="宋体"/>
          <w:color w:val="auto"/>
          <w:sz w:val="21"/>
          <w:szCs w:val="21"/>
          <w:highlight w:val="none"/>
          <w:lang w:val="en-US" w:eastAsia="zh-CN"/>
        </w:rPr>
        <w:t xml:space="preserve">：人民币</w:t>
      </w:r>
      <w:r>
        <w:rPr>
          <w:rFonts w:hint="eastAsia" w:ascii="宋体" w:hAnsi="宋体" w:cs="宋体"/>
          <w:color w:val="auto"/>
          <w:sz w:val="21"/>
          <w:szCs w:val="21"/>
          <w:highlight w:val="none"/>
          <w:lang w:val="en-US" w:eastAsia="zh-CN"/>
        </w:rPr>
        <w:t xml:space="preserve">壹佰万零叁仟壹佰柒拾</w:t>
      </w:r>
      <w:r>
        <w:rPr>
          <w:rFonts w:hint="eastAsia" w:ascii="宋体" w:hAnsi="宋体" w:eastAsia="宋体" w:cs="宋体"/>
          <w:color w:val="auto"/>
          <w:sz w:val="21"/>
          <w:szCs w:val="21"/>
          <w:highlight w:val="none"/>
          <w:lang w:val="en-US" w:eastAsia="zh-CN"/>
        </w:rPr>
        <w:t xml:space="preserve">元整（￥：</w:t>
      </w:r>
      <w:r>
        <w:rPr>
          <w:rFonts w:hint="eastAsia" w:ascii="宋体" w:hAnsi="宋体" w:cs="宋体"/>
          <w:color w:val="auto"/>
          <w:sz w:val="21"/>
          <w:szCs w:val="21"/>
          <w:highlight w:val="none"/>
          <w:lang w:val="en-US" w:eastAsia="zh-CN"/>
        </w:rPr>
        <w:t xml:space="preserve">1003170</w:t>
      </w:r>
      <w:r>
        <w:rPr>
          <w:rFonts w:hint="eastAsia" w:ascii="宋体" w:hAnsi="宋体" w:eastAsia="宋体" w:cs="宋体"/>
          <w:color w:val="auto"/>
          <w:sz w:val="21"/>
          <w:szCs w:val="21"/>
          <w:highlight w:val="none"/>
          <w:lang w:val="en-US" w:eastAsia="zh-CN"/>
        </w:rPr>
        <w:t xml:space="preserve">.00）</w:t>
      </w:r>
      <w:r/>
    </w:p>
    <w:p>
      <w:pPr>
        <w:numPr>
          <w:ilvl w:val="0"/>
          <w:numId w:val="0"/>
        </w:numPr>
        <w:spacing w:line="440" w:lineRule="exact"/>
        <w:widowControl/>
        <w:rPr>
          <w:rFonts w:hint="eastAsia" w:ascii="宋体" w:hAnsi="宋体" w:cs="宋体"/>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（报价超过最高限价为无效投标）。</w:t>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2599"/>
        <w:gridCol w:w="1971"/>
        <w:gridCol w:w="1971"/>
        <w:gridCol w:w="1971"/>
      </w:tblGrid>
      <w:tr>
        <w:trPr/>
        <w:tc>
          <w:tcPr>
            <w:tcW w:w="1342"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序号</w:t>
            </w:r>
            <w:r/>
          </w:p>
        </w:tc>
        <w:tc>
          <w:tcPr>
            <w:tcW w:w="2599"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项目名称</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养护面积m²</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数量</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最高限价</w:t>
            </w:r>
            <w:r/>
          </w:p>
        </w:tc>
      </w:tr>
      <w:tr>
        <w:trPr/>
        <w:tc>
          <w:tcPr>
            <w:tcW w:w="1342"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2599" w:type="dxa"/>
            <w:textDirection w:val="lrTb"/>
            <w:noWrap w:val="false"/>
          </w:tcPr>
          <w:p>
            <w:pPr>
              <w:pStyle w:val="934"/>
              <w:ind w:left="0" w:firstLine="0"/>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绿色银行西片区</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246089</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36个月</w:t>
            </w:r>
            <w:r/>
          </w:p>
        </w:tc>
        <w:tc>
          <w:tcPr>
            <w:tcW w:w="1971"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2元/m²/年</w:t>
            </w:r>
            <w:r/>
          </w:p>
        </w:tc>
      </w:tr>
      <w:tr>
        <w:trPr/>
        <w:tc>
          <w:tcPr>
            <w:tcW w:w="1342" w:type="dxa"/>
            <w:textDirection w:val="lrTb"/>
            <w:noWrap w:val="false"/>
          </w:tcPr>
          <w:p>
            <w:pPr>
              <w:pStyle w:val="934"/>
              <w:keepLines w:val="0"/>
              <w:keepNext w:val="0"/>
              <w:pageBreakBefore w:val="0"/>
              <w:spacing w:line="440" w:lineRule="atLeast"/>
              <w:widowControl w:val="off"/>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shd w:val="clear" w:color="auto" w:fill="auto"/>
            <w:tcW w:w="2599" w:type="dxa"/>
            <w:vAlign w:val="top"/>
            <w:textDirection w:val="lrTb"/>
            <w:noWrap w:val="false"/>
          </w:tcPr>
          <w:p>
            <w:pPr>
              <w:pStyle w:val="934"/>
              <w:ind w:left="0" w:firstLine="0"/>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绿色银行东片区</w:t>
            </w:r>
            <w:r/>
          </w:p>
        </w:tc>
        <w:tc>
          <w:tcPr>
            <w:shd w:val="clear" w:color="auto" w:fill="auto"/>
            <w:tcW w:w="1971" w:type="dxa"/>
            <w:vAlign w:val="top"/>
            <w:textDirection w:val="lrTb"/>
            <w:noWrap w:val="false"/>
          </w:tcPr>
          <w:p>
            <w:pPr>
              <w:pStyle w:val="934"/>
              <w:ind w:firstLine="480"/>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167195</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36个月</w:t>
            </w:r>
            <w:r/>
          </w:p>
        </w:tc>
        <w:tc>
          <w:tcPr>
            <w:tcW w:w="1971" w:type="dxa"/>
            <w:textDirection w:val="lrTb"/>
            <w:noWrap w:val="false"/>
          </w:tcPr>
          <w:p>
            <w:pPr>
              <w:pStyle w:val="934"/>
              <w:keepLines w:val="0"/>
              <w:keepNext w:val="0"/>
              <w:pageBreakBefore w:val="0"/>
              <w:spacing w:line="440" w:lineRule="atLeast"/>
              <w:widowControl w:val="off"/>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2元/m²/年</w:t>
            </w:r>
            <w:r/>
          </w:p>
        </w:tc>
      </w:tr>
    </w:tbl>
    <w:p>
      <w:pPr>
        <w:jc w:val="left"/>
        <w:spacing w:line="360" w:lineRule="auto"/>
        <w:tabs>
          <w:tab w:val="left" w:pos="54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五、</w:t>
      </w:r>
      <w:r>
        <w:rPr>
          <w:rFonts w:hint="eastAsia" w:ascii="宋体" w:hAnsi="宋体" w:eastAsia="宋体" w:cs="宋体"/>
          <w:b/>
          <w:bCs/>
          <w:color w:val="auto"/>
          <w:szCs w:val="21"/>
          <w:highlight w:val="none"/>
        </w:rPr>
        <w:t xml:space="preserve">合同履行期限：</w:t>
      </w:r>
      <w:r>
        <w:rPr>
          <w:rFonts w:hint="eastAsia" w:ascii="宋体" w:hAnsi="宋体" w:eastAsia="宋体" w:cs="宋体"/>
          <w:color w:val="auto"/>
          <w:sz w:val="21"/>
          <w:szCs w:val="21"/>
          <w:highlight w:val="none"/>
          <w:lang w:val="en-US" w:eastAsia="zh-CN" w:bidi="ar-SA"/>
        </w:rPr>
        <w:t xml:space="preserve">签订合同后三年（具体以采购人进场通知为准）。</w:t>
      </w:r>
      <w:r/>
    </w:p>
    <w:p>
      <w:pPr>
        <w:spacing w:line="440" w:lineRule="exac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六、采购需求及要求：</w:t>
      </w:r>
      <w:r/>
    </w:p>
    <w:p>
      <w:pPr>
        <w:spacing w:line="360" w:lineRule="auto"/>
        <w:shd w:val="clear" w:color="auto" w:fill="auto"/>
        <w:rPr>
          <w:rFonts w:hint="eastAsia" w:asciiTheme="majorEastAsia" w:hAnsiTheme="majorEastAsia" w:eastAsiaTheme="majorEastAsia" w:cstheme="majorEastAsia"/>
          <w:b/>
          <w:bCs/>
          <w:color w:val="auto"/>
          <w:sz w:val="21"/>
          <w:szCs w:val="21"/>
          <w:highlight w:val="none"/>
          <w:lang w:val="zh-CN"/>
        </w:rPr>
      </w:pPr>
      <w:r>
        <w:rPr>
          <w:rFonts w:hint="eastAsia" w:asciiTheme="majorEastAsia" w:hAnsiTheme="majorEastAsia" w:eastAsiaTheme="majorEastAsia" w:cstheme="majorEastAsia"/>
          <w:b/>
          <w:bCs/>
          <w:color w:val="auto"/>
          <w:sz w:val="21"/>
          <w:szCs w:val="21"/>
          <w:highlight w:val="none"/>
        </w:rPr>
        <w:t xml:space="preserve">（一）项目组人员、作业人员、作业车辆和设备设施要求：</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1、项目组人员</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本项目的项目组人员（养护项目经理、养护项目现场负责人、植保巡视员、资料员）:投标人在整个合同期内须为项目组人员缴纳社保，会使用手机上传照片，需加入招标人绿化养护群,</w:t>
      </w:r>
      <w:r>
        <w:rPr>
          <w:rFonts w:hint="eastAsia" w:asciiTheme="majorEastAsia" w:hAnsiTheme="majorEastAsia" w:eastAsiaTheme="majorEastAsia" w:cstheme="majorEastAsia"/>
          <w:b w:val="0"/>
          <w:bCs w:val="0"/>
          <w:color w:val="auto"/>
          <w:sz w:val="21"/>
          <w:szCs w:val="21"/>
          <w:highlight w:val="none"/>
          <w:lang w:eastAsia="zh-CN"/>
        </w:rPr>
        <w:t xml:space="preserve">按时参加业主单位举办的各项会议和培训活动，需熟练使用吴中区绿化养护管理平台，下载养护平台APP。现场负责人需在APP上按时签到，按时回复绿化站及绿化养护监理发出的整改通知单，并在养护路段的电子围栏内工作满5小时/天，一周五天以上；资料员需上传信息至养护平台，协助项目负责人和现场负责人做好整改单的回复，需熟练使用各种办公软件，如office、Photoshop、CAD等。同时投标人拟派任所投标项目的养护项目经理和养护项目现场负责人还必须具备园林绿化专业（专业以职称证书专业或毕业证书专业为准）工程师及以上职称。</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中标后，合同期内投标人如需更换项目组人员，投标人须提出书面申请并经招标人审核通过后更换或养护期内如项目组人员不能胜任养护管理工作的，招标人提出要求更换的，投标人须无条件服从更换（更换的人员不得低于招标要求）；以上每更换一人次处罚1万元，合同期内每类人员累计更换都不得超过2次；未提出书面申请，但事实已更换的，一经查实处罚2万元/次，并按要求完备更换手续。项目组人员须按时参加招标人召集的会议，否则每次按2000元/人进行处罚。以上处罚费用从当月养护费用中直接扣除。</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2、作业人员</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作业人员配备不得低于招标文件中作业人员最低数量要求。</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根据各养护合同的履约时间，每12个月内如招标人检查实际配备养护作业员数量低于招标要求养护作业人员数量50%比例两次以上的，视为投标人重大违约，在招标人处履约能力直接列为较差。20</w:t>
      </w:r>
      <w:r>
        <w:rPr>
          <w:rFonts w:hint="eastAsia" w:asciiTheme="majorEastAsia" w:hAnsiTheme="majorEastAsia" w:eastAsiaTheme="majorEastAsia" w:cstheme="majorEastAsia"/>
          <w:b w:val="0"/>
          <w:bCs w:val="0"/>
          <w:color w:val="auto"/>
          <w:sz w:val="21"/>
          <w:szCs w:val="21"/>
          <w:highlight w:val="none"/>
          <w:lang w:val="en-US" w:eastAsia="zh-CN"/>
        </w:rPr>
        <w:t xml:space="preserve">  </w:t>
      </w:r>
      <w:r>
        <w:rPr>
          <w:rFonts w:hint="eastAsia" w:asciiTheme="majorEastAsia" w:hAnsiTheme="majorEastAsia" w:eastAsiaTheme="majorEastAsia" w:cstheme="majorEastAsia"/>
          <w:b w:val="0"/>
          <w:bCs w:val="0"/>
          <w:color w:val="auto"/>
          <w:sz w:val="21"/>
          <w:szCs w:val="21"/>
          <w:highlight w:val="none"/>
          <w:lang w:eastAsia="zh-CN"/>
        </w:rPr>
        <w:t xml:space="preserve">年</w:t>
      </w:r>
      <w:r>
        <w:rPr>
          <w:rFonts w:hint="eastAsia" w:asciiTheme="majorEastAsia" w:hAnsiTheme="majorEastAsia" w:eastAsiaTheme="majorEastAsia" w:cstheme="majorEastAsia"/>
          <w:b w:val="0"/>
          <w:bCs w:val="0"/>
          <w:color w:val="auto"/>
          <w:sz w:val="21"/>
          <w:szCs w:val="21"/>
          <w:highlight w:val="none"/>
          <w:lang w:val="en-US" w:eastAsia="zh-CN"/>
        </w:rPr>
        <w:t xml:space="preserve">  </w:t>
      </w:r>
      <w:r>
        <w:rPr>
          <w:rFonts w:hint="eastAsia" w:asciiTheme="majorEastAsia" w:hAnsiTheme="majorEastAsia" w:eastAsiaTheme="majorEastAsia" w:cstheme="majorEastAsia"/>
          <w:b w:val="0"/>
          <w:bCs w:val="0"/>
          <w:color w:val="auto"/>
          <w:sz w:val="21"/>
          <w:szCs w:val="21"/>
          <w:highlight w:val="none"/>
          <w:lang w:eastAsia="zh-CN"/>
        </w:rPr>
        <w:t xml:space="preserve">月1日后，投标人的项目（包含在招标人处承担的所有项目）被招标人（或上级主管部门）点名通报两次以上（含两次）或连续三年内被招标人点名通报（或上级主管部门）三次以上（含三次），在招标人处履约能力也将列为较差。</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有下列行为的，将会被招标人（或上级主管部门）点名通报：</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（1）当投标人不按照合同履约，且招标人发出书面通知要求其整改，投标人仍不及时整改的；</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（2）招标人绿化专业技术小组开展的专业检查或考评活动中，现场失管造成管养效果特别差的；</w:t>
      </w:r>
      <w:r/>
    </w:p>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eastAsia="zh-CN"/>
        </w:rPr>
        <w:t xml:space="preserve">（3）项目质量被招标人（或上级主管部门）多次批评或项目严重失管被上级主管部门重点通报的。</w:t>
      </w:r>
      <w:r>
        <w:rPr>
          <w:rFonts w:hint="eastAsia" w:asciiTheme="majorEastAsia" w:hAnsiTheme="majorEastAsia" w:eastAsiaTheme="majorEastAsia" w:cstheme="majorEastAsia"/>
          <w:color w:val="auto"/>
          <w:sz w:val="21"/>
          <w:szCs w:val="21"/>
          <w:highlight w:val="none"/>
        </w:rPr>
        <w:t xml:space="preserve">绿色银行基地西片区</w:t>
      </w:r>
      <w:r/>
    </w:p>
    <w:tbl>
      <w:tblPr>
        <w:tblStyle w:val="932"/>
        <w:tblpPr w:horzAnchor="page" w:tblpX="1111" w:vertAnchor="text" w:tblpY="519" w:leftFromText="180" w:topFromText="0" w:rightFromText="180" w:bottomFromText="0"/>
        <w:tblW w:w="49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48"/>
        <w:gridCol w:w="775"/>
        <w:gridCol w:w="775"/>
        <w:gridCol w:w="776"/>
        <w:gridCol w:w="776"/>
        <w:gridCol w:w="780"/>
        <w:gridCol w:w="776"/>
        <w:gridCol w:w="776"/>
        <w:gridCol w:w="776"/>
        <w:gridCol w:w="776"/>
        <w:gridCol w:w="781"/>
      </w:tblGrid>
      <w:tr>
        <w:trPr>
          <w:trHeight w:val="366" w:hRule="exact"/>
        </w:trPr>
        <w:tc>
          <w:tcPr>
            <w:tcW w:w="1283"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rPr>
              <w:t xml:space="preserve">基地名称</w:t>
            </w:r>
            <w:r/>
          </w:p>
        </w:tc>
        <w:tc>
          <w:tcPr>
            <w:tcW w:w="748"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养护面积（㎡）</w:t>
            </w:r>
            <w:r/>
          </w:p>
        </w:tc>
        <w:tc>
          <w:tcPr>
            <w:gridSpan w:val="5"/>
            <w:tcW w:w="3882"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作业车辆最低要求</w:t>
            </w:r>
            <w:r/>
          </w:p>
        </w:tc>
        <w:tc>
          <w:tcPr>
            <w:gridSpan w:val="5"/>
            <w:tcW w:w="3885"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设备最低要求</w:t>
            </w:r>
            <w:r/>
          </w:p>
        </w:tc>
      </w:tr>
      <w:tr>
        <w:trPr>
          <w:trHeight w:val="1464" w:hRule="exact"/>
        </w:trPr>
        <w:tc>
          <w:tcPr>
            <w:tcW w:w="1283" w:type="dxa"/>
            <w:vAlign w:val="center"/>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48" w:type="dxa"/>
            <w:vAlign w:val="center"/>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5"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清运卡车（辆）</w:t>
            </w:r>
            <w:r/>
          </w:p>
        </w:tc>
        <w:tc>
          <w:tcPr>
            <w:tcW w:w="775"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巡视车（辆）</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水车（辆）</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登高车</w:t>
            </w:r>
            <w:r/>
          </w:p>
        </w:tc>
        <w:tc>
          <w:tcPr>
            <w:tcW w:w="780"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骑乘式草坪修剪机（台）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手推式草坪修剪机（台）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高枝锯（台）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充电式绿篱机（台）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打药一体机（台）</w:t>
            </w:r>
            <w:r/>
          </w:p>
        </w:tc>
        <w:tc>
          <w:tcPr>
            <w:tcW w:w="781"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水泵（台）</w:t>
            </w:r>
            <w:r/>
          </w:p>
        </w:tc>
      </w:tr>
      <w:tr>
        <w:trPr>
          <w:trHeight w:val="812" w:hRule="exact"/>
        </w:trPr>
        <w:tc>
          <w:tcPr>
            <w:tcW w:w="1283"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环太湖生态林</w:t>
            </w:r>
            <w:r/>
          </w:p>
        </w:tc>
        <w:tc>
          <w:tcPr>
            <w:tcW w:w="74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179822</w:t>
            </w:r>
            <w:r/>
          </w:p>
        </w:tc>
        <w:tc>
          <w:tcPr>
            <w:tcW w:w="775"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5"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1</w:t>
            </w:r>
            <w:r/>
          </w:p>
        </w:tc>
        <w:tc>
          <w:tcPr>
            <w:tcW w:w="780"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tcW w:w="781"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5</w:t>
            </w:r>
            <w:r/>
          </w:p>
        </w:tc>
      </w:tr>
      <w:tr>
        <w:trPr>
          <w:trHeight w:val="812" w:hRule="exact"/>
        </w:trPr>
        <w:tc>
          <w:tcPr>
            <w:tcW w:w="1283"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木渎基地（天池村）</w:t>
            </w:r>
            <w:r/>
          </w:p>
        </w:tc>
        <w:tc>
          <w:tcPr>
            <w:tcW w:w="74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5600</w:t>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0"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1"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r>
      <w:tr>
        <w:trPr>
          <w:trHeight w:val="833" w:hRule="exact"/>
        </w:trPr>
        <w:tc>
          <w:tcPr>
            <w:tcW w:w="1283"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胥口基地（合丰村）</w:t>
            </w:r>
            <w:r/>
          </w:p>
        </w:tc>
        <w:tc>
          <w:tcPr>
            <w:tcW w:w="74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60667</w:t>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0"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1"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r>
    </w:tbl>
    <w:p>
      <w:pPr>
        <w:pStyle w:val="927"/>
        <w:ind w:firstLine="422"/>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rPr>
        <w:t xml:space="preserve">绿色银行基地</w:t>
      </w:r>
      <w:r>
        <w:rPr>
          <w:rFonts w:hint="eastAsia" w:asciiTheme="majorEastAsia" w:hAnsiTheme="majorEastAsia" w:eastAsiaTheme="majorEastAsia" w:cstheme="majorEastAsia"/>
          <w:color w:val="auto"/>
          <w:sz w:val="21"/>
          <w:szCs w:val="21"/>
          <w:highlight w:val="none"/>
          <w:lang w:eastAsia="zh-CN"/>
        </w:rPr>
        <w:t xml:space="preserve">东</w:t>
      </w:r>
      <w:r>
        <w:rPr>
          <w:rFonts w:hint="eastAsia" w:asciiTheme="majorEastAsia" w:hAnsiTheme="majorEastAsia" w:eastAsiaTheme="majorEastAsia" w:cstheme="majorEastAsia"/>
          <w:color w:val="auto"/>
          <w:sz w:val="21"/>
          <w:szCs w:val="21"/>
          <w:highlight w:val="none"/>
        </w:rPr>
        <w:t xml:space="preserve">片区</w:t>
      </w:r>
      <w:r/>
    </w:p>
    <w:tbl>
      <w:tblPr>
        <w:tblStyle w:val="932"/>
        <w:tblpPr w:horzAnchor="page" w:tblpX="1111" w:vertAnchor="text" w:tblpY="519" w:leftFromText="180" w:topFromText="0" w:rightFromText="180" w:bottomFromText="0"/>
        <w:tblW w:w="49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48"/>
        <w:gridCol w:w="775"/>
        <w:gridCol w:w="775"/>
        <w:gridCol w:w="776"/>
        <w:gridCol w:w="776"/>
        <w:gridCol w:w="780"/>
        <w:gridCol w:w="776"/>
        <w:gridCol w:w="776"/>
        <w:gridCol w:w="776"/>
        <w:gridCol w:w="776"/>
        <w:gridCol w:w="781"/>
      </w:tblGrid>
      <w:tr>
        <w:trPr>
          <w:trHeight w:val="366" w:hRule="exact"/>
        </w:trPr>
        <w:tc>
          <w:tcPr>
            <w:tcW w:w="1283"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rPr>
              <w:t xml:space="preserve">基地名称</w:t>
            </w:r>
            <w:r/>
          </w:p>
        </w:tc>
        <w:tc>
          <w:tcPr>
            <w:tcW w:w="748"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养护面积（㎡）</w:t>
            </w:r>
            <w:r/>
          </w:p>
        </w:tc>
        <w:tc>
          <w:tcPr>
            <w:gridSpan w:val="5"/>
            <w:tcW w:w="3882"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作业车辆最低要求</w:t>
            </w:r>
            <w:r/>
          </w:p>
        </w:tc>
        <w:tc>
          <w:tcPr>
            <w:gridSpan w:val="5"/>
            <w:tcW w:w="3885"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设备最低要求</w:t>
            </w:r>
            <w:r/>
          </w:p>
        </w:tc>
      </w:tr>
      <w:tr>
        <w:trPr>
          <w:trHeight w:val="1464" w:hRule="exact"/>
        </w:trPr>
        <w:tc>
          <w:tcPr>
            <w:tcW w:w="1283" w:type="dxa"/>
            <w:vAlign w:val="center"/>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48" w:type="dxa"/>
            <w:vAlign w:val="center"/>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5"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清运卡车（辆）</w:t>
            </w:r>
            <w:r/>
          </w:p>
        </w:tc>
        <w:tc>
          <w:tcPr>
            <w:tcW w:w="775"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巡视车（辆）</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水车（辆）</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登高车</w:t>
            </w:r>
            <w:r/>
          </w:p>
        </w:tc>
        <w:tc>
          <w:tcPr>
            <w:tcW w:w="780"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骑乘式草坪修剪机（台）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手推式草坪修剪机（台）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高枝锯（台）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充电式绿篱机（台）</w:t>
            </w:r>
            <w:r/>
          </w:p>
        </w:tc>
        <w:tc>
          <w:tcPr>
            <w:tcW w:w="776"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打药一体机（台）</w:t>
            </w:r>
            <w:r/>
          </w:p>
        </w:tc>
        <w:tc>
          <w:tcPr>
            <w:tcW w:w="781" w:type="dxa"/>
            <w:vAlign w:val="top"/>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水泵（台）</w:t>
            </w:r>
            <w:r/>
          </w:p>
        </w:tc>
      </w:tr>
      <w:tr>
        <w:trPr>
          <w:trHeight w:val="812" w:hRule="exact"/>
        </w:trPr>
        <w:tc>
          <w:tcPr>
            <w:tcW w:w="1283" w:type="dxa"/>
            <w:vAlign w:val="center"/>
            <w:textDirection w:val="lrTb"/>
            <w:noWrap w:val="false"/>
          </w:tcPr>
          <w:p>
            <w:pPr>
              <w:jc w:val="center"/>
              <w:shd w:val="clear" w:color="auto" w:fill="auto"/>
              <w:rPr>
                <w:rFonts w:hint="default"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甪直基地</w:t>
            </w:r>
            <w:r/>
          </w:p>
        </w:tc>
        <w:tc>
          <w:tcPr>
            <w:tcW w:w="748" w:type="dxa"/>
            <w:vAlign w:val="center"/>
            <w:textDirection w:val="lrTb"/>
            <w:noWrap w:val="false"/>
          </w:tcPr>
          <w:p>
            <w:pPr>
              <w:jc w:val="center"/>
              <w:shd w:val="clear" w:color="auto" w:fill="auto"/>
              <w:rPr>
                <w:rFonts w:hint="default"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47220</w:t>
            </w:r>
            <w:r/>
          </w:p>
        </w:tc>
        <w:tc>
          <w:tcPr>
            <w:shd w:val="clear" w:color="auto" w:fill="auto"/>
            <w:tcW w:w="775"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5"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rPr>
              <w:t xml:space="preserve">1</w:t>
            </w:r>
            <w:r/>
          </w:p>
        </w:tc>
        <w:tc>
          <w:tcPr>
            <w:shd w:val="clear" w:color="auto" w:fill="auto"/>
            <w:tcW w:w="780"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76"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1</w:t>
            </w:r>
            <w:r/>
          </w:p>
        </w:tc>
        <w:tc>
          <w:tcPr>
            <w:shd w:val="clear" w:color="auto" w:fill="auto"/>
            <w:tcW w:w="781"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5</w:t>
            </w:r>
            <w:r/>
          </w:p>
        </w:tc>
      </w:tr>
      <w:tr>
        <w:trPr>
          <w:trHeight w:val="812" w:hRule="exact"/>
        </w:trPr>
        <w:tc>
          <w:tcPr>
            <w:tcW w:w="1283" w:type="dxa"/>
            <w:vAlign w:val="center"/>
            <w:textDirection w:val="lrTb"/>
            <w:noWrap w:val="false"/>
          </w:tcPr>
          <w:p>
            <w:pPr>
              <w:jc w:val="center"/>
              <w:shd w:val="clear" w:color="auto" w:fill="auto"/>
              <w:rPr>
                <w:rFonts w:hint="default"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郭巷基地</w:t>
            </w:r>
            <w:r/>
          </w:p>
        </w:tc>
        <w:tc>
          <w:tcPr>
            <w:tcW w:w="748" w:type="dxa"/>
            <w:vAlign w:val="center"/>
            <w:textDirection w:val="lrTb"/>
            <w:noWrap w:val="false"/>
          </w:tcPr>
          <w:p>
            <w:pPr>
              <w:jc w:val="center"/>
              <w:shd w:val="clear" w:color="auto" w:fill="auto"/>
              <w:rPr>
                <w:rFonts w:hint="default"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66667</w:t>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0"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1"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r>
      <w:tr>
        <w:trPr>
          <w:trHeight w:val="833" w:hRule="exact"/>
        </w:trPr>
        <w:tc>
          <w:tcPr>
            <w:tcW w:w="1283"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尹山节点</w:t>
            </w:r>
            <w:r/>
          </w:p>
        </w:tc>
        <w:tc>
          <w:tcPr>
            <w:tcW w:w="748" w:type="dxa"/>
            <w:vAlign w:val="center"/>
            <w:textDirection w:val="lrTb"/>
            <w:noWrap w:val="false"/>
          </w:tcPr>
          <w:p>
            <w:pPr>
              <w:jc w:val="center"/>
              <w:shd w:val="clear" w:color="auto" w:fill="auto"/>
              <w:rPr>
                <w:rFonts w:hint="default"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53308</w:t>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5"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0"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76"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781"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r>
    </w:tbl>
    <w:p>
      <w:pPr>
        <w:pStyle w:val="927"/>
        <w:ind w:firstLine="420"/>
        <w:jc w:val="both"/>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lang w:eastAsia="zh-CN"/>
        </w:rPr>
        <w:t xml:space="preserve">3、作业车辆、设备最低配置要求</w:t>
      </w:r>
      <w:r/>
    </w:p>
    <w:p>
      <w:pPr>
        <w:ind w:firstLine="420"/>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lang w:val="en-US" w:eastAsia="zh-CN"/>
        </w:rPr>
        <w:t xml:space="preserve">3.</w:t>
      </w:r>
      <w:r>
        <w:rPr>
          <w:rFonts w:hint="eastAsia" w:asciiTheme="majorEastAsia" w:hAnsiTheme="majorEastAsia" w:eastAsiaTheme="majorEastAsia" w:cstheme="majorEastAsia"/>
          <w:b w:val="0"/>
          <w:bCs w:val="0"/>
          <w:color w:val="auto"/>
          <w:sz w:val="21"/>
          <w:szCs w:val="21"/>
          <w:highlight w:val="none"/>
        </w:rPr>
        <w:t xml:space="preserve">1、登高车：车辆类型为专项作业车；水车：车辆类型为专项作业车，核定载质量≥4.0吨；清运卡车：车辆类型为货车，核定载质量≥1.</w:t>
      </w:r>
      <w:r>
        <w:rPr>
          <w:rFonts w:hint="eastAsia" w:asciiTheme="majorEastAsia" w:hAnsiTheme="majorEastAsia" w:eastAsiaTheme="majorEastAsia" w:cstheme="majorEastAsia"/>
          <w:b w:val="0"/>
          <w:bCs w:val="0"/>
          <w:color w:val="auto"/>
          <w:sz w:val="21"/>
          <w:szCs w:val="21"/>
          <w:highlight w:val="none"/>
          <w:lang w:val="en-US" w:eastAsia="zh-CN"/>
        </w:rPr>
        <w:t xml:space="preserve">6</w:t>
      </w:r>
      <w:r>
        <w:rPr>
          <w:rFonts w:hint="eastAsia" w:asciiTheme="majorEastAsia" w:hAnsiTheme="majorEastAsia" w:eastAsiaTheme="majorEastAsia" w:cstheme="majorEastAsia"/>
          <w:b w:val="0"/>
          <w:bCs w:val="0"/>
          <w:color w:val="auto"/>
          <w:sz w:val="21"/>
          <w:szCs w:val="21"/>
          <w:highlight w:val="none"/>
        </w:rPr>
        <w:t xml:space="preserve">吨；巡视车：车辆类型为轻型普通货车，五座双排座皮卡。</w:t>
      </w:r>
      <w:r/>
    </w:p>
    <w:p>
      <w:pPr>
        <w:ind w:firstLine="420"/>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lang w:val="en-US" w:eastAsia="zh-CN"/>
        </w:rPr>
        <w:t xml:space="preserve">3.</w:t>
      </w:r>
      <w:r>
        <w:rPr>
          <w:rFonts w:hint="eastAsia" w:asciiTheme="majorEastAsia" w:hAnsiTheme="majorEastAsia" w:eastAsiaTheme="majorEastAsia" w:cstheme="majorEastAsia"/>
          <w:b w:val="0"/>
          <w:bCs w:val="0"/>
          <w:color w:val="auto"/>
          <w:sz w:val="21"/>
          <w:szCs w:val="21"/>
          <w:highlight w:val="none"/>
        </w:rPr>
        <w:t xml:space="preserve">2、招标要求配备的水车，每辆需配置2寸泵2台或三寸泵一台，且此水泵数量不包含在招标标段要求配备的水泵数量之内</w:t>
      </w:r>
      <w:r/>
    </w:p>
    <w:p>
      <w:pPr>
        <w:ind w:firstLine="420"/>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lang w:val="en-US" w:eastAsia="zh-CN"/>
        </w:rPr>
        <w:t xml:space="preserve">3.</w:t>
      </w:r>
      <w:r>
        <w:rPr>
          <w:rFonts w:hint="eastAsia" w:asciiTheme="majorEastAsia" w:hAnsiTheme="majorEastAsia" w:eastAsiaTheme="majorEastAsia" w:cstheme="majorEastAsia"/>
          <w:b w:val="0"/>
          <w:bCs w:val="0"/>
          <w:color w:val="auto"/>
          <w:sz w:val="21"/>
          <w:szCs w:val="21"/>
          <w:highlight w:val="none"/>
        </w:rPr>
        <w:t xml:space="preserve">3、充电式绿篱机要求功率600及以上绿篱机，锂电，且每台配备电池不少于2块。</w:t>
      </w:r>
      <w:r/>
    </w:p>
    <w:p>
      <w:pPr>
        <w:ind w:firstLine="420"/>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lang w:val="en-US" w:eastAsia="zh-CN"/>
        </w:rPr>
        <w:t xml:space="preserve">3.</w:t>
      </w:r>
      <w:r>
        <w:rPr>
          <w:rFonts w:hint="eastAsia" w:asciiTheme="majorEastAsia" w:hAnsiTheme="majorEastAsia" w:eastAsiaTheme="majorEastAsia" w:cstheme="majorEastAsia"/>
          <w:b w:val="0"/>
          <w:bCs w:val="0"/>
          <w:color w:val="auto"/>
          <w:sz w:val="21"/>
          <w:szCs w:val="21"/>
          <w:highlight w:val="none"/>
        </w:rPr>
        <w:t xml:space="preserve">4、其他设备要求：交通安全锥桶40个、折叠式伸缩护栏（高95—130cm，两种式样各10片）、绿化养护作业安全提示牌（10片）、高空作业安全带（40条）、背负式吹风机（3台）。</w:t>
      </w:r>
      <w:r/>
    </w:p>
    <w:p>
      <w:pPr>
        <w:ind w:firstLine="514"/>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4、作业人员配置最低要求数量</w:t>
      </w:r>
      <w:r/>
    </w:p>
    <w:p>
      <w:pPr>
        <w:pStyle w:val="924"/>
        <w:ind w:left="0" w:firstLine="210"/>
        <w:rPr>
          <w:rFonts w:hint="default" w:eastAsiaTheme="majorEastAsia"/>
          <w:color w:val="auto"/>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 xml:space="preserve">4.1</w:t>
      </w:r>
      <w:r>
        <w:rPr>
          <w:rFonts w:hint="eastAsia" w:asciiTheme="majorEastAsia" w:hAnsiTheme="majorEastAsia" w:eastAsiaTheme="majorEastAsia" w:cstheme="majorEastAsia"/>
          <w:color w:val="auto"/>
          <w:sz w:val="21"/>
          <w:szCs w:val="21"/>
          <w:highlight w:val="none"/>
        </w:rPr>
        <w:t xml:space="preserve">绿色银行基地西片区</w:t>
      </w:r>
      <w:r/>
    </w:p>
    <w:tbl>
      <w:tblPr>
        <w:tblStyle w:val="921"/>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1212"/>
        <w:gridCol w:w="1746"/>
        <w:gridCol w:w="1088"/>
        <w:gridCol w:w="1010"/>
        <w:gridCol w:w="1534"/>
        <w:gridCol w:w="1494"/>
      </w:tblGrid>
      <w:tr>
        <w:trPr>
          <w:jc w:val="center"/>
          <w:trHeight w:val="405"/>
        </w:trPr>
        <w:tc>
          <w:tcPr>
            <w:tcW w:w="1635"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基地名称</w:t>
            </w:r>
            <w:r/>
          </w:p>
        </w:tc>
        <w:tc>
          <w:tcPr>
            <w:gridSpan w:val="4"/>
            <w:tcW w:w="505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项目组人员</w:t>
            </w:r>
            <w:r/>
          </w:p>
        </w:tc>
        <w:tc>
          <w:tcPr>
            <w:tcW w:w="1534"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车辆驾驶员配备要求</w:t>
            </w:r>
            <w:r/>
          </w:p>
        </w:tc>
        <w:tc>
          <w:tcPr>
            <w:tcW w:w="1494"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作业人员配备最低要求</w:t>
            </w:r>
            <w:r/>
          </w:p>
        </w:tc>
      </w:tr>
      <w:tr>
        <w:trPr>
          <w:jc w:val="center"/>
          <w:trHeight w:val="766"/>
        </w:trPr>
        <w:tc>
          <w:tcPr>
            <w:tcW w:w="1635"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1212"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养护项目经理</w:t>
            </w:r>
            <w:r/>
          </w:p>
        </w:tc>
        <w:tc>
          <w:tcPr>
            <w:tcW w:w="174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养护项目现场负责人</w:t>
            </w:r>
            <w:r/>
          </w:p>
        </w:tc>
        <w:tc>
          <w:tcPr>
            <w:tcW w:w="108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植保巡视员</w:t>
            </w:r>
            <w:r/>
          </w:p>
        </w:tc>
        <w:tc>
          <w:tcPr>
            <w:tcW w:w="1010"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资料员</w:t>
            </w:r>
            <w:r/>
          </w:p>
        </w:tc>
        <w:tc>
          <w:tcPr>
            <w:tcW w:w="1534"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1494" w:type="dxa"/>
            <w:vAlign w:val="top"/>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r>
      <w:tr>
        <w:trPr>
          <w:jc w:val="center"/>
          <w:trHeight w:val="523"/>
        </w:trPr>
        <w:tc>
          <w:tcPr>
            <w:tcW w:w="1635" w:type="dxa"/>
            <w:vAlign w:val="center"/>
            <w:textDirection w:val="lrTb"/>
            <w:noWrap w:val="false"/>
          </w:tcPr>
          <w:p>
            <w:pPr>
              <w:jc w:val="cente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环太湖生态林</w:t>
            </w:r>
            <w:r/>
          </w:p>
        </w:tc>
        <w:tc>
          <w:tcPr>
            <w:tcW w:w="1212"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w:t>
            </w:r>
            <w:r/>
          </w:p>
        </w:tc>
        <w:tc>
          <w:tcPr>
            <w:tcW w:w="1746"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tcW w:w="1088"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w:t>
            </w:r>
            <w:r/>
          </w:p>
        </w:tc>
        <w:tc>
          <w:tcPr>
            <w:tcW w:w="1010"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tcW w:w="1534" w:type="dxa"/>
            <w:vAlign w:val="center"/>
            <w:vMerge w:val="restart"/>
            <w:textDirection w:val="lrTb"/>
            <w:noWrap w:val="false"/>
          </w:tcPr>
          <w:p>
            <w:pPr>
              <w:jc w:val="center"/>
              <w:spacing w:line="360" w:lineRule="auto"/>
              <w:shd w:val="clear" w:color="auto" w:fill="auto"/>
              <w:rPr>
                <w:rFonts w:hint="default" w:asciiTheme="majorEastAsia" w:hAnsiTheme="majorEastAsia" w:eastAsiaTheme="majorEastAsia" w:cstheme="majorEastAsia"/>
                <w:b/>
                <w:color w:val="auto"/>
                <w:sz w:val="21"/>
                <w:szCs w:val="21"/>
                <w:highlight w:val="none"/>
                <w:lang w:val="en-US" w:eastAsia="zh-CN"/>
              </w:rPr>
            </w:pPr>
            <w:r>
              <w:rPr>
                <w:rFonts w:hint="eastAsia" w:asciiTheme="majorEastAsia" w:hAnsiTheme="majorEastAsia" w:eastAsiaTheme="majorEastAsia" w:cstheme="majorEastAsia"/>
                <w:b/>
                <w:color w:val="auto"/>
                <w:sz w:val="21"/>
                <w:szCs w:val="21"/>
                <w:highlight w:val="none"/>
                <w:lang w:val="en-US" w:eastAsia="zh-CN"/>
              </w:rPr>
              <w:t xml:space="preserve">2</w:t>
            </w:r>
            <w:r/>
          </w:p>
        </w:tc>
        <w:tc>
          <w:tcPr>
            <w:tcW w:w="1494"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rPr>
            </w:pPr>
            <w:r>
              <w:rPr>
                <w:rFonts w:hint="eastAsia" w:asciiTheme="majorEastAsia" w:hAnsiTheme="majorEastAsia" w:eastAsiaTheme="majorEastAsia" w:cstheme="majorEastAsia"/>
                <w:b/>
                <w:color w:val="auto"/>
                <w:sz w:val="21"/>
                <w:szCs w:val="21"/>
                <w:highlight w:val="none"/>
                <w:lang w:val="en-US" w:eastAsia="zh-CN"/>
              </w:rPr>
              <w:t xml:space="preserve">5</w:t>
            </w:r>
            <w:r/>
          </w:p>
        </w:tc>
      </w:tr>
      <w:tr>
        <w:trPr>
          <w:jc w:val="center"/>
          <w:trHeight w:val="523"/>
        </w:trPr>
        <w:tc>
          <w:tcPr>
            <w:tcW w:w="1635" w:type="dxa"/>
            <w:vAlign w:val="center"/>
            <w:textDirection w:val="lrTb"/>
            <w:noWrap w:val="false"/>
          </w:tcPr>
          <w:p>
            <w:pPr>
              <w:jc w:val="cente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木渎基地（天池村）</w:t>
            </w:r>
            <w:r/>
          </w:p>
        </w:tc>
        <w:tc>
          <w:tcPr>
            <w:tcW w:w="1212"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746"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88"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10"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534"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494" w:type="dxa"/>
            <w:vAlign w:val="center"/>
            <w:vMerge w:val="continue"/>
            <w:textDirection w:val="lrTb"/>
            <w:noWrap w:val="false"/>
          </w:tcPr>
          <w:p>
            <w:pP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r>
      <w:tr>
        <w:trPr>
          <w:jc w:val="center"/>
          <w:trHeight w:val="523"/>
        </w:trPr>
        <w:tc>
          <w:tcPr>
            <w:tcW w:w="1635" w:type="dxa"/>
            <w:vAlign w:val="center"/>
            <w:textDirection w:val="lrTb"/>
            <w:noWrap w:val="false"/>
          </w:tcPr>
          <w:p>
            <w:pPr>
              <w:jc w:val="cente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胥口基地（合丰村）</w:t>
            </w:r>
            <w:r/>
          </w:p>
        </w:tc>
        <w:tc>
          <w:tcPr>
            <w:tcW w:w="1212"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746"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88"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10"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534"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494"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r>
      <w:tr>
        <w:trPr>
          <w:jc w:val="center"/>
          <w:trHeight w:val="436"/>
        </w:trPr>
        <w:tc>
          <w:tcPr>
            <w:tcW w:w="1635"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rPr>
            </w:pPr>
            <w:r>
              <w:rPr>
                <w:rFonts w:hint="eastAsia" w:asciiTheme="majorEastAsia" w:hAnsiTheme="majorEastAsia" w:eastAsiaTheme="majorEastAsia" w:cstheme="majorEastAsia"/>
                <w:b/>
                <w:color w:val="auto"/>
                <w:sz w:val="21"/>
                <w:szCs w:val="21"/>
                <w:highlight w:val="none"/>
                <w:lang w:val="en-US" w:eastAsia="zh-CN"/>
              </w:rPr>
              <w:t xml:space="preserve">合计</w:t>
            </w:r>
            <w:r/>
          </w:p>
        </w:tc>
        <w:tc>
          <w:tcPr>
            <w:tcW w:w="1212"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w:t>
            </w:r>
            <w:r/>
          </w:p>
        </w:tc>
        <w:tc>
          <w:tcPr>
            <w:tcW w:w="1746"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tcW w:w="1088"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w:t>
            </w:r>
            <w:r/>
          </w:p>
        </w:tc>
        <w:tc>
          <w:tcPr>
            <w:tcW w:w="1010"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tcW w:w="1534"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val="en-US" w:eastAsia="zh-CN"/>
              </w:rPr>
              <w:t xml:space="preserve">2</w:t>
            </w:r>
            <w:r/>
          </w:p>
        </w:tc>
        <w:tc>
          <w:tcPr>
            <w:tcW w:w="1494"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r>
    </w:tbl>
    <w:p>
      <w:pPr>
        <w:pStyle w:val="924"/>
        <w:ind w:left="0" w:firstLine="210"/>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lang w:val="en-US" w:eastAsia="zh-CN"/>
        </w:rPr>
        <w:t xml:space="preserve">4.2</w:t>
      </w:r>
      <w:r>
        <w:rPr>
          <w:rFonts w:hint="eastAsia" w:asciiTheme="majorEastAsia" w:hAnsiTheme="majorEastAsia" w:eastAsiaTheme="majorEastAsia" w:cstheme="majorEastAsia"/>
          <w:color w:val="auto"/>
          <w:sz w:val="21"/>
          <w:szCs w:val="21"/>
          <w:highlight w:val="none"/>
        </w:rPr>
        <w:t xml:space="preserve">绿色银行基地</w:t>
      </w:r>
      <w:r>
        <w:rPr>
          <w:rFonts w:hint="eastAsia" w:asciiTheme="majorEastAsia" w:hAnsiTheme="majorEastAsia" w:eastAsiaTheme="majorEastAsia" w:cstheme="majorEastAsia"/>
          <w:color w:val="auto"/>
          <w:sz w:val="21"/>
          <w:szCs w:val="21"/>
          <w:highlight w:val="none"/>
          <w:lang w:eastAsia="zh-CN"/>
        </w:rPr>
        <w:t xml:space="preserve">东</w:t>
      </w:r>
      <w:r>
        <w:rPr>
          <w:rFonts w:hint="eastAsia" w:asciiTheme="majorEastAsia" w:hAnsiTheme="majorEastAsia" w:eastAsiaTheme="majorEastAsia" w:cstheme="majorEastAsia"/>
          <w:color w:val="auto"/>
          <w:sz w:val="21"/>
          <w:szCs w:val="21"/>
          <w:highlight w:val="none"/>
        </w:rPr>
        <w:t xml:space="preserve">片区</w:t>
      </w:r>
      <w:r/>
    </w:p>
    <w:tbl>
      <w:tblPr>
        <w:tblStyle w:val="921"/>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1212"/>
        <w:gridCol w:w="1746"/>
        <w:gridCol w:w="1088"/>
        <w:gridCol w:w="1010"/>
        <w:gridCol w:w="1534"/>
        <w:gridCol w:w="1494"/>
      </w:tblGrid>
      <w:tr>
        <w:trPr>
          <w:jc w:val="center"/>
          <w:trHeight w:val="405"/>
        </w:trPr>
        <w:tc>
          <w:tcPr>
            <w:tcW w:w="1635"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基地名称</w:t>
            </w:r>
            <w:r/>
          </w:p>
        </w:tc>
        <w:tc>
          <w:tcPr>
            <w:gridSpan w:val="4"/>
            <w:tcW w:w="505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项目组人员</w:t>
            </w:r>
            <w:r/>
          </w:p>
        </w:tc>
        <w:tc>
          <w:tcPr>
            <w:tcW w:w="1534"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车辆驾驶员配备要求</w:t>
            </w:r>
            <w:r/>
          </w:p>
        </w:tc>
        <w:tc>
          <w:tcPr>
            <w:tcW w:w="1494"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作业人员配备最低要求</w:t>
            </w:r>
            <w:r/>
          </w:p>
        </w:tc>
      </w:tr>
      <w:tr>
        <w:trPr>
          <w:jc w:val="center"/>
          <w:trHeight w:val="766"/>
        </w:trPr>
        <w:tc>
          <w:tcPr>
            <w:tcW w:w="1635"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1212"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养护项目经理</w:t>
            </w:r>
            <w:r/>
          </w:p>
        </w:tc>
        <w:tc>
          <w:tcPr>
            <w:tcW w:w="174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养护项目现场负责人</w:t>
            </w:r>
            <w:r/>
          </w:p>
        </w:tc>
        <w:tc>
          <w:tcPr>
            <w:tcW w:w="108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植保巡视员</w:t>
            </w:r>
            <w:r/>
          </w:p>
        </w:tc>
        <w:tc>
          <w:tcPr>
            <w:tcW w:w="1010"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t xml:space="preserve">资料员</w:t>
            </w:r>
            <w:r/>
          </w:p>
        </w:tc>
        <w:tc>
          <w:tcPr>
            <w:tcW w:w="1534" w:type="dxa"/>
            <w:vAlign w:val="top"/>
            <w:vMerge w:val="continue"/>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c>
          <w:tcPr>
            <w:tcW w:w="1494" w:type="dxa"/>
            <w:vAlign w:val="top"/>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 w:val="21"/>
                <w:szCs w:val="21"/>
                <w:highlight w:val="none"/>
              </w:rPr>
            </w:r>
            <w:r/>
          </w:p>
        </w:tc>
      </w:tr>
      <w:tr>
        <w:trPr>
          <w:jc w:val="center"/>
          <w:trHeight w:val="523"/>
        </w:trPr>
        <w:tc>
          <w:tcPr>
            <w:shd w:val="clear" w:color="auto" w:fill="auto"/>
            <w:tcW w:w="1635"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甪直基地</w:t>
            </w:r>
            <w:r/>
          </w:p>
        </w:tc>
        <w:tc>
          <w:tcPr>
            <w:shd w:val="clear" w:color="auto" w:fill="auto"/>
            <w:tcW w:w="1212"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rPr>
              <w:t xml:space="preserve">1</w:t>
            </w:r>
            <w:r/>
          </w:p>
        </w:tc>
        <w:tc>
          <w:tcPr>
            <w:shd w:val="clear" w:color="auto" w:fill="auto"/>
            <w:tcW w:w="1746"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shd w:val="clear" w:color="auto" w:fill="auto"/>
            <w:tcW w:w="1088"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rPr>
              <w:t xml:space="preserve">1</w:t>
            </w:r>
            <w:r/>
          </w:p>
        </w:tc>
        <w:tc>
          <w:tcPr>
            <w:shd w:val="clear" w:color="auto" w:fill="auto"/>
            <w:tcW w:w="1010"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shd w:val="clear" w:color="auto" w:fill="auto"/>
            <w:tcW w:w="1534"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2</w:t>
            </w:r>
            <w:r/>
          </w:p>
        </w:tc>
        <w:tc>
          <w:tcPr>
            <w:shd w:val="clear" w:color="auto" w:fill="auto"/>
            <w:tcW w:w="1494" w:type="dxa"/>
            <w:vAlign w:val="center"/>
            <w:vMerge w:val="restart"/>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2</w:t>
            </w:r>
            <w:r/>
          </w:p>
        </w:tc>
      </w:tr>
      <w:tr>
        <w:trPr>
          <w:jc w:val="center"/>
          <w:trHeight w:val="523"/>
        </w:trPr>
        <w:tc>
          <w:tcPr>
            <w:shd w:val="clear" w:color="auto" w:fill="auto"/>
            <w:tcW w:w="1635"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郭巷基地</w:t>
            </w:r>
            <w:r/>
          </w:p>
        </w:tc>
        <w:tc>
          <w:tcPr>
            <w:tcW w:w="1212"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746"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88"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10"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534"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494" w:type="dxa"/>
            <w:vAlign w:val="center"/>
            <w:vMerge w:val="continue"/>
            <w:textDirection w:val="lrTb"/>
            <w:noWrap w:val="false"/>
          </w:tcPr>
          <w:p>
            <w:pP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r>
      <w:tr>
        <w:trPr>
          <w:jc w:val="center"/>
          <w:trHeight w:val="523"/>
        </w:trPr>
        <w:tc>
          <w:tcPr>
            <w:shd w:val="clear" w:color="auto" w:fill="auto"/>
            <w:tcW w:w="1635"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尹山节点</w:t>
            </w:r>
            <w:r/>
          </w:p>
        </w:tc>
        <w:tc>
          <w:tcPr>
            <w:tcW w:w="1212"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746"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88"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010"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534"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c>
          <w:tcPr>
            <w:tcW w:w="1494" w:type="dxa"/>
            <w:vAlign w:val="center"/>
            <w:vMerge w:val="continue"/>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tc>
      </w:tr>
      <w:tr>
        <w:trPr>
          <w:jc w:val="center"/>
          <w:trHeight w:val="436"/>
        </w:trPr>
        <w:tc>
          <w:tcPr>
            <w:tcW w:w="1635"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rPr>
            </w:pPr>
            <w:r>
              <w:rPr>
                <w:rFonts w:hint="eastAsia" w:asciiTheme="majorEastAsia" w:hAnsiTheme="majorEastAsia" w:eastAsiaTheme="majorEastAsia" w:cstheme="majorEastAsia"/>
                <w:b/>
                <w:color w:val="auto"/>
                <w:sz w:val="21"/>
                <w:szCs w:val="21"/>
                <w:highlight w:val="none"/>
                <w:lang w:val="en-US" w:eastAsia="zh-CN"/>
              </w:rPr>
              <w:t xml:space="preserve">合计</w:t>
            </w:r>
            <w:r/>
          </w:p>
        </w:tc>
        <w:tc>
          <w:tcPr>
            <w:shd w:val="clear" w:color="auto" w:fill="auto"/>
            <w:tcW w:w="1212"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rPr>
              <w:t xml:space="preserve">1</w:t>
            </w:r>
            <w:r/>
          </w:p>
        </w:tc>
        <w:tc>
          <w:tcPr>
            <w:shd w:val="clear" w:color="auto" w:fill="auto"/>
            <w:tcW w:w="1746"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shd w:val="clear" w:color="auto" w:fill="auto"/>
            <w:tcW w:w="1088"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rPr>
              <w:t xml:space="preserve">1</w:t>
            </w:r>
            <w:r/>
          </w:p>
        </w:tc>
        <w:tc>
          <w:tcPr>
            <w:shd w:val="clear" w:color="auto" w:fill="auto"/>
            <w:tcW w:w="1010"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1</w:t>
            </w:r>
            <w:r/>
          </w:p>
        </w:tc>
        <w:tc>
          <w:tcPr>
            <w:shd w:val="clear" w:color="auto" w:fill="auto"/>
            <w:tcW w:w="1534"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2</w:t>
            </w:r>
            <w:r/>
          </w:p>
        </w:tc>
        <w:tc>
          <w:tcPr>
            <w:shd w:val="clear" w:color="auto" w:fill="auto"/>
            <w:tcW w:w="1494"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lang w:val="en-US" w:eastAsia="zh-CN" w:bidi="ar-SA"/>
              </w:rPr>
            </w:pPr>
            <w:r>
              <w:rPr>
                <w:rFonts w:hint="eastAsia" w:asciiTheme="majorEastAsia" w:hAnsiTheme="majorEastAsia" w:eastAsiaTheme="majorEastAsia" w:cstheme="majorEastAsia"/>
                <w:b/>
                <w:color w:val="auto"/>
                <w:sz w:val="21"/>
                <w:szCs w:val="21"/>
                <w:highlight w:val="none"/>
                <w:lang w:val="en-US" w:eastAsia="zh-CN"/>
              </w:rPr>
              <w:t xml:space="preserve">2</w:t>
            </w:r>
            <w:r/>
          </w:p>
        </w:tc>
      </w:tr>
    </w:tbl>
    <w:p>
      <w:pPr>
        <w:pStyle w:val="924"/>
        <w:ind w:left="0" w:firstLine="0"/>
        <w:rPr>
          <w:rFonts w:hint="eastAsia"/>
          <w:color w:val="auto"/>
          <w:highlight w:val="none"/>
        </w:rPr>
      </w:pPr>
      <w:r>
        <w:rPr>
          <w:rFonts w:hint="eastAsia"/>
          <w:color w:val="auto"/>
          <w:highlight w:val="none"/>
        </w:rPr>
      </w:r>
      <w:r/>
    </w:p>
    <w:p>
      <w:pPr>
        <w:ind w:firstLine="422"/>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注：项目组人员、驾驶员和作业人员不能互相兼职。</w:t>
      </w:r>
      <w:r/>
    </w:p>
    <w:p>
      <w:pPr>
        <w:pStyle w:val="933"/>
        <w:shd w:val="clear" w:color="auto" w:fill="auto"/>
        <w:rPr>
          <w:rFonts w:hint="eastAsia" w:asciiTheme="majorEastAsia" w:hAnsiTheme="majorEastAsia" w:eastAsiaTheme="majorEastAsia" w:cstheme="majorEastAsia"/>
          <w:b/>
          <w:bCs/>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lang w:val="en-US" w:eastAsia="zh-CN"/>
        </w:rPr>
        <w:t xml:space="preserve">（二）养护清单：</w:t>
      </w:r>
      <w:r/>
    </w:p>
    <w:tbl>
      <w:tblPr>
        <w:tblStyle w:val="932"/>
        <w:tblW w:w="100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2658"/>
        <w:gridCol w:w="2984"/>
        <w:gridCol w:w="3086"/>
      </w:tblGrid>
      <w:tr>
        <w:trPr>
          <w:trHeight w:val="974"/>
        </w:trPr>
        <w:tc>
          <w:tcPr>
            <w:tcW w:w="1290"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绿色银行基地西片区</w:t>
            </w:r>
            <w:r/>
          </w:p>
        </w:tc>
        <w:tc>
          <w:tcPr>
            <w:tcW w:w="2658"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基地名称</w:t>
            </w:r>
            <w:r/>
          </w:p>
        </w:tc>
        <w:tc>
          <w:tcPr>
            <w:tcW w:w="2984"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养护总月数</w:t>
            </w:r>
            <w:r/>
          </w:p>
        </w:tc>
        <w:tc>
          <w:tcPr>
            <w:tcW w:w="3086"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养护面积（㎡）</w:t>
            </w:r>
            <w:r/>
          </w:p>
        </w:tc>
      </w:tr>
      <w:tr>
        <w:trPr>
          <w:trHeight w:val="401"/>
        </w:trPr>
        <w:tc>
          <w:tcPr>
            <w:tcW w:w="1290" w:type="dxa"/>
            <w:vAlign w:val="top"/>
            <w:vMerge w:val="continue"/>
            <w:textDirection w:val="lrTb"/>
            <w:noWrap w:val="false"/>
          </w:tcPr>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W w:w="2658"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环太湖生态林</w:t>
            </w:r>
            <w:r/>
          </w:p>
        </w:tc>
        <w:tc>
          <w:tcPr>
            <w:tcW w:w="2984"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36</w:t>
            </w:r>
            <w:r/>
          </w:p>
        </w:tc>
        <w:tc>
          <w:tcPr>
            <w:shd w:val="clear" w:color="auto" w:fill="auto"/>
            <w:tcW w:w="3086"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179822</w:t>
            </w:r>
            <w:r/>
          </w:p>
        </w:tc>
      </w:tr>
      <w:tr>
        <w:trPr>
          <w:trHeight w:val="592"/>
        </w:trPr>
        <w:tc>
          <w:tcPr>
            <w:tcW w:w="1290" w:type="dxa"/>
            <w:vAlign w:val="top"/>
            <w:vMerge w:val="continue"/>
            <w:textDirection w:val="lrTb"/>
            <w:noWrap w:val="false"/>
          </w:tcPr>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W w:w="2658"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木渎基地（天池村）</w:t>
            </w:r>
            <w:r/>
          </w:p>
        </w:tc>
        <w:tc>
          <w:tcPr>
            <w:tcW w:w="2984"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36</w:t>
            </w:r>
            <w:r/>
          </w:p>
        </w:tc>
        <w:tc>
          <w:tcPr>
            <w:shd w:val="clear" w:color="auto" w:fill="auto"/>
            <w:tcW w:w="3086"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5600</w:t>
            </w:r>
            <w:r/>
          </w:p>
        </w:tc>
      </w:tr>
      <w:tr>
        <w:trPr>
          <w:trHeight w:val="611"/>
        </w:trPr>
        <w:tc>
          <w:tcPr>
            <w:tcW w:w="1290" w:type="dxa"/>
            <w:vAlign w:val="top"/>
            <w:vMerge w:val="continue"/>
            <w:textDirection w:val="lrTb"/>
            <w:noWrap w:val="false"/>
          </w:tcPr>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W w:w="2658"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胥口基地（合丰村）</w:t>
            </w:r>
            <w:r/>
          </w:p>
        </w:tc>
        <w:tc>
          <w:tcPr>
            <w:tcW w:w="2984" w:type="dxa"/>
            <w:vAlign w:val="center"/>
            <w:textDirection w:val="lrTb"/>
            <w:noWrap w:val="false"/>
          </w:tcPr>
          <w:p>
            <w:pPr>
              <w:jc w:val="center"/>
              <w:shd w:val="clear" w:color="auto" w:fill="auto"/>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36</w:t>
            </w:r>
            <w:r/>
          </w:p>
        </w:tc>
        <w:tc>
          <w:tcPr>
            <w:shd w:val="clear" w:color="auto" w:fill="auto"/>
            <w:tcW w:w="3086"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60667</w:t>
            </w:r>
            <w:r/>
          </w:p>
        </w:tc>
      </w:tr>
    </w:tbl>
    <w:p>
      <w:pPr>
        <w:shd w:val="clear" w:color="auto" w:fil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r>
      <w:r/>
    </w:p>
    <w:tbl>
      <w:tblPr>
        <w:tblStyle w:val="932"/>
        <w:tblW w:w="100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2658"/>
        <w:gridCol w:w="2984"/>
        <w:gridCol w:w="3086"/>
      </w:tblGrid>
      <w:tr>
        <w:trPr>
          <w:trHeight w:val="974"/>
        </w:trPr>
        <w:tc>
          <w:tcPr>
            <w:tcW w:w="1290" w:type="dxa"/>
            <w:vAlign w:val="center"/>
            <w:vMerge w:val="restart"/>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绿色银行基地</w:t>
            </w:r>
            <w:r>
              <w:rPr>
                <w:rFonts w:hint="eastAsia" w:asciiTheme="majorEastAsia" w:hAnsiTheme="majorEastAsia" w:eastAsiaTheme="majorEastAsia" w:cstheme="majorEastAsia"/>
                <w:color w:val="auto"/>
                <w:sz w:val="21"/>
                <w:szCs w:val="21"/>
                <w:highlight w:val="none"/>
                <w:lang w:eastAsia="zh-CN"/>
              </w:rPr>
              <w:t xml:space="preserve">东</w:t>
            </w:r>
            <w:r>
              <w:rPr>
                <w:rFonts w:hint="eastAsia" w:asciiTheme="majorEastAsia" w:hAnsiTheme="majorEastAsia" w:eastAsiaTheme="majorEastAsia" w:cstheme="majorEastAsia"/>
                <w:color w:val="auto"/>
                <w:sz w:val="21"/>
                <w:szCs w:val="21"/>
                <w:highlight w:val="none"/>
              </w:rPr>
              <w:t xml:space="preserve">片区</w:t>
            </w:r>
            <w:r/>
          </w:p>
        </w:tc>
        <w:tc>
          <w:tcPr>
            <w:tcW w:w="2658"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基地名称</w:t>
            </w:r>
            <w:r/>
          </w:p>
        </w:tc>
        <w:tc>
          <w:tcPr>
            <w:tcW w:w="2984"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养护总月数</w:t>
            </w:r>
            <w:r/>
          </w:p>
        </w:tc>
        <w:tc>
          <w:tcPr>
            <w:tcW w:w="3086"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养护面积（㎡）</w:t>
            </w:r>
            <w:r/>
          </w:p>
        </w:tc>
      </w:tr>
      <w:tr>
        <w:trPr>
          <w:trHeight w:val="401"/>
        </w:trPr>
        <w:tc>
          <w:tcPr>
            <w:tcW w:w="1290" w:type="dxa"/>
            <w:vAlign w:val="top"/>
            <w:vMerge w:val="continue"/>
            <w:textDirection w:val="lrTb"/>
            <w:noWrap w:val="false"/>
          </w:tcPr>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shd w:val="clear" w:color="auto" w:fill="auto"/>
            <w:tcW w:w="265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甪直基地</w:t>
            </w:r>
            <w:r/>
          </w:p>
        </w:tc>
        <w:tc>
          <w:tcPr>
            <w:tcW w:w="2984"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36</w:t>
            </w:r>
            <w:r/>
          </w:p>
        </w:tc>
        <w:tc>
          <w:tcPr>
            <w:shd w:val="clear" w:color="auto" w:fill="auto"/>
            <w:tcW w:w="308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47220</w:t>
            </w:r>
            <w:r/>
          </w:p>
        </w:tc>
      </w:tr>
      <w:tr>
        <w:trPr>
          <w:trHeight w:val="592"/>
        </w:trPr>
        <w:tc>
          <w:tcPr>
            <w:tcW w:w="1290" w:type="dxa"/>
            <w:vAlign w:val="top"/>
            <w:vMerge w:val="continue"/>
            <w:textDirection w:val="lrTb"/>
            <w:noWrap w:val="false"/>
          </w:tcPr>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shd w:val="clear" w:color="auto" w:fill="auto"/>
            <w:tcW w:w="265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郭巷基地</w:t>
            </w:r>
            <w:r/>
          </w:p>
        </w:tc>
        <w:tc>
          <w:tcPr>
            <w:tcW w:w="2984"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36</w:t>
            </w:r>
            <w:r/>
          </w:p>
        </w:tc>
        <w:tc>
          <w:tcPr>
            <w:shd w:val="clear" w:color="auto" w:fill="auto"/>
            <w:tcW w:w="308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66667</w:t>
            </w:r>
            <w:r/>
          </w:p>
        </w:tc>
      </w:tr>
      <w:tr>
        <w:trPr>
          <w:trHeight w:val="611"/>
        </w:trPr>
        <w:tc>
          <w:tcPr>
            <w:tcW w:w="1290" w:type="dxa"/>
            <w:vAlign w:val="top"/>
            <w:vMerge w:val="continue"/>
            <w:textDirection w:val="lrTb"/>
            <w:noWrap w:val="false"/>
          </w:tcPr>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shd w:val="clear" w:color="auto" w:fill="auto"/>
            <w:tcW w:w="2658"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尹山节点</w:t>
            </w:r>
            <w:r/>
          </w:p>
        </w:tc>
        <w:tc>
          <w:tcPr>
            <w:tcW w:w="2984" w:type="dxa"/>
            <w:vAlign w:val="center"/>
            <w:textDirection w:val="lrTb"/>
            <w:noWrap w:val="false"/>
          </w:tcPr>
          <w:p>
            <w:pPr>
              <w:jc w:val="center"/>
              <w:shd w:val="clear" w:color="auto" w:fill="auto"/>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 xml:space="preserve">36</w:t>
            </w:r>
            <w:r/>
          </w:p>
        </w:tc>
        <w:tc>
          <w:tcPr>
            <w:shd w:val="clear" w:color="auto" w:fill="auto"/>
            <w:tcW w:w="3086" w:type="dxa"/>
            <w:vAlign w:val="center"/>
            <w:textDirection w:val="lrTb"/>
            <w:noWrap w:val="false"/>
          </w:tcPr>
          <w:p>
            <w:pPr>
              <w:jc w:val="center"/>
              <w:shd w:val="clear" w:color="auto" w:fill="auto"/>
              <w:rPr>
                <w:rFonts w:hint="eastAsia" w:asciiTheme="majorEastAsia" w:hAnsiTheme="majorEastAsia" w:eastAsiaTheme="majorEastAsia" w:cstheme="majorEastAsia"/>
                <w:b w:val="0"/>
                <w:bCs w:val="0"/>
                <w:color w:val="auto"/>
                <w:sz w:val="21"/>
                <w:szCs w:val="21"/>
                <w:highlight w:val="none"/>
                <w:lang w:val="en-US" w:eastAsia="zh-CN" w:bidi="ar-SA"/>
              </w:rPr>
            </w:pPr>
            <w:r>
              <w:rPr>
                <w:rFonts w:hint="eastAsia" w:asciiTheme="majorEastAsia" w:hAnsiTheme="majorEastAsia" w:eastAsiaTheme="majorEastAsia" w:cstheme="majorEastAsia"/>
                <w:b w:val="0"/>
                <w:bCs w:val="0"/>
                <w:color w:val="auto"/>
                <w:sz w:val="21"/>
                <w:szCs w:val="21"/>
                <w:highlight w:val="none"/>
                <w:lang w:val="en-US" w:eastAsia="zh-CN"/>
              </w:rPr>
              <w:t xml:space="preserve">53308</w:t>
            </w:r>
            <w:r/>
          </w:p>
        </w:tc>
      </w:tr>
    </w:tbl>
    <w:p>
      <w:pPr>
        <w:pStyle w:val="933"/>
        <w:shd w:val="clear" w:color="auto" w:fill="auto"/>
        <w:rPr>
          <w:rFonts w:hint="eastAsia" w:asciiTheme="majorEastAsia" w:hAnsiTheme="majorEastAsia" w:eastAsiaTheme="majorEastAsia" w:cstheme="majorEastAsia"/>
          <w:b/>
          <w:bCs/>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lang w:val="en-US" w:eastAsia="zh-CN"/>
        </w:rPr>
        <w:t xml:space="preserve">（三）其他有关说明</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1、吴中区绿化养护技术要求（见招标文件附件1）</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2、养护质量标准，按《苏州市城市绿地养护管理质量标准（试行）》执行（见招标文件附件2）</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3、绿化养护履行期间对中标单位进行全过程监管，具体考核细则详见附件3绿化养护管理考核办法。</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4、吴中区园林绿化移交管理操作规程详见附件6。</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绿化垃圾由乙方负责及时清理、收集，乙方在垃圾清运过程中应打包（确保垃圾不散落），绿化垃圾在绿地及周边存放时间不超过两天，否则甲方有权另外请施工人员进行清理，清理费用三倍从养护费中扣除。</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 xml:space="preserve">6</w:t>
      </w:r>
      <w:r>
        <w:rPr>
          <w:rFonts w:hint="eastAsia" w:asciiTheme="majorEastAsia" w:hAnsiTheme="majorEastAsia" w:eastAsiaTheme="majorEastAsia" w:cstheme="majorEastAsia"/>
          <w:color w:val="auto"/>
          <w:sz w:val="21"/>
          <w:szCs w:val="21"/>
          <w:highlight w:val="none"/>
        </w:rPr>
        <w:t xml:space="preserve">、绿化养护费中应包括为服务人员办理作业时的人身安全保险和意外伤害险。如发生安全责任事故，均由中标单位负责（保险种类由中标单位自行选择）。</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 xml:space="preserve">7</w:t>
      </w:r>
      <w:r>
        <w:rPr>
          <w:rFonts w:hint="eastAsia" w:asciiTheme="majorEastAsia" w:hAnsiTheme="majorEastAsia" w:eastAsiaTheme="majorEastAsia" w:cstheme="majorEastAsia"/>
          <w:color w:val="auto"/>
          <w:sz w:val="21"/>
          <w:szCs w:val="21"/>
          <w:highlight w:val="none"/>
        </w:rPr>
        <w:t xml:space="preserve">、中标单位工作人员在岗履行职责期间（包括上下班途中），发生自身的人身伤害、伤亡，均由中标单位负责处理并承担经济和道义上的责任，采购单位不承担任何责任。</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 xml:space="preserve">8</w:t>
      </w:r>
      <w:r>
        <w:rPr>
          <w:rFonts w:hint="eastAsia" w:asciiTheme="majorEastAsia" w:hAnsiTheme="majorEastAsia" w:eastAsiaTheme="majorEastAsia" w:cstheme="majorEastAsia"/>
          <w:color w:val="auto"/>
          <w:sz w:val="21"/>
          <w:szCs w:val="21"/>
          <w:highlight w:val="none"/>
        </w:rPr>
        <w:t xml:space="preserve">、因不可抗拒因素（如树木因台风等自然因素突然倒伏、碰电线、碰房屋等非养护原因造成的树枝伤人、伤物），乙方在接到甲方通知后，应迅速组织力量，1小时内到达现场及时处理。</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 xml:space="preserve">9</w:t>
      </w:r>
      <w:r>
        <w:rPr>
          <w:rFonts w:hint="eastAsia" w:asciiTheme="majorEastAsia" w:hAnsiTheme="majorEastAsia" w:eastAsiaTheme="majorEastAsia" w:cstheme="majorEastAsia"/>
          <w:color w:val="auto"/>
          <w:sz w:val="21"/>
          <w:szCs w:val="21"/>
          <w:highlight w:val="none"/>
        </w:rPr>
        <w:t xml:space="preserve">、乙方在养护期间，必须采取周密的安全措施，以避免对工作人员、公众及他人人身财产造成损害，若因操作或养护不当（如蛀干虫害未及时防治，引起枝条砸落）造成人身及其它财产损失的，由养护单位承担一切责任。</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rPr>
          <w:rFonts w:hint="eastAsia" w:asciiTheme="majorEastAsia" w:hAnsiTheme="majorEastAsia" w:eastAsiaTheme="majorEastAsia" w:cstheme="majorEastAsia"/>
          <w:color w:val="auto"/>
          <w:sz w:val="21"/>
          <w:szCs w:val="21"/>
          <w:highlight w:val="none"/>
          <w:lang w:val="en-US" w:eastAsia="zh-CN"/>
        </w:rPr>
        <w:t xml:space="preserve">0</w:t>
      </w:r>
      <w:r>
        <w:rPr>
          <w:rFonts w:hint="eastAsia" w:asciiTheme="majorEastAsia" w:hAnsiTheme="majorEastAsia" w:eastAsiaTheme="majorEastAsia" w:cstheme="majorEastAsia"/>
          <w:color w:val="auto"/>
          <w:sz w:val="21"/>
          <w:szCs w:val="21"/>
          <w:highlight w:val="none"/>
        </w:rPr>
        <w:t xml:space="preserve">、为确保养护质量，乙方要落实专人专车巡查，养护人员开展动态养护管理，全天候作业。发现重大问题（如因交通事故造成的树木倾倒、损坏等）应及时采购方汇报并采取相应措施。</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rPr>
          <w:rFonts w:hint="eastAsia" w:asciiTheme="majorEastAsia" w:hAnsiTheme="majorEastAsia" w:eastAsiaTheme="majorEastAsia" w:cstheme="majorEastAsia"/>
          <w:color w:val="auto"/>
          <w:sz w:val="21"/>
          <w:szCs w:val="21"/>
          <w:highlight w:val="none"/>
          <w:lang w:val="en-US" w:eastAsia="zh-CN"/>
        </w:rPr>
        <w:t xml:space="preserve">1</w:t>
      </w:r>
      <w:r>
        <w:rPr>
          <w:rFonts w:hint="eastAsia" w:asciiTheme="majorEastAsia" w:hAnsiTheme="majorEastAsia" w:eastAsiaTheme="majorEastAsia" w:cstheme="majorEastAsia"/>
          <w:color w:val="auto"/>
          <w:sz w:val="21"/>
          <w:szCs w:val="21"/>
          <w:highlight w:val="none"/>
        </w:rPr>
        <w:t xml:space="preserve">、养护交接时间：中标人根据招标文件要求，向招标人提出养护进场申请，由招标人进行审核，审核通过后，由招标人根据绿化移交进度，通知进场时间，并按实际养护期结算费用。</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rPr>
          <w:rFonts w:hint="eastAsia" w:asciiTheme="majorEastAsia" w:hAnsiTheme="majorEastAsia" w:eastAsiaTheme="majorEastAsia" w:cstheme="majorEastAsia"/>
          <w:color w:val="auto"/>
          <w:sz w:val="21"/>
          <w:szCs w:val="21"/>
          <w:highlight w:val="none"/>
          <w:lang w:val="en-US" w:eastAsia="zh-CN"/>
        </w:rPr>
        <w:t xml:space="preserve">2</w:t>
      </w:r>
      <w:r>
        <w:rPr>
          <w:rFonts w:hint="eastAsia" w:asciiTheme="majorEastAsia" w:hAnsiTheme="majorEastAsia" w:eastAsiaTheme="majorEastAsia" w:cstheme="majorEastAsia"/>
          <w:color w:val="auto"/>
          <w:sz w:val="21"/>
          <w:szCs w:val="21"/>
          <w:highlight w:val="none"/>
        </w:rPr>
        <w:t xml:space="preserve">、付款方式：见合同条款。</w:t>
      </w:r>
      <w:r/>
    </w:p>
    <w:p>
      <w:pPr>
        <w:ind w:firstLine="422"/>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1</w:t>
      </w:r>
      <w:r>
        <w:rPr>
          <w:rFonts w:hint="eastAsia" w:asciiTheme="majorEastAsia" w:hAnsiTheme="majorEastAsia" w:eastAsiaTheme="majorEastAsia" w:cstheme="majorEastAsia"/>
          <w:b/>
          <w:bCs/>
          <w:color w:val="auto"/>
          <w:sz w:val="21"/>
          <w:szCs w:val="21"/>
          <w:highlight w:val="none"/>
          <w:lang w:val="en-US" w:eastAsia="zh-CN"/>
        </w:rPr>
        <w:t xml:space="preserve">3</w:t>
      </w:r>
      <w:r>
        <w:rPr>
          <w:rFonts w:hint="eastAsia" w:asciiTheme="majorEastAsia" w:hAnsiTheme="majorEastAsia" w:eastAsiaTheme="majorEastAsia" w:cstheme="majorEastAsia"/>
          <w:b/>
          <w:bCs/>
          <w:color w:val="auto"/>
          <w:sz w:val="21"/>
          <w:szCs w:val="21"/>
          <w:highlight w:val="none"/>
        </w:rPr>
        <w:t xml:space="preserve">、中标供应商需在</w:t>
      </w:r>
      <w:r>
        <w:rPr>
          <w:rFonts w:hint="eastAsia" w:asciiTheme="majorEastAsia" w:hAnsiTheme="majorEastAsia" w:eastAsiaTheme="majorEastAsia" w:cstheme="majorEastAsia"/>
          <w:b/>
          <w:bCs/>
          <w:color w:val="auto"/>
          <w:sz w:val="21"/>
          <w:szCs w:val="21"/>
          <w:highlight w:val="none"/>
          <w:lang w:val="en-US" w:eastAsia="zh-CN"/>
        </w:rPr>
        <w:t xml:space="preserve">春秋两季</w:t>
      </w:r>
      <w:r>
        <w:rPr>
          <w:rFonts w:hint="eastAsia" w:asciiTheme="majorEastAsia" w:hAnsiTheme="majorEastAsia" w:eastAsiaTheme="majorEastAsia" w:cstheme="majorEastAsia"/>
          <w:b/>
          <w:bCs/>
          <w:color w:val="auto"/>
          <w:sz w:val="21"/>
          <w:szCs w:val="21"/>
          <w:highlight w:val="none"/>
        </w:rPr>
        <w:t xml:space="preserve">，在绿地里播草籽，费用包含在报价中。</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rPr>
          <w:rFonts w:hint="eastAsia" w:asciiTheme="majorEastAsia" w:hAnsiTheme="majorEastAsia" w:eastAsiaTheme="majorEastAsia" w:cstheme="majorEastAsia"/>
          <w:color w:val="auto"/>
          <w:sz w:val="21"/>
          <w:szCs w:val="21"/>
          <w:highlight w:val="none"/>
          <w:lang w:val="en-US" w:eastAsia="zh-CN"/>
        </w:rPr>
        <w:t xml:space="preserve">4</w:t>
      </w:r>
      <w:r>
        <w:rPr>
          <w:rFonts w:hint="eastAsia" w:asciiTheme="majorEastAsia" w:hAnsiTheme="majorEastAsia" w:eastAsiaTheme="majorEastAsia" w:cstheme="majorEastAsia"/>
          <w:color w:val="auto"/>
          <w:sz w:val="21"/>
          <w:szCs w:val="21"/>
          <w:highlight w:val="none"/>
        </w:rPr>
        <w:t xml:space="preserve">、为贯彻落实《苏州市节约用水条例》第三十二条的有关规定，明确禁止中标单位使用公共供水进行绿化浇灌。</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rPr>
          <w:rFonts w:hint="eastAsia" w:asciiTheme="majorEastAsia" w:hAnsiTheme="majorEastAsia" w:eastAsiaTheme="majorEastAsia" w:cstheme="majorEastAsia"/>
          <w:color w:val="auto"/>
          <w:sz w:val="21"/>
          <w:szCs w:val="21"/>
          <w:highlight w:val="none"/>
          <w:lang w:val="en-US" w:eastAsia="zh-CN"/>
        </w:rPr>
        <w:t xml:space="preserve">5</w:t>
      </w:r>
      <w:r>
        <w:rPr>
          <w:rFonts w:hint="eastAsia" w:asciiTheme="majorEastAsia" w:hAnsiTheme="majorEastAsia" w:eastAsiaTheme="majorEastAsia" w:cstheme="majorEastAsia"/>
          <w:color w:val="auto"/>
          <w:sz w:val="21"/>
          <w:szCs w:val="21"/>
          <w:highlight w:val="none"/>
        </w:rPr>
        <w:t xml:space="preserve">、本项目的安全生产费用应按国家相关规定提取，并考虑在投标总价中。</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eastAsia="zh-CN"/>
        </w:rPr>
        <w:t xml:space="preserve">验收要求</w:t>
      </w:r>
      <w:r>
        <w:rPr>
          <w:rFonts w:hint="eastAsia" w:ascii="宋体" w:hAnsi="宋体" w:cs="宋体"/>
          <w:b/>
          <w:bCs/>
          <w:color w:val="auto"/>
          <w:szCs w:val="21"/>
          <w:highlight w:val="none"/>
        </w:rPr>
        <w:t xml:space="preserve">：</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成交供应商向采购人提出功能确认验收申请，采购人会同成交供应商进行项目各项功能进行测试，如采购人认为不符合磋商文件的功能要求，可要求供应商进行整改至符合磋商文件功能要求。</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八、其他</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1、响应单位必须满足采购文件中提出的全部服务要求和必须达到的标准，如果其中某些条款不响应时，应在偏离表中逐条列出，未列出的视同响应。</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磋商响应总报价应包括在承包期内完成服务内容所需要的一切费用，包括但不限于完成本项目必要的需求费用，政策性文件规定及合同包含的所有风险、责任等各项应有费用。同时，除非合同条款中另有规定，否则，投标人所报价格在合同实施期间不因市场变化因素而变动。</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Cs/>
          <w:color w:val="auto"/>
          <w:szCs w:val="21"/>
          <w:highlight w:val="none"/>
        </w:rPr>
        <w:t xml:space="preserve">成交单位</w:t>
      </w:r>
      <w:r>
        <w:rPr>
          <w:rFonts w:hint="eastAsia" w:ascii="宋体" w:hAnsi="宋体" w:cs="宋体"/>
          <w:color w:val="auto"/>
          <w:szCs w:val="21"/>
          <w:highlight w:val="none"/>
        </w:rPr>
        <w:t xml:space="preserve">必须与服务人员签订劳动合同，并按照国家及苏州市的有关规定支付工资和交纳正常的社会保险等。低于国家和地方工资标准及社保政策的，视为非实质性响应。</w:t>
      </w:r>
      <w:r/>
    </w:p>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4、因</w:t>
      </w:r>
      <w:r>
        <w:rPr>
          <w:rFonts w:hint="eastAsia" w:ascii="宋体" w:hAnsi="宋体" w:cs="宋体"/>
          <w:bCs/>
          <w:color w:val="auto"/>
          <w:szCs w:val="21"/>
          <w:highlight w:val="none"/>
        </w:rPr>
        <w:t xml:space="preserve">成交单位</w:t>
      </w:r>
      <w:r>
        <w:rPr>
          <w:rFonts w:hint="eastAsia" w:ascii="宋体" w:hAnsi="宋体" w:cs="宋体"/>
          <w:color w:val="auto"/>
          <w:szCs w:val="21"/>
          <w:highlight w:val="none"/>
        </w:rPr>
        <w:t xml:space="preserve">现场管理不到位、相关处罚，全部由</w:t>
      </w:r>
      <w:r>
        <w:rPr>
          <w:rFonts w:hint="eastAsia" w:ascii="宋体" w:hAnsi="宋体" w:cs="宋体"/>
          <w:bCs/>
          <w:color w:val="auto"/>
          <w:szCs w:val="21"/>
          <w:highlight w:val="none"/>
        </w:rPr>
        <w:t xml:space="preserve">成交单位</w:t>
      </w:r>
      <w:r>
        <w:rPr>
          <w:rFonts w:hint="eastAsia" w:ascii="宋体" w:hAnsi="宋体" w:cs="宋体"/>
          <w:color w:val="auto"/>
          <w:szCs w:val="21"/>
          <w:highlight w:val="none"/>
        </w:rPr>
        <w:t xml:space="preserve">自行承担，采购单位不承担任何责任和赔偿，并且有权对</w:t>
      </w:r>
      <w:r>
        <w:rPr>
          <w:rFonts w:hint="eastAsia" w:ascii="宋体" w:hAnsi="宋体" w:cs="宋体"/>
          <w:bCs/>
          <w:color w:val="auto"/>
          <w:szCs w:val="21"/>
          <w:highlight w:val="none"/>
        </w:rPr>
        <w:t xml:space="preserve">成交单位</w:t>
      </w:r>
      <w:r>
        <w:rPr>
          <w:rFonts w:hint="eastAsia" w:ascii="宋体" w:hAnsi="宋体" w:cs="宋体"/>
          <w:color w:val="auto"/>
          <w:szCs w:val="21"/>
          <w:highlight w:val="none"/>
        </w:rPr>
        <w:t xml:space="preserve">进行经济处罚，并从支付费用中给予扣除。</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5、如果</w:t>
      </w:r>
      <w:r>
        <w:rPr>
          <w:rFonts w:hint="eastAsia" w:ascii="宋体" w:hAnsi="宋体" w:cs="宋体"/>
          <w:bCs/>
          <w:color w:val="auto"/>
          <w:szCs w:val="21"/>
          <w:highlight w:val="none"/>
        </w:rPr>
        <w:t xml:space="preserve">成交单位</w:t>
      </w:r>
      <w:r>
        <w:rPr>
          <w:rFonts w:hint="eastAsia" w:ascii="宋体" w:hAnsi="宋体" w:cs="宋体"/>
          <w:color w:val="auto"/>
          <w:szCs w:val="21"/>
          <w:highlight w:val="none"/>
        </w:rPr>
        <w:t xml:space="preserve">在合同约定完成期限内没有完成项目，每延误一天罚款合同金额的1%，连续三次采购单位有权立即终止合同，由此产生的一切责任和损失全部由</w:t>
      </w:r>
      <w:r>
        <w:rPr>
          <w:rFonts w:hint="eastAsia" w:ascii="宋体" w:hAnsi="宋体" w:cs="宋体"/>
          <w:bCs/>
          <w:color w:val="auto"/>
          <w:szCs w:val="21"/>
          <w:highlight w:val="none"/>
        </w:rPr>
        <w:t xml:space="preserve">成交单位</w:t>
      </w:r>
      <w:r>
        <w:rPr>
          <w:rFonts w:hint="eastAsia" w:ascii="宋体" w:hAnsi="宋体" w:cs="宋体"/>
          <w:color w:val="auto"/>
          <w:szCs w:val="21"/>
          <w:highlight w:val="none"/>
        </w:rPr>
        <w:t xml:space="preserve">承担。</w:t>
      </w:r>
      <w:r/>
    </w:p>
    <w:p>
      <w:pPr>
        <w:ind w:firstLine="420"/>
        <w:spacing w:line="400" w:lineRule="exact"/>
        <w:rPr>
          <w:rFonts w:hint="eastAsia" w:ascii="宋体" w:hAnsi="宋体" w:cs="宋体"/>
          <w:color w:val="auto"/>
          <w:szCs w:val="24"/>
          <w:highlight w:val="none"/>
          <w:lang w:val="zh-CN"/>
        </w:rPr>
      </w:pPr>
      <w:r>
        <w:rPr>
          <w:rFonts w:hint="eastAsia" w:ascii="宋体" w:hAnsi="宋体" w:cs="宋体"/>
          <w:color w:val="auto"/>
          <w:szCs w:val="21"/>
          <w:highlight w:val="none"/>
        </w:rPr>
        <w:t xml:space="preserve">6、凡涉及采购文件的补充说明和修改，均以苏州市政府采购网上发布的公告为准。</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九、电子响应文件的组成和顺序</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磋商报价表</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3.1具有独立承担民事责任的能力（提供包括法人或者其他组织的营业执照等证明文件，自然人的身份证明）；</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3.2有良好的商业信誉和健全的财务会计制度（提供包括但不限于最近一期经审计的财务报告或最近一期财务报表，其他组织、自然人及成立未满一年的法人应提供银行出具的资信证明）；</w:t>
      </w:r>
      <w:r/>
    </w:p>
    <w:p>
      <w:pPr>
        <w:ind w:firstLine="21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3.3具有履行合同所必需的设备和专业技术能力（提供证明材料或承诺）；</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3.5参加政府采购活动前三年内，在经营活动中没有重大违法记录（提供书面声明函）；</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3.6关于资格文件的声明函；</w:t>
      </w:r>
      <w:r/>
    </w:p>
    <w:p>
      <w:pPr>
        <w:ind w:firstLine="422"/>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3.7特殊资格证明材料（如有）。</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4.2供应商法定代表人身份证复印件；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4.3法定代表人授权委托书（如有授权）；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4.4供应商代理人身份证复印件（如有授权）；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4.5★投标（响应）保证承诺书（必须提供，不提供为无效响应）；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4.6偏离表（商务条款偏离表、服务条款偏离表）；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4.7供应商情况表；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5.1针对本项目的详细服务方案；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5.2项目配备人员比较；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5.3综合实力；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与本次采购相关的其他证明材料；</w:t>
      </w:r>
      <w:r/>
    </w:p>
    <w:p>
      <w:pPr>
        <w:numPr>
          <w:ilvl w:val="0"/>
          <w:numId w:val="4"/>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价格折扣响应文件</w:t>
      </w:r>
      <w:r>
        <w:rPr>
          <w:rFonts w:hint="eastAsia" w:ascii="宋体" w:hAnsi="宋体" w:cs="宋体"/>
          <w:b/>
          <w:color w:val="auto"/>
          <w:szCs w:val="21"/>
          <w:highlight w:val="none"/>
          <w:lang w:eastAsia="zh-CN"/>
        </w:rPr>
        <w:t xml:space="preserve">；</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磋商响应文件由1、2、3、4、5和6款规定的内容共同组成。供应商必须提交上述3、4、6款规定的资料，并须按照“响应文件组成”将相关材料上传至相应模块。否则，响应文件将因资格性条件不符或未实质性响应磋商文件而被拒绝。</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lang w:val="en-US"/>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lang w:val="en-US"/>
        </w:rPr>
        <w:t xml:space="preserve">（https://czju.suzhou.gov.cn/zfcg/html/content/20231220161910031.shtml）</w:t>
      </w:r>
      <w:r>
        <w:rPr>
          <w:rFonts w:hint="eastAsia" w:ascii="宋体" w:hAnsi="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211"/>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网上响应文件请按磋商文件要求的响应文件的组成要求进行制作。本项目采用网上报名、网上提交响应文件，未使用上述方式将导致无法报名或响应失败。</w:t>
      </w:r>
      <w:r/>
    </w:p>
    <w:p>
      <w:pPr>
        <w:ind w:firstLine="420"/>
        <w:jc w:val="left"/>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hint="eastAsia" w:ascii="宋体" w:hAnsi="宋体" w:cs="宋体"/>
          <w:b/>
          <w:bCs/>
          <w:color w:val="auto"/>
          <w:szCs w:val="21"/>
          <w:highlight w:val="none"/>
          <w:lang w:val="zh-CN"/>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hint="eastAsia"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10.2</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10.3一项磋商内容只允许一个报价，采购代理机构不接受任何有选择性的响应报价。</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10.4.响应文件报价中的单价和总价全部采用人民币表示，除非合同的条款另有规定。</w:t>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lang w:val="zh-CN"/>
        </w:rPr>
        <w:t xml:space="preserve">十、</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（一）响应截止时间</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 1、网上响应文件必须在响应截止时间前提交，逾期提交响应文件的，采购单位拒绝接收。</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（二）响应文件的补充、修改或者撤回</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1、响应文件的修改应在磋商截止时间前进行。</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3、磋商截止时间后供应商不得撤回投标。否则按投标（响应）保证承诺书中承诺履行违约赔偿。</w:t>
      </w:r>
      <w:r/>
    </w:p>
    <w:p>
      <w:pPr>
        <w:jc w:val="left"/>
        <w:spacing w:line="360" w:lineRule="auto"/>
        <w:rPr>
          <w:rFonts w:hint="eastAsia" w:ascii="宋体" w:hAnsi="宋体" w:cs="宋体"/>
          <w:color w:val="auto"/>
          <w:szCs w:val="21"/>
          <w:highlight w:val="none"/>
        </w:rPr>
        <w:outlineLvl w:val="3"/>
      </w:pPr>
      <w:r>
        <w:rPr>
          <w:rFonts w:hint="eastAsia" w:ascii="宋体" w:hAnsi="宋体" w:cs="宋体"/>
          <w:b/>
          <w:bCs/>
          <w:color w:val="auto"/>
          <w:szCs w:val="21"/>
          <w:highlight w:val="none"/>
        </w:rPr>
        <w:t xml:space="preserve">十一、响应无效和项目的终止</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（一）供应商存在下列情况之一的，响应无效：</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1、响应文件签署、盖章不符合竞争性磋商文件规定要求的；</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2、供应商不具备竞争性磋商文件中规定资格条件的；</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3、报价超过磋商文件中规定的预算金额或者最高限价的；</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4、未按要求提供投标（响应）保证承诺书；</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5、响应文件含有采购单位不能接受的附加条件；</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6、因磋商供应商自身原因导致网上磋商响应文件无法递交的其他情况；</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7、不符合法律、法规和竞争性磋商文件中规定的其他实质性要求的；</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8、法律、法规及本竞争性磋商文件规定的其他无效的情形。</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述情形之一的，视为磋商供应商恶意串通，磋商小组应当认定其响应无效，并书面报告本级财政部门。</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1、不同供应商的响应文件由同一单位或者个人编制；</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2、不同供应商委托同一单位或者个人办理磋商事宜；</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3、不同供应商的响应文件载明的项目管理成员或者联系人员为同一人；</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4、不同供应商的响应文件异常一致或者报价呈规律性差异；</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5、不同供应商的响应文件制作机器码一致。</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（三）项目的终止</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出现下列情形之一的，采购代理机构将终止竞争性磋商采购活动，发布项目终止公告并说明原因，重新开展采购活动：</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1、因情况变化，不再符合规定的竞争性磋商采购单位式适用情形的；</w:t>
      </w:r>
      <w:r/>
    </w:p>
    <w:p>
      <w:pPr>
        <w:ind w:firstLine="420"/>
        <w:jc w:val="left"/>
        <w:spacing w:line="360" w:lineRule="auto"/>
        <w:rPr>
          <w:rFonts w:hint="eastAsia" w:ascii="宋体" w:hAnsi="宋体" w:cs="宋体"/>
          <w:b/>
          <w:bCs/>
          <w:color w:val="auto"/>
          <w:szCs w:val="21"/>
          <w:highlight w:val="none"/>
        </w:rPr>
        <w:outlineLvl w:val="3"/>
      </w:pPr>
      <w:r>
        <w:rPr>
          <w:rFonts w:hint="eastAsia" w:ascii="宋体" w:hAnsi="宋体" w:cs="宋体"/>
          <w:color w:val="auto"/>
          <w:szCs w:val="21"/>
          <w:highlight w:val="none"/>
        </w:rPr>
        <w:t xml:space="preserve">2、出现影响采购公正的违法、违规行为的。</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十二、综合说明及其它要求：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总报价包括但不限于承接服务方所需的产品、人工、设备、员工工资、社保、工会福利或其他保险、福利、交通、伙食、各种税费等一切费用。陪护人员不因任何原因形成与中心之间的劳动或劳务或任何其他直接关系。中心不负责陪护人员因提供陪护服务所产生的交通、食宿、服装、生活用品等任何费用。陪护人员的人身、财产安全如有任何意外或事故，由服务单位全权负责，与中心无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成交单位须按照本采购文件的要求对该项目进行服务工作。如遇服务范围内有大的调整或迁移等重大情况，采购单位将提前告知乙方，合同内容经双方协商调整。综合服务履行期间，招标单位将对该招标项目进行检查考核。因成交单位管理不善，造成项目服务范围内的设施、设备损坏，造成重大损失的由直接责任人赔偿，若直接责任人因故无法赔偿的，招标单位有权要求成交单位按实际损失金额赔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4、成交单位应根据采购单位的服务要求，以及服务规范、规程等进行服务。成交单位应按期向采购单位提供符合质量要求的文件资料。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5、成交单位自行承担合同实施期间其人员的人身安全、仪器设备的使用正常及其一切可能产生的后果，同时，成交单位自行承担由于其服务工作导致的设备损坏、人身安全问题等一切责任事故的处理。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6、磋商说明：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为不得少于2家），磋商采购失败。</w:t>
      </w:r>
      <w:r/>
    </w:p>
    <w:p>
      <w:p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十三、政策执行（如涉及）</w:t>
      </w:r>
      <w:r/>
    </w:p>
    <w:p>
      <w:pPr>
        <w:ind w:firstLine="420"/>
        <w:spacing w:line="40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1、若投标产品涉及政府采购协议供货目录内的产品则必须按政府采购协议供货要求执行。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次招标不接受进口货物的投标，进口产品的定义为：指通过中国海关报关验收进入中国境内且产自境外的产品，具体按照苏财购〔2008〕14号江苏省财政厅转发财政部办公厅关于政府采购进口产品管理有关问题的通知的规定。</w:t>
      </w:r>
      <w:r/>
    </w:p>
    <w:p>
      <w:pPr>
        <w:pStyle w:val="9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单位必须提供由国家确定的认证机构出具的、处于有效期之内的节能产品、环境标志产品认证证书。未提供或提供不全的将视为未实质性响应采购要求。</w:t>
      </w:r>
      <w:r/>
    </w:p>
    <w:p>
      <w:pPr>
        <w:pStyle w:val="9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4、根据《政府采购促进中小企业发展管理办法》（财库﹝2020﹞46 号）、关于印发《苏州市政府采购促进中小企业发展实施意见》的通知（苏财购〔</w:t>
      </w:r>
      <w:r>
        <w:rPr>
          <w:rFonts w:hint="eastAsia" w:ascii="宋体" w:hAnsi="宋体" w:eastAsia="宋体" w:cs="宋体"/>
          <w:color w:val="auto"/>
          <w:sz w:val="21"/>
          <w:szCs w:val="21"/>
          <w:highlight w:val="none"/>
        </w:rPr>
        <w:t xml:space="preserve">2022〕16号） 、《关于促进残疾人就业政府采购政策的通知》（财库〔2017〕141号）、《关于政府采购支持监狱企业发展有关问题的通知》（财库〔2014〕68号）等文件的精神，对属于小微企业、监狱企业、残疾人企业给予价格评审加分。响应单位为小型和微型企业、其价格在评审时给予20%的扣除，残疾人企业和监狱企业的，其价格在评审时给予20%的扣除，用扣除后的价格参与评审，如扣除后的价格为最低价的，则作为评审基准价，如中标（成交）价格则以实际投标报价为准。残疾人企业和监狱企业属于小型、微型企业的，不重复享受政策。</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十四</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相关政策（如涉及）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auto"/>
          <w:szCs w:val="21"/>
          <w:highlight w:val="none"/>
        </w:rPr>
        <w:t xml:space="preserve">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color w:val="auto"/>
          <w:szCs w:val="21"/>
          <w:highlight w:val="none"/>
        </w:rPr>
        <w:t xml:space="preserve">在货物采购项目中，货物由中小企业制造，即货物由中小企业生产且使用该中小企业商号或者注册商标。</w:t>
      </w:r>
      <w:r>
        <w:rPr>
          <w:rFonts w:hint="eastAsia" w:ascii="宋体" w:hAnsi="宋体" w:cs="宋体"/>
          <w:b/>
          <w:bCs/>
          <w:color w:val="auto"/>
          <w:szCs w:val="21"/>
          <w:highlight w:val="none"/>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根据《苏财购〔2025〕62号》文，评审委员会启动异常低价投标（响应）审查的情形和具体要求，包括：</w:t>
      </w:r>
      <w:r/>
    </w:p>
    <w:p>
      <w:pPr>
        <w:ind w:firstLine="420"/>
        <w:keepLines w:val="0"/>
        <w:keepNext w:val="0"/>
        <w:pageBreakBefore w:val="0"/>
        <w:spacing w:line="440" w:lineRule="atLeast"/>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pStyle w:val="930"/>
        <w:ind w:left="0" w:right="0" w:firstLine="645"/>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1.</w:t>
      </w:r>
      <w:r>
        <w:rPr>
          <w:rFonts w:hint="eastAsia" w:ascii="宋体" w:hAnsi="宋体" w:eastAsia="宋体" w:cs="宋体"/>
          <w:color w:val="auto"/>
          <w:sz w:val="21"/>
          <w:highlight w:val="none"/>
          <w:lang w:val="en-US" w:eastAsia="zh-CN" w:bidi="ar-SA"/>
        </w:rPr>
        <w:t xml:space="preserve">投标（响应）报价低于全部通过符合性审查供应商投标（响应）报价平均值</w:t>
      </w:r>
      <w:r>
        <w:rPr>
          <w:rFonts w:hint="default" w:ascii="宋体" w:hAnsi="宋体" w:eastAsia="宋体" w:cs="宋体"/>
          <w:color w:val="auto"/>
          <w:sz w:val="21"/>
          <w:highlight w:val="none"/>
          <w:lang w:val="en-US" w:eastAsia="zh-CN" w:bidi="ar-SA"/>
        </w:rPr>
        <w:t xml:space="preserve">50%的，即投标（响应）报价&lt;全部通过符合性审查供应商投标（响应）报价平均值×50%；</w:t>
      </w:r>
      <w:r/>
    </w:p>
    <w:p>
      <w:pPr>
        <w:pStyle w:val="930"/>
        <w:ind w:left="0" w:right="0" w:firstLine="645"/>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30"/>
        <w:ind w:left="0" w:right="0" w:firstLine="645"/>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3.投标（响应）报价低于采购项目最高限价45%的，即投标（响应）报价&lt;采购项目最高限价×45%；</w:t>
      </w:r>
      <w:r/>
    </w:p>
    <w:p>
      <w:pPr>
        <w:pStyle w:val="930"/>
        <w:ind w:left="0" w:right="0" w:firstLine="0"/>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    4.评审委员会基于专业判断，认为供应商报价过低，有可能影响产品质量或者不能诚信履约的其他情形。</w:t>
      </w:r>
      <w:r/>
    </w:p>
    <w:p>
      <w:pPr>
        <w:pStyle w:val="930"/>
        <w:ind w:left="0" w:right="0" w:firstLine="645"/>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采购人可以结合具体项目实际情况，提高上述第1项至第3项中启动异常低价投标（响应）审查的数值标准，但是最高不得超过65%。</w:t>
      </w:r>
      <w:r/>
    </w:p>
    <w:p>
      <w:pPr>
        <w:pStyle w:val="930"/>
        <w:ind w:left="0" w:right="0" w:firstLine="645"/>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相关法律法规对供应商报价有规定的，从其规定。</w:t>
      </w:r>
      <w:r/>
    </w:p>
    <w:p>
      <w:pPr>
        <w:pStyle w:val="930"/>
        <w:ind w:left="0" w:right="0" w:firstLine="645"/>
        <w:keepLines w:val="0"/>
        <w:keepNext w:val="0"/>
        <w:pageBreakBefore w:val="0"/>
        <w:spacing w:before="0" w:beforeAutospacing="0" w:after="0" w:afterAutospacing="0" w:line="440" w:lineRule="atLeast"/>
        <w:widowControl/>
        <w:rPr>
          <w:rFonts w:hint="default"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highlight w:val="none"/>
          <w:lang w:val="en-US" w:eastAsia="zh-CN" w:bidi="ar-SA"/>
        </w:rPr>
        <w:t xml:space="preserve">B、</w:t>
      </w:r>
      <w:r>
        <w:rPr>
          <w:rFonts w:hint="default" w:ascii="宋体" w:hAnsi="宋体" w:eastAsia="宋体" w:cs="宋体"/>
          <w:color w:val="auto"/>
          <w:sz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0"/>
        <w:ind w:left="0" w:right="0" w:firstLine="645"/>
        <w:keepLines w:val="0"/>
        <w:keepNext w:val="0"/>
        <w:pageBreakBefore w:val="0"/>
        <w:spacing w:before="0" w:beforeAutospacing="0" w:after="0" w:afterAutospacing="0" w:line="440" w:lineRule="atLeast"/>
        <w:widowControl/>
        <w:rPr>
          <w:rFonts w:hint="eastAsia" w:ascii="宋体" w:hAnsi="宋体" w:eastAsia="宋体" w:cs="宋体"/>
          <w:color w:val="auto"/>
          <w:sz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）政府采购中实施本国产品标准及相关政策（</w:t>
      </w:r>
      <w:r>
        <w:rPr>
          <w:rFonts w:hint="eastAsia" w:ascii="宋体" w:hAnsi="宋体" w:cs="宋体"/>
          <w:color w:val="auto"/>
          <w:highlight w:val="none"/>
          <w:lang w:val="en-US" w:eastAsia="zh-CN"/>
        </w:rPr>
        <w:t xml:space="preserve">本项目为服务类，该政策不适用</w:t>
      </w:r>
      <w:r>
        <w:rPr>
          <w:rFonts w:hint="eastAsia" w:ascii="宋体" w:hAnsi="宋体" w:cs="宋体"/>
          <w:color w:val="auto"/>
          <w:highlight w:val="none"/>
          <w:lang w:eastAsia="zh-CN"/>
        </w:rPr>
        <w:t xml:space="preserve">）</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1.本项目对采购本国产品给予政策支持：</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十五、本文件打“★”为实质性条款，不可偏离，如偏离响应文件无效。凡涉及招标文件的补充说明和修改，均以招标代理人在苏州市政府采购网、江苏省政府采购网等发布的相关公告为准。</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933"/>
        <w:rPr>
          <w:rFonts w:hint="eastAsia" w:hAnsi="宋体" w:cs="宋体"/>
          <w:b/>
          <w:color w:val="auto"/>
          <w:szCs w:val="21"/>
          <w:highlight w:val="none"/>
        </w:rPr>
      </w:pPr>
      <w:r>
        <w:rPr>
          <w:rFonts w:hint="eastAsia" w:hAnsi="宋体" w:cs="宋体"/>
          <w:b/>
          <w:color w:val="auto"/>
          <w:szCs w:val="21"/>
          <w:highlight w:val="none"/>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both"/>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附件1</w:t>
      </w:r>
      <w:r/>
    </w:p>
    <w:p>
      <w:pPr>
        <w:ind w:firstLine="2876"/>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吴中区绿化养护技术要求</w:t>
      </w:r>
      <w:r/>
    </w:p>
    <w:p>
      <w:pPr>
        <w:ind w:firstLine="422"/>
        <w:spacing w:line="360" w:lineRule="auto"/>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（一）、绿地内植物、设施养护维护内容</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1、行道树：树穴保洁松土除草、树穴内地被植物养护（网砖铺地由设施维护标段负责）、支撑绕杆草绳维护或拆除（如有）、树干剥芽、病虫害防治、日常修剪、冬季修剪、浇水抗旱等。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2、景观造型树：树穴保洁松土除草、摘芽、整形精剪、病虫害防治、浇水抗旱等。需由中级（含）以上盆景工负责管护。</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3、绿地内乔木：树穴切边松土除草、支撑绕杆草绳维护或拆除（如有）、树干剥芽、病虫害防治、日常修剪、冬季修剪、浇水抗旱等。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4、灌木：树穴切边松土除草、支撑绕杆草绳维护或拆除（如有）、剥脚芽、病虫害防治、修剪、施肥、浇水抗旱等。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5、绿篱色块植物：松土除草、保洁、整形修剪、病虫害防治、施肥、浇水抗旱、蒙尘冲洗等。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6、宿根花卉及水生植物：松土除草、保洁、施肥、枯叶日常清理、分枝分檗、冬季地上部残枝清理等。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7、地被植物：松土除草、保洁、枯枝枯叶清理、病虫害防治、施肥、浇水抗旱、蒙尘冲洗等。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8、草坪：除草、修剪、病虫害防治、施肥、打孔、浇水抗旱、蒙尘冲洗等。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u w:val="single"/>
        </w:rPr>
        <w:outlineLvl w:val="0"/>
      </w:pPr>
      <w:r>
        <w:rPr>
          <w:rFonts w:hint="eastAsia" w:asciiTheme="majorEastAsia" w:hAnsiTheme="majorEastAsia" w:eastAsiaTheme="majorEastAsia" w:cstheme="majorEastAsia"/>
          <w:color w:val="auto"/>
          <w:sz w:val="21"/>
          <w:szCs w:val="21"/>
          <w:highlight w:val="none"/>
        </w:rPr>
        <w:t xml:space="preserve">9、园路、广场、景石、假山、驳岸、花坛、座椅、窨井、排水沟盖板、围栏、建筑、构筑物等所有景观、服务设施：巡视看护、保洁、零星损坏设施维修、严重损坏设施发现上报、安全隐患设施部位加设警示标记并负责大修前的安全看护工作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10、垃圾箱：箱内垃圾清理外运、箱面保洁、零星损坏修复等。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11、景观池：水面保洁、池水控制、警示标记设置、安全防护等。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12、自然水池、河滩：水面水草清除、垃圾保洁，河滩杂草清除、垃圾保洁、警示标记设置、安全防护等。</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13、古树名木：日常巡视发现古树名木出现异常状态及时上报业主方。</w:t>
      </w:r>
      <w:r/>
    </w:p>
    <w:p>
      <w:pPr>
        <w:ind w:firstLine="422"/>
        <w:spacing w:line="360" w:lineRule="auto"/>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（二）园林常规植物养护要求</w:t>
      </w:r>
      <w:r/>
    </w:p>
    <w:p>
      <w:pPr>
        <w:ind w:firstLine="422"/>
        <w:spacing w:line="360" w:lineRule="auto"/>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1、修剪和整形</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（1）修剪应分为休眠期修剪和生长期修剪；除特殊情况外，整形工作应结合修剪工作展开。休眠期修剪应在每年的11月-3月期间进行，生长期修剪应结合植物生长进行。</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行道树和乔木修剪中需清除内膛枝、徒长枝、病虫枝等，及时清除枯枝危膀，要求保持树型优美，上不挂各类线路下不妨碍交通旁不影响周边建筑。新植行道树要求分枝点高度留养一致。生长季节及时剥芽，芽长不超过10厘米。</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（3）花灌木秋冬季修剪要有利于短枝和花芽的形成，遵循“先上后下，先内后外，去弱留强，去老留新”的原则进行修剪。生长季节及时剥芽（含脚芽），芽长不超过10厘米。</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（4）绿篱、地被要及时修剪，促其分枝，保持全株枝叶丰满，加速覆盖。球形灌木应常年保持形态完整，色块灌木应保持一定高度，常年保持完整，曲线清晰流畅，无缺株、无空洞。</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（5）草坪在生长季节，应采用条纹状交叉修剪方式，按三分之一原则适时进行修剪，修剪后的高度冷季型应为6-8厘米，夏季可控制在8-11厘米；暖季型应为5-7厘米，年修剪次数：冷季型为28次 (冬季12－2月份，1 次／月；春季3－4月份，3次／月；5－6月份，4次／月；夏季7－8月份，1次／月；秋季9－11月份，3次／月) ，暖季型为15次。上述草坪修剪次数供养护单位安排修剪工作时参考，考核时以草坪高度控制为主。</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（6）枝条修剪时切口必须靠节，剪口应在剪口芽的反侧呈45度倾斜，剪口要平整。具有特殊造型的景观树修剪按照盆景要求进行，由中级以上盆景工负责作业，并涂抹保护剂（需采购制成品，不得自行配制）。</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（7）所有修剪剩余物要及时清理，保证现场整洁，防止滋生病虫害。</w:t>
      </w:r>
      <w:r/>
    </w:p>
    <w:p>
      <w:pPr>
        <w:ind w:firstLine="422"/>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2、浇水</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植物浇水应根据不同的立地条件、季节差异和生长状况及时进行。夏季浇水应在早晚进行；冬季浇水应在中午进行。浇水要一次浇透。不得使用窨井水等带有异味的水，优先使用河水、再生水，逐步减少使用自来水。</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（1）草坪浇水必须湿透根系层，冷季型草坪在春秋二季充分浇水，暖季型草坪夏季要勤浇水， 1－2月，1次／周；3－6月，3次／周；7－8月，5次／周；9－10月，3次／周；11－12月，2次／周。</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（2）对于名贵树木及新种植树木，视天气干旱情况和植物生长情况对树干和树体进行喷雾。</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（3）对于球类、色块等植物要每周进行冲洗蒙尘，保持植物叶面清洁卫生，色泽光洁。</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（4）植物周围雨后积水应及时排除。</w:t>
      </w:r>
      <w:r/>
    </w:p>
    <w:p>
      <w:pPr>
        <w:ind w:firstLine="422"/>
        <w:spacing w:line="360" w:lineRule="auto"/>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3、松土、除草、切边</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（1）树木根部周围的土壤要保持疏松，易板结的土壤在蒸腾旺季须每月松土一次，松土深度以不伤根系生长为限。</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（2）种植在草坪内的树木在树穴周围要根据甲方具体要求对草坪切边，乔、灌木下的杂草应及时铲除。</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（3）地被植物在未覆盖前，应及时进行松土、除草，松土除草时要防止损伤根系和地下茎。</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（4）草坪杂草应及时连根清除，做到除早、除小、除净。草坪完整覆盖，不允许出现黄土裸露。清除方法可采用人工除草、生物除草、机械除草，慎用化学除草。（化学除草使用前需得到管理站的书面认可）</w:t>
      </w:r>
      <w:r/>
    </w:p>
    <w:p>
      <w:pPr>
        <w:ind w:firstLine="422"/>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4、病虫害防治</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做好春夏季病虫害和冬季越冬病虫害的预防和防治工作，苗木施药品种及防治时间、次数保证按照甲方的</w:t>
      </w:r>
      <w:r>
        <w:rPr>
          <w:rFonts w:hint="eastAsia" w:asciiTheme="majorEastAsia" w:hAnsiTheme="majorEastAsia" w:eastAsiaTheme="majorEastAsia" w:cstheme="majorEastAsia"/>
          <w:color w:val="auto"/>
          <w:sz w:val="21"/>
          <w:szCs w:val="21"/>
          <w:highlight w:val="none"/>
        </w:rPr>
        <w:t xml:space="preserve">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5%，刺吸性害虫危害的叶片，每株不超过10%，无蛀干性害虫的活虫、活卵。用药首先保证安全，符合环保要求，不使用国家或本地区禁止使用的农药（如甲氨磷、呋喃丹等），不使用广谱性高毒杀虫剂（如敌敌畏、敌百虫、辛硫磷等等），使用生态低毒农药比例不低于85%（必须苏州植物简报推荐的农药）。用药</w:t>
      </w:r>
      <w:r>
        <w:rPr>
          <w:rFonts w:hint="eastAsia" w:asciiTheme="majorEastAsia" w:hAnsiTheme="majorEastAsia" w:eastAsiaTheme="majorEastAsia" w:cstheme="majorEastAsia"/>
          <w:color w:val="auto"/>
          <w:sz w:val="21"/>
          <w:szCs w:val="21"/>
          <w:highlight w:val="none"/>
        </w:rPr>
        <w:t xml:space="preserve">时提供施药时间，拟定于游人稀少的时间段，当场有记录、影像资料，并提前通知甲方验收，使用的农药必须向甲方提供产品的合格证和生产日期及有效期。如未能及时提供完整的证明材料（包括影像资料）和通知甲方验收的，甲方有权不承认。中标养护单位应积极配合甲方进行病虫害综合防治工作，包括使用生物防治、黑光灯以及草坪斜纹夜蛾诱杀器等所发生的费用中标养护单位应在报价中综合考虑。禁止使用卡车或农用车装载塑料白桶进行施药。药品用完后，原则上由各家养护单位统一回收处理，各家养护单位在空瓶处理上要符合环保要求，处理费用在报价里综合考虑。</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养护单位中标后，必须全部使用清单指定的农药，不经甲方同意批准，不使用清单以外的农药，尽量使用高效低毒、生态、对环境友好型的农药，不使用国家或本地区禁止使用的农药和广谱性高毒杀虫剂，化学除草剂须经甲方同意后方可使用，中标养护单位不允许使用清单中没有的农药。</w:t>
      </w:r>
      <w:r/>
    </w:p>
    <w:p>
      <w:pPr>
        <w:ind w:firstLine="422"/>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养护农药使用清单</w:t>
      </w:r>
      <w:r/>
    </w:p>
    <w:tbl>
      <w:tblPr>
        <w:tblStyle w:val="9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20"/>
        <w:gridCol w:w="5940"/>
      </w:tblGrid>
      <w:tr>
        <w:trPr>
          <w:jc w:val="center"/>
          <w:trHeight w:val="492"/>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药剂品种</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防治对象</w:t>
            </w:r>
            <w:r/>
          </w:p>
        </w:tc>
      </w:tr>
      <w:tr>
        <w:trPr>
          <w:jc w:val="center"/>
          <w:trHeight w:val="301"/>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灭幼脲Ⅲ号</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鳞翅目类</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杀铃脲</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鳞翅目类</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Bt制剂（灭蛾灵、苏力保）</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鳞翅目类（利用苏云金杆菌杀虫）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杀虫素</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香樟、桃、毛鹃等植物上的螨、网蝽等刺吸类</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阿维毒乳油</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鳞翅目、鞘翅目、半翅目、及地下害虫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虫瘟一号</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w:t>
            </w:r>
            <w:r/>
          </w:p>
        </w:tc>
      </w:tr>
      <w:tr>
        <w:trPr>
          <w:jc w:val="center"/>
          <w:trHeight w:val="458"/>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花保</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蚧类兼治煤污病、叶螨、蚜虫、网蝽</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蛾螨灵</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鳞翅目、同翅目，对螨类有特效</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定虫隆（抑太保）</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鳞翅目、鞘翅目</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溴（氯）氰菊酯</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鳞翅目、同翅目</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功夫菊酯</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鳞翅目、同翅目、鞘翅目</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井冈霉素</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鳞翅目、同翅目，叶斑病、立枯病等</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甲维盐</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鳞翅目</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毒死蜱乳油（乐斯本）</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地下害虫以及多种咀嚼式和刺吸式口器害虫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绿色威雷</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天牛</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30%杀铃脲·辛乳油</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地下害虫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奥力克</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蛴螬、蝼蛄等地下害虫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辛硫磷</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蛴螬、蝼蛄等地下害虫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护树宝注干剂（树大夫）</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刺吸性害虫（蚧虫类、天牛等）</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蛀干害虫毒签</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天牛、木蠹蛾、小蠹冲等蛀干类害虫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速蚧克乳剂</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各种介壳虫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速扑杀</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各种介壳虫</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啶虫脒</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各种介壳虫、蚜虫、粉虱</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吡虫啉</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蚜虫、潜叶蛾、潜叶蝇等</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8%中保杀螨乳油</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对螨类有特效</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哒嗪酮</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螨类</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50%灭菌成水溶性粉剂</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白粉病、锈病、叶斑病、腐烂病、根腐病等</w:t>
            </w:r>
            <w:r/>
          </w:p>
        </w:tc>
      </w:tr>
      <w:tr>
        <w:trPr>
          <w:jc w:val="center"/>
          <w:trHeight w:val="567"/>
        </w:trPr>
        <w:tc>
          <w:tcPr>
            <w:tcW w:w="3420" w:type="dxa"/>
            <w:vAlign w:val="center"/>
            <w:textDirection w:val="lrTb"/>
            <w:noWrap w:val="false"/>
          </w:tcPr>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12.5%烯唑醇可湿性粉剂（力克菌）</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白粉病、锈病、灰霉病、黑斑病、立枯病等</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20%龙克菌悬浮剂</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叶斑病、炭疽病、角斑病等</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25%阿西米达悬浮剂</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霜霉病、早疫病、炭疽病、叶斑病</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15%三唑酮乳油（粉锈宁）</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锈病、白粉病等真菌类病害</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甲基拖布津</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锈病、叶斑病、腐烂病、穿孔病等</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代森锌（大生）</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斑枯病、叶霉病、炭疽病、霜霉病，对白粉病无效</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百菌清</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锈病、炭疽病、白粉病、霜霉病</w:t>
            </w:r>
            <w:r/>
          </w:p>
        </w:tc>
      </w:tr>
      <w:tr>
        <w:trPr>
          <w:jc w:val="center"/>
          <w:trHeight w:val="567"/>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多菌灵</w:t>
            </w:r>
            <w:r/>
          </w:p>
        </w:tc>
        <w:tc>
          <w:tcPr>
            <w:tcW w:w="5940" w:type="dxa"/>
            <w:vAlign w:val="center"/>
            <w:textDirection w:val="lrTb"/>
            <w:noWrap w:val="false"/>
          </w:tcPr>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白粉病、炭疽病、疫病、菌核病、灰霉病、叶斑病、立枯病等</w:t>
            </w:r>
            <w:r/>
          </w:p>
        </w:tc>
      </w:tr>
      <w:tr>
        <w:trPr>
          <w:jc w:val="center"/>
          <w:trHeight w:val="540"/>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蜗克星颗粒剂（蜗灭佳）</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蜗牛、螺类</w:t>
            </w:r>
            <w:r/>
          </w:p>
        </w:tc>
      </w:tr>
      <w:tr>
        <w:trPr>
          <w:jc w:val="center"/>
          <w:trHeight w:val="448"/>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密达</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蜗牛</w:t>
            </w:r>
            <w:r/>
          </w:p>
        </w:tc>
      </w:tr>
      <w:tr>
        <w:trPr>
          <w:jc w:val="center"/>
          <w:trHeight w:val="468"/>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海藻素</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黄化病</w:t>
            </w:r>
            <w:r/>
          </w:p>
        </w:tc>
      </w:tr>
      <w:tr>
        <w:trPr>
          <w:jc w:val="center"/>
          <w:trHeight w:val="446"/>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石硫合剂</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r>
      <w:tr>
        <w:trPr>
          <w:jc w:val="center"/>
          <w:trHeight w:val="453"/>
        </w:trPr>
        <w:tc>
          <w:tcPr>
            <w:tcW w:w="342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PS15Ⅱ频振式诱虫灯</w:t>
            </w:r>
            <w:r/>
          </w:p>
        </w:tc>
        <w:tc>
          <w:tcPr>
            <w:tcW w:w="5940" w:type="dxa"/>
            <w:vAlign w:val="center"/>
            <w:textDirection w:val="lrTb"/>
            <w:noWrap w:val="false"/>
          </w:tcPr>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r>
      <w:tr>
        <w:trPr>
          <w:jc w:val="center"/>
          <w:trHeight w:val="453"/>
        </w:trPr>
        <w:tc>
          <w:tcPr>
            <w:gridSpan w:val="2"/>
            <w:tcW w:w="9360" w:type="dxa"/>
            <w:vAlign w:val="center"/>
            <w:textDirection w:val="lrTb"/>
            <w:noWrap w:val="false"/>
          </w:tcPr>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备注：为了减少病虫害对农药的抗药性，甲方可能会根据当年的实际情况调整部分采购农药的品种（如农药新品种新技术的推广使用），投标报价时应充分综合考虑风险。</w:t>
            </w:r>
            <w:r/>
          </w:p>
        </w:tc>
      </w:tr>
    </w:tbl>
    <w:p>
      <w:pPr>
        <w:ind w:firstLine="517"/>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5、施肥</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（1）施肥应根据不同的树种、树龄、生长势和土壤理化性质而定。树木休眠期施基肥，生长期施追肥，花灌木应在花前、花后进行施肥。</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（2）各类绿地应以施有机肥为主，有机肥应腐熟后施用。应用微量元素和根外施肥技术，推广应用复合肥料和长效缓释肥料。</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（3）绿地内树木施肥应先挖好施肥环沟，其外径与冠幅相适应。环沟深、宽均为25－30厘米。</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草坪主要施肥时期在春秋季，施肥可采用撒施和根外追肥，每次修剪后需立即施肥，不发生明显的肥害现象。1－2月，1次／月，结合打孔施用鸡粪等草坪专用有机肥，130g/m2•次；3－6月，2次／月施复合肥（N∶P∶K＝10∶5∶5 ），20g/m2•次；7－8月基本不需施肥；9－10月，2次／月，施复合肥（N∶P∶K＝10∶6∶4 ），15g/m2•次；11－12月，1次／月，结合中耕施用复合肥（N∶P∶K＝5∶10∶5 ），15g/m2•次。</w:t>
      </w:r>
      <w:r/>
    </w:p>
    <w:p>
      <w:pPr>
        <w:ind w:firstLine="6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6、绿地保护</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涂白及树洞修补。每年的初冬，均需对乔、灌木进行抗冻处理，包括：根际培土、主干包扎、涂白（涂白剂配方见后附）。在树木休眠期内，进行扶正。对树体上出现的伤口应清理后用药剂消毒，涂保护剂（需采购制成品，不得自行配制）。树洞要及时修补，防止腐朽进一步扩大；对腐烂部位应按外科方法进行处理，处理后保证树洞不积水，无断裂坠落等安全隐患。</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台风季节，做好高大乔木抗风暴的预防工作，根据树木的实际情况，采取立支柱、绑扎、加土、扶正、疏枝等措施。一旦大风来临，应及时检查，发现问题，妥善处理。用于支撑、固定的材料应坚固耐用美观，并采用软性材料同植物接触。</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（3）绿地中严禁停放任何车辆。</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（4）绿地中无堆物、堆料、搭棚，建筑墙面和树干上无钉拴刻画等现象，生产工具需整齐摆放。</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（5）绿地保安全天候24小时，无重大破坏和偷盗案件。如遇重大事件需及时上报管理站，同时应积极做好善后处理工作，并承担相应责任。</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6）任何单位、个人占用绿地须出示苏州市园林和绿化管理局的行政审批和苏州市绿化管理站的任务下达单。未经同意，严禁各种侵占绿地行为发生。经同意占用的，须全过程跟踪，严格控制施工作业面，临时占用的要及时恢复。</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7）中标单位接收养护后，应在第一时间内对现有乔灌木的绕杆草绳、木结构支撑、铅丝支撑等进行一次整理，能去除的去除，如确须保留的应加以更换、整理，并在今后管理中，加强检查、随时整理，确保美观整齐。</w:t>
      </w:r>
      <w:r/>
    </w:p>
    <w:p>
      <w:pPr>
        <w:ind w:firstLine="420"/>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（8）绿地内的排水管网需保持畅通、有效，不得有漏点。</w:t>
      </w:r>
      <w:r/>
    </w:p>
    <w:p>
      <w:pPr>
        <w:ind w:firstLine="517"/>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7、绿化保存及补种</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（1）发现枯枝、死枝需24小时内处理完毕；如出现树木死亡，应按规定及时上报。认定死亡原因后，根据责任进行清理和补植。死亡树木须连同根部在三天内挖除，并填平挖穴。</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（2）绿地内各类地被植物覆盖完好（包括桥荫柱的垂直植物），保存率达到100%，植株缺损每月至少补种一次（落</w:t>
      </w:r>
      <w:r>
        <w:rPr>
          <w:rFonts w:hint="eastAsia" w:asciiTheme="majorEastAsia" w:hAnsiTheme="majorEastAsia" w:eastAsiaTheme="majorEastAsia" w:cstheme="majorEastAsia"/>
          <w:color w:val="auto"/>
          <w:sz w:val="21"/>
          <w:szCs w:val="21"/>
          <w:highlight w:val="none"/>
        </w:rPr>
        <w:t xml:space="preserve">叶乔木生长季节除外），夏季补苗采用盆栽苗。路段被严重踩坏空秃及其它施工损坏的绿化在3至7个工作日内补齐；遇到交通事故或其它人为因素造成的苗木损坏，养护单位必须在2至3天内补种完毕。补种的乔木规格高于周边苗木胸径（干径）规格1-2cm，其它苗木规格（蓬径、高度、树型等）符合甲方要求并现场确认，对于补种质量不符合要求、补种不及时或苗木规格达不到要求的，甲方将以书面形式发出整改通知，如中标养护单位没有按照通知要求整改的，甲方将有权重扣，并安排其他养护单位进行补种，其费用（按照苗木当前市场价的2倍）从养护费中扣除。</w:t>
      </w:r>
      <w:r/>
    </w:p>
    <w:p>
      <w:pPr>
        <w:ind w:firstLine="517"/>
        <w:spacing w:line="400" w:lineRule="exact"/>
        <w:shd w:val="clear" w:color="auto" w:fill="auto"/>
        <w:rPr>
          <w:rFonts w:hint="eastAsia" w:asciiTheme="majorEastAsia" w:hAnsiTheme="majorEastAsia" w:eastAsiaTheme="majorEastAsia" w:cstheme="majorEastAsia"/>
          <w:b/>
          <w:color w:val="auto"/>
          <w:sz w:val="21"/>
          <w:szCs w:val="21"/>
          <w:highlight w:val="none"/>
        </w:rPr>
        <w:outlineLvl w:val="0"/>
      </w:pPr>
      <w:r>
        <w:rPr>
          <w:rFonts w:hint="eastAsia" w:asciiTheme="majorEastAsia" w:hAnsiTheme="majorEastAsia" w:eastAsiaTheme="majorEastAsia" w:cstheme="majorEastAsia"/>
          <w:b/>
          <w:color w:val="auto"/>
          <w:sz w:val="21"/>
          <w:szCs w:val="21"/>
          <w:highlight w:val="none"/>
        </w:rPr>
        <w:t xml:space="preserve">8、卫生保洁</w:t>
      </w:r>
      <w:r/>
    </w:p>
    <w:p>
      <w:pPr>
        <w:ind w:firstLine="315"/>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（1）日常保洁人员应统一着装（保洁人员制服详见后附），马路上保洁人员需加穿反光马甲。</w:t>
      </w:r>
      <w:r/>
    </w:p>
    <w:p>
      <w:pPr>
        <w:ind w:firstLine="315"/>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2）绿地（包括水面）、设施范围内应巡视保洁，及时清理，做到无落叶无垃圾、石子砖块、各种杂物、白色污染（树挂）。一级绿地巡视保洁周期为2小时，保洁时间为7:00～18：00（6～10月为6:00～19：00）；二级绿地巡视保洁周期为2小时保洁一次，保洁时间为7：00～18：00；三级绿地巡视保洁周期为4小时，保洁时间为8：00～18：00。</w:t>
      </w:r>
      <w:r/>
    </w:p>
    <w:p>
      <w:pPr>
        <w:ind w:firstLine="315"/>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（3）一级、二级养护范围内色块内的落叶需用吹风机吹出后清理。</w:t>
      </w:r>
      <w:r/>
    </w:p>
    <w:p>
      <w:pPr>
        <w:ind w:firstLine="315"/>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4）公共绿地内的园林建筑、构筑物、园路广场、花坛边等基础设施以及桌椅、垃圾桶、指示牌、围栏等园林设施应经常性除尘，确保设施不积尘。如发现墙面破损、路面残缺、油漆剥落等设施损坏现象须按要求及时修复，出现重大损坏问题的须在第一时间内书面报告绿化管理站。</w:t>
      </w:r>
      <w:r/>
    </w:p>
    <w:p>
      <w:pPr>
        <w:ind w:firstLine="315"/>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（5）生活垃圾及绿色废弃物（如树枝、树叶、草屑等）能装袋的需在保洁后立即装袋，无法装袋的需捆扎整齐，集中堆放。在一个巡视保洁周期内需清运离场。</w:t>
      </w:r>
      <w:r/>
    </w:p>
    <w:p>
      <w:pPr>
        <w:ind w:firstLine="315"/>
        <w:spacing w:line="400" w:lineRule="exact"/>
        <w:shd w:val="clear" w:color="auto" w:fill="auto"/>
        <w:rPr>
          <w:rFonts w:hint="eastAsia" w:asciiTheme="majorEastAsia" w:hAnsiTheme="majorEastAsia" w:eastAsiaTheme="majorEastAsia" w:cstheme="majorEastAsia"/>
          <w:color w:val="auto"/>
          <w:sz w:val="21"/>
          <w:szCs w:val="21"/>
          <w:highlight w:val="none"/>
        </w:rPr>
        <w:outlineLvl w:val="0"/>
      </w:pPr>
      <w:r>
        <w:rPr>
          <w:rFonts w:hint="eastAsia" w:asciiTheme="majorEastAsia" w:hAnsiTheme="majorEastAsia" w:eastAsiaTheme="majorEastAsia" w:cstheme="majorEastAsia"/>
          <w:color w:val="auto"/>
          <w:sz w:val="21"/>
          <w:szCs w:val="21"/>
          <w:highlight w:val="none"/>
        </w:rPr>
        <w:t xml:space="preserve">（6）做到适时对树木的叶面进行清洗(桥荫下绿地应每7天清洗一次)，常年保持叶面的清洁卫生。</w:t>
      </w:r>
      <w:r/>
    </w:p>
    <w:p>
      <w:pPr>
        <w:ind w:firstLine="422"/>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9、防台抗灾</w:t>
      </w:r>
      <w:r/>
    </w:p>
    <w:p>
      <w:pPr>
        <w:ind w:firstLine="411"/>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做好夏季防台抗台工作，遇到树木斜倒时在24小时内扶正，冬季积雪达到5—6CM时保证及时组织人员进行打雪；在灾害性天气季节，严格按照应急预案执行，服从甲方的指挥和安排。</w:t>
      </w:r>
      <w:r/>
    </w:p>
    <w:p>
      <w:pPr>
        <w:ind w:firstLine="413"/>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10、绿化技能培训</w:t>
      </w:r>
      <w:r/>
    </w:p>
    <w:p>
      <w:pPr>
        <w:ind w:firstLine="411"/>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养护单位的现场养护管理人员和一线操作工人每年必</w:t>
      </w:r>
      <w:r>
        <w:rPr>
          <w:rFonts w:hint="eastAsia" w:asciiTheme="majorEastAsia" w:hAnsiTheme="majorEastAsia" w:eastAsiaTheme="majorEastAsia" w:cstheme="majorEastAsia"/>
          <w:bCs/>
          <w:color w:val="auto"/>
          <w:sz w:val="21"/>
          <w:szCs w:val="21"/>
          <w:highlight w:val="none"/>
        </w:rPr>
        <w:t xml:space="preserve">须分别参加由甲方统一组织的绿化技能培训等活动，所产生的培训等相关费用</w:t>
      </w:r>
      <w:r>
        <w:rPr>
          <w:rFonts w:hint="eastAsia" w:asciiTheme="majorEastAsia" w:hAnsiTheme="majorEastAsia" w:eastAsiaTheme="majorEastAsia" w:cstheme="majorEastAsia"/>
          <w:color w:val="auto"/>
          <w:sz w:val="21"/>
          <w:szCs w:val="21"/>
          <w:highlight w:val="none"/>
        </w:rPr>
        <w:t xml:space="preserve">应全部包含在养护费报价中。</w:t>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附件2</w:t>
      </w:r>
      <w:r/>
    </w:p>
    <w:p>
      <w:pPr>
        <w:ind w:firstLine="1533"/>
        <w:spacing w:line="4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按《苏州市城市绿地养护管理质量标准（试行）》执行，具体如下：</w:t>
      </w:r>
      <w:r/>
    </w:p>
    <w:tbl>
      <w:tblPr>
        <w:tblStyle w:val="9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793"/>
        <w:gridCol w:w="3341"/>
        <w:gridCol w:w="2850"/>
        <w:gridCol w:w="2858"/>
      </w:tblGrid>
      <w:tr>
        <w:trPr>
          <w:jc w:val="center"/>
          <w:trHeight w:val="23"/>
        </w:trPr>
        <w:tc>
          <w:tcPr>
            <w:gridSpan w:val="2"/>
            <w:tcW w:w="1219"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项目</w:t>
            </w:r>
            <w:r/>
          </w:p>
        </w:tc>
        <w:tc>
          <w:tcPr>
            <w:tcW w:w="3341"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一级养护管理质量标准</w:t>
            </w:r>
            <w:r/>
          </w:p>
        </w:tc>
        <w:tc>
          <w:tcPr>
            <w:tcW w:w="2850"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二级养护管理质量标准</w:t>
            </w:r>
            <w:r/>
          </w:p>
        </w:tc>
        <w:tc>
          <w:tcPr>
            <w:tcW w:w="2858"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三级养护管理质量标准</w:t>
            </w:r>
            <w:r/>
          </w:p>
        </w:tc>
      </w:tr>
      <w:tr>
        <w:trPr>
          <w:cantSplit/>
          <w:jc w:val="center"/>
          <w:trHeight w:val="23"/>
        </w:trPr>
        <w:tc>
          <w:tcPr>
            <w:tcW w:w="426" w:type="dxa"/>
            <w:vAlign w:val="center"/>
            <w:vMerge w:val="restart"/>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园林植物</w:t>
            </w:r>
            <w:r/>
          </w:p>
        </w:tc>
        <w:tc>
          <w:tcPr>
            <w:tcW w:w="793"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乔木</w:t>
            </w:r>
            <w:r/>
          </w:p>
        </w:tc>
        <w:tc>
          <w:tcPr>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树冠完整美观，分枝点合适，枝条粗壮，无枯枝死杈；主侧枝分布匀称、数量适宜；内膛不乱，通风透光。行道树树穴有平整盖板或种植地被植物，黄土不裸露，树穴设施完好。</w:t>
            </w:r>
            <w:r/>
          </w:p>
        </w:tc>
        <w:tc>
          <w:tcPr>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树冠基本完整，主侧枝分布均称、数量适宜、内膛不乱，通风透光。行道树树穴有平整盖板或种植地被植物，黄土基本不裸露，树穴设施基本完好。</w:t>
            </w:r>
            <w:r/>
          </w:p>
        </w:tc>
        <w:tc>
          <w:tcPr>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树冠基本正常，修剪及时，无明显枯枝死叉。分枝点合适，枝条粗壮，行道树树穴裸露黄土不明显。</w:t>
            </w:r>
            <w:r/>
          </w:p>
        </w:tc>
      </w:tr>
      <w:tr>
        <w:trPr>
          <w:cantSplit/>
          <w:jc w:val="center"/>
          <w:trHeight w:val="23"/>
        </w:trPr>
        <w:tc>
          <w:tcPr>
            <w:tcW w:w="426" w:type="dxa"/>
            <w:vAlign w:val="center"/>
            <w:vMerge w:val="continue"/>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W w:w="793"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花灌木</w:t>
            </w:r>
            <w:r/>
          </w:p>
        </w:tc>
        <w:tc>
          <w:tcPr>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适时开花，株形丰满，，枝叶茂密，无缺株，花后修剪及时合理。绿篱、色块等修剪及时整齐一致。</w:t>
            </w:r>
            <w:r/>
          </w:p>
        </w:tc>
        <w:tc>
          <w:tcPr>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花灌木开花适时、正常，花后修剪及时。绿篱、色块枝叶正常，整齐一致。</w:t>
            </w:r>
            <w:r/>
          </w:p>
        </w:tc>
        <w:tc>
          <w:tcPr>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花灌木开花适时，花后修剪及时。绿篱、色块枝叶正常。</w:t>
            </w:r>
            <w:r/>
          </w:p>
        </w:tc>
      </w:tr>
      <w:tr>
        <w:trPr>
          <w:cantSplit/>
          <w:jc w:val="center"/>
          <w:trHeight w:val="23"/>
        </w:trPr>
        <w:tc>
          <w:tcPr>
            <w:tcW w:w="426" w:type="dxa"/>
            <w:vAlign w:val="center"/>
            <w:vMerge w:val="continue"/>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bottom w:val="single" w:color="auto" w:sz="4" w:space="0"/>
            </w:tcBorders>
            <w:tcW w:w="793"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地被</w:t>
            </w:r>
            <w:r/>
          </w:p>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草坪</w:t>
            </w:r>
            <w:r/>
          </w:p>
        </w:tc>
        <w:tc>
          <w:tcPr>
            <w:tcBorders>
              <w:bottom w:val="single" w:color="auto" w:sz="4" w:space="0"/>
            </w:tcBorders>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外观整齐，边缘线清晰，生长旺盛，草根不裸露，生长季节不枯黄，修剪及时，无杂草。</w:t>
            </w:r>
            <w:r/>
          </w:p>
        </w:tc>
        <w:tc>
          <w:tcPr>
            <w:tcBorders>
              <w:bottom w:val="single" w:color="auto" w:sz="4" w:space="0"/>
            </w:tcBorders>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外观整齐一致，生长良好，修剪及时，边缘线清晰，杂草不明显。</w:t>
            </w:r>
            <w:r/>
          </w:p>
        </w:tc>
        <w:tc>
          <w:tcPr>
            <w:tcBorders>
              <w:bottom w:val="single" w:color="auto" w:sz="4" w:space="0"/>
            </w:tcBorders>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草坪及地被植物外观较整齐，控制杂草，及时修剪。</w:t>
            </w:r>
            <w:r/>
          </w:p>
        </w:tc>
      </w:tr>
      <w:tr>
        <w:trPr>
          <w:cantSplit/>
          <w:jc w:val="center"/>
          <w:trHeight w:val="23"/>
        </w:trPr>
        <w:tc>
          <w:tcPr>
            <w:tcW w:w="426" w:type="dxa"/>
            <w:vAlign w:val="center"/>
            <w:vMerge w:val="continue"/>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W w:w="793"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花坛</w:t>
            </w:r>
            <w:r/>
          </w:p>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花带</w:t>
            </w:r>
            <w:r/>
          </w:p>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草花</w:t>
            </w:r>
            <w:r/>
          </w:p>
        </w:tc>
        <w:tc>
          <w:tcPr>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花卉生长健壮，色彩鲜艳，株行距适宜，花期整齐，图案清晰。无缺株、倒伏，无枯枝残花（残花量不大于10％）。</w:t>
            </w:r>
            <w:r/>
          </w:p>
        </w:tc>
        <w:tc>
          <w:tcPr>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轮廓清晰，整齐美观，适时开花，无残缺。花卉生长良好，花期基本一致，无枯枝残花。</w:t>
            </w:r>
            <w:r/>
          </w:p>
        </w:tc>
        <w:tc>
          <w:tcPr>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轮廓基本清晰、整齐美观，无残缺。花卉生长基本正常，枯枝残花清除及时。</w:t>
            </w:r>
            <w:r/>
          </w:p>
        </w:tc>
      </w:tr>
      <w:tr>
        <w:trPr>
          <w:cantSplit/>
          <w:jc w:val="center"/>
          <w:trHeight w:val="23"/>
        </w:trPr>
        <w:tc>
          <w:tcPr>
            <w:tcW w:w="426" w:type="dxa"/>
            <w:vAlign w:val="center"/>
            <w:vMerge w:val="continue"/>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W w:w="793"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病虫害防治</w:t>
            </w:r>
            <w:r/>
          </w:p>
        </w:tc>
        <w:tc>
          <w:tcPr>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病虫害防治技术措施完善，管理得当，病虫害控制及时，无明显病虫害发生，无扰民事件发生。</w:t>
            </w:r>
            <w:r/>
          </w:p>
        </w:tc>
        <w:tc>
          <w:tcPr>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病虫害防治技术措施比较完善，管理基本得当，病虫害控制及时，无扰民事件发生。</w:t>
            </w:r>
            <w:r/>
          </w:p>
        </w:tc>
        <w:tc>
          <w:tcPr>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绿化养护技术措施基本完善，病虫害控制比较及时，无扰民事件发生。</w:t>
            </w:r>
            <w:r/>
          </w:p>
        </w:tc>
      </w:tr>
      <w:tr>
        <w:trPr>
          <w:jc w:val="center"/>
          <w:trHeight w:val="23"/>
        </w:trPr>
        <w:tc>
          <w:tcPr>
            <w:gridSpan w:val="2"/>
            <w:tcW w:w="1219"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设施</w:t>
            </w:r>
            <w:r/>
          </w:p>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维护</w:t>
            </w:r>
            <w:r/>
          </w:p>
        </w:tc>
        <w:tc>
          <w:tcPr>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园林建筑、雕塑喷泉、园路广场等公园绿地基础设施维护良好，桌椅、垃圾桶、井盖和指示牌等园林设施完整、安全，维护及时。</w:t>
            </w:r>
            <w:r/>
          </w:p>
        </w:tc>
        <w:tc>
          <w:tcPr>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园林建筑、雕塑喷泉、园路广场等公园绿地基础设施维护良好，桌椅、垃圾桶、井盖和指示牌等园林设施基本做到维护及时。</w:t>
            </w:r>
            <w:r/>
          </w:p>
        </w:tc>
        <w:tc>
          <w:tcPr>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公园绿地基础设施维护良好，桌椅、垃圾桶、井盖和指示牌等能维护及时，保持基本完整。</w:t>
            </w:r>
            <w:r/>
          </w:p>
        </w:tc>
      </w:tr>
      <w:tr>
        <w:trPr>
          <w:jc w:val="center"/>
          <w:trHeight w:val="23"/>
        </w:trPr>
        <w:tc>
          <w:tcPr>
            <w:gridSpan w:val="2"/>
            <w:tcW w:w="1219" w:type="dxa"/>
            <w:vAlign w:val="center"/>
            <w:textDirection w:val="lrTb"/>
            <w:noWrap w:val="false"/>
          </w:tcPr>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卫生</w:t>
            </w:r>
            <w:r/>
          </w:p>
          <w:p>
            <w:pPr>
              <w:jc w:val="cente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保洁</w:t>
            </w:r>
            <w:r/>
          </w:p>
        </w:tc>
        <w:tc>
          <w:tcPr>
            <w:tcW w:w="3341"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绿地及广场整洁，无杂物、无白色污染（树挂），对作业废弃物（如树枝、树叶、草屑等）、绿地内水面杂物，垃圾须随产随清，做到巡视保洁。</w:t>
            </w:r>
            <w:r/>
          </w:p>
        </w:tc>
        <w:tc>
          <w:tcPr>
            <w:tcW w:w="2850"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绿地及广场整洁，无杂物、无白色污染（树挂），绿化生产垃圾（如树枝、树叶、草屑等）、绿地内水面杂物须日产日清，做到保洁及时。</w:t>
            </w:r>
            <w:r/>
          </w:p>
        </w:tc>
        <w:tc>
          <w:tcPr>
            <w:tcW w:w="2858" w:type="dxa"/>
            <w:vAlign w:val="top"/>
            <w:textDirection w:val="lrTb"/>
            <w:noWrap w:val="false"/>
          </w:tcPr>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绿地及广场基本整洁，无明显杂物，无白色污染（树挂），绿化生产垃圾（如树枝、树叶、草屑等）、绿地内水面杂物应日产日清，能做到保洁及时。</w:t>
            </w:r>
            <w:r/>
          </w:p>
        </w:tc>
      </w:tr>
      <w:tr>
        <w:trPr>
          <w:jc w:val="center"/>
          <w:trHeight w:val="23"/>
        </w:trPr>
        <w:tc>
          <w:tcPr>
            <w:gridSpan w:val="2"/>
            <w:tcW w:w="1219" w:type="dxa"/>
            <w:vAlign w:val="center"/>
            <w:textDirection w:val="lrTb"/>
            <w:noWrap w:val="false"/>
          </w:tcPr>
          <w:p>
            <w:pPr>
              <w:jc w:val="cente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w:t>
            </w:r>
            <w:r/>
          </w:p>
          <w:p>
            <w:pPr>
              <w:jc w:val="cente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保护</w:t>
            </w:r>
            <w:r/>
          </w:p>
        </w:tc>
        <w:tc>
          <w:tcPr>
            <w:tcW w:w="3341" w:type="dxa"/>
            <w:vAlign w:val="top"/>
            <w:textDirection w:val="lrTb"/>
            <w:noWrap w:val="false"/>
          </w:tcPr>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绿地完整，无堆物、堆料、搭棚，树干、园林建筑、小品等上面无钉拴刻画等现象。绿地安保全天候24小时。</w:t>
            </w:r>
            <w:r/>
          </w:p>
        </w:tc>
        <w:tc>
          <w:tcPr>
            <w:tcW w:w="2850" w:type="dxa"/>
            <w:vAlign w:val="top"/>
            <w:textDirection w:val="lrTb"/>
            <w:noWrap w:val="false"/>
          </w:tcPr>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绿地完整，无堆物、堆料、搭棚，树干、园林建筑、小品等上面无钉拴刻画等现象。绿地安保全天候24小时。</w:t>
            </w:r>
            <w:r/>
          </w:p>
        </w:tc>
        <w:tc>
          <w:tcPr>
            <w:tcW w:w="2858" w:type="dxa"/>
            <w:vAlign w:val="top"/>
            <w:textDirection w:val="lrTb"/>
            <w:noWrap w:val="false"/>
          </w:tcPr>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绿地完整，无明显堆物、堆料、搭棚、树干、园林建筑、小品等上面无钉拴刻画等现象。绿地安保全天候24小时。</w:t>
            </w:r>
            <w:r/>
          </w:p>
        </w:tc>
      </w:tr>
    </w:tbl>
    <w:p>
      <w:pP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br w:type="page" w:clear="all"/>
      </w:r>
      <w:r>
        <w:rPr>
          <w:rFonts w:hint="eastAsia" w:asciiTheme="majorEastAsia" w:hAnsiTheme="majorEastAsia" w:eastAsiaTheme="majorEastAsia" w:cstheme="majorEastAsia"/>
          <w:b/>
          <w:color w:val="auto"/>
          <w:sz w:val="21"/>
          <w:szCs w:val="21"/>
          <w:highlight w:val="none"/>
        </w:rPr>
        <w:t xml:space="preserve">附件3</w:t>
      </w:r>
      <w:r/>
    </w:p>
    <w:p>
      <w:pPr>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吴中区园林绿化养护管理考核办法&lt;试行&gt;</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为稳步推进我区园林绿化养护管理机制改革，明确园林绿化养护管理标准，保证我区园林绿化养护质量稳中有升，根据《江苏省城市绿化管理条例》、《江苏省城市园林绿化养护管理规范及分级标准》和相关规定，结合我区实际情况，制定本办法。</w:t>
      </w:r>
      <w:r/>
    </w:p>
    <w:p>
      <w:pPr>
        <w:numPr>
          <w:ilvl w:val="0"/>
          <w:numId w:val="5"/>
        </w:numPr>
        <w:ind w:left="1361"/>
        <w:spacing w:line="360" w:lineRule="auto"/>
        <w:shd w:val="clear" w:color="auto" w:fil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适用范围</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苏州市吴中区住房和城乡建设局（吴中区地震局、吴中区园林和绿化管理局）（以下简称“区住建局”）所管辖绿地的养护管理工作适用本办法。</w:t>
      </w:r>
      <w:r/>
    </w:p>
    <w:p>
      <w:pPr>
        <w:numPr>
          <w:ilvl w:val="0"/>
          <w:numId w:val="5"/>
        </w:numPr>
        <w:ind w:left="1361"/>
        <w:spacing w:line="360" w:lineRule="auto"/>
        <w:shd w:val="clear" w:color="auto" w:fil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考核方式和依据  </w:t>
      </w:r>
      <w:r/>
    </w:p>
    <w:p>
      <w:pPr>
        <w:ind w:firstLine="420"/>
        <w:spacing w:line="360" w:lineRule="auto"/>
        <w:shd w:val="clear" w:color="auto" w:fil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（一）月度考核方式和依据</w:t>
      </w:r>
      <w:r/>
    </w:p>
    <w:p>
      <w:pPr>
        <w:ind w:firstLine="420"/>
        <w:jc w:val="left"/>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月度考核包括日常考核和专项考核。考核评分依据《吴中区园林绿化养护管理考核评分细则》、《吴中区园林绿化养护管理专项考核评分细则》（附件1、2）。</w:t>
      </w:r>
      <w:r/>
    </w:p>
    <w:p>
      <w:pPr>
        <w:ind w:firstLine="420"/>
        <w:jc w:val="left"/>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月度考核分数=日常考核分数×80%+专项考核（施肥、冬管）分数×20%-直接扣分分数。</w:t>
      </w:r>
      <w:r/>
    </w:p>
    <w:p>
      <w:pPr>
        <w:ind w:firstLine="420"/>
        <w:jc w:val="left"/>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当月若无专项考核，月度考核分数=日常考核分数</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日常考核：区住建局每月集中考核考核一次，按考核标准扣分；市民投诉、便民中心、媒体等渠道反映的问题，按考核标准扣分，超时未整改双倍扣分；区住建局日常巡查和第三方监理平时巡查发现的问题及时整改不扣分，超时整改双倍扣分；任何整改单超时5个工作日仍未整改的，区住建局有权直接结案，直接结案后月基准分以85分计。</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2.直接扣分：见《吴中区园林绿化养护管理考核直接扣分细则》。</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3.专项考核：根据园林绿化养护重点，进行专项考核。包括施肥专项考核、冬管专项考核。专项考核时间由区住建局根据当月情况另行通知承包方。</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（二）年度等次评定方式和依据</w:t>
      </w:r>
      <w:r/>
    </w:p>
    <w:p>
      <w:pPr>
        <w:ind w:firstLine="63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1.年度等次评定时间段为公历年度。以承包方为单位参评。当年连续养护6个月以上的承包方可参加年度等次评定。</w:t>
      </w:r>
      <w:r/>
    </w:p>
    <w:p>
      <w:pPr>
        <w:ind w:firstLine="63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2.年度等次评定依据为年度综合得分。</w:t>
      </w:r>
      <w:r/>
    </w:p>
    <w:p>
      <w:pPr>
        <w:ind w:firstLine="63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年度综合得分=当年度月度考核得分的平均值+年度加分。</w:t>
      </w:r>
      <w:r/>
    </w:p>
    <w:p>
      <w:pPr>
        <w:ind w:firstLine="63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承接多个标段养护的承包方，年度综合得分=各标段年度综合得分的平均分。</w:t>
      </w:r>
      <w:r/>
    </w:p>
    <w:p>
      <w:pPr>
        <w:ind w:firstLine="63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3.年度加分事项</w:t>
      </w:r>
      <w:r/>
    </w:p>
    <w:p>
      <w:pPr>
        <w:ind w:firstLine="315"/>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（1）按时保质完成上级交给的突击或重大抢险任务，在年度等次评定时一次性加0.5分。</w:t>
      </w:r>
      <w:r/>
    </w:p>
    <w:p>
      <w:pPr>
        <w:ind w:firstLine="315"/>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（2）修剪、养护效果突出评为示范项目的标段，在年度等次评定时一次性加0.5分。每年第一季度公布争创示范项目及评定办法。</w:t>
      </w:r>
      <w:r/>
    </w:p>
    <w:p>
      <w:pPr>
        <w:ind w:firstLine="525"/>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三、考核结果通报及运用</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（一）月度考核</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每月底公布各标段扣分情况和扣分原因，月度考核结果于次月5日前发布在网络平台上。如有异议，需在3日内向区住建局提出，逾期视作认可。</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月度考核得分达95分及以上，不扣除当月养护费用；月度考核得分低于95分，则按照所得分数的百分比结算当月养护费用，当月养护费=（月度考核得分/100）×（中标金额/养护月数）。</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（二）年度等次评定</w:t>
      </w:r>
      <w:r/>
    </w:p>
    <w:p>
      <w:pPr>
        <w:ind w:firstLine="60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年度综合得分达95分及以上且排名前两名的企业评为A等次；其余评为B等次。</w:t>
      </w:r>
      <w:r/>
    </w:p>
    <w:p>
      <w:pPr>
        <w:ind w:firstLine="60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发生以下情况的不予评为A等次：1.当年发生重大安全事故的；2.月度考核得分有低于85分以下的；3.不配合区住建局完成突击或重大抢险任务的。</w:t>
      </w:r>
      <w:r/>
    </w:p>
    <w:p>
      <w:pPr>
        <w:ind w:firstLine="63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每年年初以发文形式公布上年度等次评定结果。</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四、直接终止合同情况</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1.</w:t>
      </w:r>
      <w:r>
        <w:rPr>
          <w:rFonts w:hint="eastAsia" w:asciiTheme="majorEastAsia" w:hAnsiTheme="majorEastAsia" w:eastAsiaTheme="majorEastAsia" w:cstheme="majorEastAsia"/>
          <w:color w:val="auto"/>
          <w:sz w:val="21"/>
          <w:szCs w:val="21"/>
          <w:highlight w:val="none"/>
        </w:rPr>
        <w:t xml:space="preserve">承包方养护期间，如有项目分包、转包现象，区住建局有权单方面终止合同，因终止合同造成的所有损失由承包方承担，且承包方</w:t>
      </w:r>
      <w:r>
        <w:rPr>
          <w:rFonts w:hint="eastAsia" w:asciiTheme="majorEastAsia" w:hAnsiTheme="majorEastAsia" w:eastAsiaTheme="majorEastAsia" w:cstheme="majorEastAsia"/>
          <w:bCs/>
          <w:color w:val="auto"/>
          <w:sz w:val="21"/>
          <w:szCs w:val="21"/>
          <w:highlight w:val="none"/>
        </w:rPr>
        <w:t xml:space="preserve">不得参与下一年度区住建局系统组织的绿化养护政府采购</w:t>
      </w:r>
      <w:r>
        <w:rPr>
          <w:rFonts w:hint="eastAsia" w:asciiTheme="majorEastAsia" w:hAnsiTheme="majorEastAsia" w:eastAsiaTheme="majorEastAsia" w:cstheme="majorEastAsia"/>
          <w:color w:val="auto"/>
          <w:sz w:val="21"/>
          <w:szCs w:val="21"/>
          <w:highlight w:val="none"/>
        </w:rPr>
        <w:t xml:space="preserve">。</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2.合同期内，</w:t>
      </w:r>
      <w:r>
        <w:rPr>
          <w:rFonts w:hint="eastAsia" w:asciiTheme="majorEastAsia" w:hAnsiTheme="majorEastAsia" w:eastAsiaTheme="majorEastAsia" w:cstheme="majorEastAsia"/>
          <w:color w:val="auto"/>
          <w:sz w:val="21"/>
          <w:szCs w:val="21"/>
          <w:highlight w:val="none"/>
        </w:rPr>
        <w:t xml:space="preserve">若在平时每月考核中累计3次及以上得分低于85分的承包方，区住建局有权单方面终止合同，因终止合同造成的所有损失由承包方承担，且承包方</w:t>
      </w:r>
      <w:r>
        <w:rPr>
          <w:rFonts w:hint="eastAsia" w:asciiTheme="majorEastAsia" w:hAnsiTheme="majorEastAsia" w:eastAsiaTheme="majorEastAsia" w:cstheme="majorEastAsia"/>
          <w:bCs/>
          <w:color w:val="auto"/>
          <w:sz w:val="21"/>
          <w:szCs w:val="21"/>
          <w:highlight w:val="none"/>
        </w:rPr>
        <w:t xml:space="preserve">不得参与下一轮区住建局系统组织的绿化养护政府采购</w:t>
      </w:r>
      <w:r>
        <w:rPr>
          <w:rFonts w:hint="eastAsia" w:asciiTheme="majorEastAsia" w:hAnsiTheme="majorEastAsia" w:eastAsiaTheme="majorEastAsia" w:cstheme="majorEastAsia"/>
          <w:color w:val="auto"/>
          <w:sz w:val="21"/>
          <w:szCs w:val="21"/>
          <w:highlight w:val="none"/>
        </w:rPr>
        <w:t xml:space="preserve">。</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五、安全保障与责任</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承包方养护过程中，采取周密的安全措施，以避免对工作人员、公众和他人人身以及财产造成损害，因承包方操作不当或养护管理不当（如蛀干害虫未及时防治，引起枝条砸落等）造成人身及其它财产损失，由承包方承担一切责任。</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六、其他</w:t>
      </w:r>
      <w:r/>
    </w:p>
    <w:p>
      <w:pPr>
        <w:ind w:firstLine="420"/>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本办法自2018年7月1日起施行。</w:t>
      </w:r>
      <w:r/>
    </w:p>
    <w:p>
      <w:pP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br w:type="page" w:clear="all"/>
      </w:r>
      <w:r/>
    </w:p>
    <w:tbl>
      <w:tblPr>
        <w:tblStyle w:val="921"/>
        <w:tblW w:w="9920" w:type="dxa"/>
        <w:tblInd w:w="0" w:type="dxa"/>
        <w:tblLayout w:type="fixed"/>
        <w:tblCellMar>
          <w:left w:w="108" w:type="dxa"/>
          <w:top w:w="0" w:type="dxa"/>
          <w:right w:w="108" w:type="dxa"/>
          <w:bottom w:w="0" w:type="dxa"/>
        </w:tblCellMar>
        <w:tblLook w:val="04A0" w:firstRow="1" w:lastRow="0" w:firstColumn="1" w:lastColumn="0" w:noHBand="0" w:noVBand="1"/>
      </w:tblPr>
      <w:tblGrid>
        <w:gridCol w:w="533"/>
        <w:gridCol w:w="949"/>
        <w:gridCol w:w="531"/>
        <w:gridCol w:w="2840"/>
        <w:gridCol w:w="654"/>
        <w:gridCol w:w="3682"/>
        <w:gridCol w:w="731"/>
      </w:tblGrid>
      <w:tr>
        <w:trPr>
          <w:trHeight w:val="343"/>
        </w:trPr>
        <w:tc>
          <w:tcPr>
            <w:gridSpan w:val="7"/>
            <w:tcBorders>
              <w:top w:val="none" w:color="000000" w:sz="4" w:space="0"/>
              <w:left w:val="none" w:color="000000" w:sz="4" w:space="0"/>
              <w:bottom w:val="single" w:color="auto" w:sz="4" w:space="0"/>
              <w:right w:val="none" w:color="000000" w:sz="4" w:space="0"/>
            </w:tcBorders>
            <w:tcW w:w="9920" w:type="dxa"/>
            <w:vAlign w:val="center"/>
            <w:textDirection w:val="lrTb"/>
            <w:noWrap w:val="false"/>
          </w:tcPr>
          <w:p>
            <w:pP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附件4</w:t>
            </w:r>
            <w:r/>
          </w:p>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吴中区园林绿化养护管理考核评分细则</w:t>
            </w:r>
            <w:r/>
          </w:p>
        </w:tc>
      </w:tr>
      <w:tr>
        <w:trPr>
          <w:trHeight w:val="692"/>
        </w:trPr>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分类</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条目</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考核内容及管护要求</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标准得分</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扣分细则</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整改时效</w:t>
            </w:r>
            <w:r/>
          </w:p>
        </w:tc>
      </w:tr>
      <w:tr>
        <w:trPr>
          <w:trHeight w:val="863"/>
        </w:trPr>
        <w:tc>
          <w:tcPr>
            <w:tcBorders>
              <w:top w:val="single" w:color="auto" w:sz="4" w:space="0"/>
              <w:left w:val="single" w:color="auto" w:sz="4" w:space="0"/>
              <w:bottom w:val="single" w:color="auto" w:sz="4" w:space="0"/>
              <w:right w:val="single" w:color="auto" w:sz="4" w:space="0"/>
            </w:tcBorders>
            <w:tcW w:w="533"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卫生保洁（10分）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每天全天候保洁，及时清理绿地、广场、园路、廊亭、假山、水体等处垃圾、杂物，无卫生死角。</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同一路段零星垃圾杂物，扣0.2分/3处；积存垃圾杂物，扣1分/处。</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30分钟</w:t>
            </w:r>
            <w:r/>
          </w:p>
        </w:tc>
      </w:tr>
      <w:tr>
        <w:trPr>
          <w:trHeight w:val="365"/>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树木、草坪修剪后枝叶，随产随清，不乱丢。</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扣1分/路段。</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60分钟</w:t>
            </w:r>
            <w:r/>
          </w:p>
        </w:tc>
      </w:tr>
      <w:tr>
        <w:trPr>
          <w:trHeight w:val="863"/>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蒙尘冲洗，适时清洗植物的叶面(桥荫下绿地应每7天清洗一次)，常年保持叶面的清洁卫生。</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叶面蒙尘扣0.5分/路段</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1天</w:t>
            </w:r>
            <w:r/>
          </w:p>
        </w:tc>
      </w:tr>
      <w:tr>
        <w:trPr>
          <w:trHeight w:val="2384"/>
        </w:trPr>
        <w:tc>
          <w:tcPr>
            <w:tcBorders>
              <w:top w:val="single" w:color="auto" w:sz="4" w:space="0"/>
              <w:left w:val="single" w:color="auto" w:sz="4" w:space="0"/>
              <w:bottom w:val="single" w:color="auto" w:sz="4" w:space="0"/>
              <w:right w:val="single" w:color="auto" w:sz="4" w:space="0"/>
            </w:tcBorders>
            <w:tcW w:w="533"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除草（18分）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绿地及时除草，保持绿地整洁。杂草高度不得高于绿化10cm或成片杂草不得大于0.2m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/路段。</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15</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jc w:val="left"/>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色块、地被：</w:t>
            </w:r>
            <w:r>
              <w:rPr>
                <w:rFonts w:hint="eastAsia" w:asciiTheme="majorEastAsia" w:hAnsiTheme="majorEastAsia" w:eastAsiaTheme="majorEastAsia" w:cstheme="majorEastAsia"/>
                <w:color w:val="auto"/>
                <w:sz w:val="21"/>
                <w:szCs w:val="21"/>
                <w:highlight w:val="none"/>
              </w:rPr>
              <w:t xml:space="preserve">杂草高度超出绿化10cm，且密度＜5%的扣1分/路段；密度介于5%-30%，扣3分/路段；密度＞30%，扣5分/路段。</w:t>
            </w:r>
            <w:r>
              <w:rPr>
                <w:rFonts w:hint="eastAsia" w:asciiTheme="majorEastAsia" w:hAnsiTheme="majorEastAsia" w:eastAsiaTheme="majorEastAsia" w:cstheme="majorEastAsia"/>
                <w:b/>
                <w:bCs/>
                <w:color w:val="auto"/>
                <w:sz w:val="21"/>
                <w:szCs w:val="21"/>
                <w:highlight w:val="none"/>
              </w:rPr>
              <w:t xml:space="preserve">草坪：</w:t>
            </w:r>
            <w:r>
              <w:rPr>
                <w:rFonts w:hint="eastAsia" w:asciiTheme="majorEastAsia" w:hAnsiTheme="majorEastAsia" w:eastAsiaTheme="majorEastAsia" w:cstheme="majorEastAsia"/>
                <w:color w:val="auto"/>
                <w:sz w:val="21"/>
                <w:szCs w:val="21"/>
                <w:highlight w:val="none"/>
              </w:rPr>
              <w:t xml:space="preserve">有杂草的区域杂草密度＜20%且成片杂草面积＞0.2m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的扣0.5分/处；密度介于20%-40%，扣3分/路段；密度＞40%，扣5分/路段。</w:t>
            </w:r>
            <w:r>
              <w:rPr>
                <w:rFonts w:hint="eastAsia" w:asciiTheme="majorEastAsia" w:hAnsiTheme="majorEastAsia" w:eastAsiaTheme="majorEastAsia" w:cstheme="majorEastAsia"/>
                <w:b/>
                <w:bCs/>
                <w:color w:val="auto"/>
                <w:sz w:val="21"/>
                <w:szCs w:val="21"/>
                <w:highlight w:val="none"/>
              </w:rPr>
              <w:t xml:space="preserve">背景林：</w:t>
            </w:r>
            <w:r>
              <w:rPr>
                <w:rFonts w:hint="eastAsia" w:asciiTheme="majorEastAsia" w:hAnsiTheme="majorEastAsia" w:eastAsiaTheme="majorEastAsia" w:cstheme="majorEastAsia"/>
                <w:color w:val="auto"/>
                <w:sz w:val="21"/>
                <w:szCs w:val="21"/>
                <w:highlight w:val="none"/>
              </w:rPr>
              <w:t xml:space="preserve">杂草高度＞20cm，扣3分/路段；杂草高度＞40cm，扣5分/路段。若有雨雪天气，雨雪停后应立即安排除草，否则按照上述标准扣分。</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2天</w:t>
            </w:r>
            <w:r/>
          </w:p>
        </w:tc>
      </w:tr>
      <w:tr>
        <w:trPr>
          <w:trHeight w:val="863"/>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经同意使用除草剂，用药后枯黄的杂草需及时清除干净。保证园林植物的安全，确保不发生药害。</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发现药害扣1分/处；药害面积大于100m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，不得分；用药后枯黄的杂草未及时清除干净的扣1分/路段。</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2天</w:t>
            </w:r>
            <w:r/>
          </w:p>
        </w:tc>
      </w:tr>
      <w:tr>
        <w:trPr>
          <w:trHeight w:val="761"/>
        </w:trPr>
        <w:tc>
          <w:tcPr>
            <w:tcBorders>
              <w:top w:val="single" w:color="auto" w:sz="4" w:space="0"/>
              <w:left w:val="single" w:color="auto" w:sz="4" w:space="0"/>
              <w:bottom w:val="single" w:color="auto" w:sz="4" w:space="0"/>
              <w:right w:val="single" w:color="auto" w:sz="4" w:space="0"/>
            </w:tcBorders>
            <w:tcW w:w="53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949"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绿地排水（5分）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绿地内积水及时排除，确保无积水。若有客观原因导致的排水不畅的，需及时上报。</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发现积水扣1分/路段（客观原因导致排水不畅已上报的除外），客观原因导致的积水提出整改方案2天内未处理的，扣1分/路段。</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2天</w:t>
            </w:r>
            <w:r/>
          </w:p>
        </w:tc>
      </w:tr>
      <w:tr>
        <w:trPr>
          <w:trHeight w:val="521"/>
        </w:trPr>
        <w:tc>
          <w:tcPr>
            <w:tcBorders>
              <w:top w:val="single" w:color="auto" w:sz="4" w:space="0"/>
              <w:left w:val="single" w:color="auto" w:sz="4" w:space="0"/>
              <w:bottom w:val="single" w:color="auto" w:sz="4" w:space="0"/>
              <w:right w:val="single" w:color="auto" w:sz="4" w:space="0"/>
            </w:tcBorders>
            <w:tcW w:w="533"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病虫防治（12分）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做好病虫害预防工作；发现病虫害应及时防治，效果明显。</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有病虫害危害症状，乔灌木扣0.5分/株；色块、草坪扣0.2分/m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1天</w:t>
            </w:r>
            <w:r/>
          </w:p>
        </w:tc>
      </w:tr>
      <w:tr>
        <w:trPr>
          <w:trHeight w:val="692"/>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使用农药严格按操作规程和有关规定进行配比，用量正确，无药害产生。</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使用不当发生药害，乔灌木扣0.5分/株；色块、草坪扣0.2分/m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1天</w:t>
            </w:r>
            <w:r/>
          </w:p>
        </w:tc>
      </w:tr>
      <w:tr>
        <w:trPr>
          <w:trHeight w:val="1034"/>
        </w:trPr>
        <w:tc>
          <w:tcPr>
            <w:tcBorders>
              <w:top w:val="single" w:color="auto" w:sz="4" w:space="0"/>
              <w:left w:val="single" w:color="auto" w:sz="4" w:space="0"/>
              <w:bottom w:val="single" w:color="auto" w:sz="4" w:space="0"/>
              <w:right w:val="single" w:color="auto" w:sz="4" w:space="0"/>
            </w:tcBorders>
            <w:tcW w:w="533"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绿化长势（35分）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9</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绿地及道路内树木无死株、断枝及明显枯枝。草坪应长势良好，无枯黄、死亡、空缺现象。</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因管护不当造成死亡或缺失（包括种菜）的，乔灌木扣1分/株，绿篱扣0.5分/m，色块及草坪扣0.5分/m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；有断枝、明显枯枝，扣0.2分/株；草坪枯黄扣0.2分/10m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修剪：   2天</w:t>
            </w:r>
            <w:r/>
          </w:p>
        </w:tc>
      </w:tr>
      <w:tr>
        <w:trPr>
          <w:trHeight w:val="1890"/>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10</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内乔灌木有缺株，绿篱及色块、草坪、草花有空缺应及时补缺，少数树种因季节不能及时补种除外。客观原因造成的缺失及时上报并制止，并在区住建局规定的时间内完成补植；主观原因造成的缺失适宜季节7天内补植。</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未经行政许可的开挖未及时上报并制止的扣3分/次，开挖面积100m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以上或被挖乔灌木10棵以上未上报并制止的扣5分/次；客观原因未在规定时间内补植的，扣2分/次；主观原因未在适宜季节7天内补植的，乔灌木扣1分/株，色块、草坪及草花扣1分/m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。草花种植密度和品种等不符合要求的，扣1分/m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，并按要求按时整改到位。</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7天</w:t>
            </w:r>
            <w:r/>
          </w:p>
        </w:tc>
      </w:tr>
      <w:tr>
        <w:trPr>
          <w:trHeight w:val="1205"/>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11</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绿地内苗木无倾斜、倒歪现象，高大乔木在大风来临时应采取防倒有效措施，因台风等灾害天气或其他事故造成树木倒伏时，应及时扶正支撑树木。</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正常情况下，绿地内有倾斜、倒伏现象，乔灌木扣0.5分/株，色块扣0.1分/m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。灾害天气或其他事故发生的倾斜、倒伏现象，未在规定时间内扶正支撑，乔灌木扣0.5分/株，色块扣0.1分/m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1天</w:t>
            </w:r>
            <w:r/>
          </w:p>
        </w:tc>
      </w:tr>
      <w:tr>
        <w:trPr>
          <w:trHeight w:val="2404"/>
        </w:trPr>
        <w:tc>
          <w:tcPr>
            <w:tcBorders>
              <w:top w:val="single" w:color="auto" w:sz="4" w:space="0"/>
              <w:left w:val="single" w:color="auto" w:sz="4" w:space="0"/>
              <w:bottom w:val="single" w:color="auto" w:sz="4" w:space="0"/>
              <w:right w:val="single" w:color="auto" w:sz="4" w:space="0"/>
            </w:tcBorders>
            <w:tcW w:w="533"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49"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整枝修剪（20分）</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12</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木修剪规范整齐，定枝、整枝合理均匀，通风透光良好；花灌木开花适时，花后修剪及时、规范；色块、绿篱适期修剪，曲线润畅，边界明显，不脱脚，不缺损，整齐平整。球类修剪圆整，与相邻色块有明显边界。机非带及人行道2米范围内乔木适时修剪，确保不妨碍通行，每次修剪提前上报。</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乔木不及时修剪的，扣0.2分/株；灌木类、色块不及时修剪的扣1分/路段。色块修剪面不直、不平，扣0.5分/路段；色块边界不清，扣0.5分/路段；球类修剪不圆整或边界不明显，扣0.1分/株。不按要求乱修剪导致的开花量减少，扣2分/株。</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2天</w:t>
            </w:r>
            <w:r/>
          </w:p>
        </w:tc>
      </w:tr>
      <w:tr>
        <w:trPr>
          <w:trHeight w:val="521"/>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13</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根据树木习性及时剥芽，确保主干、主枝营养供给。</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树木未及时剥芽，扣0.1分/株。</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1天</w:t>
            </w:r>
            <w:r/>
          </w:p>
        </w:tc>
      </w:tr>
      <w:tr>
        <w:trPr>
          <w:trHeight w:val="1376"/>
        </w:trPr>
        <w:tc>
          <w:tcPr>
            <w:tcBorders>
              <w:top w:val="single" w:color="auto" w:sz="4" w:space="0"/>
              <w:left w:val="single" w:color="auto" w:sz="4" w:space="0"/>
              <w:bottom w:val="single" w:color="auto" w:sz="4" w:space="0"/>
              <w:right w:val="single" w:color="auto" w:sz="4" w:space="0"/>
            </w:tcBorders>
            <w:tcW w:w="533"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14</w:t>
            </w:r>
            <w:r/>
          </w:p>
        </w:tc>
        <w:tc>
          <w:tcPr>
            <w:tcBorders>
              <w:top w:val="single" w:color="auto"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草坪按照1/3原则适时进行修剪，保持一定高度，修剪面平整，边角无遗留，草屑及时扫尽运出。修剪参考高度：冷季型为5-7cm，夏季6-8cm，暖季型3-5cm。</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修剪面不平，边角有遗留，扣0.1分/m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；修剪后色斑明显，扣0.1分/m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；不及时修剪，扣0.2分/m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1天</w:t>
            </w:r>
            <w:r/>
          </w:p>
        </w:tc>
      </w:tr>
      <w:tr>
        <w:trPr>
          <w:trHeight w:val="1034"/>
        </w:trPr>
        <w:tc>
          <w:tcPr>
            <w:tcBorders>
              <w:top w:val="none" w:color="000000" w:sz="4" w:space="0"/>
              <w:left w:val="single" w:color="auto" w:sz="4" w:space="0"/>
              <w:bottom w:val="single" w:color="auto" w:sz="4" w:space="0"/>
              <w:right w:val="single" w:color="auto" w:sz="4" w:space="0"/>
            </w:tcBorders>
            <w:tcW w:w="53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设施维护</w:t>
            </w:r>
            <w:r/>
          </w:p>
        </w:tc>
        <w:tc>
          <w:tcPr>
            <w:tcBorders>
              <w:top w:val="none" w:color="000000"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绿地内护栏、园路、座椅等设施应完整；新种树木2年内支撑完整，苗木稳定后及时去除支撑、铁丝、草绳、木板等保护设施。</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护栏、园路、座椅、支撑等设施缺损扣1分/处。苗木上铁丝、草绳、木板等未及时去除的扣0.5分/处。</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2天</w:t>
            </w:r>
            <w:r/>
          </w:p>
        </w:tc>
      </w:tr>
      <w:tr>
        <w:trPr>
          <w:trHeight w:val="1376"/>
        </w:trPr>
        <w:tc>
          <w:tcPr>
            <w:tcBorders>
              <w:top w:val="none" w:color="000000" w:sz="4" w:space="0"/>
              <w:left w:val="single" w:color="auto" w:sz="4" w:space="0"/>
              <w:bottom w:val="single" w:color="auto" w:sz="4" w:space="0"/>
              <w:right w:val="single" w:color="auto" w:sz="4" w:space="0"/>
            </w:tcBorders>
            <w:tcW w:w="53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949"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养护工人在岗率（100分）</w:t>
            </w:r>
            <w:r/>
          </w:p>
        </w:tc>
        <w:tc>
          <w:tcPr>
            <w:tcBorders>
              <w:top w:val="none" w:color="000000" w:sz="4" w:space="0"/>
              <w:left w:val="none" w:color="000000" w:sz="4" w:space="0"/>
              <w:bottom w:val="single" w:color="auto" w:sz="4" w:space="0"/>
              <w:right w:val="single" w:color="auto" w:sz="4" w:space="0"/>
            </w:tcBorders>
            <w:tcW w:w="53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2840"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每个标段应配备1名项目负责人和1名养护队长，每天至少1人在现场。同一承包方承接不同标段的，标段上的养护队长不得重复。养护工人数量要求以合同要求为准。</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3682"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项目负责人或者养护队长配备不达标的，扣20分/人；未在岗的，扣10分/人。按未在岗人数占应在岗人数的比例扣分。</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0天</w:t>
            </w:r>
            <w:r/>
          </w:p>
        </w:tc>
      </w:tr>
      <w:tr>
        <w:trPr>
          <w:trHeight w:val="205"/>
        </w:trPr>
        <w:tc>
          <w:tcPr>
            <w:gridSpan w:val="4"/>
            <w:tcBorders>
              <w:top w:val="single" w:color="auto" w:sz="4" w:space="0"/>
              <w:left w:val="single" w:color="auto" w:sz="4" w:space="0"/>
              <w:bottom w:val="single" w:color="auto" w:sz="4" w:space="0"/>
              <w:right w:val="single" w:color="000000" w:sz="4" w:space="0"/>
            </w:tcBorders>
            <w:tcW w:w="4853"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总计</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3682"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　</w:t>
            </w:r>
            <w:r/>
          </w:p>
        </w:tc>
      </w:tr>
      <w:tr>
        <w:trPr>
          <w:trHeight w:val="554"/>
        </w:trPr>
        <w:tc>
          <w:tcPr>
            <w:gridSpan w:val="7"/>
            <w:tcBorders>
              <w:top w:val="none" w:color="000000" w:sz="4" w:space="0"/>
              <w:left w:val="none" w:color="000000" w:sz="4" w:space="0"/>
              <w:bottom w:val="none" w:color="000000" w:sz="4" w:space="0"/>
              <w:right w:val="none" w:color="000000" w:sz="4" w:space="0"/>
            </w:tcBorders>
            <w:tcW w:w="9920"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备注1：不按要求乱修剪导致的树形多年不能成冠的，在规定时间内更换同规格苗木；若未在住建局规定时间内更换，住建局有权安排第三方进行种植，费用从原承包方保证金中扣除。</w:t>
            </w:r>
            <w:r/>
          </w:p>
        </w:tc>
      </w:tr>
      <w:tr>
        <w:trPr>
          <w:trHeight w:val="343"/>
        </w:trPr>
        <w:tc>
          <w:tcPr>
            <w:gridSpan w:val="7"/>
            <w:tcBorders>
              <w:top w:val="none" w:color="000000" w:sz="4" w:space="0"/>
              <w:left w:val="none" w:color="000000" w:sz="4" w:space="0"/>
              <w:bottom w:val="none" w:color="000000" w:sz="4" w:space="0"/>
              <w:right w:val="none" w:color="000000" w:sz="4" w:space="0"/>
            </w:tcBorders>
            <w:tcW w:w="9920"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备注2：路段为相邻的两个道路红绿灯中间距离，若一个路段超过800米，则以800米计一个路段。</w:t>
            </w:r>
            <w:r/>
          </w:p>
        </w:tc>
      </w:tr>
    </w:tbl>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br w:type="page" w:clear="all"/>
      </w:r>
      <w:r/>
    </w:p>
    <w:tbl>
      <w:tblPr>
        <w:tblStyle w:val="921"/>
        <w:tblW w:w="10080" w:type="dxa"/>
        <w:tblInd w:w="0" w:type="dxa"/>
        <w:tblLayout w:type="fixed"/>
        <w:tblCellMar>
          <w:left w:w="108" w:type="dxa"/>
          <w:top w:w="0" w:type="dxa"/>
          <w:right w:w="108" w:type="dxa"/>
          <w:bottom w:w="0" w:type="dxa"/>
        </w:tblCellMar>
        <w:tblLook w:val="04A0" w:firstRow="1" w:lastRow="0" w:firstColumn="1" w:lastColumn="0" w:noHBand="0" w:noVBand="1"/>
      </w:tblPr>
      <w:tblGrid>
        <w:gridCol w:w="612"/>
        <w:gridCol w:w="9468"/>
      </w:tblGrid>
      <w:tr>
        <w:trPr>
          <w:trHeight w:val="793"/>
        </w:trPr>
        <w:tc>
          <w:tcPr>
            <w:gridSpan w:val="2"/>
            <w:tcBorders>
              <w:top w:val="none" w:color="000000" w:sz="4" w:space="0"/>
              <w:left w:val="none" w:color="000000" w:sz="4" w:space="0"/>
              <w:bottom w:val="none" w:color="000000" w:sz="4" w:space="0"/>
              <w:right w:val="none" w:color="000000" w:sz="4" w:space="0"/>
            </w:tcBorders>
            <w:tcW w:w="10080"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吴中区园林绿化养护管理考核直接扣分细则</w:t>
            </w:r>
            <w:r/>
          </w:p>
        </w:tc>
      </w:tr>
      <w:tr>
        <w:trPr>
          <w:trHeight w:val="533"/>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9468"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扣分细则</w:t>
            </w:r>
            <w:r/>
          </w:p>
        </w:tc>
      </w:tr>
      <w:tr>
        <w:trPr>
          <w:trHeight w:val="558"/>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养护单位项目负责人、现场负责人、资料员等应按区住建局要求准时参加会议，缺席一次在月度考核得分中直接扣3分/人次，迟到一次扣2分/人次。</w:t>
            </w:r>
            <w:r/>
          </w:p>
        </w:tc>
      </w:tr>
      <w:tr>
        <w:trPr>
          <w:trHeight w:val="587"/>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现场负责人在养护标段内的工作时间不少于5小时/工作日，未满5小时，在月度考核得分中直接扣1分/工作日。</w:t>
            </w:r>
            <w:r/>
          </w:p>
        </w:tc>
      </w:tr>
      <w:tr>
        <w:trPr>
          <w:trHeight w:val="875"/>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单位应在工作日17点前上报养护日志，未按时报送的，在月度考核得分中直接扣1分/次，养护日志不符合要求的，扣1分/次；养护单位应在每月28日前报送下月养护计划和本月养护总结，未按时报送的，在月度考核得分中直接扣3分/次。</w:t>
            </w:r>
            <w:r/>
          </w:p>
        </w:tc>
      </w:tr>
      <w:tr>
        <w:trPr>
          <w:trHeight w:val="558"/>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现场负责人应每日巡查全部养护标段，区住建局对现场负责人巡查轨迹进行抽查，未巡查到位的扣1分/工作日。</w:t>
            </w:r>
            <w:r/>
          </w:p>
        </w:tc>
      </w:tr>
      <w:tr>
        <w:trPr>
          <w:trHeight w:val="587"/>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“吴中绿化”APP中发出的整改单不得无故驳回、反复驳回，无合理理由或反复驳回整改单的，扣3分/次。</w:t>
            </w:r>
            <w:r/>
          </w:p>
        </w:tc>
      </w:tr>
      <w:tr>
        <w:trPr>
          <w:trHeight w:val="587"/>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养护单位应及时查看“吴中绿化”APP发出的整改单，按期整改到位。超过整改期限5个工作日，区住建局有权直接结案，直接结案后月基准分以85分计。</w:t>
            </w:r>
            <w:r/>
          </w:p>
        </w:tc>
      </w:tr>
      <w:tr>
        <w:trPr>
          <w:trHeight w:val="313"/>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不执行区住建局安排的紧急任务的，扣5分/次。</w:t>
            </w:r>
            <w:r/>
          </w:p>
        </w:tc>
      </w:tr>
      <w:tr>
        <w:trPr>
          <w:trHeight w:val="322"/>
        </w:trPr>
        <w:tc>
          <w:tcPr>
            <w:tcBorders>
              <w:top w:val="none" w:color="000000" w:sz="4" w:space="0"/>
              <w:left w:val="single" w:color="auto" w:sz="4" w:space="0"/>
              <w:bottom w:val="single" w:color="auto" w:sz="4" w:space="0"/>
              <w:right w:val="single" w:color="auto" w:sz="4" w:space="0"/>
            </w:tcBorders>
            <w:tcW w:w="612" w:type="dxa"/>
            <w:vAlign w:val="bottom"/>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9468"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其他区住建局认为应该扣分的情形可酌情扣分。</w:t>
            </w:r>
            <w:r/>
          </w:p>
        </w:tc>
      </w:tr>
    </w:tbl>
    <w:p>
      <w:pP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33"/>
        <w:ind w:firstLine="482"/>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33"/>
        <w:ind w:firstLine="482"/>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33"/>
        <w:ind w:firstLine="482"/>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33"/>
        <w:ind w:firstLine="482"/>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3"/>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br w:type="page" w:clear="all"/>
      </w:r>
      <w:r>
        <w:rPr>
          <w:rFonts w:hint="eastAsia" w:asciiTheme="majorEastAsia" w:hAnsiTheme="majorEastAsia" w:eastAsiaTheme="majorEastAsia" w:cstheme="majorEastAsia"/>
          <w:b/>
          <w:color w:val="auto"/>
          <w:sz w:val="21"/>
          <w:szCs w:val="21"/>
          <w:highlight w:val="none"/>
        </w:rPr>
        <w:t xml:space="preserve">附件5</w:t>
      </w:r>
      <w:r/>
    </w:p>
    <w:p>
      <w:pPr>
        <w:ind w:firstLine="502"/>
        <w:jc w:val="center"/>
        <w:spacing w:line="360" w:lineRule="auto"/>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吴中区园林绿化养护管理专项考核评分细则</w:t>
      </w:r>
      <w:r/>
    </w:p>
    <w:tbl>
      <w:tblPr>
        <w:tblStyle w:val="921"/>
        <w:tblW w:w="9840" w:type="dxa"/>
        <w:tblInd w:w="0" w:type="dxa"/>
        <w:tblLayout w:type="fixed"/>
        <w:tblCellMar>
          <w:left w:w="108" w:type="dxa"/>
          <w:top w:w="0" w:type="dxa"/>
          <w:right w:w="108" w:type="dxa"/>
          <w:bottom w:w="0" w:type="dxa"/>
        </w:tblCellMar>
        <w:tblLook w:val="04A0" w:firstRow="1" w:lastRow="0" w:firstColumn="1" w:lastColumn="0" w:noHBand="0" w:noVBand="1"/>
      </w:tblPr>
      <w:tblGrid>
        <w:gridCol w:w="492"/>
        <w:gridCol w:w="1521"/>
        <w:gridCol w:w="492"/>
        <w:gridCol w:w="3386"/>
        <w:gridCol w:w="573"/>
        <w:gridCol w:w="3376"/>
      </w:tblGrid>
      <w:tr>
        <w:trPr>
          <w:trHeight w:val="447"/>
        </w:trPr>
        <w:tc>
          <w:tcPr>
            <w:gridSpan w:val="6"/>
            <w:tcBorders>
              <w:top w:val="none" w:color="000000" w:sz="4" w:space="0"/>
              <w:left w:val="none" w:color="000000" w:sz="4" w:space="0"/>
              <w:bottom w:val="single" w:color="auto" w:sz="4" w:space="0"/>
              <w:right w:val="none" w:color="000000" w:sz="4" w:space="0"/>
            </w:tcBorders>
            <w:tcW w:w="9840" w:type="dxa"/>
            <w:vAlign w:val="center"/>
            <w:textDirection w:val="lrTb"/>
            <w:noWrap/>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一、施肥 （20%）</w:t>
            </w:r>
            <w:r/>
          </w:p>
        </w:tc>
      </w:tr>
      <w:tr>
        <w:trPr>
          <w:trHeight w:val="1002"/>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序号</w:t>
            </w:r>
            <w:r/>
          </w:p>
        </w:tc>
        <w:tc>
          <w:tcPr>
            <w:tcBorders>
              <w:top w:val="none" w:color="000000" w:sz="4" w:space="0"/>
              <w:left w:val="none" w:color="000000" w:sz="4" w:space="0"/>
              <w:bottom w:val="single" w:color="auto" w:sz="4" w:space="0"/>
              <w:right w:val="single" w:color="auto" w:sz="4" w:space="0"/>
            </w:tcBorders>
            <w:tcW w:w="1521"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分类</w:t>
            </w:r>
            <w:r/>
          </w:p>
        </w:tc>
        <w:tc>
          <w:tcPr>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条目</w:t>
            </w:r>
            <w:r/>
          </w:p>
        </w:tc>
        <w:tc>
          <w:tcPr>
            <w:tcBorders>
              <w:top w:val="none" w:color="000000" w:sz="4" w:space="0"/>
              <w:left w:val="none" w:color="000000" w:sz="4" w:space="0"/>
              <w:bottom w:val="single" w:color="auto" w:sz="4" w:space="0"/>
              <w:right w:val="single" w:color="auto" w:sz="4" w:space="0"/>
            </w:tcBorders>
            <w:tcW w:w="3386"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考核内容及管护要求</w:t>
            </w:r>
            <w:r/>
          </w:p>
        </w:tc>
        <w:tc>
          <w:tcPr>
            <w:tcBorders>
              <w:top w:val="none" w:color="000000"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标准得分</w:t>
            </w:r>
            <w:r/>
          </w:p>
        </w:tc>
        <w:tc>
          <w:tcPr>
            <w:tcBorders>
              <w:top w:val="none" w:color="000000" w:sz="4" w:space="0"/>
              <w:left w:val="none" w:color="000000" w:sz="4" w:space="0"/>
              <w:bottom w:val="single" w:color="auto" w:sz="4" w:space="0"/>
              <w:right w:val="single" w:color="auto" w:sz="4" w:space="0"/>
            </w:tcBorders>
            <w:tcW w:w="3376"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扣分细则</w:t>
            </w:r>
            <w:r/>
          </w:p>
        </w:tc>
      </w:tr>
      <w:tr>
        <w:trPr>
          <w:trHeight w:val="1481"/>
        </w:trPr>
        <w:tc>
          <w:tcPr>
            <w:tcBorders>
              <w:top w:val="none" w:color="000000" w:sz="4" w:space="0"/>
              <w:left w:val="single" w:color="auto" w:sz="4" w:space="0"/>
              <w:bottom w:val="single" w:color="auto" w:sz="4" w:space="0"/>
              <w:right w:val="single" w:color="auto" w:sz="4" w:space="0"/>
            </w:tcBorders>
            <w:tcW w:w="492"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none" w:color="000000" w:sz="4" w:space="0"/>
              <w:left w:val="single" w:color="auto" w:sz="4" w:space="0"/>
              <w:bottom w:val="single" w:color="000000" w:sz="4" w:space="0"/>
              <w:right w:val="single" w:color="auto" w:sz="4" w:space="0"/>
            </w:tcBorders>
            <w:tcW w:w="1521" w:type="dxa"/>
            <w:vAlign w:val="center"/>
            <w:vMerge w:val="restart"/>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施肥（100分）</w:t>
            </w:r>
            <w:r/>
          </w:p>
        </w:tc>
        <w:tc>
          <w:tcPr>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386"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按要求及时施肥，规范操作，施肥前及时上报。绿地每年冬季、春季及春末夏初施肥3次。果岭草每年1月、5月、10月共施肥3次。施肥量参考标准15-20g/m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90</w:t>
            </w:r>
            <w:r/>
          </w:p>
        </w:tc>
        <w:tc>
          <w:tcPr>
            <w:tcBorders>
              <w:top w:val="none" w:color="000000" w:sz="4" w:space="0"/>
              <w:left w:val="none" w:color="000000" w:sz="4" w:space="0"/>
              <w:bottom w:val="single" w:color="auto" w:sz="4" w:space="0"/>
              <w:right w:val="single" w:color="auto" w:sz="4" w:space="0"/>
            </w:tcBorders>
            <w:tcW w:w="3376"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未上报不得分；不按规定及时施肥，扣10分/路段；偷工减料，发现一次扣10分。扣满为止。</w:t>
            </w:r>
            <w:r/>
          </w:p>
        </w:tc>
      </w:tr>
      <w:tr>
        <w:trPr>
          <w:trHeight w:val="743"/>
        </w:trPr>
        <w:tc>
          <w:tcPr>
            <w:tcBorders>
              <w:top w:val="none" w:color="000000" w:sz="4" w:space="0"/>
              <w:left w:val="single" w:color="auto" w:sz="4" w:space="0"/>
              <w:bottom w:val="single" w:color="auto" w:sz="4" w:space="0"/>
              <w:right w:val="single" w:color="auto" w:sz="4" w:space="0"/>
            </w:tcBorders>
            <w:tcW w:w="492"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1521" w:type="dxa"/>
            <w:vAlign w:val="center"/>
            <w:vMerge w:val="continue"/>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386"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施肥方法适当，用量合理，不产生肥害。</w:t>
            </w:r>
            <w:r/>
          </w:p>
        </w:tc>
        <w:tc>
          <w:tcPr>
            <w:tcBorders>
              <w:top w:val="none" w:color="000000"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3376"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如发生肥害，扣1分/处；面积大于100m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，不得分。</w:t>
            </w:r>
            <w:r/>
          </w:p>
        </w:tc>
      </w:tr>
      <w:tr>
        <w:trPr>
          <w:trHeight w:val="465"/>
        </w:trPr>
        <w:tc>
          <w:tcPr>
            <w:gridSpan w:val="6"/>
            <w:tcBorders>
              <w:top w:val="none" w:color="000000" w:sz="4" w:space="0"/>
              <w:left w:val="none" w:color="000000" w:sz="4" w:space="0"/>
              <w:bottom w:val="single" w:color="auto" w:sz="4" w:space="0"/>
              <w:right w:val="none" w:color="000000" w:sz="4" w:space="0"/>
            </w:tcBorders>
            <w:tcW w:w="9840" w:type="dxa"/>
            <w:vAlign w:val="center"/>
            <w:textDirection w:val="lrTb"/>
            <w:noWrap/>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二、冬管（ 20%）</w:t>
            </w:r>
            <w:r/>
          </w:p>
        </w:tc>
      </w:tr>
      <w:tr>
        <w:trPr>
          <w:trHeight w:val="1002"/>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序号</w:t>
            </w:r>
            <w:r/>
          </w:p>
        </w:tc>
        <w:tc>
          <w:tcPr>
            <w:tcBorders>
              <w:top w:val="none" w:color="000000" w:sz="4" w:space="0"/>
              <w:left w:val="none" w:color="000000" w:sz="4" w:space="0"/>
              <w:bottom w:val="single" w:color="auto" w:sz="4" w:space="0"/>
              <w:right w:val="single" w:color="auto" w:sz="4" w:space="0"/>
            </w:tcBorders>
            <w:tcW w:w="1521"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分类</w:t>
            </w:r>
            <w:r/>
          </w:p>
        </w:tc>
        <w:tc>
          <w:tcPr>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条目</w:t>
            </w:r>
            <w:r/>
          </w:p>
        </w:tc>
        <w:tc>
          <w:tcPr>
            <w:tcBorders>
              <w:top w:val="none" w:color="000000" w:sz="4" w:space="0"/>
              <w:left w:val="none" w:color="000000" w:sz="4" w:space="0"/>
              <w:bottom w:val="single" w:color="auto" w:sz="4" w:space="0"/>
              <w:right w:val="single" w:color="auto" w:sz="4" w:space="0"/>
            </w:tcBorders>
            <w:tcW w:w="3386"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考核内容及管护要求</w:t>
            </w:r>
            <w:r/>
          </w:p>
        </w:tc>
        <w:tc>
          <w:tcPr>
            <w:tcBorders>
              <w:top w:val="none" w:color="000000"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标准得分</w:t>
            </w:r>
            <w:r/>
          </w:p>
        </w:tc>
        <w:tc>
          <w:tcPr>
            <w:tcBorders>
              <w:top w:val="none" w:color="000000" w:sz="4" w:space="0"/>
              <w:left w:val="none" w:color="000000" w:sz="4" w:space="0"/>
              <w:bottom w:val="single" w:color="auto" w:sz="4" w:space="0"/>
              <w:right w:val="single" w:color="auto" w:sz="4" w:space="0"/>
            </w:tcBorders>
            <w:tcW w:w="3376" w:type="dxa"/>
            <w:vAlign w:val="center"/>
            <w:textDirection w:val="lrTb"/>
            <w:noWrap w:val="false"/>
          </w:tcPr>
          <w:p>
            <w:pPr>
              <w:jc w:val="center"/>
              <w:shd w:val="clear" w:color="auto" w:fill="auto"/>
              <w:widowControl/>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 xml:space="preserve">扣分细则</w:t>
            </w:r>
            <w:r/>
          </w:p>
        </w:tc>
      </w:tr>
      <w:tr>
        <w:trPr>
          <w:trHeight w:val="1253"/>
        </w:trPr>
        <w:tc>
          <w:tcPr>
            <w:tcBorders>
              <w:top w:val="none" w:color="000000" w:sz="4" w:space="0"/>
              <w:left w:val="single" w:color="auto"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2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松土（30分）</w:t>
            </w:r>
            <w:r/>
          </w:p>
        </w:tc>
        <w:tc>
          <w:tcPr>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386"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绿地内植物根部周围土壤应保持疏松，松土深度以不伤根系生长为宜。埋土过深的表层要扒土，埋土过浅致根系裸露的要填土。</w:t>
            </w:r>
            <w:r/>
          </w:p>
        </w:tc>
        <w:tc>
          <w:tcPr>
            <w:tcBorders>
              <w:top w:val="none" w:color="000000"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3376"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绿地内树穴、地被土壤板结，不疏松，未松土的，扣5分/路段。</w:t>
            </w:r>
            <w:r/>
          </w:p>
        </w:tc>
      </w:tr>
      <w:tr>
        <w:trPr>
          <w:trHeight w:val="2211"/>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52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切边沟（30分）</w:t>
            </w:r>
            <w:r/>
          </w:p>
        </w:tc>
        <w:tc>
          <w:tcPr>
            <w:tcBorders>
              <w:top w:val="single" w:color="auto"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3386"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穴整修，乔木树穴直径不得小于1m，灌木树穴直径不得小于0.6m；草坪内树穴与绿篱及时切边，草坪与树木、绿篱、草花应有分隔沟。切边和分隔沟应流畅圆润，其内种植土应细碎平整。切边沟在树木根部外20-50cm处切边或留出积水穴，深度以10-20cm为宜。</w:t>
            </w:r>
            <w:r/>
          </w:p>
        </w:tc>
        <w:tc>
          <w:tcPr>
            <w:tcBorders>
              <w:top w:val="single" w:color="auto"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3376"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树穴、绿篱等不及时切边，草坪与树木、绿篱、草花等无明显分隔沟扣5分/路段。树穴整修及切边沟未达标准的，扣3分/路段。</w:t>
            </w:r>
            <w:r/>
          </w:p>
        </w:tc>
      </w:tr>
      <w:tr>
        <w:trPr>
          <w:trHeight w:val="2698"/>
        </w:trPr>
        <w:tc>
          <w:tcPr>
            <w:tcBorders>
              <w:top w:val="single" w:color="auto" w:sz="4" w:space="0"/>
              <w:left w:val="single" w:color="auto"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521"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涂白（40分）</w:t>
            </w:r>
            <w:r/>
          </w:p>
        </w:tc>
        <w:tc>
          <w:tcPr>
            <w:tcBorders>
              <w:top w:val="single" w:color="auto" w:sz="4" w:space="0"/>
              <w:left w:val="none" w:color="000000" w:sz="4" w:space="0"/>
              <w:bottom w:val="single" w:color="auto" w:sz="4" w:space="0"/>
              <w:right w:val="single" w:color="auto" w:sz="4" w:space="0"/>
            </w:tcBorders>
            <w:tcW w:w="492"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3386" w:type="dxa"/>
            <w:vAlign w:val="center"/>
            <w:textDirection w:val="lrTb"/>
            <w:noWrap w:val="false"/>
          </w:tcPr>
          <w:p>
            <w:pP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及时涂白，涂白高度一致，乔木及行道树涂白高度1.3米，灌木涂白高度0.4米；结合涂白及时清理消灭越冬虫蛹、虫茧及有关病原体。涂白剂参考配方：生石灰8kg、硫磺1kg、食盐1kg、动（植）物油0.1kg、热水18kg。先用热水将生石灰与食盐溶化，然后将石灰乳和食盐水混合，加入硫磺和油脂充分搅匀即成。</w:t>
            </w:r>
            <w:r/>
          </w:p>
        </w:tc>
        <w:tc>
          <w:tcPr>
            <w:tcBorders>
              <w:top w:val="single" w:color="auto" w:sz="4" w:space="0"/>
              <w:left w:val="none" w:color="000000" w:sz="4" w:space="0"/>
              <w:bottom w:val="single" w:color="auto" w:sz="4" w:space="0"/>
              <w:right w:val="single" w:color="auto" w:sz="4" w:space="0"/>
            </w:tcBorders>
            <w:tcW w:w="573" w:type="dxa"/>
            <w:vAlign w:val="center"/>
            <w:textDirection w:val="lrTb"/>
            <w:noWrap w:val="false"/>
          </w:tcPr>
          <w:p>
            <w:pPr>
              <w:jc w:val="center"/>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40</w:t>
            </w:r>
            <w:r/>
          </w:p>
        </w:tc>
        <w:tc>
          <w:tcPr>
            <w:tcBorders>
              <w:top w:val="single" w:color="auto" w:sz="4" w:space="0"/>
              <w:left w:val="none" w:color="000000" w:sz="4" w:space="0"/>
              <w:bottom w:val="single" w:color="auto" w:sz="4" w:space="0"/>
              <w:right w:val="single" w:color="auto" w:sz="4" w:space="0"/>
            </w:tcBorders>
            <w:tcW w:w="3376"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树木不涂白，扣5分/路段；涂白高度不一致的扣3分/路段。</w:t>
            </w:r>
            <w:r/>
          </w:p>
        </w:tc>
      </w:tr>
      <w:tr>
        <w:trPr>
          <w:trHeight w:val="505"/>
        </w:trPr>
        <w:tc>
          <w:tcPr>
            <w:gridSpan w:val="6"/>
            <w:tcBorders>
              <w:top w:val="none" w:color="000000" w:sz="4" w:space="0"/>
              <w:left w:val="none" w:color="000000" w:sz="4" w:space="0"/>
              <w:bottom w:val="none" w:color="000000" w:sz="4" w:space="0"/>
              <w:right w:val="none" w:color="000000" w:sz="4" w:space="0"/>
            </w:tcBorders>
            <w:tcW w:w="9840" w:type="dxa"/>
            <w:vAlign w:val="center"/>
            <w:textDirection w:val="lrTb"/>
            <w:noWrap w:val="false"/>
          </w:tcPr>
          <w:p>
            <w:pPr>
              <w:jc w:val="lef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备注1：路段为相邻的两个道路红绿灯中间距离，若一个路段超过800米，则以800米计一个路段。</w:t>
            </w:r>
            <w:r/>
          </w:p>
        </w:tc>
      </w:tr>
    </w:tbl>
    <w:p>
      <w:pPr>
        <w:pStyle w:val="929"/>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r>
      <w:r/>
    </w:p>
    <w:p>
      <w:pPr>
        <w:pStyle w:val="929"/>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br w:type="page" w:clear="all"/>
      </w:r>
      <w:r>
        <w:rPr>
          <w:rFonts w:hint="eastAsia" w:asciiTheme="majorEastAsia" w:hAnsiTheme="majorEastAsia" w:eastAsiaTheme="majorEastAsia" w:cstheme="majorEastAsia"/>
          <w:b/>
          <w:color w:val="auto"/>
          <w:sz w:val="21"/>
          <w:szCs w:val="21"/>
          <w:highlight w:val="none"/>
        </w:rPr>
        <w:t xml:space="preserve">附件6</w:t>
      </w:r>
      <w:r/>
    </w:p>
    <w:p>
      <w:pPr>
        <w:jc w:val="cente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吴中区园林绿化移交管理操作规程</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为进一步提高我区园林绿化移交工作规范化与制度化水平，参照《园林绿化工程施工及验收规范》（CJJ 82-2012）、《江苏省城市园林绿化植物养护管理规范》并结合实际情况，制定出本操作规程。</w:t>
      </w:r>
      <w:r/>
    </w:p>
    <w:p>
      <w:pPr>
        <w:pStyle w:val="945"/>
        <w:numPr>
          <w:ilvl w:val="0"/>
          <w:numId w:val="6"/>
        </w:num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适用范围</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1.吴政办﹝2015﹞34号中规定的区级主要道路和中心城区的绿化工程项目和绿化养护项目。</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2.区政府同意移交的其它绿化工程项目和绿化养护项目。</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3.其他园林绿地养护移交可参照执行。</w:t>
      </w:r>
      <w:r/>
    </w:p>
    <w:p>
      <w:pPr>
        <w:ind w:firstLine="21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二、各部门职责</w:t>
      </w:r>
      <w:r/>
    </w:p>
    <w:p>
      <w:pPr>
        <w:pStyle w:val="945"/>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园林绿化项目建设单位或养护管理单位负责项目的移交申请，移交资料的收集、整理与报送，组织现场踏勘，指导并督促园林绿化施工企业或养护企业做好移交前的资料整理、现场核查、问题整改，现场苗木清点及正式移交工作。</w:t>
      </w:r>
      <w:r/>
    </w:p>
    <w:p>
      <w:pPr>
        <w:pStyle w:val="945"/>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吴中区住房和城乡建设局（以下简称区住建局）负责绿化项目的接收。绿化站负责核查园林绿化项目的移交资料，参与现场踏勘，对园林绿化项目现场的质量问题进行查验评估及整改后的验收评估，牵头办理移交手续，组织绿化养护项目公开招标。区住建局风景园林绿化管理科（以下简称绿化科）负责绿化项目移交资料复核，参与现场踏勘。</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3.园林绿化养护项目接收企业负责项目的现场接收，对现场苗木及设施进行清点，参与移交手续的办理。</w:t>
      </w:r>
      <w:r/>
    </w:p>
    <w:p>
      <w:pPr>
        <w:ind w:firstLine="42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4.监理企业负责对移交过程中园林绿化施工企业（养护企业）的问题整改、对交接双方企业现场苗木及设施的清点等工作进行全面监督，参与现场踏勘及移交手续的办理。</w:t>
      </w:r>
      <w:r/>
    </w:p>
    <w:p>
      <w:pPr>
        <w:ind w:firstLine="21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三、移交条件</w:t>
      </w:r>
      <w:r/>
    </w:p>
    <w:p>
      <w:pPr>
        <w:pStyle w:val="945"/>
        <w:numPr>
          <w:ilvl w:val="0"/>
          <w:numId w:val="7"/>
        </w:num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园林绿化工程项目移交应同时具备以下条件：</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1.绿化工程与绿化附属工程通过竣工验收。</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2.绿化工程与绿化附属工程养护期满，功能完善，配套齐全，符合对外开放条件，无安全隐患</w:t>
      </w:r>
      <w:r>
        <w:rPr>
          <w:rFonts w:hint="eastAsia" w:asciiTheme="majorEastAsia" w:hAnsiTheme="majorEastAsia" w:eastAsiaTheme="majorEastAsia" w:cstheme="majorEastAsia"/>
          <w:color w:val="auto"/>
          <w:sz w:val="21"/>
          <w:szCs w:val="21"/>
          <w:highlight w:val="none"/>
        </w:rPr>
        <w:t xml:space="preserve">。</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3.图纸资料齐全、规范。包括用地红线图、施工图、竣工资料（总平图、地下管线综合图、工程结算等）、工程审计清单等工程资料。</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4.质量缺陷问题处理符合要求。</w:t>
      </w:r>
      <w:r/>
    </w:p>
    <w:p>
      <w:pPr>
        <w:pStyle w:val="945"/>
        <w:numPr>
          <w:ilvl w:val="0"/>
          <w:numId w:val="7"/>
        </w:num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园林绿化养护项目移交应同时具备下列条件：</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1.养护绿地及附属设施已按养护合同要求完成养护任务。</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2.养护资料齐全、规范。包括用地红线图、竣工图、上一轮移交项目清单复印件、中标通知书等。</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3.养护项目缺陷问题处理符合要求。</w:t>
      </w:r>
      <w:r/>
    </w:p>
    <w:p>
      <w:pPr>
        <w:ind w:firstLine="21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四、移交流程</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（一）资料提交。</w:t>
      </w:r>
      <w:r/>
    </w:p>
    <w:p>
      <w:pPr>
        <w:ind w:firstLine="743"/>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绿化工程建设单位或养护管理单位在项目移交前6个月填写《吴中区园林绿化项目移交申请表》，并向绿化站提交相关资料。绿化站在10个工作日内对提交的资料予以审核确认，资料不全或不符合要求的，由项目建设单位或养护管理单位及时补充完善。2.园林绿化工程建设单位或养护管理单位向绿化科提交经绿化站审核通过的绿化工程相关资料。</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（二）确定接收企业。</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移交绿地面积较小，由绿化站按照方便管理的原则，纳入邻近标段养护。移交绿地面积较大，绿化站在审核确认园林绿化工程建设单位或养护管理单位提交的移交资料后，根据移交项目清单资料及图纸编制养护标底，发布招标公告，进行公开招标，确定养护项目接受单位。</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（三）企业自检。</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绿化工程建设单位或养护管理单位在正式移交前，督促施工企业（原养护企业）对园林绿化项目存在的问题进行自检，验收合格后组织绿化科、绿化站、项目施工企业（原养护企业）、监理企业、项目接收企业共同现场踏勘。</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（四）现场踏勘。</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根据《吴中区园林绿化移交质量标准》对园林绿化项目质量进行查验，各方对苗木数量进行清点。</w:t>
      </w:r>
      <w:r/>
    </w:p>
    <w:p>
      <w:pPr>
        <w:pStyle w:val="945"/>
        <w:ind w:firstLine="63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1.苗木存活率按品种要求单项分别达到100%，设施项目功能完善及保存率为100%项目，视为符合移交条件，现场出具园林绿化项目现场核查表。</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乔木质量缺陷量在10%以内，灌木质量缺陷量在8%以内，行道树质量缺陷在8%以内，且总体缺陷赔偿金额原则上不超过10万元，不影响整体绿化景观效果的，由绿化项目建设单位（养护管理单位）确认后按现状移交，质量缺陷由养护接收单位整改。基于双方协商的原则，施工单位（原养护单位）与养护接收单位签订工程移交养护补偿协议，向养护接收单位支付补偿款。</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乔木质量缺陷量在10%以上，灌木质量缺陷量在8%以上，行道树质量缺陷在8%以上，或总体缺陷赔偿金额超过10万元，一律由项目建设单位（养护管理单位）督促施工企业（原养护企业）进行整改，整改合格后重新组织移交工作。</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4.原则上上半年移交的工程需在6月前补植到位（个别落叶树种可根据季节放宽到11月底补植到位），下半年移交的在11月前补植到位。</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5.养护面积在50万㎡以内的，苗木清点工作不得超过三个月，在50万㎡以上的不得超过四个月。</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（五）办理移交。对符合移交条件的工程，移交时间尽可能避开高温季节，移交日期统一为每月1日。由绿化站牵头办理移交手续，就移交工程的具体情况、移交时间、补植后验收时间等作具体说明。</w:t>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五、资料归档</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化站设立专人负责对园林绿化项目资料进行归档。归档内容包括：《吴中区园林绿化项目移交申请表》、移交依据、移交申请资料、整改通知单、补偿协议书、承诺书、整改验收单、单位工程竣工验收证明书、移交工程量清单及全套工程竣工图纸（另附电子稿）、工程测绘报告、《工程结算涉及报告》等。</w:t>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六、资金落实</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绿化站以移交双方签字盖章确认的移交资料为支撑，根据移交的日期、实际移交工程量清单对养护经费进行调整。</w:t>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七、其他</w:t>
      </w:r>
      <w:r/>
    </w:p>
    <w:p>
      <w:pPr>
        <w:ind w:firstLine="63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涉及移交工作的各单位需为其提供的移交材料的准确性及真实性负责。</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本操作规程由吴中区住房和城乡建设局负责解释，并于发布之日起执行。</w:t>
      </w:r>
      <w:r/>
    </w:p>
    <w:p>
      <w:pPr>
        <w:spacing w:line="360" w:lineRule="auto"/>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33"/>
        <w:ind w:firstLine="480"/>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33"/>
        <w:ind w:firstLine="480"/>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pStyle w:val="923"/>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br w:type="page" w:clear="all"/>
      </w:r>
      <w:r>
        <w:rPr>
          <w:rFonts w:hint="eastAsia" w:asciiTheme="majorEastAsia" w:hAnsiTheme="majorEastAsia" w:eastAsiaTheme="majorEastAsia" w:cstheme="majorEastAsia"/>
          <w:color w:val="auto"/>
          <w:sz w:val="21"/>
          <w:szCs w:val="21"/>
          <w:highlight w:val="none"/>
        </w:rPr>
        <w:t xml:space="preserve">附件：</w:t>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1.1吴中区园林绿化项目移交申请表</w:t>
      </w:r>
      <w:r/>
    </w:p>
    <w:p>
      <w:p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2.1吴中区园林绿地移交质量标准</w:t>
      </w:r>
      <w:r/>
    </w:p>
    <w:p>
      <w:pPr>
        <w:jc w:val="left"/>
        <w:spacing w:line="400" w:lineRule="exact"/>
        <w:shd w:val="clear" w:color="auto" w:fill="auto"/>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附件1.1：</w:t>
      </w:r>
      <w:r/>
    </w:p>
    <w:p>
      <w:pPr>
        <w:jc w:val="center"/>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吴中区园林绿化项目移交申请表</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3"/>
        <w:gridCol w:w="7526"/>
      </w:tblGrid>
      <w:tr>
        <w:trPr>
          <w:trHeight w:val="552" w:hRule="exact"/>
        </w:trPr>
        <w:tc>
          <w:tcPr>
            <w:tcW w:w="2013" w:type="dxa"/>
            <w:vAlign w:val="center"/>
            <w:textDirection w:val="lrTb"/>
            <w:noWrap w:val="false"/>
          </w:tcPr>
          <w:p>
            <w:pPr>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绿地名称</w:t>
            </w:r>
            <w:r/>
          </w:p>
        </w:tc>
        <w:tc>
          <w:tcPr>
            <w:tcW w:w="7526" w:type="dxa"/>
            <w:vAlign w:val="center"/>
            <w:textDirection w:val="lrTb"/>
            <w:noWrap w:val="false"/>
          </w:tcPr>
          <w:p>
            <w:pPr>
              <w:ind w:firstLine="560"/>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r>
      <w:tr>
        <w:trPr>
          <w:trHeight w:val="686" w:hRule="exact"/>
        </w:trPr>
        <w:tc>
          <w:tcPr>
            <w:tcW w:w="2013" w:type="dxa"/>
            <w:vAlign w:val="center"/>
            <w:textDirection w:val="lrTb"/>
            <w:noWrap w:val="false"/>
          </w:tcPr>
          <w:p>
            <w:pPr>
              <w:jc w:val="center"/>
              <w:spacing w:line="3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施工企业/</w:t>
            </w:r>
            <w:r/>
          </w:p>
          <w:p>
            <w:pPr>
              <w:jc w:val="center"/>
              <w:spacing w:line="3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原养护企业</w:t>
            </w:r>
            <w:r/>
          </w:p>
        </w:tc>
        <w:tc>
          <w:tcPr>
            <w:tcW w:w="7526" w:type="dxa"/>
            <w:vAlign w:val="top"/>
            <w:textDirection w:val="lrTb"/>
            <w:noWrap w:val="false"/>
          </w:tcPr>
          <w:p>
            <w:pPr>
              <w:ind w:firstLine="560"/>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r>
      <w:tr>
        <w:trPr>
          <w:trHeight w:val="556" w:hRule="exact"/>
        </w:trPr>
        <w:tc>
          <w:tcPr>
            <w:tcW w:w="2013" w:type="dxa"/>
            <w:vAlign w:val="center"/>
            <w:textDirection w:val="lrTb"/>
            <w:noWrap w:val="false"/>
          </w:tcPr>
          <w:p>
            <w:pPr>
              <w:ind w:firstLine="105"/>
              <w:jc w:val="center"/>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监理单位</w:t>
            </w:r>
            <w:r/>
          </w:p>
        </w:tc>
        <w:tc>
          <w:tcPr>
            <w:tcW w:w="7526" w:type="dxa"/>
            <w:vAlign w:val="top"/>
            <w:textDirection w:val="lrTb"/>
            <w:noWrap w:val="false"/>
          </w:tcPr>
          <w:p>
            <w:pPr>
              <w:ind w:firstLine="560"/>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tc>
      </w:tr>
      <w:tr>
        <w:trPr>
          <w:trHeight w:val="5071"/>
        </w:trPr>
        <w:tc>
          <w:tcPr>
            <w:gridSpan w:val="2"/>
            <w:tcW w:w="9539" w:type="dxa"/>
            <w:vAlign w:val="center"/>
            <w:textDirection w:val="lrTb"/>
            <w:noWrap w:val="false"/>
          </w:tcPr>
          <w:p>
            <w:pPr>
              <w:ind w:right="48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区园林和绿化管理站：</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根据《吴中区园林绿化移交管理操作规程&lt;试行&gt;》，该园林绿化项目已具备移交前期对接条件，现将相关资料报你处，请予审核。</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附件：</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1、绿地竣工总平图、施工图、项目用地红线图；</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2、园林绿化工程竣工验收合格证明；</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3、园林绿化工程审计清单及审计报告；</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4、移交项目情况汇总表</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5、工程量清单、上一轮移交清单复印件</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6、中标通知书复印件</w:t>
            </w:r>
            <w:r/>
          </w:p>
          <w:p>
            <w:pPr>
              <w:ind w:right="48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459" w:firstLine="3082"/>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移交单位：（盖章）</w:t>
            </w:r>
            <w:r/>
          </w:p>
          <w:p>
            <w:pPr>
              <w:ind w:right="1600" w:firstLine="560"/>
              <w:jc w:val="center"/>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459" w:firstLine="560"/>
              <w:jc w:val="righ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提交时间：年月日</w:t>
            </w:r>
            <w:r/>
          </w:p>
        </w:tc>
      </w:tr>
      <w:tr>
        <w:trPr>
          <w:trHeight w:val="2206"/>
        </w:trPr>
        <w:tc>
          <w:tcPr>
            <w:gridSpan w:val="2"/>
            <w:tcW w:w="9539" w:type="dxa"/>
            <w:vAlign w:val="top"/>
            <w:textDirection w:val="lrTb"/>
            <w:noWrap w:val="false"/>
          </w:tcPr>
          <w:p>
            <w:pPr>
              <w:ind w:right="480"/>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园林和绿化管理站审核意见：</w:t>
            </w:r>
            <w:r/>
          </w:p>
          <w:p>
            <w:pPr>
              <w:ind w:right="480" w:firstLine="560"/>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480" w:firstLine="560"/>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480" w:firstLine="4145"/>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盖章</w:t>
            </w:r>
            <w:r/>
          </w:p>
          <w:p>
            <w:pPr>
              <w:ind w:right="480" w:firstLine="4830"/>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459" w:firstLine="560"/>
              <w:jc w:val="right"/>
              <w:spacing w:line="360" w:lineRule="exact"/>
              <w:shd w:val="clear" w:color="auto" w:fill="auto"/>
              <w:rPr>
                <w:rFonts w:hint="eastAsia" w:asciiTheme="majorEastAsia" w:hAnsiTheme="majorEastAsia" w:eastAsiaTheme="majorEastAsia" w:cstheme="majorEastAsia"/>
                <w:color w:val="auto"/>
                <w:sz w:val="21"/>
                <w:szCs w:val="21"/>
                <w:highlight w:val="none"/>
                <w:u w:val="single"/>
              </w:rPr>
            </w:pPr>
            <w:r>
              <w:rPr>
                <w:rFonts w:hint="eastAsia" w:asciiTheme="majorEastAsia" w:hAnsiTheme="majorEastAsia" w:eastAsiaTheme="majorEastAsia" w:cstheme="majorEastAsia"/>
                <w:color w:val="auto"/>
                <w:sz w:val="21"/>
                <w:szCs w:val="21"/>
                <w:highlight w:val="none"/>
              </w:rPr>
              <w:t xml:space="preserve">年月日</w:t>
            </w:r>
            <w:r/>
          </w:p>
        </w:tc>
      </w:tr>
      <w:tr>
        <w:trPr>
          <w:trHeight w:val="2206"/>
        </w:trPr>
        <w:tc>
          <w:tcPr>
            <w:gridSpan w:val="2"/>
            <w:tcW w:w="9539" w:type="dxa"/>
            <w:vAlign w:val="top"/>
            <w:textDirection w:val="lrTb"/>
            <w:noWrap w:val="false"/>
          </w:tcPr>
          <w:p>
            <w:pPr>
              <w:ind w:right="48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区住建局风景园林绿化管理科意见：</w:t>
            </w:r>
            <w:r/>
          </w:p>
          <w:p>
            <w:pPr>
              <w:ind w:right="160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1600" w:firstLine="560"/>
              <w:jc w:val="lef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right="459" w:firstLine="4145"/>
              <w:spacing w:line="360" w:lineRule="exact"/>
              <w:shd w:val="clear" w:color="auto" w:fill="auto"/>
              <w:tabs>
                <w:tab w:val="left" w:pos="1418" w:leader="none"/>
              </w:tabs>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盖章</w:t>
            </w:r>
            <w:r/>
          </w:p>
          <w:p>
            <w:pPr>
              <w:ind w:right="1600" w:firstLine="4783"/>
              <w:jc w:val="center"/>
              <w:spacing w:line="360" w:lineRule="exact"/>
              <w:shd w:val="clear" w:color="auto" w:fill="auto"/>
              <w:tabs>
                <w:tab w:val="left" w:pos="1418" w:leader="none"/>
              </w:tabs>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r>
            <w:r/>
          </w:p>
          <w:p>
            <w:pPr>
              <w:ind w:left="613" w:right="459" w:hanging="46"/>
              <w:jc w:val="right"/>
              <w:spacing w:line="36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年月日</w:t>
            </w:r>
            <w:r/>
          </w:p>
        </w:tc>
      </w:tr>
    </w:tbl>
    <w:p>
      <w:pPr>
        <w:jc w:val="lef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注：本表一式三份</w:t>
      </w:r>
      <w:r/>
    </w:p>
    <w:p>
      <w:pPr>
        <w:spacing w:line="6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附件：</w:t>
      </w:r>
      <w:r/>
    </w:p>
    <w:p>
      <w:pPr>
        <w:spacing w:line="6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w:t>
      </w:r>
      <w:r/>
    </w:p>
    <w:p>
      <w:pPr>
        <w:jc w:val="center"/>
        <w:spacing w:line="600" w:lineRule="exact"/>
        <w:shd w:val="clear" w:color="auto" w:fill="auto"/>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吴中区园林绿地移交质量标准</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参照中华人民共和国行业标准《园林绿化工程施工及验收规范》（CJJ 82-2012）、《江苏省城市园林绿化植物养护管理规范》制定吴中区园林绿化及附属设施分类移交标准如下：</w:t>
      </w:r>
      <w:r/>
    </w:p>
    <w:p>
      <w:pPr>
        <w:ind w:firstLine="210"/>
        <w:spacing w:line="400" w:lineRule="exact"/>
        <w:shd w:val="clear" w:color="auto" w:fil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一、绿化工程项目移交</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绿化施工工程的移交须在园林绿化质量监督站的参与下对移交工程的质量标准进行严格把关，具体检验标准如下：</w:t>
      </w:r>
      <w:r/>
    </w:p>
    <w:p>
      <w:pPr>
        <w:pStyle w:val="945"/>
        <w:numPr>
          <w:ilvl w:val="0"/>
          <w:numId w:val="8"/>
        </w:numPr>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绿地环境要求</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绿地整洁，无杂物、无白色污染（树挂），无明显的绿化生产垃圾（如树枝、树叶、草屑等），绿地内水面杂物，无明显堆物、堆料、搭棚、树干上无钉拴刻画等现象。</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2.绿化植物</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2.1植物材料的外观质量要求</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2.1.1 乔灌木树冠较完整，生长势良好，内膛不乱，通风透光，病虫害危害程度不超过树体的5%-10%，珍贵树种、孤植树要求树形完好、无病虫害，生长茂盛，植株存活率应达到100%。</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2.1.2 行道树要求树形完整，树冠舒展，无缺株、死株，病虫害危害程度不超过树体的5%-10%，如无约定要求，同一路段应保证行道树树种相同，树木高度基本一致，分枝均匀。</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2.1.3花苗、地被及模纹色块株型茁壮，根系基本良好，无伤苗，无倒伏，茎、叶无污染，病虫害危害程度不超过植物体的5%-10%，如无约定要求，可视裸土面积应不大于500cm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2.1.4 草卷、草块长宽尺寸基本一致，厚度均匀，叶色正常，杂草及病虫害面积不超过5%，成坪覆盖率不低于95%，单块裸露面积应不大于25cm</w:t>
      </w:r>
      <w:r>
        <w:rPr>
          <w:rFonts w:hint="eastAsia" w:asciiTheme="majorEastAsia" w:hAnsiTheme="majorEastAsia" w:eastAsiaTheme="majorEastAsia" w:cstheme="majorEastAsia"/>
          <w:color w:val="auto"/>
          <w:sz w:val="21"/>
          <w:szCs w:val="21"/>
          <w:highlight w:val="none"/>
          <w:vertAlign w:val="superscript"/>
        </w:rPr>
        <w:t xml:space="preserve">2</w:t>
      </w:r>
      <w:r>
        <w:rPr>
          <w:rFonts w:hint="eastAsia" w:asciiTheme="majorEastAsia" w:hAnsiTheme="majorEastAsia" w:eastAsiaTheme="majorEastAsia" w:cstheme="majorEastAsia"/>
          <w:color w:val="auto"/>
          <w:sz w:val="21"/>
          <w:szCs w:val="21"/>
          <w:highlight w:val="none"/>
        </w:rPr>
        <w:t xml:space="preserve">。</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2.1.5 竹林保持适宜的密度，通风透光，生长健壮，叶色正常，无老鞭、竹蔸及干枯株等，病虫害危害程度不超过树体的5%-10%。</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2.1.6 水湿生植物单位面积内成活苗数符合CJJ 82-2012中表4.10.7要求，覆盖面积不得超过水体面积的三分之一，无可视病虫害。</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2.2植物材料的规格要求</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2.2.1植物材料规格允许偏差有约定的应当符合约定要求，无约定规格允许偏差参照行业标准CJJ 82-2012中表4.3.4要求执行。</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2.2.2 如无约定要求，绿化工程上补植的上木类苗木只有在养护期满一年后，方可计入移交工程量。</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2.2.3 如植物材料数量、面积、规格不合规定要求的，根据现场实际情况对移交工程量进行核减。</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3.设施项目</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bookmarkStart w:id="58" w:name="OLE_LINK1"/>
      <w:r>
        <w:rPr>
          <w:rFonts w:hint="eastAsia" w:asciiTheme="majorEastAsia" w:hAnsiTheme="majorEastAsia" w:eastAsiaTheme="majorEastAsia" w:cstheme="majorEastAsia"/>
          <w:color w:val="auto"/>
          <w:sz w:val="21"/>
          <w:szCs w:val="21"/>
          <w:highlight w:val="none"/>
        </w:rPr>
        <w:t xml:space="preserve">3.1水景工程</w:t>
      </w:r>
      <w:bookmarkEnd w:id="58"/>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3.1.1水井水泵使用正常，无破损，无漏水，配套的电缆井、检查井洁净无淤积，排水正常，井盖完整。</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3.1.2 管道、箱柜材质、规格需符合设计要求，无锈蚀，无破损，使用正常。</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3.2铺装工程</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广场、园路铺装所用材料品种、质量、规格及结构层坡度、厚度、标高等需符合设计要求，不得存在空鼓、松动及大量裂纹，面层不得积水。</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3.3园林设施工程</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3.3.1 座椅、标牌及垃圾箱数量、材质、规格需符合设计要求，安装牢固，无松动、无破损、缺失，外观洁净；</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3.3.2 护栏完整无缺失，材质、规格、形式符合设计要求，外观洁净；</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3.3.3 喷灌系统使用正常，无破损、堵塞，范围覆盖符合设计需求。</w:t>
      </w:r>
      <w:r/>
    </w:p>
    <w:p>
      <w:pPr>
        <w:spacing w:line="400" w:lineRule="exact"/>
        <w:shd w:val="clear" w:color="auto" w:fil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 xml:space="preserve">二、绿化养护项目移交</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养护工程养护期到期移交的需保证工程质量符合该养护工程接收时的标准，移交时参照以下标准执行：</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1．绿化植物</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1.1 上木类长势良好，内膛不乱，无可视病虫害，数量及规格符合移交项目清单，对于补植后养护期不满一年的苗木，不记入移交工程量；</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1.2 花苗、地被及草坪长势良好，无明显的伤苗、残花，如存在裸土区域，根据工程量清单对移交工程量进行核减。</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1.3水湿生植物单位面积内成活苗数符合CJJ 82-2012中表4.10.7要求，覆盖面积不得超过水体面积的三分之一，无可视病虫害。</w:t>
      </w:r>
      <w:r/>
    </w:p>
    <w:p>
      <w:pPr>
        <w:ind w:firstLine="640"/>
        <w:spacing w:line="400" w:lineRule="exact"/>
        <w:shd w:val="clear" w:color="auto" w:fil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2．设施项目</w:t>
      </w:r>
      <w:r/>
    </w:p>
    <w:p>
      <w:pPr>
        <w:ind w:firstLine="640"/>
        <w:spacing w:line="400" w:lineRule="exact"/>
        <w:shd w:val="clear" w:color="auto" w:fill="auto"/>
        <w:rPr>
          <w:rFonts w:ascii="宋体" w:hAnsi="宋体" w:cs="宋体"/>
          <w:color w:val="auto"/>
          <w:sz w:val="24"/>
          <w:szCs w:val="24"/>
          <w:highlight w:val="none"/>
        </w:rPr>
      </w:pPr>
      <w:r>
        <w:rPr>
          <w:rFonts w:hint="eastAsia" w:asciiTheme="majorEastAsia" w:hAnsiTheme="majorEastAsia" w:eastAsiaTheme="majorEastAsia" w:cstheme="majorEastAsia"/>
          <w:color w:val="auto"/>
          <w:sz w:val="21"/>
          <w:szCs w:val="21"/>
          <w:highlight w:val="none"/>
        </w:rPr>
        <w:t xml:space="preserve">所有的配套设施数量、规格及材质符合设施类移交项目清单，功能使用正常，无影响工程整体感观质量的破损及刻画现象，对于不满足要求的设施，根据清单对移交工程量进行核减。</w:t>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pStyle w:val="923"/>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spacing w:line="360" w:lineRule="auto"/>
        <w:rPr>
          <w:rFonts w:hint="eastAsia" w:ascii="宋体" w:hAnsi="宋体" w:cs="宋体"/>
          <w:color w:val="auto"/>
          <w:sz w:val="36"/>
          <w:szCs w:val="36"/>
          <w:highlight w:val="none"/>
          <w:lang w:val="zh-CN"/>
        </w:rPr>
      </w:pPr>
      <w:r>
        <w:rPr>
          <w:rFonts w:hint="eastAsia" w:ascii="宋体" w:hAnsi="宋体" w:cs="宋体"/>
          <w:b/>
          <w:bCs/>
          <w:color w:val="auto"/>
          <w:sz w:val="32"/>
          <w:szCs w:val="32"/>
          <w:highlight w:val="none"/>
          <w:lang w:val="zh-CN"/>
        </w:rPr>
        <w:t xml:space="preserve">三、磋商采购程序</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rPr>
        <w:t xml:space="preserve">供应商应委派携带有效身份证件和数字证书（CA）的代表准时参加</w:t>
      </w: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5.只有通过资格审查和响应文件审查（即作出实质性响应磋商文件要求）的供应商才可进入磋商程序；未实质性响应采购文件的响应文件按无效响应处理，磋商小组应当告知有关供应商。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6.磋商小组所有成员集中与单一供应商分别进行磋商，并给予所有参加磋商的供应商平等的磋商机会。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7.在磋商过程中，磋商小组可以根据磋商文件和磋商情况实质性变动采购需求中的技术、服务要求以及合同草案条款。对磋商文件作出的实质性变动是磋商文件的有效组成部分</w:t>
      </w:r>
      <w:r>
        <w:rPr>
          <w:rFonts w:hint="eastAsia" w:ascii="宋体" w:hAnsi="宋体" w:cs="宋体"/>
          <w:color w:val="auto"/>
          <w:szCs w:val="21"/>
          <w:highlight w:val="none"/>
        </w:rPr>
        <w:t xml:space="preserve">，磋商小组将在“苏采云”系统中同时通知所有参加磋商的供应商，供应商应当按照磋商文件的变动情况和磋商小组的要求在“苏采云”系统中重新提交响应文件，并由其法定代表人或授权代表签字并加盖CA电子公章。</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8.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如未按上述时间递交最后报价表的供应商，将作为自动放弃此次磋商以及最后报价。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10.</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11.经磋商确定最终采购需求和提交最后报价的供应商后，由磋商小组采用综合评分法对提交最后报价的供应商的响应文件和最后报价进行综合评分。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12.磋商小组根据磋商成交原则确定成交单位，并将结果通知所有参加磋商的供应商。</w:t>
      </w:r>
      <w:r/>
    </w:p>
    <w:p>
      <w:pPr>
        <w:pStyle w:val="931"/>
        <w:ind w:left="0"/>
        <w:rPr>
          <w:rFonts w:hint="eastAsia" w:ascii="宋体" w:hAnsi="宋体" w:cs="宋体"/>
          <w:b/>
          <w:color w:val="auto"/>
          <w:szCs w:val="21"/>
          <w:highlight w:val="none"/>
        </w:rPr>
      </w:pPr>
      <w:r>
        <w:rPr>
          <w:rFonts w:hint="eastAsia" w:ascii="宋体" w:hAnsi="宋体" w:cs="宋体"/>
          <w:color w:val="auto"/>
          <w:highlight w:val="none"/>
        </w:rPr>
        <w:t xml:space="preserve">13.如磋商过程中出现本采购文件未尽事宜，由磋商小组根据政府采购有关法律、法规讨论决定。</w:t>
      </w:r>
      <w:bookmarkEnd w:id="45"/>
      <w:r/>
      <w:bookmarkEnd w:id="46"/>
      <w:r/>
      <w:bookmarkEnd w:id="47"/>
      <w:r/>
      <w:bookmarkEnd w:id="48"/>
      <w:r/>
      <w:bookmarkEnd w:id="49"/>
      <w:r/>
      <w:bookmarkEnd w:id="50"/>
      <w:r/>
      <w:bookmarkEnd w:id="51"/>
      <w:r/>
      <w:r/>
    </w:p>
    <w:p>
      <w:pPr>
        <w:pStyle w:val="935"/>
        <w:spacing w:before="0" w:after="0" w:line="360" w:lineRule="auto"/>
        <w:rPr>
          <w:rFonts w:hint="eastAsia" w:cs="宋体"/>
          <w:b/>
          <w:bCs/>
          <w:color w:val="auto"/>
          <w:sz w:val="32"/>
          <w:szCs w:val="32"/>
          <w:highlight w:val="none"/>
        </w:rPr>
      </w:pPr>
      <w:r/>
      <w:bookmarkStart w:id="59" w:name="_Toc24604"/>
      <w:r/>
      <w:bookmarkStart w:id="60" w:name="_Toc13256"/>
      <w:r/>
      <w:bookmarkStart w:id="61" w:name="_Toc8308"/>
      <w:r/>
      <w:bookmarkStart w:id="62" w:name="_Toc27811"/>
      <w:r/>
      <w:bookmarkStart w:id="63" w:name="_Toc6837"/>
      <w:r/>
      <w:bookmarkStart w:id="64" w:name="_Toc29842"/>
      <w:r>
        <w:rPr>
          <w:rFonts w:hint="eastAsia" w:cs="宋体"/>
          <w:b/>
          <w:bCs/>
          <w:color w:val="auto"/>
          <w:sz w:val="32"/>
          <w:szCs w:val="32"/>
          <w:highlight w:val="none"/>
        </w:rPr>
        <w:t xml:space="preserve">四、评审办法及评分标准</w:t>
      </w:r>
      <w:bookmarkEnd w:id="59"/>
      <w:r/>
      <w:bookmarkEnd w:id="60"/>
      <w:r/>
      <w:bookmarkEnd w:id="61"/>
      <w:r/>
      <w:bookmarkEnd w:id="62"/>
      <w:r/>
      <w:bookmarkEnd w:id="63"/>
      <w:r/>
      <w:bookmarkEnd w:id="64"/>
      <w:r/>
      <w:r/>
    </w:p>
    <w:p>
      <w:pPr>
        <w:spacing w:line="360" w:lineRule="auto"/>
        <w:rPr>
          <w:rFonts w:hint="eastAsia" w:ascii="宋体" w:hAnsi="宋体" w:cs="宋体"/>
          <w:b/>
          <w:bCs/>
          <w:color w:val="auto"/>
          <w:sz w:val="30"/>
          <w:szCs w:val="30"/>
          <w:highlight w:val="none"/>
        </w:rPr>
      </w:pPr>
      <w:r/>
      <w:bookmarkStart w:id="65" w:name="_Toc255381286"/>
      <w:r/>
      <w:bookmarkStart w:id="66" w:name="_Toc255381345"/>
      <w:r>
        <w:rPr>
          <w:rFonts w:hint="eastAsia" w:ascii="宋体" w:hAnsi="宋体" w:cs="宋体"/>
          <w:b/>
          <w:color w:val="auto"/>
          <w:highlight w:val="none"/>
          <w:shd w:val="clear" w:color="auto" w:fill="ffffff"/>
        </w:rPr>
        <w:t xml:space="preserve">一、评审办法</w:t>
      </w:r>
      <w:bookmarkEnd w:id="65"/>
      <w:r/>
      <w:bookmarkEnd w:id="66"/>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Cs/>
          <w:color w:val="auto"/>
          <w:sz w:val="21"/>
          <w:szCs w:val="21"/>
          <w:highlight w:val="none"/>
        </w:rPr>
        <w:t xml:space="preserve">本次招标评标采用综合评分法，即在满足招标文件实质性要求前提下，按照招标文件中规定的评分标准和各项因素进行综合评审后，以评标总得分最高的投标单位作为相应标段的中标候选人。综合评分的主要因素为：价格、技术方案、服务方案等对招标文件的响应程度，以及相应的商务标和技术标比重或者分值等。</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2、评标委员会各成员独立对每个进入打分程序的有效投标人的标书技术和资质部分以打分的形式进行评审和评价。</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3、如出现评标总得分最高的投标人有两个或两个以上的，以实际投标报价较低者优先作为中标单位，如果实际投标报价也相同的，则由</w:t>
      </w:r>
      <w:r>
        <w:rPr>
          <w:rFonts w:hint="eastAsia" w:ascii="宋体" w:hAnsi="宋体" w:eastAsia="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组织以抽签方式确定中标单位。</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标时，评标委员会各成员独立对每个有效投标人的投标文件技术及资质部分进行评价、打分，按算术平均方法，计算出每个投标人的技术得分；报价得分通过计算公式直接取得；报价得分加评委算术平均得分，为投标人的总得分。</w:t>
      </w:r>
      <w:r/>
    </w:p>
    <w:p>
      <w:pPr>
        <w:ind w:firstLine="420"/>
        <w:jc w:val="left"/>
        <w:keepLines w:val="0"/>
        <w:keepNext w:val="0"/>
        <w:pageBreakBefore w:val="0"/>
        <w:spacing w:line="420" w:lineRule="exact"/>
        <w:widowControl/>
        <w:rPr>
          <w:rFonts w:hint="eastAsia" w:ascii="宋体" w:hAnsi="宋体" w:eastAsia="宋体" w:cs="宋体"/>
          <w:b/>
          <w:bCs/>
          <w:color w:val="auto"/>
          <w:sz w:val="21"/>
          <w:szCs w:val="21"/>
          <w:highlight w:val="none"/>
        </w:rPr>
      </w:pPr>
      <w:r/>
      <w:bookmarkStart w:id="67" w:name="_Toc7115794"/>
      <w:r>
        <w:rPr>
          <w:rFonts w:hint="eastAsia" w:ascii="宋体" w:hAnsi="宋体" w:eastAsia="宋体" w:cs="宋体"/>
          <w:color w:val="auto"/>
          <w:sz w:val="21"/>
          <w:szCs w:val="21"/>
          <w:highlight w:val="none"/>
        </w:rPr>
        <w:t xml:space="preserve">5、</w:t>
      </w:r>
      <w:bookmarkEnd w:id="67"/>
      <w:r>
        <w:rPr>
          <w:rFonts w:hint="eastAsia" w:ascii="宋体" w:hAnsi="宋体" w:eastAsia="宋体" w:cs="宋体"/>
          <w:bCs/>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color w:val="auto"/>
          <w:sz w:val="21"/>
          <w:szCs w:val="21"/>
          <w:highlight w:val="none"/>
        </w:rPr>
        <w:t xml:space="preserve">本项目为</w:t>
      </w:r>
      <w:r>
        <w:rPr>
          <w:rFonts w:hint="eastAsia" w:ascii="宋体" w:hAnsi="宋体" w:eastAsia="宋体" w:cs="宋体"/>
          <w:b/>
          <w:color w:val="auto"/>
          <w:sz w:val="21"/>
          <w:szCs w:val="21"/>
          <w:highlight w:val="none"/>
        </w:rPr>
        <w:t xml:space="preserve">专门面向中小企业采购的项目</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响应单位必须提供《中小企业声明函》或《残疾人福利性单位声明函》或由省级以上监狱管理局、戒毒管理局（含新疆生产建设兵团）出具的属于监狱企业的证明文件。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auto"/>
          <w:sz w:val="21"/>
          <w:szCs w:val="21"/>
          <w:highlight w:val="none"/>
        </w:rPr>
      </w:r>
      <w:r/>
    </w:p>
    <w:p>
      <w:pPr>
        <w:ind w:firstLine="422"/>
        <w:keepLines w:val="0"/>
        <w:keepNext w:val="0"/>
        <w:pageBreakBefore w:val="0"/>
        <w:spacing w:line="42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b/>
          <w:bCs/>
          <w:color w:val="auto"/>
          <w:sz w:val="21"/>
          <w:szCs w:val="21"/>
          <w:highlight w:val="none"/>
          <w:lang w:val="en-US" w:eastAsia="zh-CN" w:bidi="ar-SA"/>
        </w:rPr>
        <w:t xml:space="preserve">注：投入项目的服务人员如涉及使用超龄人员的，将不享受价格扣除优惠政策。上述优惠政策不重复享受。</w:t>
      </w:r>
      <w:r/>
    </w:p>
    <w:p>
      <w:pPr>
        <w:pStyle w:val="934"/>
        <w:ind w:firstLine="0"/>
        <w:spacing w:line="420" w:lineRule="exact"/>
        <w:rPr>
          <w:rFonts w:hint="eastAsia" w:eastAsia="宋体" w:cs="宋体"/>
          <w:b/>
          <w:bCs/>
          <w:color w:val="auto"/>
          <w:sz w:val="21"/>
          <w:szCs w:val="21"/>
          <w:highlight w:val="none"/>
          <w:lang w:eastAsia="zh-CN"/>
        </w:rPr>
      </w:pPr>
      <w:r>
        <w:rPr>
          <w:rFonts w:hint="eastAsia" w:cs="宋体"/>
          <w:b/>
          <w:bCs/>
          <w:color w:val="auto"/>
          <w:sz w:val="21"/>
          <w:szCs w:val="21"/>
          <w:highlight w:val="none"/>
        </w:rPr>
        <w:t xml:space="preserve">二、评分标准</w:t>
      </w: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适用一、二标段</w:t>
      </w:r>
      <w:r>
        <w:rPr>
          <w:rFonts w:hint="eastAsia" w:cs="宋体"/>
          <w:b/>
          <w:bCs/>
          <w:color w:val="auto"/>
          <w:sz w:val="21"/>
          <w:szCs w:val="21"/>
          <w:highlight w:val="none"/>
          <w:lang w:eastAsia="zh-CN"/>
        </w:rPr>
        <w:t xml:space="preserve">）</w:t>
      </w:r>
      <w:r/>
    </w:p>
    <w:p>
      <w:pPr>
        <w:pStyle w:val="934"/>
        <w:ind w:firstLine="422"/>
        <w:spacing w:line="420" w:lineRule="exact"/>
        <w:rPr>
          <w:rFonts w:hint="eastAsia" w:cs="宋体"/>
          <w:b/>
          <w:bCs/>
          <w:color w:val="auto"/>
          <w:sz w:val="21"/>
          <w:szCs w:val="21"/>
          <w:highlight w:val="none"/>
        </w:rPr>
      </w:pPr>
      <w:r/>
      <w:bookmarkStart w:id="68" w:name="_Toc10380"/>
      <w:r/>
      <w:bookmarkStart w:id="69" w:name="_Toc31309"/>
      <w:r/>
      <w:bookmarkStart w:id="70" w:name="_Toc23096"/>
      <w:r/>
      <w:bookmarkStart w:id="71" w:name="_Toc24619"/>
      <w:r/>
      <w:bookmarkStart w:id="72" w:name="_Toc13405"/>
      <w:r/>
      <w:bookmarkStart w:id="73" w:name="_Toc31824"/>
      <w:r/>
      <w:bookmarkStart w:id="74" w:name="_Toc15554"/>
      <w:r/>
      <w:bookmarkStart w:id="75" w:name="_Toc10271"/>
      <w:r>
        <w:rPr>
          <w:rFonts w:hint="eastAsia" w:cs="宋体"/>
          <w:b/>
          <w:bCs/>
          <w:color w:val="auto"/>
          <w:sz w:val="21"/>
          <w:szCs w:val="21"/>
          <w:highlight w:val="none"/>
        </w:rPr>
        <w:t xml:space="preserve">（一）</w:t>
      </w:r>
      <w:bookmarkEnd w:id="68"/>
      <w:r/>
      <w:bookmarkEnd w:id="69"/>
      <w:r>
        <w:rPr>
          <w:rFonts w:hint="eastAsia" w:cs="宋体"/>
          <w:b/>
          <w:bCs/>
          <w:color w:val="auto"/>
          <w:sz w:val="21"/>
          <w:szCs w:val="21"/>
          <w:highlight w:val="none"/>
        </w:rPr>
        <w:t xml:space="preserve">价格分（10分）</w:t>
      </w:r>
      <w:r/>
    </w:p>
    <w:p>
      <w:pPr>
        <w:ind w:firstLine="420"/>
        <w:jc w:val="left"/>
        <w:spacing w:line="400" w:lineRule="exact"/>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第一步：投标总报价低于或等于采购预算（最高限价）的，为有效投标报价。超采购预算（最高限价）的响应报价为无效投标报价。无效投标报价的响应文件不得中标。</w:t>
      </w:r>
      <w:r/>
    </w:p>
    <w:p>
      <w:pPr>
        <w:ind w:firstLine="420"/>
        <w:jc w:val="left"/>
        <w:spacing w:line="400" w:lineRule="exact"/>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第二步：价格分采用低价优先法计算，即满足招标文件要求且响应价格最低的响应报价为评标基准价，其价格分为满分。其他投标人的价格分统一按照下列公式计算（计算结果四舍五入保留两位小数）：</w:t>
      </w:r>
      <w:r/>
    </w:p>
    <w:p>
      <w:pPr>
        <w:ind w:firstLine="420"/>
        <w:spacing w:line="420" w:lineRule="exact"/>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磋商报价得分=（磋商基准价/磋商报价）×价格权值×100（价格权值为10%）</w:t>
      </w:r>
      <w:r>
        <w:rPr>
          <w:rFonts w:hint="eastAsia" w:ascii="宋体" w:hAnsi="宋体" w:cs="宋体"/>
          <w:b/>
          <w:bCs/>
          <w:color w:val="auto"/>
          <w:sz w:val="21"/>
          <w:szCs w:val="21"/>
          <w:highlight w:val="none"/>
        </w:rPr>
        <w:t xml:space="preserve">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p>
    <w:p>
      <w:pPr>
        <w:shd w:val="clear" w:color="auto" w:fill="auto"/>
        <w:tabs>
          <w:tab w:val="left" w:pos="360" w:leader="none"/>
        </w:tabs>
        <w:rPr>
          <w:b/>
          <w:color w:val="auto"/>
          <w:sz w:val="21"/>
          <w:szCs w:val="21"/>
          <w:highlight w:val="none"/>
        </w:rPr>
      </w:pPr>
      <w:r>
        <w:rPr>
          <w:rFonts w:hint="eastAsia"/>
          <w:b/>
          <w:color w:val="auto"/>
          <w:sz w:val="21"/>
          <w:szCs w:val="21"/>
          <w:highlight w:val="none"/>
        </w:rPr>
        <w:t xml:space="preserve">（二）养护管理技术方案（</w:t>
      </w:r>
      <w:r>
        <w:rPr>
          <w:rFonts w:hint="eastAsia"/>
          <w:b/>
          <w:color w:val="auto"/>
          <w:sz w:val="21"/>
          <w:szCs w:val="21"/>
          <w:highlight w:val="none"/>
          <w:lang w:val="en-US" w:eastAsia="zh-CN"/>
        </w:rPr>
        <w:t xml:space="preserve">6</w:t>
      </w:r>
      <w:r>
        <w:rPr>
          <w:rFonts w:hint="eastAsia"/>
          <w:b/>
          <w:color w:val="auto"/>
          <w:sz w:val="21"/>
          <w:szCs w:val="21"/>
          <w:highlight w:val="none"/>
        </w:rPr>
        <w:t xml:space="preserve">6分）：</w:t>
      </w:r>
      <w:r/>
    </w:p>
    <w:p>
      <w:pPr>
        <w:ind w:firstLine="420"/>
        <w:spacing w:line="360" w:lineRule="auto"/>
        <w:shd w:val="clear" w:color="auto" w:fill="auto"/>
        <w:tabs>
          <w:tab w:val="left" w:pos="360" w:leader="none"/>
        </w:tabs>
        <w:rPr>
          <w:rFonts w:hint="eastAsia" w:ascii="宋体" w:hAnsi="宋体"/>
          <w:color w:val="auto"/>
          <w:sz w:val="21"/>
          <w:szCs w:val="21"/>
          <w:highlight w:val="none"/>
        </w:rPr>
      </w:pPr>
      <w:r>
        <w:rPr>
          <w:rFonts w:hint="eastAsia"/>
          <w:color w:val="auto"/>
          <w:sz w:val="21"/>
          <w:szCs w:val="21"/>
          <w:highlight w:val="none"/>
        </w:rPr>
        <w:t xml:space="preserve">1、投标人内部管理制度</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10分</w:t>
      </w:r>
      <w:r>
        <w:rPr>
          <w:rFonts w:hint="eastAsia"/>
          <w:color w:val="auto"/>
          <w:sz w:val="21"/>
          <w:szCs w:val="21"/>
          <w:highlight w:val="none"/>
          <w:lang w:eastAsia="zh-CN"/>
        </w:rPr>
        <w:t xml:space="preserve">）。</w:t>
      </w:r>
      <w:r>
        <w:rPr>
          <w:rFonts w:hint="eastAsia"/>
          <w:color w:val="auto"/>
          <w:sz w:val="21"/>
          <w:szCs w:val="21"/>
          <w:highlight w:val="none"/>
        </w:rPr>
        <w:t xml:space="preserve">包括组织架构、内部养护检查考核制度、自查自纠制度、奖惩措施、养护档案管理制度、安全文明措施等。</w:t>
      </w:r>
      <w:r>
        <w:rPr>
          <w:rFonts w:hint="eastAsia" w:ascii="宋体" w:hAnsi="宋体"/>
          <w:color w:val="auto"/>
          <w:sz w:val="21"/>
          <w:szCs w:val="21"/>
          <w:highlight w:val="none"/>
        </w:rPr>
        <w:t xml:space="preserve">组织架构、项目内部养护检查考核制度、自查自纠制度、奖惩措施、养护档案管理制度、安全文明措施及各项应急预案方案完整、规范、合理、全面的得10分，方案制度较完整、规范、合理、全面的得6分，方案制度描述不全面的得3分，未提供方案的此项不得分。</w:t>
      </w:r>
      <w:r/>
    </w:p>
    <w:p>
      <w:pPr>
        <w:ind w:firstLine="420"/>
        <w:spacing w:line="360" w:lineRule="auto"/>
        <w:shd w:val="clear" w:color="auto" w:fill="auto"/>
        <w:tabs>
          <w:tab w:val="left" w:pos="360" w:leader="none"/>
        </w:tabs>
        <w:rPr>
          <w:color w:val="auto"/>
          <w:sz w:val="21"/>
          <w:szCs w:val="21"/>
          <w:highlight w:val="none"/>
        </w:rPr>
      </w:pPr>
      <w:r>
        <w:rPr>
          <w:rFonts w:hint="eastAsia"/>
          <w:color w:val="auto"/>
          <w:sz w:val="21"/>
          <w:szCs w:val="21"/>
          <w:highlight w:val="none"/>
        </w:rPr>
        <w:t xml:space="preserve">2、人员管理方案</w:t>
      </w:r>
      <w:r>
        <w:rPr>
          <w:rFonts w:hint="eastAsia"/>
          <w:color w:val="auto"/>
          <w:sz w:val="21"/>
          <w:szCs w:val="21"/>
          <w:highlight w:val="none"/>
          <w:lang w:val="en-US" w:eastAsia="zh-CN"/>
        </w:rPr>
        <w:t xml:space="preserve">（10分）</w:t>
      </w:r>
      <w:r>
        <w:rPr>
          <w:rFonts w:hint="eastAsia"/>
          <w:color w:val="auto"/>
          <w:sz w:val="21"/>
          <w:szCs w:val="21"/>
          <w:highlight w:val="none"/>
          <w:lang w:eastAsia="zh-CN"/>
        </w:rPr>
        <w:t xml:space="preserve">。</w:t>
      </w:r>
      <w:r>
        <w:rPr>
          <w:rFonts w:hint="eastAsia"/>
          <w:color w:val="auto"/>
          <w:sz w:val="21"/>
          <w:szCs w:val="21"/>
          <w:highlight w:val="none"/>
        </w:rPr>
        <w:t xml:space="preserve">方案内容中至少包含项目组人员分工、作业人员配置及其作业人员管理、联动中心回复人员，绿化养护平台资料员组成方案等内容，《投入本项目组人员》、《作业人员配备表》。内容详细、有针对性的可得优秀，得</w:t>
      </w:r>
      <w:r>
        <w:rPr>
          <w:rFonts w:hint="eastAsia"/>
          <w:color w:val="auto"/>
          <w:sz w:val="21"/>
          <w:szCs w:val="21"/>
          <w:highlight w:val="none"/>
          <w:lang w:val="en-US" w:eastAsia="zh-CN"/>
        </w:rPr>
        <w:t xml:space="preserve">10</w:t>
      </w:r>
      <w:r>
        <w:rPr>
          <w:rFonts w:hint="eastAsia"/>
          <w:color w:val="auto"/>
          <w:sz w:val="21"/>
          <w:szCs w:val="21"/>
          <w:highlight w:val="none"/>
        </w:rPr>
        <w:t xml:space="preserve">分；内容相对充实，有一定合理性的得良好，得</w:t>
      </w:r>
      <w:r>
        <w:rPr>
          <w:rFonts w:hint="eastAsia"/>
          <w:color w:val="auto"/>
          <w:sz w:val="21"/>
          <w:szCs w:val="21"/>
          <w:highlight w:val="none"/>
          <w:lang w:val="en-US" w:eastAsia="zh-CN"/>
        </w:rPr>
        <w:t xml:space="preserve">6</w:t>
      </w:r>
      <w:r>
        <w:rPr>
          <w:rFonts w:hint="eastAsia"/>
          <w:color w:val="auto"/>
          <w:sz w:val="21"/>
          <w:szCs w:val="21"/>
          <w:highlight w:val="none"/>
        </w:rPr>
        <w:t xml:space="preserve">分；基本满足要求的可得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rPr>
          <w:rFonts w:hint="eastAsia" w:ascii="宋体" w:hAnsi="宋体"/>
          <w:color w:val="auto"/>
          <w:sz w:val="21"/>
          <w:szCs w:val="21"/>
          <w:highlight w:val="none"/>
        </w:rPr>
        <w:t xml:space="preserve">未提供方案的此项不得分。</w:t>
      </w:r>
      <w:r/>
    </w:p>
    <w:p>
      <w:pPr>
        <w:ind w:firstLine="420"/>
        <w:spacing w:line="360" w:lineRule="auto"/>
        <w:shd w:val="clear" w:color="auto" w:fill="auto"/>
        <w:tabs>
          <w:tab w:val="left" w:pos="360" w:leader="none"/>
        </w:tabs>
        <w:rPr>
          <w:color w:val="auto"/>
          <w:sz w:val="21"/>
          <w:szCs w:val="21"/>
          <w:highlight w:val="none"/>
        </w:rPr>
      </w:pPr>
      <w:r>
        <w:rPr>
          <w:rFonts w:hint="eastAsia"/>
          <w:color w:val="auto"/>
          <w:sz w:val="21"/>
          <w:szCs w:val="21"/>
          <w:highlight w:val="none"/>
        </w:rPr>
        <w:t xml:space="preserve">3、设备设施作业管理维护方案</w:t>
      </w:r>
      <w:r>
        <w:rPr>
          <w:rFonts w:hint="eastAsia"/>
          <w:color w:val="auto"/>
          <w:sz w:val="21"/>
          <w:szCs w:val="21"/>
          <w:highlight w:val="none"/>
          <w:lang w:val="en-US" w:eastAsia="zh-CN"/>
        </w:rPr>
        <w:t xml:space="preserve">（10分）</w:t>
      </w:r>
      <w:r>
        <w:rPr>
          <w:rFonts w:hint="eastAsia"/>
          <w:color w:val="auto"/>
          <w:sz w:val="21"/>
          <w:szCs w:val="21"/>
          <w:highlight w:val="none"/>
          <w:lang w:eastAsia="zh-CN"/>
        </w:rPr>
        <w:t xml:space="preserve">。</w:t>
      </w:r>
      <w:r>
        <w:rPr>
          <w:rFonts w:hint="eastAsia"/>
          <w:color w:val="auto"/>
          <w:sz w:val="21"/>
          <w:szCs w:val="21"/>
          <w:highlight w:val="none"/>
        </w:rPr>
        <w:t xml:space="preserve">方案内容中至少包含设备配置、设备作业管理方案及设备后期维护保养方案等内容。内容详细、有针对性的可得优秀，得</w:t>
      </w:r>
      <w:r>
        <w:rPr>
          <w:rFonts w:hint="eastAsia"/>
          <w:color w:val="auto"/>
          <w:sz w:val="21"/>
          <w:szCs w:val="21"/>
          <w:highlight w:val="none"/>
          <w:lang w:val="en-US" w:eastAsia="zh-CN"/>
        </w:rPr>
        <w:t xml:space="preserve">10</w:t>
      </w:r>
      <w:r>
        <w:rPr>
          <w:rFonts w:hint="eastAsia"/>
          <w:color w:val="auto"/>
          <w:sz w:val="21"/>
          <w:szCs w:val="21"/>
          <w:highlight w:val="none"/>
        </w:rPr>
        <w:t xml:space="preserve">分；内容相对充实，有一定合理性的得良好，得</w:t>
      </w:r>
      <w:r>
        <w:rPr>
          <w:rFonts w:hint="eastAsia"/>
          <w:color w:val="auto"/>
          <w:sz w:val="21"/>
          <w:szCs w:val="21"/>
          <w:highlight w:val="none"/>
          <w:lang w:val="en-US" w:eastAsia="zh-CN"/>
        </w:rPr>
        <w:t xml:space="preserve">6</w:t>
      </w:r>
      <w:r>
        <w:rPr>
          <w:rFonts w:hint="eastAsia"/>
          <w:color w:val="auto"/>
          <w:sz w:val="21"/>
          <w:szCs w:val="21"/>
          <w:highlight w:val="none"/>
        </w:rPr>
        <w:t xml:space="preserve">分；基本满足要求的可得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rPr>
          <w:rFonts w:hint="eastAsia" w:ascii="宋体" w:hAnsi="宋体"/>
          <w:color w:val="auto"/>
          <w:sz w:val="21"/>
          <w:szCs w:val="21"/>
          <w:highlight w:val="none"/>
        </w:rPr>
        <w:t xml:space="preserve">未提供方案的此项不得分。</w:t>
      </w:r>
      <w:r/>
    </w:p>
    <w:p>
      <w:pPr>
        <w:ind w:firstLine="420"/>
        <w:spacing w:line="360" w:lineRule="auto"/>
        <w:shd w:val="clear" w:color="auto" w:fill="auto"/>
        <w:tabs>
          <w:tab w:val="left" w:pos="360" w:leader="none"/>
        </w:tabs>
        <w:rPr>
          <w:color w:val="auto"/>
          <w:sz w:val="21"/>
          <w:szCs w:val="21"/>
          <w:highlight w:val="none"/>
        </w:rPr>
      </w:pPr>
      <w:r>
        <w:rPr>
          <w:rFonts w:hint="eastAsia"/>
          <w:color w:val="auto"/>
          <w:sz w:val="21"/>
          <w:szCs w:val="21"/>
          <w:highlight w:val="none"/>
        </w:rPr>
        <w:t xml:space="preserve">4、绿化养护技术方案</w:t>
      </w:r>
      <w:r>
        <w:rPr>
          <w:rFonts w:hint="eastAsia"/>
          <w:color w:val="auto"/>
          <w:sz w:val="21"/>
          <w:szCs w:val="21"/>
          <w:highlight w:val="none"/>
          <w:lang w:val="en-US" w:eastAsia="zh-CN"/>
        </w:rPr>
        <w:t xml:space="preserve">（10分）</w:t>
      </w:r>
      <w:r>
        <w:rPr>
          <w:rFonts w:hint="eastAsia"/>
          <w:color w:val="auto"/>
          <w:sz w:val="21"/>
          <w:szCs w:val="21"/>
          <w:highlight w:val="none"/>
          <w:lang w:eastAsia="zh-CN"/>
        </w:rPr>
        <w:t xml:space="preserve">。</w:t>
      </w:r>
      <w:r>
        <w:rPr>
          <w:rFonts w:hint="eastAsia"/>
          <w:color w:val="auto"/>
          <w:sz w:val="21"/>
          <w:szCs w:val="21"/>
          <w:highlight w:val="none"/>
        </w:rPr>
        <w:t xml:space="preserve">包括养护计划、植物养护、景观树造型、设施维护、病虫害防治、树木修剪、抗旱排涝、安全作业、绿地保洁、草花种植等。内容详细、有针对性的可得优秀，得</w:t>
      </w:r>
      <w:r>
        <w:rPr>
          <w:rFonts w:hint="eastAsia"/>
          <w:color w:val="auto"/>
          <w:sz w:val="21"/>
          <w:szCs w:val="21"/>
          <w:highlight w:val="none"/>
          <w:lang w:val="en-US" w:eastAsia="zh-CN"/>
        </w:rPr>
        <w:t xml:space="preserve">10</w:t>
      </w:r>
      <w:r>
        <w:rPr>
          <w:rFonts w:hint="eastAsia"/>
          <w:color w:val="auto"/>
          <w:sz w:val="21"/>
          <w:szCs w:val="21"/>
          <w:highlight w:val="none"/>
        </w:rPr>
        <w:t xml:space="preserve">分；内容相对充实，有一定合理性的得良好，得</w:t>
      </w:r>
      <w:r>
        <w:rPr>
          <w:rFonts w:hint="eastAsia"/>
          <w:color w:val="auto"/>
          <w:sz w:val="21"/>
          <w:szCs w:val="21"/>
          <w:highlight w:val="none"/>
          <w:lang w:val="en-US" w:eastAsia="zh-CN"/>
        </w:rPr>
        <w:t xml:space="preserve">6</w:t>
      </w:r>
      <w:r>
        <w:rPr>
          <w:rFonts w:hint="eastAsia"/>
          <w:color w:val="auto"/>
          <w:sz w:val="21"/>
          <w:szCs w:val="21"/>
          <w:highlight w:val="none"/>
        </w:rPr>
        <w:t xml:space="preserve">分；基本满足要求的可得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rPr>
          <w:rFonts w:hint="eastAsia" w:ascii="宋体" w:hAnsi="宋体"/>
          <w:color w:val="auto"/>
          <w:sz w:val="21"/>
          <w:szCs w:val="21"/>
          <w:highlight w:val="none"/>
        </w:rPr>
        <w:t xml:space="preserve">未提供方案的此项不得分。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color w:val="auto"/>
          <w:sz w:val="21"/>
          <w:szCs w:val="21"/>
          <w:highlight w:val="none"/>
        </w:rPr>
        <w:t xml:space="preserve">5、绿化养护应急方案</w:t>
      </w:r>
      <w:r>
        <w:rPr>
          <w:rFonts w:hint="eastAsia"/>
          <w:color w:val="auto"/>
          <w:sz w:val="21"/>
          <w:szCs w:val="21"/>
          <w:highlight w:val="none"/>
          <w:lang w:val="en-US" w:eastAsia="zh-CN"/>
        </w:rPr>
        <w:t xml:space="preserve">（10分）</w:t>
      </w:r>
      <w:r>
        <w:rPr>
          <w:rFonts w:hint="eastAsia"/>
          <w:color w:val="auto"/>
          <w:sz w:val="21"/>
          <w:szCs w:val="21"/>
          <w:highlight w:val="none"/>
          <w:lang w:eastAsia="zh-CN"/>
        </w:rPr>
        <w:t xml:space="preserve">。</w:t>
      </w:r>
      <w:r>
        <w:rPr>
          <w:rFonts w:hint="eastAsia"/>
          <w:color w:val="auto"/>
          <w:sz w:val="21"/>
          <w:szCs w:val="21"/>
          <w:highlight w:val="none"/>
        </w:rPr>
        <w:t xml:space="preserve">一般突发事件应急措施，包括：</w:t>
      </w:r>
      <w:r>
        <w:rPr>
          <w:color w:val="auto"/>
          <w:sz w:val="21"/>
          <w:szCs w:val="21"/>
          <w:highlight w:val="none"/>
        </w:rPr>
        <w:t xml:space="preserve">110抢险应急预案、抗台防汛等恶劣天气的应急措施及各类迎检</w:t>
      </w:r>
      <w:r>
        <w:rPr>
          <w:rFonts w:hint="eastAsia" w:eastAsia="宋体" w:cs="Times New Roman"/>
          <w:color w:val="auto"/>
          <w:sz w:val="21"/>
          <w:szCs w:val="21"/>
          <w:highlight w:val="none"/>
        </w:rPr>
        <w:t xml:space="preserve">保障工作等。内容详细、有针对性的可得优秀，得</w:t>
      </w:r>
      <w:r>
        <w:rPr>
          <w:rFonts w:hint="eastAsia" w:eastAsia="宋体" w:cs="Times New Roman"/>
          <w:color w:val="auto"/>
          <w:sz w:val="21"/>
          <w:szCs w:val="21"/>
          <w:highlight w:val="none"/>
          <w:lang w:val="en-US" w:eastAsia="zh-CN"/>
        </w:rPr>
        <w:t xml:space="preserve">10</w:t>
      </w:r>
      <w:r>
        <w:rPr>
          <w:rFonts w:hint="eastAsia" w:eastAsia="宋体" w:cs="Times New Roman"/>
          <w:color w:val="auto"/>
          <w:sz w:val="21"/>
          <w:szCs w:val="21"/>
          <w:highlight w:val="none"/>
        </w:rPr>
        <w:t xml:space="preserve">分；内容相对充实，有一定合理性的得良好，得</w:t>
      </w:r>
      <w:r>
        <w:rPr>
          <w:rFonts w:hint="eastAsia" w:eastAsia="宋体" w:cs="Times New Roman"/>
          <w:color w:val="auto"/>
          <w:sz w:val="21"/>
          <w:szCs w:val="21"/>
          <w:highlight w:val="none"/>
          <w:lang w:val="en-US" w:eastAsia="zh-CN"/>
        </w:rPr>
        <w:t xml:space="preserve">6</w:t>
      </w:r>
      <w:r>
        <w:rPr>
          <w:rFonts w:hint="eastAsia" w:eastAsia="宋体" w:cs="Times New Roman"/>
          <w:color w:val="auto"/>
          <w:sz w:val="21"/>
          <w:szCs w:val="21"/>
          <w:highlight w:val="none"/>
        </w:rPr>
        <w:t xml:space="preserve">分；基本满足要求的可得</w:t>
      </w:r>
      <w:r>
        <w:rPr>
          <w:rFonts w:hint="eastAsia" w:eastAsia="宋体" w:cs="Times New Roman"/>
          <w:color w:val="auto"/>
          <w:sz w:val="21"/>
          <w:szCs w:val="21"/>
          <w:highlight w:val="none"/>
          <w:lang w:val="en-US" w:eastAsia="zh-CN"/>
        </w:rPr>
        <w:t xml:space="preserve">3</w:t>
      </w:r>
      <w:r>
        <w:rPr>
          <w:rFonts w:hint="eastAsia" w:eastAsia="宋体" w:cs="Times New Roman"/>
          <w:color w:val="auto"/>
          <w:sz w:val="21"/>
          <w:szCs w:val="21"/>
          <w:highlight w:val="none"/>
        </w:rPr>
        <w:t xml:space="preserve">分；未提供方案的此项不得分。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6、</w:t>
      </w:r>
      <w:r>
        <w:rPr>
          <w:rFonts w:hint="eastAsia" w:eastAsia="宋体" w:cs="Times New Roman"/>
          <w:color w:val="auto"/>
          <w:sz w:val="21"/>
          <w:szCs w:val="21"/>
          <w:highlight w:val="none"/>
        </w:rPr>
        <w:t xml:space="preserve">投标单位进退场交接方案及对绿化养护承包区内环境设施的维护管理及措施比较</w:t>
      </w:r>
      <w:r>
        <w:rPr>
          <w:rFonts w:hint="eastAsia" w:eastAsia="宋体" w:cs="Times New Roman"/>
          <w:color w:val="auto"/>
          <w:sz w:val="21"/>
          <w:szCs w:val="21"/>
          <w:highlight w:val="none"/>
          <w:lang w:val="en-US" w:eastAsia="zh-CN"/>
        </w:rPr>
        <w:t xml:space="preserve">（8分）。</w:t>
      </w:r>
      <w:r>
        <w:rPr>
          <w:rFonts w:hint="eastAsia" w:eastAsia="宋体" w:cs="Times New Roman"/>
          <w:color w:val="auto"/>
          <w:sz w:val="21"/>
          <w:szCs w:val="21"/>
          <w:highlight w:val="none"/>
        </w:rPr>
        <w:t xml:space="preserve">针对进退场交接方案及对绿化养护承包区内环境设施的维护管理及措施描述清晰切明确的得</w:t>
      </w:r>
      <w:r>
        <w:rPr>
          <w:rFonts w:hint="eastAsia" w:eastAsia="宋体" w:cs="Times New Roman"/>
          <w:color w:val="auto"/>
          <w:sz w:val="21"/>
          <w:szCs w:val="21"/>
          <w:highlight w:val="none"/>
          <w:lang w:val="en-US" w:eastAsia="zh-CN"/>
        </w:rPr>
        <w:t xml:space="preserve">8</w:t>
      </w:r>
      <w:r>
        <w:rPr>
          <w:rFonts w:hint="eastAsia" w:eastAsia="宋体" w:cs="Times New Roman"/>
          <w:color w:val="auto"/>
          <w:sz w:val="21"/>
          <w:szCs w:val="21"/>
          <w:highlight w:val="none"/>
        </w:rPr>
        <w:t xml:space="preserve">分；方案相对清晰的得</w:t>
      </w:r>
      <w:r>
        <w:rPr>
          <w:rFonts w:hint="eastAsia" w:eastAsia="宋体" w:cs="Times New Roman"/>
          <w:color w:val="auto"/>
          <w:sz w:val="21"/>
          <w:szCs w:val="21"/>
          <w:highlight w:val="none"/>
          <w:lang w:val="en-US" w:eastAsia="zh-CN"/>
        </w:rPr>
        <w:t xml:space="preserve">4</w:t>
      </w:r>
      <w:r>
        <w:rPr>
          <w:rFonts w:hint="eastAsia" w:eastAsia="宋体" w:cs="Times New Roman"/>
          <w:color w:val="auto"/>
          <w:sz w:val="21"/>
          <w:szCs w:val="21"/>
          <w:highlight w:val="none"/>
        </w:rPr>
        <w:t xml:space="preserve">分；方案相对</w:t>
      </w:r>
      <w:r>
        <w:rPr>
          <w:rFonts w:hint="eastAsia" w:eastAsia="宋体" w:cs="Times New Roman"/>
          <w:color w:val="auto"/>
          <w:sz w:val="21"/>
          <w:szCs w:val="21"/>
          <w:highlight w:val="none"/>
          <w:lang w:val="en-US" w:eastAsia="zh-CN"/>
        </w:rPr>
        <w:t xml:space="preserve">模糊</w:t>
      </w:r>
      <w:r>
        <w:rPr>
          <w:rFonts w:hint="eastAsia" w:eastAsia="宋体" w:cs="Times New Roman"/>
          <w:color w:val="auto"/>
          <w:sz w:val="21"/>
          <w:szCs w:val="21"/>
          <w:highlight w:val="none"/>
        </w:rPr>
        <w:t xml:space="preserve">的得</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rPr>
        <w:t xml:space="preserve">分未提供方案的此项不得分。     </w:t>
      </w:r>
      <w:r/>
    </w:p>
    <w:p>
      <w:pPr>
        <w:ind w:firstLine="420"/>
        <w:spacing w:line="360" w:lineRule="auto"/>
        <w:shd w:val="clear" w:color="auto" w:fill="auto"/>
        <w:tabs>
          <w:tab w:val="left" w:pos="360" w:leader="none"/>
        </w:tabs>
        <w:rPr>
          <w:rFonts w:hint="eastAsia"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7、</w:t>
      </w:r>
      <w:r>
        <w:rPr>
          <w:rFonts w:hint="eastAsia" w:eastAsia="宋体" w:cs="Times New Roman"/>
          <w:color w:val="auto"/>
          <w:sz w:val="21"/>
          <w:szCs w:val="21"/>
          <w:highlight w:val="none"/>
        </w:rPr>
        <w:t xml:space="preserve">投标单位提供的质量承诺、对发生各类安全事故善后处理承诺、依法规范用工承诺及应对履约期内各类风险承诺完善</w:t>
      </w:r>
      <w:r>
        <w:rPr>
          <w:rFonts w:hint="eastAsia" w:eastAsia="宋体" w:cs="Times New Roman"/>
          <w:color w:val="auto"/>
          <w:sz w:val="21"/>
          <w:szCs w:val="21"/>
          <w:highlight w:val="none"/>
          <w:lang w:val="en-US" w:eastAsia="zh-CN"/>
        </w:rPr>
        <w:t xml:space="preserve">（8分）。</w:t>
      </w:r>
      <w:r>
        <w:rPr>
          <w:rFonts w:hint="eastAsia" w:eastAsia="宋体" w:cs="Times New Roman"/>
          <w:color w:val="auto"/>
          <w:sz w:val="21"/>
          <w:szCs w:val="21"/>
          <w:highlight w:val="none"/>
        </w:rPr>
        <w:t xml:space="preserve">针对性强的得</w:t>
      </w:r>
      <w:r>
        <w:rPr>
          <w:rFonts w:hint="eastAsia" w:eastAsia="宋体" w:cs="Times New Roman"/>
          <w:color w:val="auto"/>
          <w:sz w:val="21"/>
          <w:szCs w:val="21"/>
          <w:highlight w:val="none"/>
          <w:lang w:val="en-US" w:eastAsia="zh-CN"/>
        </w:rPr>
        <w:t xml:space="preserve">8</w:t>
      </w:r>
      <w:r>
        <w:rPr>
          <w:rFonts w:hint="eastAsia" w:eastAsia="宋体" w:cs="Times New Roman"/>
          <w:color w:val="auto"/>
          <w:sz w:val="21"/>
          <w:szCs w:val="21"/>
          <w:highlight w:val="none"/>
        </w:rPr>
        <w:t xml:space="preserve">分；质量承诺、对发生各类安全事故善后处理承诺、依法规范用工承诺及应对履约期内各类风险承诺较为完善、针对性较强的得4分；质量承诺、对发生各类安全事故善后处理承诺、依法规范用工承诺及应对履约期内各类风险承诺完善程度一般、针对性一般的得2分；未提供方案的此项不得分。</w:t>
      </w:r>
      <w:r/>
    </w:p>
    <w:p>
      <w:pPr>
        <w:spacing w:line="360" w:lineRule="auto"/>
        <w:shd w:val="clear" w:color="auto" w:fill="auto"/>
        <w:tabs>
          <w:tab w:val="left" w:pos="360" w:leader="none"/>
        </w:tabs>
        <w:rPr>
          <w:b/>
          <w:color w:val="auto"/>
          <w:sz w:val="21"/>
          <w:szCs w:val="21"/>
          <w:highlight w:val="none"/>
        </w:rPr>
      </w:pPr>
      <w:r>
        <w:rPr>
          <w:rFonts w:hint="eastAsia"/>
          <w:b/>
          <w:color w:val="auto"/>
          <w:sz w:val="21"/>
          <w:szCs w:val="21"/>
          <w:highlight w:val="none"/>
        </w:rPr>
        <w:t xml:space="preserve">（三）投标单位</w:t>
      </w:r>
      <w:r>
        <w:rPr>
          <w:rFonts w:hint="eastAsia"/>
          <w:b/>
          <w:color w:val="auto"/>
          <w:sz w:val="21"/>
          <w:szCs w:val="21"/>
          <w:highlight w:val="none"/>
          <w:lang w:eastAsia="zh-CN"/>
        </w:rPr>
        <w:t xml:space="preserve">综合实力</w:t>
      </w:r>
      <w:r>
        <w:rPr>
          <w:rFonts w:hint="eastAsia"/>
          <w:b/>
          <w:color w:val="auto"/>
          <w:sz w:val="21"/>
          <w:szCs w:val="21"/>
          <w:highlight w:val="none"/>
        </w:rPr>
        <w:t xml:space="preserve">比较（</w:t>
      </w:r>
      <w:r>
        <w:rPr>
          <w:rFonts w:hint="eastAsia"/>
          <w:b/>
          <w:color w:val="auto"/>
          <w:sz w:val="21"/>
          <w:szCs w:val="21"/>
          <w:highlight w:val="none"/>
          <w:lang w:val="en-US" w:eastAsia="zh-CN"/>
        </w:rPr>
        <w:t xml:space="preserve">12</w:t>
      </w:r>
      <w:r>
        <w:rPr>
          <w:rFonts w:hint="eastAsia"/>
          <w:b/>
          <w:color w:val="auto"/>
          <w:sz w:val="21"/>
          <w:szCs w:val="21"/>
          <w:highlight w:val="none"/>
        </w:rPr>
        <w:t xml:space="preserve">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1、</w:t>
      </w:r>
      <w:r>
        <w:rPr>
          <w:rFonts w:hint="eastAsia" w:eastAsia="宋体" w:cs="Times New Roman"/>
          <w:color w:val="auto"/>
          <w:sz w:val="21"/>
          <w:szCs w:val="21"/>
          <w:highlight w:val="none"/>
          <w:lang w:val="en-US" w:eastAsia="zh-CN"/>
        </w:rPr>
        <w:t xml:space="preserve">投入</w:t>
      </w:r>
      <w:r>
        <w:rPr>
          <w:rFonts w:hint="eastAsia" w:eastAsia="宋体" w:cs="Times New Roman"/>
          <w:color w:val="auto"/>
          <w:sz w:val="21"/>
          <w:szCs w:val="21"/>
          <w:highlight w:val="none"/>
          <w:lang w:eastAsia="zh-CN"/>
        </w:rPr>
        <w:t xml:space="preserve">项目</w:t>
      </w:r>
      <w:r>
        <w:rPr>
          <w:rFonts w:hint="eastAsia" w:eastAsia="宋体" w:cs="Times New Roman"/>
          <w:color w:val="auto"/>
          <w:sz w:val="21"/>
          <w:szCs w:val="21"/>
          <w:highlight w:val="none"/>
          <w:lang w:val="en-US" w:eastAsia="zh-CN"/>
        </w:rPr>
        <w:t xml:space="preserve">技术</w:t>
      </w:r>
      <w:r>
        <w:rPr>
          <w:rFonts w:hint="eastAsia" w:eastAsia="宋体" w:cs="Times New Roman"/>
          <w:color w:val="auto"/>
          <w:sz w:val="21"/>
          <w:szCs w:val="21"/>
          <w:highlight w:val="none"/>
          <w:lang w:eastAsia="zh-CN"/>
        </w:rPr>
        <w:t xml:space="preserve">负责人（</w:t>
      </w:r>
      <w:r>
        <w:rPr>
          <w:rFonts w:hint="eastAsia" w:eastAsia="宋体" w:cs="Times New Roman"/>
          <w:color w:val="auto"/>
          <w:sz w:val="21"/>
          <w:szCs w:val="21"/>
          <w:highlight w:val="none"/>
          <w:lang w:val="en-US" w:eastAsia="zh-CN"/>
        </w:rPr>
        <w:t xml:space="preserve">2分</w:t>
      </w:r>
      <w:r>
        <w:rPr>
          <w:rFonts w:hint="eastAsia" w:eastAsia="宋体" w:cs="Times New Roman"/>
          <w:color w:val="auto"/>
          <w:sz w:val="21"/>
          <w:szCs w:val="21"/>
          <w:highlight w:val="none"/>
          <w:lang w:eastAsia="zh-CN"/>
        </w:rPr>
        <w:t xml:space="preserve">）</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lang w:eastAsia="zh-CN"/>
        </w:rPr>
        <w:t xml:space="preserve">项目</w:t>
      </w:r>
      <w:r>
        <w:rPr>
          <w:rFonts w:hint="eastAsia" w:eastAsia="宋体" w:cs="Times New Roman"/>
          <w:color w:val="auto"/>
          <w:sz w:val="21"/>
          <w:szCs w:val="21"/>
          <w:highlight w:val="none"/>
          <w:lang w:val="en-US" w:eastAsia="zh-CN"/>
        </w:rPr>
        <w:t xml:space="preserve">技术</w:t>
      </w:r>
      <w:r>
        <w:rPr>
          <w:rFonts w:hint="eastAsia" w:eastAsia="宋体" w:cs="Times New Roman"/>
          <w:color w:val="auto"/>
          <w:sz w:val="21"/>
          <w:szCs w:val="21"/>
          <w:highlight w:val="none"/>
          <w:lang w:eastAsia="zh-CN"/>
        </w:rPr>
        <w:t xml:space="preserve">负责人</w:t>
      </w:r>
      <w:r>
        <w:rPr>
          <w:rFonts w:hint="eastAsia" w:eastAsia="宋体" w:cs="Times New Roman"/>
          <w:color w:val="auto"/>
          <w:sz w:val="21"/>
          <w:szCs w:val="21"/>
          <w:highlight w:val="none"/>
          <w:lang w:val="en-US" w:eastAsia="zh-CN"/>
        </w:rPr>
        <w:t xml:space="preserve">1人</w:t>
      </w:r>
      <w:r>
        <w:rPr>
          <w:rFonts w:hint="eastAsia" w:eastAsia="宋体" w:cs="Times New Roman"/>
          <w:color w:val="auto"/>
          <w:sz w:val="21"/>
          <w:szCs w:val="21"/>
          <w:highlight w:val="none"/>
          <w:lang w:eastAsia="zh-CN"/>
        </w:rPr>
        <w:t xml:space="preserve">具备园林绿化相关专业高级（或以上）职称的，</w:t>
      </w:r>
      <w:r>
        <w:rPr>
          <w:rFonts w:hint="eastAsia" w:eastAsia="宋体" w:cs="Times New Roman"/>
          <w:color w:val="auto"/>
          <w:sz w:val="21"/>
          <w:szCs w:val="21"/>
          <w:highlight w:val="none"/>
          <w:lang w:val="en-US" w:eastAsia="zh-CN"/>
        </w:rPr>
        <w:t xml:space="preserve">本科学历</w:t>
      </w:r>
      <w:r>
        <w:rPr>
          <w:rFonts w:hint="eastAsia" w:eastAsia="宋体" w:cs="Times New Roman"/>
          <w:color w:val="auto"/>
          <w:sz w:val="21"/>
          <w:szCs w:val="21"/>
          <w:highlight w:val="none"/>
          <w:lang w:eastAsia="zh-CN"/>
        </w:rPr>
        <w:t xml:space="preserve">得</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lang w:eastAsia="zh-CN"/>
        </w:rPr>
        <w:t xml:space="preserve">分，本项最高得</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lang w:eastAsia="zh-CN"/>
        </w:rPr>
        <w:t xml:space="preserve">分</w:t>
      </w:r>
      <w:r>
        <w:rPr>
          <w:rFonts w:hint="eastAsia" w:eastAsia="宋体" w:cs="Times New Roman"/>
          <w:color w:val="auto"/>
          <w:sz w:val="21"/>
          <w:szCs w:val="21"/>
          <w:highlight w:val="none"/>
        </w:rPr>
        <w:t xml:space="preserve">。（须提供人员相关证书及投标单位为该员工缴纳的投标截止时间</w:t>
      </w:r>
      <w:r>
        <w:rPr>
          <w:rFonts w:hint="eastAsia" w:eastAsia="宋体" w:cs="Times New Roman"/>
          <w:color w:val="auto"/>
          <w:sz w:val="21"/>
          <w:szCs w:val="21"/>
          <w:highlight w:val="none"/>
          <w:lang w:val="en-US" w:eastAsia="zh-CN"/>
        </w:rPr>
        <w:t xml:space="preserve">前</w:t>
      </w:r>
      <w:r>
        <w:rPr>
          <w:rFonts w:hint="eastAsia" w:eastAsia="宋体" w:cs="Times New Roman"/>
          <w:color w:val="auto"/>
          <w:sz w:val="21"/>
          <w:szCs w:val="21"/>
          <w:highlight w:val="none"/>
        </w:rPr>
        <w:t xml:space="preserve">三个月内任意一个月的的社保证明材料，不提供不得分）</w:t>
      </w:r>
      <w:r/>
    </w:p>
    <w:p>
      <w:pPr>
        <w:ind w:firstLine="420"/>
        <w:spacing w:line="360" w:lineRule="auto"/>
        <w:shd w:val="clear" w:color="auto" w:fill="auto"/>
        <w:tabs>
          <w:tab w:val="left" w:pos="360" w:leader="none"/>
        </w:tabs>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园林绿化相关专业”：指与园林绿化工程规划、设计、施工及养护管理相关的专业，包括园林（含园林规划设计、园林植物、风景园林、园林绿化等）、园艺、城市规划、景观、植物（含植保、森保等）、林学、林业、风景旅游、环境艺术等专业。</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③职称证标明专业的，按照职称证专业认定（园林绿化中级资格评审委员会认证的职称证默认是园林绿化相关专业）。职称证未标明专业的，按照评审表或学历证（颁发时间早于职称证）上的专业认定。</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2、投入本项目的资料员</w:t>
      </w:r>
      <w:r>
        <w:rPr>
          <w:rFonts w:hint="eastAsia" w:eastAsia="宋体" w:cs="Times New Roman"/>
          <w:color w:val="auto"/>
          <w:sz w:val="21"/>
          <w:szCs w:val="21"/>
          <w:highlight w:val="none"/>
          <w:lang w:eastAsia="zh-CN"/>
        </w:rPr>
        <w:t xml:space="preserve">、</w:t>
      </w:r>
      <w:r>
        <w:rPr>
          <w:rFonts w:hint="eastAsia" w:eastAsia="宋体" w:cs="Times New Roman"/>
          <w:color w:val="auto"/>
          <w:sz w:val="21"/>
          <w:szCs w:val="21"/>
          <w:highlight w:val="none"/>
          <w:lang w:val="en-US" w:eastAsia="zh-CN"/>
        </w:rPr>
        <w:t xml:space="preserve">安全员</w:t>
      </w:r>
      <w:r>
        <w:rPr>
          <w:rFonts w:hint="eastAsia" w:eastAsia="宋体" w:cs="Times New Roman"/>
          <w:color w:val="auto"/>
          <w:sz w:val="21"/>
          <w:szCs w:val="21"/>
          <w:highlight w:val="none"/>
        </w:rPr>
        <w:t xml:space="preserve">配置要求</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（1）具备资料员证书的，得</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rPr>
        <w:t xml:space="preserve">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lang w:eastAsia="zh-CN"/>
        </w:rPr>
        <w:t xml:space="preserve">（</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lang w:eastAsia="zh-CN"/>
        </w:rPr>
        <w:t xml:space="preserve">）</w:t>
      </w:r>
      <w:r>
        <w:rPr>
          <w:rFonts w:hint="eastAsia" w:eastAsia="宋体" w:cs="Times New Roman"/>
          <w:color w:val="auto"/>
          <w:sz w:val="21"/>
          <w:szCs w:val="21"/>
          <w:highlight w:val="none"/>
          <w:lang w:val="en-US" w:eastAsia="zh-CN"/>
        </w:rPr>
        <w:t xml:space="preserve">具备</w:t>
      </w:r>
      <w:r>
        <w:rPr>
          <w:rFonts w:hint="eastAsia" w:eastAsia="宋体" w:cs="Times New Roman"/>
          <w:color w:val="auto"/>
          <w:sz w:val="21"/>
          <w:szCs w:val="21"/>
          <w:highlight w:val="none"/>
        </w:rPr>
        <w:t xml:space="preserve">安全员证书</w:t>
      </w:r>
      <w:r>
        <w:rPr>
          <w:rFonts w:hint="eastAsia" w:eastAsia="宋体" w:cs="Times New Roman"/>
          <w:color w:val="auto"/>
          <w:sz w:val="21"/>
          <w:szCs w:val="21"/>
          <w:highlight w:val="none"/>
          <w:lang w:eastAsia="zh-CN"/>
        </w:rPr>
        <w:t xml:space="preserve">的</w:t>
      </w:r>
      <w:r>
        <w:rPr>
          <w:rFonts w:hint="eastAsia" w:eastAsia="宋体" w:cs="Times New Roman"/>
          <w:color w:val="auto"/>
          <w:sz w:val="21"/>
          <w:szCs w:val="21"/>
          <w:highlight w:val="none"/>
        </w:rPr>
        <w:t xml:space="preserve">，得</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rPr>
        <w:t xml:space="preserve">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w:t>
      </w:r>
      <w:r>
        <w:rPr>
          <w:rFonts w:hint="eastAsia" w:eastAsia="宋体" w:cs="Times New Roman"/>
          <w:color w:val="auto"/>
          <w:sz w:val="21"/>
          <w:szCs w:val="21"/>
          <w:highlight w:val="none"/>
          <w:lang w:val="en-US" w:eastAsia="zh-CN"/>
        </w:rPr>
        <w:t xml:space="preserve">响应</w:t>
      </w:r>
      <w:r>
        <w:rPr>
          <w:rFonts w:hint="eastAsia" w:eastAsia="宋体" w:cs="Times New Roman"/>
          <w:color w:val="auto"/>
          <w:sz w:val="21"/>
          <w:szCs w:val="21"/>
          <w:highlight w:val="none"/>
        </w:rPr>
        <w:t xml:space="preserve">文件中须提供</w:t>
      </w:r>
      <w:r>
        <w:rPr>
          <w:rFonts w:hint="eastAsia" w:eastAsia="宋体" w:cs="Times New Roman"/>
          <w:color w:val="auto"/>
          <w:sz w:val="21"/>
          <w:szCs w:val="21"/>
          <w:highlight w:val="none"/>
          <w:lang w:val="en-US" w:eastAsia="zh-CN"/>
        </w:rPr>
        <w:t xml:space="preserve">人员</w:t>
      </w:r>
      <w:r>
        <w:rPr>
          <w:rFonts w:hint="eastAsia" w:eastAsia="宋体" w:cs="Times New Roman"/>
          <w:color w:val="auto"/>
          <w:sz w:val="21"/>
          <w:szCs w:val="21"/>
          <w:highlight w:val="none"/>
        </w:rPr>
        <w:t xml:space="preserve">证书复印件及社保部门出具的投标人为其缴纳的</w:t>
      </w:r>
      <w:r>
        <w:rPr>
          <w:rFonts w:hint="eastAsia" w:eastAsia="宋体" w:cs="Times New Roman"/>
          <w:color w:val="auto"/>
          <w:sz w:val="21"/>
          <w:szCs w:val="21"/>
          <w:highlight w:val="none"/>
          <w:lang w:val="en-US" w:eastAsia="zh-CN"/>
        </w:rPr>
        <w:t xml:space="preserve">近三个月</w:t>
      </w:r>
      <w:r>
        <w:rPr>
          <w:rFonts w:hint="eastAsia" w:eastAsia="宋体" w:cs="Times New Roman"/>
          <w:color w:val="auto"/>
          <w:sz w:val="21"/>
          <w:szCs w:val="21"/>
          <w:highlight w:val="none"/>
        </w:rPr>
        <w:t xml:space="preserve">社保证明复印件。】</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3</w:t>
      </w:r>
      <w:r>
        <w:rPr>
          <w:rFonts w:hint="eastAsia" w:eastAsia="宋体" w:cs="Times New Roman"/>
          <w:color w:val="auto"/>
          <w:sz w:val="21"/>
          <w:szCs w:val="21"/>
          <w:highlight w:val="none"/>
        </w:rPr>
        <w:t xml:space="preserve">、投标单位类似业绩（</w:t>
      </w:r>
      <w:r>
        <w:rPr>
          <w:rFonts w:hint="eastAsia" w:eastAsia="宋体" w:cs="Times New Roman"/>
          <w:color w:val="auto"/>
          <w:sz w:val="21"/>
          <w:szCs w:val="21"/>
          <w:highlight w:val="none"/>
          <w:lang w:val="en-US" w:eastAsia="zh-CN"/>
        </w:rPr>
        <w:t xml:space="preserve">6</w:t>
      </w:r>
      <w:r>
        <w:rPr>
          <w:rFonts w:hint="eastAsia" w:eastAsia="宋体" w:cs="Times New Roman"/>
          <w:color w:val="auto"/>
          <w:sz w:val="21"/>
          <w:szCs w:val="21"/>
          <w:highlight w:val="none"/>
        </w:rPr>
        <w:t xml:space="preserve">分）：投标单位履约开始时间自20</w:t>
      </w:r>
      <w:r>
        <w:rPr>
          <w:rFonts w:hint="eastAsia" w:eastAsia="宋体" w:cs="Times New Roman"/>
          <w:color w:val="auto"/>
          <w:sz w:val="21"/>
          <w:szCs w:val="21"/>
          <w:highlight w:val="none"/>
          <w:lang w:val="en-US" w:eastAsia="zh-CN"/>
        </w:rPr>
        <w:t xml:space="preserve">23</w:t>
      </w:r>
      <w:r>
        <w:rPr>
          <w:rFonts w:hint="eastAsia" w:eastAsia="宋体" w:cs="Times New Roman"/>
          <w:color w:val="auto"/>
          <w:sz w:val="21"/>
          <w:szCs w:val="21"/>
          <w:highlight w:val="none"/>
        </w:rPr>
        <w:t xml:space="preserve">年1月1日（以合同签订时间为准）起并且已合格履约至少12个月的公共绿地绿化专业养护项目（绿化施工附带的绿化养护除外）。提供一份合同得2分，最多不超过</w:t>
      </w:r>
      <w:r>
        <w:rPr>
          <w:rFonts w:hint="eastAsia" w:eastAsia="宋体" w:cs="Times New Roman"/>
          <w:color w:val="auto"/>
          <w:sz w:val="21"/>
          <w:szCs w:val="21"/>
          <w:highlight w:val="none"/>
          <w:lang w:val="en-US" w:eastAsia="zh-CN"/>
        </w:rPr>
        <w:t xml:space="preserve">6</w:t>
      </w:r>
      <w:r>
        <w:rPr>
          <w:rFonts w:hint="eastAsia" w:eastAsia="宋体" w:cs="Times New Roman"/>
          <w:color w:val="auto"/>
          <w:sz w:val="21"/>
          <w:szCs w:val="21"/>
          <w:highlight w:val="none"/>
        </w:rPr>
        <w:t xml:space="preserve">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注：</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&lt;1&gt;投标人需根据上述要求提供合同复印件，未提供的不得分。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&lt;2&gt;类似业绩是指履约开始时间自20</w:t>
      </w:r>
      <w:r>
        <w:rPr>
          <w:rFonts w:hint="eastAsia" w:eastAsia="宋体" w:cs="Times New Roman"/>
          <w:color w:val="auto"/>
          <w:sz w:val="21"/>
          <w:szCs w:val="21"/>
          <w:highlight w:val="none"/>
          <w:lang w:val="en-US" w:eastAsia="zh-CN"/>
        </w:rPr>
        <w:t xml:space="preserve">23</w:t>
      </w:r>
      <w:r>
        <w:rPr>
          <w:rFonts w:hint="eastAsia" w:eastAsia="宋体" w:cs="Times New Roman"/>
          <w:color w:val="auto"/>
          <w:sz w:val="21"/>
          <w:szCs w:val="21"/>
          <w:highlight w:val="none"/>
        </w:rPr>
        <w:t xml:space="preserve">年1月1日（以合同签订时间为准）起并且已合格履约至少12个月的公共绿地绿化专业养护项目（绿化施工附带的绿化养护除外）。</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&lt;3&gt;投标人在提供有效合同及该项目的发票；未提供以上有效资料的该项不得分。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lt;4&gt;若该合同非单纯的公共绿地绿化专业养护项目，但其中包含公共绿地绿化专业养护内容，且单独注明公共绿地绿化专业养护的，则该项合同中注明的公共绿地绿化专业养护作为评分依据，否则该合同不予认可。</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&lt;5&gt;以上所提及的复印件，未提供的不得分。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（四）投标单位绿化机械设备情况比较（4分）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1、包括水车、清运卡车。</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①水车，最高2分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核定载质量≥4吨的，在满足基本要求上每增加一辆车辆：自有、租赁或承诺的得2分。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②清运卡车, 最高2分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在满足基本要求上每增加一辆核定载质量≥1.</w:t>
      </w:r>
      <w:r>
        <w:rPr>
          <w:rFonts w:hint="eastAsia" w:cs="Times New Roman"/>
          <w:color w:val="auto"/>
          <w:sz w:val="21"/>
          <w:szCs w:val="21"/>
          <w:highlight w:val="none"/>
          <w:lang w:val="en-US" w:eastAsia="zh-CN"/>
        </w:rPr>
        <w:t xml:space="preserve">6</w:t>
      </w:r>
      <w:r>
        <w:rPr>
          <w:rFonts w:hint="eastAsia" w:eastAsia="宋体" w:cs="Times New Roman"/>
          <w:color w:val="auto"/>
          <w:sz w:val="21"/>
          <w:szCs w:val="21"/>
          <w:highlight w:val="none"/>
        </w:rPr>
        <w:t xml:space="preserve">吨的车辆：自有、租赁或承诺的得2分。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投标文件中提供上述车辆的行驶证、机动车登记证书、车辆购买发票、有效期内的交强险保单的复印件，若为租赁需提供租赁协议复印件、租赁车辆的行驶证、机动车登记证书、车辆租赁发票、车辆购买发票、有效期内的交强险保单的复印件，承诺中标后购置的需提供承诺证明，上述证明资料原件（行驶证除外）与投标文件同时递交，否则不得分。</w:t>
      </w:r>
      <w:r/>
    </w:p>
    <w:p>
      <w:pPr>
        <w:ind w:firstLine="420"/>
        <w:spacing w:line="360" w:lineRule="auto"/>
        <w:shd w:val="clear" w:color="auto" w:fill="auto"/>
        <w:tabs>
          <w:tab w:val="left" w:pos="360" w:leader="none"/>
        </w:tabs>
        <w:rPr>
          <w:rFonts w:hint="eastAsia" w:eastAsia="宋体" w:cs="Times New Roman"/>
          <w:b/>
          <w:bCs/>
          <w:color w:val="auto"/>
          <w:sz w:val="21"/>
          <w:szCs w:val="21"/>
          <w:highlight w:val="none"/>
        </w:rPr>
      </w:pPr>
      <w:r>
        <w:rPr>
          <w:rFonts w:hint="eastAsia" w:eastAsia="宋体" w:cs="Times New Roman"/>
          <w:b/>
          <w:bCs/>
          <w:color w:val="auto"/>
          <w:sz w:val="21"/>
          <w:szCs w:val="21"/>
          <w:highlight w:val="none"/>
        </w:rPr>
        <w:t xml:space="preserve">（五）投标人其他实力比较（8分）</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1、投标人认证比较（2分）：投标人具有ISO质量体系认证、环境管理体系认证、职业健康安全体系认证，同时具备的得2分，其他不得分。提供证书彩色扫描件及该证书在中国国家认证认可监督管理委员会网站http://www.cnca.gov.cn/上查询的页面截图。</w:t>
      </w:r>
      <w:r/>
    </w:p>
    <w:p>
      <w:pPr>
        <w:ind w:firstLine="420"/>
        <w:spacing w:line="360" w:lineRule="auto"/>
        <w:shd w:val="clear" w:color="auto" w:fill="auto"/>
        <w:tabs>
          <w:tab w:val="left" w:pos="360"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2、作业人员特殊岗位补贴比较（6分）：为体现对一线作业人员特殊岗位的关怀，对作业人员每月在基本工资不变的前提下发放特殊岗位补贴的进行加分，每增加50元加1分（以50整数倍数计），最高6分。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1、报价超过采购预算的将不进入综合评审程序，也不得标。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2、付款方式、交货期如有负偏离的不得中标。</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3、针对评分标准中评分的每一条，投标单位均应提供相关资料并作出相应说明供评委评判，不提供相关资料的视为不具备该项得分的条件。</w:t>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422"/>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3855"/>
        <w:spacing w:line="360" w:lineRule="auto"/>
        <w:rPr>
          <w:rFonts w:hint="eastAsia" w:cs="宋体"/>
          <w:b/>
          <w:bCs/>
          <w:color w:val="auto"/>
          <w:sz w:val="32"/>
          <w:szCs w:val="32"/>
          <w:highlight w:val="none"/>
        </w:rPr>
      </w:pPr>
      <w:r>
        <w:rPr>
          <w:rFonts w:hint="eastAsia" w:cs="宋体"/>
          <w:b/>
          <w:bCs/>
          <w:color w:val="auto"/>
          <w:sz w:val="32"/>
          <w:szCs w:val="32"/>
          <w:highlight w:val="none"/>
        </w:rPr>
        <w:t xml:space="preserve">五、合同主要条款</w:t>
      </w:r>
      <w:bookmarkEnd w:id="70"/>
      <w:r/>
      <w:bookmarkEnd w:id="71"/>
      <w:r/>
      <w:bookmarkEnd w:id="72"/>
      <w:r/>
      <w:bookmarkEnd w:id="73"/>
      <w:r/>
      <w:bookmarkEnd w:id="74"/>
      <w:r/>
      <w:bookmarkEnd w:id="75"/>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甲方（采购单位）：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联系电话：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乙方（成交单位）：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联系人：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联系电话：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20" w:lineRule="exact"/>
        <w:rPr>
          <w:rFonts w:hint="eastAsia" w:ascii="宋体" w:hAnsi="宋体" w:cs="宋体"/>
          <w:color w:val="auto"/>
          <w:szCs w:val="21"/>
          <w:highlight w:val="none"/>
          <w:lang w:val="zh-CN"/>
        </w:rPr>
      </w:pPr>
      <w:r/>
      <w:bookmarkStart w:id="76" w:name="_Toc8552"/>
      <w:r/>
      <w:bookmarkStart w:id="77" w:name="_Toc13699"/>
      <w:r/>
      <w:bookmarkStart w:id="78" w:name="_Toc3519"/>
      <w:r/>
      <w:bookmarkStart w:id="79" w:name="_Toc31964"/>
      <w:r/>
      <w:bookmarkStart w:id="80" w:name="_Toc8163"/>
      <w:r/>
      <w:bookmarkStart w:id="81" w:name="_Toc11075"/>
      <w:r>
        <w:rPr>
          <w:rFonts w:hint="eastAsia" w:ascii="宋体" w:hAnsi="宋体" w:cs="宋体"/>
          <w:color w:val="auto"/>
          <w:szCs w:val="21"/>
          <w:highlight w:val="none"/>
          <w:lang w:val="zh-CN"/>
        </w:rPr>
        <w:t xml:space="preserve">根据甲方委托苏州市东易工程招投标咨询有限公司进行本项目采购</w:t>
      </w:r>
      <w:r>
        <w:rPr>
          <w:rFonts w:hint="eastAsia" w:ascii="宋体" w:hAnsi="宋体" w:cs="宋体"/>
          <w:color w:val="auto"/>
          <w:szCs w:val="21"/>
          <w:highlight w:val="none"/>
          <w:u w:val="single"/>
          <w:lang w:val="zh-CN"/>
        </w:rPr>
        <w:t xml:space="preserve">JSZC-320506-SZDY-C2026-0001</w:t>
      </w:r>
      <w:r>
        <w:rPr>
          <w:rFonts w:hint="eastAsia" w:ascii="宋体" w:hAnsi="宋体" w:cs="宋体"/>
          <w:color w:val="auto"/>
          <w:szCs w:val="21"/>
          <w:highlight w:val="none"/>
          <w:lang w:val="zh-CN"/>
        </w:rPr>
        <w:t xml:space="preserve">号</w:t>
      </w:r>
      <w:r>
        <w:rPr>
          <w:rFonts w:hint="eastAsia" w:ascii="宋体" w:hAnsi="宋体" w:cs="宋体"/>
          <w:color w:val="auto"/>
          <w:szCs w:val="21"/>
          <w:highlight w:val="none"/>
          <w:u w:val="single"/>
          <w:lang w:eastAsia="zh-CN"/>
        </w:rPr>
        <w:t xml:space="preserve">吴中区“绿色银行”基地苗木养护项目（标段</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lang w:val="zh-CN"/>
        </w:rPr>
        <w:t xml:space="preserve">的成交结果，确定乙方为本次成交单位，现依照磋商采购文件、乙方的磋商响应文件及相关文件的内容，签订本合同书。</w:t>
      </w:r>
      <w:r/>
    </w:p>
    <w:p>
      <w:pPr>
        <w:ind w:firstLine="420"/>
        <w:spacing w:line="360" w:lineRule="auto"/>
        <w:shd w:val="clear" w:color="auto" w:fill="auto"/>
        <w:rPr>
          <w:bCs/>
          <w:color w:val="auto"/>
          <w:szCs w:val="21"/>
          <w:highlight w:val="none"/>
        </w:rPr>
      </w:pPr>
      <w:r>
        <w:rPr>
          <w:rFonts w:hint="eastAsia"/>
          <w:color w:val="auto"/>
          <w:szCs w:val="21"/>
          <w:highlight w:val="none"/>
        </w:rPr>
        <w:t xml:space="preserve">一</w:t>
      </w:r>
      <w:r>
        <w:rPr>
          <w:rFonts w:hint="eastAsia"/>
          <w:bCs/>
          <w:color w:val="auto"/>
          <w:szCs w:val="21"/>
          <w:highlight w:val="none"/>
        </w:rPr>
        <w:t xml:space="preserve">、项目概况</w:t>
      </w:r>
      <w:r/>
    </w:p>
    <w:p>
      <w:pPr>
        <w:spacing w:line="360" w:lineRule="auto"/>
        <w:shd w:val="clear" w:color="auto" w:fill="auto"/>
        <w:rPr>
          <w:color w:val="auto"/>
          <w:szCs w:val="21"/>
          <w:highlight w:val="none"/>
        </w:rPr>
      </w:pPr>
      <w:r>
        <w:rPr>
          <w:rFonts w:hint="eastAsia"/>
          <w:color w:val="auto"/>
          <w:szCs w:val="21"/>
          <w:highlight w:val="none"/>
        </w:rPr>
        <w:t xml:space="preserve">    1、养护项目名称：</w:t>
      </w:r>
      <w:r>
        <w:rPr>
          <w:rFonts w:hint="eastAsia" w:cs="宋体"/>
          <w:b/>
          <w:color w:val="auto"/>
          <w:szCs w:val="21"/>
          <w:highlight w:val="none"/>
          <w:u w:val="single"/>
        </w:rPr>
        <w:t xml:space="preserve">            </w:t>
      </w:r>
      <w:r>
        <w:rPr>
          <w:rFonts w:hint="eastAsia"/>
          <w:color w:val="auto"/>
          <w:szCs w:val="21"/>
          <w:highlight w:val="none"/>
        </w:rPr>
        <w:t xml:space="preserve">。</w:t>
      </w:r>
      <w:r/>
    </w:p>
    <w:p>
      <w:pPr>
        <w:ind w:firstLine="420"/>
        <w:spacing w:line="360" w:lineRule="auto"/>
        <w:shd w:val="clear" w:color="auto" w:fill="auto"/>
        <w:rPr>
          <w:color w:val="auto"/>
          <w:szCs w:val="21"/>
          <w:highlight w:val="none"/>
        </w:rPr>
      </w:pPr>
      <w:r>
        <w:rPr>
          <w:rFonts w:hint="eastAsia"/>
          <w:color w:val="auto"/>
          <w:szCs w:val="21"/>
          <w:highlight w:val="none"/>
        </w:rPr>
        <w:t xml:space="preserve">2、养护内容：绿化养护等。</w:t>
      </w:r>
      <w:r/>
    </w:p>
    <w:tbl>
      <w:tblPr>
        <w:tblStyle w:val="921"/>
        <w:tblW w:w="0" w:type="auto"/>
        <w:tblInd w:w="103" w:type="dxa"/>
        <w:tblLayout w:type="fixed"/>
        <w:tblCellMar>
          <w:left w:w="108" w:type="dxa"/>
          <w:top w:w="0" w:type="dxa"/>
          <w:right w:w="108" w:type="dxa"/>
          <w:bottom w:w="0" w:type="dxa"/>
        </w:tblCellMar>
        <w:tblLook w:val="04A0" w:firstRow="1" w:lastRow="0" w:firstColumn="1" w:lastColumn="0" w:noHBand="0" w:noVBand="1"/>
      </w:tblPr>
      <w:tblGrid>
        <w:gridCol w:w="480"/>
        <w:gridCol w:w="2820"/>
        <w:gridCol w:w="1205"/>
        <w:gridCol w:w="1260"/>
        <w:gridCol w:w="1260"/>
        <w:gridCol w:w="900"/>
        <w:gridCol w:w="1200"/>
      </w:tblGrid>
      <w:tr>
        <w:trPr>
          <w:trHeight w:val="450"/>
        </w:trPr>
        <w:tc>
          <w:tcPr>
            <w:tcBorders>
              <w:top w:val="single" w:color="auto" w:sz="4" w:space="0"/>
              <w:left w:val="single" w:color="auto" w:sz="4" w:space="0"/>
              <w:bottom w:val="single" w:color="auto" w:sz="4" w:space="0"/>
              <w:right w:val="single" w:color="auto" w:sz="4" w:space="0"/>
            </w:tcBorders>
            <w:tcW w:w="480" w:type="dxa"/>
            <w:vAlign w:val="center"/>
            <w:textDirection w:val="lrTb"/>
            <w:noWrap w:val="false"/>
          </w:tcPr>
          <w:p>
            <w:pPr>
              <w:jc w:val="center"/>
              <w:shd w:val="clear" w:color="auto" w:fill="auto"/>
              <w:rPr>
                <w:rFonts w:cs="宋体"/>
                <w:b/>
                <w:bCs/>
                <w:color w:val="auto"/>
                <w:szCs w:val="21"/>
                <w:highlight w:val="none"/>
              </w:rPr>
            </w:pPr>
            <w:r>
              <w:rPr>
                <w:rFonts w:hint="eastAsia"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820" w:type="dxa"/>
            <w:vAlign w:val="center"/>
            <w:textDirection w:val="lrTb"/>
            <w:noWrap w:val="false"/>
          </w:tcPr>
          <w:p>
            <w:pPr>
              <w:jc w:val="center"/>
              <w:shd w:val="clear" w:color="auto" w:fill="auto"/>
              <w:rPr>
                <w:rFonts w:cs="宋体"/>
                <w:b/>
                <w:bCs/>
                <w:color w:val="auto"/>
                <w:szCs w:val="21"/>
                <w:highlight w:val="none"/>
              </w:rPr>
            </w:pPr>
            <w:r>
              <w:rPr>
                <w:rFonts w:hint="eastAsia" w:cs="宋体"/>
                <w:b/>
                <w:bCs/>
                <w:color w:val="auto"/>
                <w:szCs w:val="21"/>
                <w:highlight w:val="none"/>
              </w:rPr>
              <w:t xml:space="preserve">养护区域</w:t>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ind w:right="315"/>
              <w:jc w:val="right"/>
              <w:shd w:val="clear" w:color="auto" w:fill="auto"/>
              <w:rPr>
                <w:rFonts w:cs="宋体"/>
                <w:b/>
                <w:bCs/>
                <w:color w:val="auto"/>
                <w:szCs w:val="21"/>
                <w:highlight w:val="none"/>
              </w:rPr>
            </w:pPr>
            <w:r>
              <w:rPr>
                <w:rFonts w:hint="eastAsia" w:cs="宋体"/>
                <w:b/>
                <w:bCs/>
                <w:color w:val="auto"/>
                <w:szCs w:val="21"/>
                <w:highlight w:val="none"/>
              </w:rPr>
              <w:t xml:space="preserve">面积</w:t>
            </w:r>
            <w:r/>
          </w:p>
          <w:p>
            <w:pPr>
              <w:ind w:right="210"/>
              <w:jc w:val="right"/>
              <w:shd w:val="clear" w:color="auto" w:fill="auto"/>
              <w:rPr>
                <w:rFonts w:cs="宋体"/>
                <w:b/>
                <w:bCs/>
                <w:color w:val="auto"/>
                <w:szCs w:val="21"/>
                <w:highlight w:val="none"/>
              </w:rPr>
            </w:pPr>
            <w:r>
              <w:rPr>
                <w:rFonts w:hint="eastAsia" w:cs="宋体"/>
                <w:b/>
                <w:bCs/>
                <w:color w:val="auto"/>
                <w:szCs w:val="21"/>
                <w:highlight w:val="none"/>
              </w:rPr>
              <w:t xml:space="preserve">(平方)</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hd w:val="clear" w:color="auto" w:fill="auto"/>
              <w:rPr>
                <w:rFonts w:cs="宋体"/>
                <w:b/>
                <w:bCs/>
                <w:color w:val="auto"/>
                <w:szCs w:val="21"/>
                <w:highlight w:val="none"/>
              </w:rPr>
            </w:pPr>
            <w:r>
              <w:rPr>
                <w:rFonts w:hint="eastAsia" w:cs="宋体"/>
                <w:b/>
                <w:bCs/>
                <w:color w:val="auto"/>
                <w:szCs w:val="21"/>
                <w:highlight w:val="none"/>
              </w:rPr>
              <w:t xml:space="preserve">养护起始时间</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shd w:val="clear" w:color="auto" w:fill="auto"/>
              <w:rPr>
                <w:rFonts w:cs="宋体"/>
                <w:b/>
                <w:bCs/>
                <w:color w:val="auto"/>
                <w:szCs w:val="21"/>
                <w:highlight w:val="none"/>
              </w:rPr>
            </w:pPr>
            <w:r>
              <w:rPr>
                <w:rFonts w:hint="eastAsia" w:cs="宋体"/>
                <w:b/>
                <w:bCs/>
                <w:color w:val="auto"/>
                <w:szCs w:val="21"/>
                <w:highlight w:val="none"/>
              </w:rPr>
              <w:t xml:space="preserve">养护终止时间</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hd w:val="clear" w:color="auto" w:fill="auto"/>
              <w:rPr>
                <w:rFonts w:cs="宋体"/>
                <w:b/>
                <w:bCs/>
                <w:color w:val="auto"/>
                <w:szCs w:val="21"/>
                <w:highlight w:val="none"/>
              </w:rPr>
            </w:pPr>
            <w:r>
              <w:rPr>
                <w:rFonts w:hint="eastAsia" w:cs="宋体"/>
                <w:b/>
                <w:bCs/>
                <w:color w:val="auto"/>
                <w:szCs w:val="21"/>
                <w:highlight w:val="none"/>
              </w:rPr>
              <w:t xml:space="preserve">养护期(个月)</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shd w:val="clear" w:color="auto" w:fill="auto"/>
              <w:rPr>
                <w:rFonts w:cs="宋体"/>
                <w:b/>
                <w:bCs/>
                <w:color w:val="auto"/>
                <w:szCs w:val="21"/>
                <w:highlight w:val="none"/>
              </w:rPr>
            </w:pPr>
            <w:r>
              <w:rPr>
                <w:rFonts w:hint="eastAsia" w:cs="宋体"/>
                <w:b/>
                <w:bCs/>
                <w:color w:val="auto"/>
                <w:szCs w:val="21"/>
                <w:highlight w:val="none"/>
              </w:rPr>
              <w:t xml:space="preserve">备注</w:t>
            </w:r>
            <w:r/>
          </w:p>
        </w:tc>
      </w:tr>
      <w:tr>
        <w:trPr>
          <w:trHeight w:val="225"/>
        </w:trPr>
        <w:tc>
          <w:tcPr>
            <w:tcBorders>
              <w:top w:val="none" w:color="000000" w:sz="4" w:space="0"/>
              <w:left w:val="single" w:color="auto" w:sz="4" w:space="0"/>
              <w:bottom w:val="single" w:color="auto" w:sz="4" w:space="0"/>
              <w:right w:val="single" w:color="auto" w:sz="4" w:space="0"/>
            </w:tcBorders>
            <w:tcW w:w="480" w:type="dxa"/>
            <w:vAlign w:val="bottom"/>
            <w:textDirection w:val="lrTb"/>
            <w:noWrap w:val="false"/>
          </w:tcPr>
          <w:p>
            <w:pPr>
              <w:jc w:val="right"/>
              <w:shd w:val="clear" w:color="auto" w:fill="auto"/>
              <w:rPr>
                <w:rFonts w:cs="宋体"/>
                <w:color w:val="auto"/>
                <w:szCs w:val="21"/>
                <w:highlight w:val="none"/>
              </w:rPr>
            </w:pPr>
            <w:r>
              <w:rPr>
                <w:rFonts w:hint="eastAsia"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820" w:type="dxa"/>
            <w:vAlign w:val="center"/>
            <w:textDirection w:val="lrTb"/>
            <w:noWrap w:val="false"/>
          </w:tcPr>
          <w:p>
            <w:pPr>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r>
      <w:tr>
        <w:trPr>
          <w:trHeight w:val="225"/>
        </w:trPr>
        <w:tc>
          <w:tcPr>
            <w:tcBorders>
              <w:top w:val="none" w:color="000000" w:sz="4" w:space="0"/>
              <w:left w:val="single" w:color="auto" w:sz="4" w:space="0"/>
              <w:bottom w:val="single" w:color="auto" w:sz="4" w:space="0"/>
              <w:right w:val="single" w:color="auto" w:sz="4" w:space="0"/>
            </w:tcBorders>
            <w:tcW w:w="480" w:type="dxa"/>
            <w:vAlign w:val="bottom"/>
            <w:textDirection w:val="lrTb"/>
            <w:noWrap w:val="false"/>
          </w:tcPr>
          <w:p>
            <w:pPr>
              <w:jc w:val="right"/>
              <w:shd w:val="clear" w:color="auto" w:fill="auto"/>
              <w:rPr>
                <w:rFonts w:cs="宋体"/>
                <w:color w:val="auto"/>
                <w:szCs w:val="21"/>
                <w:highlight w:val="none"/>
              </w:rPr>
            </w:pPr>
            <w:r>
              <w:rPr>
                <w:rFonts w:hint="eastAsia"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820" w:type="dxa"/>
            <w:vAlign w:val="center"/>
            <w:textDirection w:val="lrTb"/>
            <w:noWrap w:val="false"/>
          </w:tcPr>
          <w:p>
            <w:pPr>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r>
      <w:tr>
        <w:trPr>
          <w:trHeight w:val="225"/>
        </w:trPr>
        <w:tc>
          <w:tcPr>
            <w:tcBorders>
              <w:top w:val="none" w:color="000000" w:sz="4" w:space="0"/>
              <w:left w:val="single" w:color="auto" w:sz="4" w:space="0"/>
              <w:bottom w:val="single" w:color="auto" w:sz="4" w:space="0"/>
              <w:right w:val="single" w:color="auto" w:sz="4" w:space="0"/>
            </w:tcBorders>
            <w:tcW w:w="480" w:type="dxa"/>
            <w:vAlign w:val="bottom"/>
            <w:textDirection w:val="lrTb"/>
            <w:noWrap w:val="false"/>
          </w:tcPr>
          <w:p>
            <w:pPr>
              <w:jc w:val="right"/>
              <w:shd w:val="clear" w:color="auto" w:fill="auto"/>
              <w:rPr>
                <w:rFonts w:cs="宋体"/>
                <w:color w:val="auto"/>
                <w:szCs w:val="21"/>
                <w:highlight w:val="none"/>
              </w:rPr>
            </w:pPr>
            <w:r>
              <w:rPr>
                <w:rFonts w:hint="eastAsia"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820" w:type="dxa"/>
            <w:vAlign w:val="center"/>
            <w:textDirection w:val="lrTb"/>
            <w:noWrap w:val="false"/>
          </w:tcPr>
          <w:p>
            <w:pPr>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r>
      <w:tr>
        <w:trPr>
          <w:trHeight w:val="225"/>
        </w:trPr>
        <w:tc>
          <w:tcPr>
            <w:tcBorders>
              <w:top w:val="none" w:color="000000" w:sz="4" w:space="0"/>
              <w:left w:val="single" w:color="auto" w:sz="4" w:space="0"/>
              <w:bottom w:val="single" w:color="auto" w:sz="4" w:space="0"/>
              <w:right w:val="single" w:color="auto" w:sz="4" w:space="0"/>
            </w:tcBorders>
            <w:tcW w:w="480" w:type="dxa"/>
            <w:vAlign w:val="bottom"/>
            <w:textDirection w:val="lrTb"/>
            <w:noWrap w:val="false"/>
          </w:tcPr>
          <w:p>
            <w:pPr>
              <w:jc w:val="center"/>
              <w:shd w:val="clear" w:color="auto" w:fill="auto"/>
              <w:rPr>
                <w:rFonts w:cs="宋体"/>
                <w:color w:val="auto"/>
                <w:szCs w:val="21"/>
                <w:highlight w:val="none"/>
              </w:rPr>
            </w:pPr>
            <w:r>
              <w:rPr>
                <w:rFonts w:hint="eastAsia"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820" w:type="dxa"/>
            <w:vAlign w:val="center"/>
            <w:textDirection w:val="lrTb"/>
            <w:noWrap w:val="false"/>
          </w:tcPr>
          <w:p>
            <w:pPr>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r>
      <w:tr>
        <w:trPr>
          <w:trHeight w:val="255"/>
        </w:trPr>
        <w:tc>
          <w:tcPr>
            <w:tcBorders>
              <w:top w:val="none" w:color="000000" w:sz="4" w:space="0"/>
              <w:left w:val="single" w:color="auto" w:sz="4" w:space="0"/>
              <w:bottom w:val="single" w:color="auto" w:sz="4" w:space="0"/>
              <w:right w:val="single" w:color="auto" w:sz="4" w:space="0"/>
            </w:tcBorders>
            <w:tcW w:w="480" w:type="dxa"/>
            <w:vAlign w:val="bottom"/>
            <w:textDirection w:val="lrTb"/>
            <w:noWrap w:val="false"/>
          </w:tcPr>
          <w:p>
            <w:pPr>
              <w:jc w:val="center"/>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2820" w:type="dxa"/>
            <w:vAlign w:val="bottom"/>
            <w:textDirection w:val="lrTb"/>
            <w:noWrap w:val="false"/>
          </w:tcPr>
          <w:p>
            <w:pPr>
              <w:shd w:val="clear" w:color="auto" w:fill="auto"/>
              <w:rPr>
                <w:rFonts w:cs="宋体"/>
                <w:color w:val="auto"/>
                <w:szCs w:val="21"/>
                <w:highlight w:val="none"/>
              </w:rPr>
            </w:pPr>
            <w:r>
              <w:rPr>
                <w:rFonts w:hint="eastAsia" w:cs="宋体"/>
                <w:color w:val="auto"/>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1205"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right"/>
              <w:shd w:val="clear" w:color="auto" w:fill="auto"/>
              <w:rPr>
                <w:rFonts w:cs="宋体"/>
                <w:color w:val="auto"/>
                <w:szCs w:val="21"/>
                <w:highlight w:val="none"/>
              </w:rPr>
            </w:pPr>
            <w:r>
              <w:rPr>
                <w:rFonts w:cs="宋体"/>
                <w:color w:val="auto"/>
                <w:szCs w:val="21"/>
                <w:highlight w:val="none"/>
              </w:rPr>
            </w:r>
            <w:r/>
          </w:p>
        </w:tc>
      </w:tr>
    </w:tbl>
    <w:p>
      <w:pPr>
        <w:ind w:firstLine="420"/>
        <w:spacing w:line="360" w:lineRule="auto"/>
        <w:shd w:val="clear" w:color="auto" w:fill="auto"/>
        <w:rPr>
          <w:color w:val="auto"/>
          <w:szCs w:val="21"/>
          <w:highlight w:val="none"/>
        </w:rPr>
      </w:pPr>
      <w:r>
        <w:rPr>
          <w:rFonts w:hint="eastAsia"/>
          <w:color w:val="auto"/>
          <w:szCs w:val="21"/>
          <w:highlight w:val="none"/>
        </w:rPr>
        <w:t xml:space="preserve">3、承包方式：</w:t>
      </w:r>
      <w:r>
        <w:rPr>
          <w:rFonts w:hint="eastAsia"/>
          <w:color w:val="auto"/>
          <w:szCs w:val="21"/>
          <w:highlight w:val="none"/>
          <w:u w:val="single"/>
        </w:rPr>
        <w:t xml:space="preserve">包工包料</w:t>
      </w:r>
      <w:r>
        <w:rPr>
          <w:rFonts w:hint="eastAsia"/>
          <w:color w:val="auto"/>
          <w:szCs w:val="21"/>
          <w:highlight w:val="none"/>
        </w:rPr>
        <w:t xml:space="preserve">。 </w:t>
      </w:r>
      <w:r/>
    </w:p>
    <w:p>
      <w:pPr>
        <w:ind w:firstLine="405"/>
        <w:spacing w:line="360" w:lineRule="auto"/>
        <w:shd w:val="clear" w:color="auto" w:fill="auto"/>
        <w:rPr>
          <w:color w:val="auto"/>
          <w:szCs w:val="21"/>
          <w:highlight w:val="none"/>
        </w:rPr>
      </w:pPr>
      <w:r>
        <w:rPr>
          <w:rFonts w:hint="eastAsia"/>
          <w:color w:val="auto"/>
          <w:szCs w:val="21"/>
          <w:highlight w:val="none"/>
        </w:rPr>
        <w:t xml:space="preserve">4、养护项目经理：</w:t>
      </w:r>
      <w:r>
        <w:rPr>
          <w:rFonts w:hint="eastAsia"/>
          <w:color w:val="auto"/>
          <w:szCs w:val="21"/>
          <w:highlight w:val="none"/>
          <w:lang w:val="en-US" w:eastAsia="zh-CN"/>
        </w:rPr>
        <w:t xml:space="preserve">    </w:t>
      </w:r>
      <w:r>
        <w:rPr>
          <w:rFonts w:hint="eastAsia"/>
          <w:color w:val="auto"/>
          <w:szCs w:val="21"/>
          <w:highlight w:val="none"/>
        </w:rPr>
        <w:t xml:space="preserve">，身份证号：</w:t>
      </w:r>
      <w:r>
        <w:rPr>
          <w:rFonts w:hint="eastAsia"/>
          <w:color w:val="auto"/>
          <w:szCs w:val="21"/>
          <w:highlight w:val="none"/>
          <w:lang w:val="en-US" w:eastAsia="zh-CN"/>
        </w:rPr>
        <w:t xml:space="preserve">    </w:t>
      </w:r>
      <w:r>
        <w:rPr>
          <w:rFonts w:hint="eastAsia"/>
          <w:color w:val="auto"/>
          <w:szCs w:val="21"/>
          <w:highlight w:val="none"/>
        </w:rPr>
        <w:t xml:space="preserve">，职称：</w:t>
      </w:r>
      <w:r>
        <w:rPr>
          <w:rFonts w:hint="eastAsia"/>
          <w:color w:val="auto"/>
          <w:szCs w:val="21"/>
          <w:highlight w:val="none"/>
          <w:lang w:val="en-US" w:eastAsia="zh-CN"/>
        </w:rPr>
        <w:t xml:space="preserve">    </w:t>
      </w:r>
      <w:r>
        <w:rPr>
          <w:rFonts w:hint="eastAsia"/>
          <w:color w:val="auto"/>
          <w:szCs w:val="21"/>
          <w:highlight w:val="none"/>
        </w:rPr>
        <w:t xml:space="preserve">。</w:t>
      </w:r>
      <w:r/>
    </w:p>
    <w:p>
      <w:pPr>
        <w:ind w:firstLine="405"/>
        <w:spacing w:line="360" w:lineRule="auto"/>
        <w:shd w:val="clear" w:color="auto" w:fill="auto"/>
        <w:rPr>
          <w:color w:val="auto"/>
          <w:szCs w:val="21"/>
          <w:highlight w:val="none"/>
        </w:rPr>
      </w:pPr>
      <w:r>
        <w:rPr>
          <w:rFonts w:hint="eastAsia"/>
          <w:color w:val="auto"/>
          <w:szCs w:val="21"/>
          <w:highlight w:val="none"/>
        </w:rPr>
        <w:t xml:space="preserve">   养护项目现场负责人：，身份证号：。</w:t>
      </w:r>
      <w:r/>
    </w:p>
    <w:p>
      <w:pPr>
        <w:ind w:firstLine="405"/>
        <w:spacing w:line="360" w:lineRule="auto"/>
        <w:shd w:val="clear" w:color="auto" w:fill="auto"/>
        <w:rPr>
          <w:color w:val="auto"/>
          <w:szCs w:val="21"/>
          <w:highlight w:val="none"/>
        </w:rPr>
      </w:pPr>
      <w:r>
        <w:rPr>
          <w:rFonts w:hint="eastAsia"/>
          <w:color w:val="auto"/>
          <w:szCs w:val="21"/>
          <w:highlight w:val="none"/>
        </w:rPr>
        <w:t xml:space="preserve">5、使用车辆: </w:t>
      </w:r>
      <w:r/>
    </w:p>
    <w:p>
      <w:pPr>
        <w:ind w:firstLine="405"/>
        <w:spacing w:line="360" w:lineRule="auto"/>
        <w:shd w:val="clear" w:color="auto" w:fill="auto"/>
        <w:rPr>
          <w:color w:val="auto"/>
          <w:szCs w:val="21"/>
          <w:highlight w:val="none"/>
        </w:rPr>
      </w:pPr>
      <w:r>
        <w:rPr>
          <w:rFonts w:hint="eastAsia"/>
          <w:color w:val="auto"/>
          <w:szCs w:val="21"/>
          <w:highlight w:val="none"/>
        </w:rPr>
        <w:t xml:space="preserve">（1）清运卡车：辆，车牌号；</w:t>
      </w:r>
      <w:r/>
    </w:p>
    <w:p>
      <w:pPr>
        <w:ind w:firstLine="405"/>
        <w:spacing w:line="360" w:lineRule="auto"/>
        <w:shd w:val="clear" w:color="auto" w:fill="auto"/>
        <w:rPr>
          <w:color w:val="auto"/>
          <w:szCs w:val="21"/>
          <w:highlight w:val="none"/>
        </w:rPr>
      </w:pPr>
      <w:r>
        <w:rPr>
          <w:rFonts w:hint="eastAsia"/>
          <w:color w:val="auto"/>
          <w:szCs w:val="21"/>
          <w:highlight w:val="none"/>
        </w:rPr>
        <w:t xml:space="preserve">（2）巡视车：辆，车牌号；</w:t>
      </w:r>
      <w:r/>
    </w:p>
    <w:p>
      <w:pPr>
        <w:ind w:firstLine="405"/>
        <w:spacing w:line="360" w:lineRule="auto"/>
        <w:shd w:val="clear" w:color="auto" w:fill="auto"/>
        <w:rPr>
          <w:color w:val="auto"/>
          <w:szCs w:val="21"/>
          <w:highlight w:val="none"/>
        </w:rPr>
      </w:pPr>
      <w:r>
        <w:rPr>
          <w:rFonts w:hint="eastAsia"/>
          <w:color w:val="auto"/>
          <w:szCs w:val="21"/>
          <w:highlight w:val="none"/>
        </w:rPr>
        <w:t xml:space="preserve">（3）水车：辆，车牌号；</w:t>
      </w:r>
      <w:r/>
    </w:p>
    <w:p>
      <w:pPr>
        <w:ind w:firstLine="405"/>
        <w:spacing w:line="360" w:lineRule="auto"/>
        <w:shd w:val="clear" w:color="auto" w:fill="auto"/>
        <w:rPr>
          <w:color w:val="auto"/>
          <w:szCs w:val="21"/>
          <w:highlight w:val="none"/>
        </w:rPr>
      </w:pPr>
      <w:r>
        <w:rPr>
          <w:rFonts w:hint="eastAsia"/>
          <w:color w:val="auto"/>
          <w:szCs w:val="21"/>
          <w:highlight w:val="none"/>
        </w:rPr>
        <w:t xml:space="preserve">（4）登高车：辆，车牌号；</w:t>
      </w:r>
      <w:r/>
    </w:p>
    <w:p>
      <w:pPr>
        <w:ind w:firstLine="405"/>
        <w:spacing w:line="360" w:lineRule="auto"/>
        <w:shd w:val="clear" w:color="auto" w:fill="auto"/>
        <w:rPr>
          <w:color w:val="auto"/>
          <w:szCs w:val="21"/>
          <w:highlight w:val="none"/>
        </w:rPr>
      </w:pPr>
      <w:r>
        <w:rPr>
          <w:rFonts w:hint="eastAsia"/>
          <w:color w:val="auto"/>
          <w:szCs w:val="21"/>
          <w:highlight w:val="none"/>
        </w:rPr>
        <w:t xml:space="preserve">（5）其他设备：</w:t>
      </w:r>
      <w:r>
        <w:rPr>
          <w:rFonts w:hint="eastAsia"/>
          <w:color w:val="auto"/>
          <w:szCs w:val="21"/>
          <w:highlight w:val="none"/>
          <w:u w:val="single"/>
        </w:rPr>
        <w:t xml:space="preserve">                                   ；</w:t>
      </w:r>
      <w:r/>
    </w:p>
    <w:p>
      <w:pPr>
        <w:ind w:firstLine="405"/>
        <w:spacing w:line="360" w:lineRule="auto"/>
        <w:shd w:val="clear" w:color="auto" w:fill="auto"/>
        <w:rPr>
          <w:color w:val="auto"/>
          <w:szCs w:val="21"/>
          <w:highlight w:val="none"/>
        </w:rPr>
      </w:pPr>
      <w:r>
        <w:rPr>
          <w:rFonts w:hint="eastAsia"/>
          <w:color w:val="auto"/>
          <w:szCs w:val="21"/>
          <w:highlight w:val="none"/>
        </w:rPr>
        <w:t xml:space="preserve">6、养护期限：上表中各养护区域进场养护的起始时间为暂定时间，实际进场养护时间以甲方通知为准；除规划调整外，养护终止时间不变。</w:t>
      </w:r>
      <w:r/>
    </w:p>
    <w:p>
      <w:pPr>
        <w:ind w:firstLine="405"/>
        <w:spacing w:line="360" w:lineRule="auto"/>
        <w:shd w:val="clear" w:color="auto" w:fill="auto"/>
        <w:rPr>
          <w:color w:val="auto"/>
          <w:szCs w:val="21"/>
          <w:highlight w:val="none"/>
        </w:rPr>
      </w:pPr>
      <w:r>
        <w:rPr>
          <w:rFonts w:hint="eastAsia"/>
          <w:color w:val="auto"/>
          <w:szCs w:val="21"/>
          <w:highlight w:val="none"/>
        </w:rPr>
        <w:t xml:space="preserve">7、养护服务期：</w:t>
      </w:r>
      <w:r/>
    </w:p>
    <w:p>
      <w:pPr>
        <w:ind w:firstLine="420"/>
        <w:spacing w:line="360" w:lineRule="auto"/>
        <w:shd w:val="clear" w:color="auto" w:fill="auto"/>
        <w:rPr>
          <w:color w:val="auto"/>
          <w:szCs w:val="21"/>
          <w:highlight w:val="none"/>
        </w:rPr>
      </w:pPr>
      <w:r>
        <w:rPr>
          <w:color w:val="auto"/>
          <w:szCs w:val="21"/>
          <w:highlight w:val="none"/>
        </w:rPr>
        <w:t xml:space="preserve">8</w:t>
      </w:r>
      <w:r>
        <w:rPr>
          <w:rFonts w:hint="eastAsia"/>
          <w:color w:val="auto"/>
          <w:szCs w:val="21"/>
          <w:highlight w:val="none"/>
        </w:rPr>
        <w:t xml:space="preserve">、绿地养护质量标准要求：合格。</w:t>
      </w:r>
      <w:r/>
    </w:p>
    <w:p>
      <w:pPr>
        <w:ind w:firstLine="420"/>
        <w:spacing w:line="360" w:lineRule="auto"/>
        <w:shd w:val="clear" w:color="auto" w:fill="auto"/>
        <w:rPr>
          <w:color w:val="auto"/>
          <w:szCs w:val="21"/>
          <w:highlight w:val="none"/>
        </w:rPr>
      </w:pPr>
      <w:r>
        <w:rPr>
          <w:rFonts w:hint="eastAsia"/>
          <w:color w:val="auto"/>
          <w:szCs w:val="21"/>
          <w:highlight w:val="none"/>
        </w:rPr>
        <w:t xml:space="preserve">二、合同价款</w:t>
      </w:r>
      <w:r/>
    </w:p>
    <w:p>
      <w:pPr>
        <w:ind w:firstLine="420"/>
        <w:spacing w:line="360" w:lineRule="auto"/>
        <w:shd w:val="clear" w:color="auto" w:fill="auto"/>
        <w:rPr>
          <w:color w:val="auto"/>
          <w:szCs w:val="21"/>
          <w:highlight w:val="none"/>
        </w:rPr>
      </w:pPr>
      <w:r>
        <w:rPr>
          <w:rFonts w:hint="eastAsia"/>
          <w:color w:val="auto"/>
          <w:szCs w:val="21"/>
          <w:highlight w:val="none"/>
        </w:rPr>
        <w:t xml:space="preserve">暂定人民币（大写）： (小写：¥元)；</w:t>
      </w:r>
      <w:r/>
    </w:p>
    <w:p>
      <w:pPr>
        <w:ind w:firstLine="420"/>
        <w:spacing w:line="360" w:lineRule="auto"/>
        <w:shd w:val="clear" w:color="auto" w:fill="auto"/>
        <w:rPr>
          <w:color w:val="auto"/>
          <w:szCs w:val="21"/>
          <w:highlight w:val="none"/>
        </w:rPr>
      </w:pPr>
      <w:r>
        <w:rPr>
          <w:rFonts w:hint="eastAsia"/>
          <w:color w:val="auto"/>
          <w:szCs w:val="21"/>
          <w:highlight w:val="none"/>
        </w:rPr>
        <w:t xml:space="preserve">其中：</w:t>
      </w:r>
      <w:r/>
    </w:p>
    <w:p>
      <w:pPr>
        <w:ind w:firstLine="420"/>
        <w:spacing w:line="360" w:lineRule="auto"/>
        <w:shd w:val="clear" w:color="auto" w:fill="auto"/>
        <w:rPr>
          <w:color w:val="auto"/>
          <w:szCs w:val="21"/>
          <w:highlight w:val="none"/>
        </w:rPr>
      </w:pPr>
      <w:r>
        <w:rPr>
          <w:rFonts w:hint="eastAsia"/>
          <w:color w:val="auto"/>
          <w:szCs w:val="21"/>
          <w:highlight w:val="none"/>
        </w:rPr>
        <w:t xml:space="preserve">1、绿化养护部分：</w:t>
      </w:r>
      <w:r/>
    </w:p>
    <w:p>
      <w:pPr>
        <w:ind w:firstLine="420"/>
        <w:spacing w:line="360" w:lineRule="auto"/>
        <w:shd w:val="clear" w:color="auto" w:fill="auto"/>
        <w:rPr>
          <w:color w:val="auto"/>
          <w:szCs w:val="21"/>
          <w:highlight w:val="none"/>
        </w:rPr>
      </w:pPr>
      <w:r>
        <w:rPr>
          <w:rFonts w:hint="eastAsia"/>
          <w:color w:val="auto"/>
          <w:szCs w:val="21"/>
          <w:highlight w:val="none"/>
        </w:rPr>
        <w:t xml:space="preserve">人民币（大写）： (小写：¥元)；</w:t>
      </w:r>
      <w:r/>
    </w:p>
    <w:p>
      <w:pPr>
        <w:ind w:firstLine="420"/>
        <w:spacing w:line="360" w:lineRule="auto"/>
        <w:shd w:val="clear" w:color="auto" w:fill="auto"/>
        <w:rPr>
          <w:color w:val="auto"/>
          <w:szCs w:val="21"/>
          <w:highlight w:val="none"/>
        </w:rPr>
      </w:pPr>
      <w:r>
        <w:rPr>
          <w:rFonts w:hint="eastAsia"/>
          <w:color w:val="auto"/>
          <w:szCs w:val="21"/>
          <w:highlight w:val="none"/>
        </w:rPr>
        <w:t xml:space="preserve">本标固定养护单价：元/平方米·月。</w:t>
      </w:r>
      <w:r/>
    </w:p>
    <w:p>
      <w:pPr>
        <w:ind w:firstLine="420"/>
        <w:spacing w:line="360" w:lineRule="auto"/>
        <w:shd w:val="clear" w:color="auto" w:fill="auto"/>
        <w:rPr>
          <w:color w:val="auto"/>
          <w:szCs w:val="21"/>
          <w:highlight w:val="none"/>
        </w:rPr>
      </w:pPr>
      <w:r>
        <w:rPr>
          <w:rFonts w:hint="eastAsia"/>
          <w:color w:val="auto"/>
          <w:szCs w:val="21"/>
          <w:highlight w:val="none"/>
        </w:rPr>
        <w:t xml:space="preserve">2、暂列金额：</w:t>
      </w:r>
      <w:r/>
    </w:p>
    <w:p>
      <w:pPr>
        <w:ind w:firstLine="420"/>
        <w:spacing w:line="360" w:lineRule="auto"/>
        <w:shd w:val="clear" w:color="auto" w:fill="auto"/>
        <w:rPr>
          <w:color w:val="auto"/>
          <w:szCs w:val="21"/>
          <w:highlight w:val="none"/>
        </w:rPr>
      </w:pPr>
      <w:r>
        <w:rPr>
          <w:rFonts w:hint="eastAsia"/>
          <w:color w:val="auto"/>
          <w:szCs w:val="21"/>
          <w:highlight w:val="none"/>
        </w:rPr>
        <w:t xml:space="preserve">人民币（大写）： (小写：¥元)。</w:t>
      </w:r>
      <w:r/>
    </w:p>
    <w:p>
      <w:pPr>
        <w:ind w:firstLine="405"/>
        <w:spacing w:line="360" w:lineRule="auto"/>
        <w:shd w:val="clear" w:color="auto" w:fill="auto"/>
        <w:rPr>
          <w:rFonts w:hint="eastAsia" w:eastAsia="宋体"/>
          <w:color w:val="auto"/>
          <w:szCs w:val="21"/>
          <w:highlight w:val="none"/>
          <w:lang w:eastAsia="zh-CN"/>
        </w:rPr>
      </w:pPr>
      <w:r>
        <w:rPr>
          <w:rFonts w:hint="eastAsia"/>
          <w:color w:val="auto"/>
          <w:szCs w:val="21"/>
          <w:highlight w:val="none"/>
        </w:rPr>
        <w:t xml:space="preserve">三、履约保证金</w:t>
      </w:r>
      <w:r>
        <w:rPr>
          <w:rFonts w:hint="eastAsia"/>
          <w:color w:val="auto"/>
          <w:szCs w:val="21"/>
          <w:highlight w:val="none"/>
          <w:lang w:eastAsia="zh-CN"/>
        </w:rPr>
        <w:t xml:space="preserve">：无</w:t>
      </w:r>
      <w:r/>
    </w:p>
    <w:p>
      <w:pPr>
        <w:ind w:firstLine="420"/>
        <w:spacing w:line="360" w:lineRule="auto"/>
        <w:shd w:val="clear" w:color="auto" w:fill="auto"/>
        <w:rPr>
          <w:color w:val="auto"/>
          <w:szCs w:val="21"/>
          <w:highlight w:val="none"/>
        </w:rPr>
      </w:pPr>
      <w:r>
        <w:rPr>
          <w:rFonts w:hint="eastAsia"/>
          <w:color w:val="auto"/>
          <w:szCs w:val="21"/>
          <w:highlight w:val="none"/>
        </w:rPr>
        <w:t xml:space="preserve">四、费用支付</w:t>
      </w:r>
      <w:r/>
    </w:p>
    <w:p>
      <w:pPr>
        <w:ind w:firstLine="420"/>
        <w:spacing w:line="360" w:lineRule="auto"/>
        <w:shd w:val="clear" w:color="auto" w:fill="auto"/>
        <w:rPr>
          <w:color w:val="auto"/>
          <w:szCs w:val="21"/>
          <w:highlight w:val="none"/>
        </w:rPr>
      </w:pPr>
      <w:r>
        <w:rPr>
          <w:rFonts w:hint="eastAsia"/>
          <w:color w:val="auto"/>
          <w:szCs w:val="21"/>
          <w:highlight w:val="none"/>
        </w:rPr>
        <w:t xml:space="preserve">（一）绿化养护费</w:t>
      </w:r>
      <w:r/>
    </w:p>
    <w:p>
      <w:pPr>
        <w:ind w:firstLine="420"/>
        <w:spacing w:line="360" w:lineRule="auto"/>
        <w:shd w:val="clear" w:color="auto" w:fill="auto"/>
        <w:rPr>
          <w:color w:val="auto"/>
          <w:szCs w:val="21"/>
          <w:highlight w:val="none"/>
        </w:rPr>
      </w:pPr>
      <w:r>
        <w:rPr>
          <w:rFonts w:hint="eastAsia"/>
          <w:color w:val="auto"/>
          <w:szCs w:val="21"/>
          <w:highlight w:val="none"/>
        </w:rPr>
        <w:t xml:space="preserve">1、进度款</w:t>
      </w:r>
      <w:r/>
    </w:p>
    <w:p>
      <w:pPr>
        <w:ind w:firstLine="420"/>
        <w:spacing w:line="360" w:lineRule="auto"/>
        <w:shd w:val="clear" w:color="auto" w:fill="auto"/>
        <w:rPr>
          <w:color w:val="auto"/>
          <w:szCs w:val="21"/>
          <w:highlight w:val="none"/>
        </w:rPr>
      </w:pPr>
      <w:r>
        <w:rPr>
          <w:rFonts w:hint="eastAsia"/>
          <w:color w:val="auto"/>
          <w:szCs w:val="21"/>
          <w:highlight w:val="none"/>
        </w:rPr>
        <w:t xml:space="preserve">进度款根据每月日常考核结果，每季度支付一次。进度款=3×月养护费</w:t>
      </w:r>
      <w:r/>
    </w:p>
    <w:p>
      <w:pPr>
        <w:ind w:firstLine="420"/>
        <w:spacing w:line="360" w:lineRule="auto"/>
        <w:shd w:val="clear" w:color="auto" w:fill="auto"/>
        <w:rPr>
          <w:color w:val="auto"/>
          <w:szCs w:val="21"/>
          <w:highlight w:val="none"/>
        </w:rPr>
      </w:pPr>
      <w:r>
        <w:rPr>
          <w:rFonts w:hint="eastAsia"/>
          <w:color w:val="auto"/>
          <w:szCs w:val="21"/>
          <w:highlight w:val="none"/>
        </w:rPr>
        <w:t xml:space="preserve">甲方在收到乙方完整的请款资料后，三个月内完成流程审批工作。审批完成后，乙方向甲方开具相应金额的增值税普通发票（税率为   ），甲方收到发票后的180日内进行付款，因财政部门流转流程致使超出前述期限的甲方不构成违约。</w:t>
      </w:r>
      <w:r/>
    </w:p>
    <w:p>
      <w:pPr>
        <w:ind w:firstLine="420"/>
        <w:spacing w:line="360" w:lineRule="auto"/>
        <w:shd w:val="clear" w:color="auto" w:fill="auto"/>
        <w:rPr>
          <w:color w:val="auto"/>
          <w:szCs w:val="21"/>
          <w:highlight w:val="none"/>
        </w:rPr>
      </w:pPr>
      <w:r>
        <w:rPr>
          <w:rFonts w:hint="eastAsia"/>
          <w:color w:val="auto"/>
          <w:szCs w:val="21"/>
          <w:highlight w:val="none"/>
        </w:rPr>
        <w:t xml:space="preserve">2、费用增加</w:t>
      </w:r>
      <w:r>
        <w:rPr>
          <w:color w:val="auto"/>
          <w:szCs w:val="21"/>
          <w:highlight w:val="none"/>
        </w:rPr>
        <w:t xml:space="preserve">,</w:t>
      </w:r>
      <w:r>
        <w:rPr>
          <w:rFonts w:hint="eastAsia"/>
          <w:color w:val="auto"/>
          <w:szCs w:val="21"/>
          <w:highlight w:val="none"/>
        </w:rPr>
        <w:t xml:space="preserve">每年汇总一次</w:t>
      </w:r>
      <w:r>
        <w:rPr>
          <w:color w:val="auto"/>
          <w:szCs w:val="21"/>
          <w:highlight w:val="none"/>
        </w:rPr>
        <w:t xml:space="preserve">, 签订补充协议，按照补充协议约定进行付款</w:t>
      </w:r>
      <w:r>
        <w:rPr>
          <w:rFonts w:hint="eastAsia"/>
          <w:color w:val="auto"/>
          <w:szCs w:val="21"/>
          <w:highlight w:val="none"/>
        </w:rPr>
        <w:t xml:space="preserve">；</w:t>
      </w:r>
      <w:r>
        <w:rPr>
          <w:color w:val="auto"/>
          <w:szCs w:val="21"/>
          <w:highlight w:val="none"/>
        </w:rPr>
        <w:t xml:space="preserve">如专用技术承诺书有专门要求的</w:t>
      </w:r>
      <w:r>
        <w:rPr>
          <w:rFonts w:hint="eastAsia"/>
          <w:color w:val="auto"/>
          <w:szCs w:val="21"/>
          <w:highlight w:val="none"/>
        </w:rPr>
        <w:t xml:space="preserve">（如有）</w:t>
      </w:r>
      <w:r>
        <w:rPr>
          <w:color w:val="auto"/>
          <w:szCs w:val="21"/>
          <w:highlight w:val="none"/>
        </w:rPr>
        <w:t xml:space="preserve">，参照专用技术承诺书要求；</w:t>
      </w:r>
      <w:r>
        <w:rPr>
          <w:rFonts w:hint="eastAsia"/>
          <w:color w:val="auto"/>
          <w:szCs w:val="21"/>
          <w:highlight w:val="none"/>
        </w:rPr>
        <w:t xml:space="preserve">费用减少</w:t>
      </w:r>
      <w:r>
        <w:rPr>
          <w:color w:val="auto"/>
          <w:szCs w:val="21"/>
          <w:highlight w:val="none"/>
        </w:rPr>
        <w:t xml:space="preserve">,</w:t>
      </w:r>
      <w:r>
        <w:rPr>
          <w:rFonts w:hint="eastAsia"/>
          <w:color w:val="auto"/>
          <w:szCs w:val="21"/>
          <w:highlight w:val="none"/>
        </w:rPr>
        <w:t xml:space="preserve">应当在当月进度款中足额扣除。</w:t>
      </w:r>
      <w:r/>
    </w:p>
    <w:p>
      <w:pPr>
        <w:ind w:firstLine="420"/>
        <w:spacing w:line="360" w:lineRule="auto"/>
        <w:shd w:val="clear" w:color="auto" w:fill="auto"/>
        <w:rPr>
          <w:color w:val="auto"/>
          <w:szCs w:val="21"/>
          <w:highlight w:val="none"/>
        </w:rPr>
      </w:pPr>
      <w:r>
        <w:rPr>
          <w:rFonts w:hint="eastAsia"/>
          <w:color w:val="auto"/>
          <w:szCs w:val="21"/>
          <w:highlight w:val="none"/>
        </w:rPr>
        <w:t xml:space="preserve">3、合同规定时限内最后一个季度的养护费在和下一家中标单位交接结束后和保证金一起支付。</w:t>
      </w:r>
      <w:r/>
    </w:p>
    <w:p>
      <w:pPr>
        <w:ind w:firstLine="420"/>
        <w:spacing w:line="360" w:lineRule="auto"/>
        <w:shd w:val="clear" w:color="auto" w:fill="auto"/>
        <w:rPr>
          <w:color w:val="auto"/>
          <w:szCs w:val="21"/>
          <w:highlight w:val="none"/>
        </w:rPr>
      </w:pPr>
      <w:r>
        <w:rPr>
          <w:rFonts w:hint="eastAsia"/>
          <w:color w:val="auto"/>
          <w:szCs w:val="21"/>
          <w:highlight w:val="none"/>
        </w:rPr>
        <w:t xml:space="preserve">(二)暂列金额</w:t>
      </w:r>
      <w:r/>
    </w:p>
    <w:p>
      <w:pPr>
        <w:ind w:firstLine="420"/>
        <w:spacing w:line="360" w:lineRule="auto"/>
        <w:shd w:val="clear" w:color="auto" w:fill="auto"/>
        <w:rPr>
          <w:color w:val="auto"/>
          <w:szCs w:val="21"/>
          <w:highlight w:val="none"/>
        </w:rPr>
      </w:pPr>
      <w:r>
        <w:rPr>
          <w:rFonts w:hint="eastAsia"/>
          <w:color w:val="auto"/>
          <w:szCs w:val="21"/>
          <w:highlight w:val="none"/>
        </w:rPr>
        <w:t xml:space="preserve">1、有关零星工作任务（暂列金额）的使用范围如下：</w:t>
      </w:r>
      <w:r/>
    </w:p>
    <w:p>
      <w:pPr>
        <w:ind w:firstLine="420"/>
        <w:spacing w:line="360" w:lineRule="auto"/>
        <w:shd w:val="clear" w:color="auto" w:fill="auto"/>
        <w:rPr>
          <w:color w:val="auto"/>
          <w:szCs w:val="21"/>
          <w:highlight w:val="none"/>
        </w:rPr>
      </w:pPr>
      <w:r>
        <w:rPr>
          <w:rFonts w:hint="eastAsia"/>
          <w:color w:val="auto"/>
          <w:szCs w:val="21"/>
          <w:highlight w:val="none"/>
        </w:rPr>
        <w:t xml:space="preserve">（1）用于绿地开挖、占用恢复【有行政许可决定书或挖掘（占用）许可证】；</w:t>
      </w:r>
      <w:r/>
    </w:p>
    <w:p>
      <w:pPr>
        <w:ind w:firstLine="420"/>
        <w:spacing w:line="360" w:lineRule="auto"/>
        <w:shd w:val="clear" w:color="auto" w:fill="auto"/>
        <w:rPr>
          <w:color w:val="auto"/>
          <w:szCs w:val="21"/>
          <w:highlight w:val="none"/>
        </w:rPr>
      </w:pPr>
      <w:r>
        <w:rPr>
          <w:rFonts w:hint="eastAsia"/>
          <w:color w:val="auto"/>
          <w:szCs w:val="21"/>
          <w:highlight w:val="none"/>
        </w:rPr>
        <w:t xml:space="preserve">（2）用于甲方安排的零星工作；</w:t>
      </w:r>
      <w:r/>
    </w:p>
    <w:p>
      <w:pPr>
        <w:ind w:firstLine="420"/>
        <w:spacing w:line="360" w:lineRule="auto"/>
        <w:shd w:val="clear" w:color="auto" w:fill="auto"/>
        <w:rPr>
          <w:color w:val="auto"/>
          <w:szCs w:val="21"/>
          <w:highlight w:val="none"/>
        </w:rPr>
      </w:pPr>
      <w:r>
        <w:rPr>
          <w:rFonts w:hint="eastAsia"/>
          <w:color w:val="auto"/>
          <w:szCs w:val="21"/>
          <w:highlight w:val="none"/>
        </w:rPr>
        <w:t xml:space="preserve">2、暂列金额使用原则：</w:t>
      </w:r>
      <w:r/>
    </w:p>
    <w:p>
      <w:pPr>
        <w:ind w:firstLine="420"/>
        <w:spacing w:line="360" w:lineRule="auto"/>
        <w:shd w:val="clear" w:color="auto" w:fill="auto"/>
        <w:rPr>
          <w:color w:val="auto"/>
          <w:szCs w:val="21"/>
          <w:highlight w:val="none"/>
        </w:rPr>
      </w:pPr>
      <w:r>
        <w:rPr>
          <w:rFonts w:hint="eastAsia"/>
          <w:color w:val="auto"/>
          <w:szCs w:val="21"/>
          <w:highlight w:val="none"/>
        </w:rPr>
        <w:t xml:space="preserve">暂列金额的使用遵循先审批，后实施的原则；暂列金额用于原管养绿地改种或原管养绿地空缺补种的，结算时不含苗木种植的养护费用，同时养护面积不予扣除。</w:t>
      </w:r>
      <w:r/>
    </w:p>
    <w:p>
      <w:pPr>
        <w:ind w:firstLine="420"/>
        <w:spacing w:line="360" w:lineRule="auto"/>
        <w:shd w:val="clear" w:color="auto" w:fill="auto"/>
        <w:rPr>
          <w:rFonts w:hint="eastAsia"/>
          <w:color w:val="auto"/>
          <w:szCs w:val="21"/>
          <w:highlight w:val="none"/>
        </w:rPr>
      </w:pPr>
      <w:r>
        <w:rPr>
          <w:rFonts w:hint="eastAsia"/>
          <w:color w:val="auto"/>
          <w:szCs w:val="21"/>
          <w:highlight w:val="none"/>
        </w:rPr>
        <w:t xml:space="preserve">3、结算时的分部分项综合单价，按以下情况处理：</w:t>
      </w:r>
      <w:r/>
    </w:p>
    <w:p>
      <w:pPr>
        <w:ind w:firstLine="420"/>
        <w:spacing w:line="360" w:lineRule="auto"/>
        <w:shd w:val="clear" w:color="auto" w:fill="auto"/>
        <w:rPr>
          <w:rFonts w:hint="eastAsia"/>
          <w:color w:val="auto"/>
          <w:szCs w:val="21"/>
          <w:highlight w:val="none"/>
        </w:rPr>
      </w:pPr>
      <w:r>
        <w:rPr>
          <w:rFonts w:hint="eastAsia"/>
          <w:color w:val="auto"/>
          <w:szCs w:val="21"/>
          <w:highlight w:val="none"/>
        </w:rPr>
        <w:t xml:space="preserve">（a）若可套用现行预算定额计算分部分项综合单价的，并在此基础上按15%的比率下浮，材料价格按照送审时的苏州市公布材料信息，其它（如措施费、前期费用等）不属于施工必要工序的费用均不计取。</w:t>
      </w:r>
      <w:r/>
    </w:p>
    <w:p>
      <w:pPr>
        <w:ind w:firstLine="420"/>
        <w:spacing w:line="360" w:lineRule="auto"/>
        <w:shd w:val="clear" w:color="auto" w:fill="auto"/>
        <w:rPr>
          <w:color w:val="auto"/>
          <w:szCs w:val="21"/>
          <w:highlight w:val="none"/>
        </w:rPr>
      </w:pPr>
      <w:r>
        <w:rPr>
          <w:rFonts w:hint="eastAsia"/>
          <w:color w:val="auto"/>
          <w:szCs w:val="21"/>
          <w:highlight w:val="none"/>
        </w:rPr>
        <w:t xml:space="preserve">（b）若无法套用现行预算定额计算的项目，则由甲乙双方协定价款。</w:t>
      </w:r>
      <w:r/>
    </w:p>
    <w:p>
      <w:pPr>
        <w:ind w:firstLine="420"/>
        <w:spacing w:line="360" w:lineRule="auto"/>
        <w:shd w:val="clear" w:color="auto" w:fill="auto"/>
        <w:rPr>
          <w:color w:val="auto"/>
          <w:szCs w:val="21"/>
          <w:highlight w:val="none"/>
        </w:rPr>
      </w:pPr>
      <w:r>
        <w:rPr>
          <w:rFonts w:hint="eastAsia"/>
          <w:color w:val="auto"/>
          <w:szCs w:val="21"/>
          <w:highlight w:val="none"/>
        </w:rPr>
        <w:t xml:space="preserve">4、迁移恢复等零星工程，竣工后，经甲方验收合格，乙方向甲方开具相应金额的增值税普通发票（税率   ），甲方支付50%的工程款；甲方收到现场代表审核过的完成情况季报后，送审计；审计结束后，乙方向甲方开具相应金额的增值税普通发票（税率   ），甲方收到发票后的180天内付清尾款，因财政部门流转流程致使超出前述期限的甲方不构成违约。</w:t>
      </w:r>
      <w:r/>
    </w:p>
    <w:p>
      <w:pPr>
        <w:ind w:firstLine="420"/>
        <w:spacing w:line="360" w:lineRule="auto"/>
        <w:shd w:val="clear" w:color="auto" w:fill="auto"/>
        <w:rPr>
          <w:color w:val="auto"/>
          <w:szCs w:val="21"/>
          <w:highlight w:val="none"/>
        </w:rPr>
      </w:pPr>
      <w:r>
        <w:rPr>
          <w:rFonts w:hint="eastAsia"/>
          <w:color w:val="auto"/>
          <w:szCs w:val="21"/>
          <w:highlight w:val="none"/>
        </w:rPr>
        <w:t xml:space="preserve">五、变更事项</w:t>
      </w:r>
      <w:r/>
    </w:p>
    <w:p>
      <w:pPr>
        <w:ind w:firstLine="420"/>
        <w:spacing w:line="360" w:lineRule="auto"/>
        <w:shd w:val="clear" w:color="auto" w:fill="auto"/>
        <w:rPr>
          <w:color w:val="auto"/>
          <w:szCs w:val="21"/>
          <w:highlight w:val="none"/>
        </w:rPr>
      </w:pPr>
      <w:r>
        <w:rPr>
          <w:rFonts w:hint="eastAsia"/>
          <w:color w:val="auto"/>
          <w:szCs w:val="21"/>
          <w:highlight w:val="none"/>
        </w:rPr>
        <w:t xml:space="preserve">1、变更要严格执行“先审批、后实施”的原则，随项目进展及时申报，及时批复。</w:t>
      </w:r>
      <w:r/>
    </w:p>
    <w:p>
      <w:pPr>
        <w:ind w:firstLine="420"/>
        <w:spacing w:line="360" w:lineRule="auto"/>
        <w:shd w:val="clear" w:color="auto" w:fill="auto"/>
        <w:rPr>
          <w:color w:val="auto"/>
          <w:szCs w:val="21"/>
          <w:highlight w:val="none"/>
        </w:rPr>
      </w:pPr>
      <w:r>
        <w:rPr>
          <w:rFonts w:hint="eastAsia"/>
          <w:color w:val="auto"/>
          <w:szCs w:val="21"/>
          <w:highlight w:val="none"/>
        </w:rPr>
        <w:t xml:space="preserve">2、绿化养护服务项目的变更一般包括以下两种类型：</w:t>
      </w:r>
      <w:r/>
    </w:p>
    <w:p>
      <w:pPr>
        <w:ind w:firstLine="420"/>
        <w:spacing w:line="360" w:lineRule="auto"/>
        <w:shd w:val="clear" w:color="auto" w:fill="auto"/>
        <w:rPr>
          <w:color w:val="auto"/>
          <w:szCs w:val="21"/>
          <w:highlight w:val="none"/>
        </w:rPr>
      </w:pPr>
      <w:r>
        <w:rPr>
          <w:rFonts w:hint="eastAsia"/>
          <w:color w:val="auto"/>
          <w:szCs w:val="21"/>
          <w:highlight w:val="none"/>
        </w:rPr>
        <w:t xml:space="preserve">（1）合同的养护范围及内容发生变化，通常是指在养护过程中有新工程的移交或有部分养护工作内容的退场，或者有部分养护内容的要求发生变化。</w:t>
      </w:r>
      <w:r/>
    </w:p>
    <w:p>
      <w:pPr>
        <w:ind w:firstLine="420"/>
        <w:spacing w:line="360" w:lineRule="auto"/>
        <w:shd w:val="clear" w:color="auto" w:fill="auto"/>
        <w:rPr>
          <w:color w:val="auto"/>
          <w:szCs w:val="21"/>
          <w:highlight w:val="none"/>
        </w:rPr>
      </w:pPr>
      <w:r>
        <w:rPr>
          <w:rFonts w:hint="eastAsia"/>
          <w:color w:val="auto"/>
          <w:szCs w:val="21"/>
          <w:highlight w:val="none"/>
        </w:rPr>
        <w:t xml:space="preserve">（2）在合同常规养护工作外，加入一些零星工作任务。</w:t>
      </w:r>
      <w:r/>
    </w:p>
    <w:p>
      <w:pPr>
        <w:ind w:firstLine="420"/>
        <w:spacing w:line="360" w:lineRule="auto"/>
        <w:shd w:val="clear" w:color="auto" w:fill="auto"/>
        <w:rPr>
          <w:color w:val="auto"/>
          <w:szCs w:val="21"/>
          <w:highlight w:val="none"/>
        </w:rPr>
      </w:pPr>
      <w:r>
        <w:rPr>
          <w:rFonts w:hint="eastAsia"/>
          <w:color w:val="auto"/>
          <w:szCs w:val="21"/>
          <w:highlight w:val="none"/>
        </w:rPr>
        <w:t xml:space="preserve">3、变更事项对应的合同变更金额</w:t>
      </w:r>
      <w:r>
        <w:rPr>
          <w:color w:val="auto"/>
          <w:szCs w:val="21"/>
          <w:highlight w:val="none"/>
        </w:rPr>
        <w:t xml:space="preserve">,</w:t>
      </w:r>
      <w:r>
        <w:rPr>
          <w:rFonts w:hint="eastAsia"/>
          <w:color w:val="auto"/>
          <w:szCs w:val="21"/>
          <w:highlight w:val="none"/>
        </w:rPr>
        <w:t xml:space="preserve">单项金额不应超过政府采购的起点金额</w:t>
      </w:r>
      <w:r>
        <w:rPr>
          <w:color w:val="auto"/>
          <w:szCs w:val="21"/>
          <w:highlight w:val="none"/>
        </w:rPr>
        <w:t xml:space="preserve">, </w:t>
      </w:r>
      <w:r>
        <w:rPr>
          <w:rFonts w:hint="eastAsia"/>
          <w:color w:val="auto"/>
          <w:szCs w:val="21"/>
          <w:highlight w:val="none"/>
        </w:rPr>
        <w:t xml:space="preserve">且累计增加不应超过原合同养护金额的</w:t>
      </w:r>
      <w:r>
        <w:rPr>
          <w:color w:val="auto"/>
          <w:szCs w:val="21"/>
          <w:highlight w:val="none"/>
        </w:rPr>
        <w:t xml:space="preserve"> 10%</w:t>
      </w:r>
      <w:r>
        <w:rPr>
          <w:rFonts w:hint="eastAsia"/>
          <w:color w:val="auto"/>
          <w:szCs w:val="21"/>
          <w:highlight w:val="none"/>
        </w:rPr>
        <w:t xml:space="preserve">。</w:t>
      </w:r>
      <w:r/>
    </w:p>
    <w:p>
      <w:pPr>
        <w:ind w:firstLine="420"/>
        <w:spacing w:line="360" w:lineRule="auto"/>
        <w:shd w:val="clear" w:color="auto" w:fill="auto"/>
        <w:rPr>
          <w:color w:val="auto"/>
          <w:szCs w:val="21"/>
          <w:highlight w:val="none"/>
        </w:rPr>
      </w:pPr>
      <w:r>
        <w:rPr>
          <w:rFonts w:hint="eastAsia"/>
          <w:color w:val="auto"/>
          <w:szCs w:val="21"/>
          <w:highlight w:val="none"/>
        </w:rPr>
        <w:t xml:space="preserve">4、变更费用结算和支付</w:t>
      </w:r>
      <w:r/>
    </w:p>
    <w:p>
      <w:pPr>
        <w:ind w:firstLine="420"/>
        <w:spacing w:line="360" w:lineRule="auto"/>
        <w:shd w:val="clear" w:color="auto" w:fill="auto"/>
        <w:rPr>
          <w:color w:val="auto"/>
          <w:szCs w:val="21"/>
          <w:highlight w:val="none"/>
        </w:rPr>
      </w:pPr>
      <w:r>
        <w:rPr>
          <w:rFonts w:hint="eastAsia"/>
          <w:color w:val="auto"/>
          <w:szCs w:val="21"/>
          <w:highlight w:val="none"/>
        </w:rPr>
        <w:t xml:space="preserve">（1）施工结束</w:t>
      </w:r>
      <w:r>
        <w:rPr>
          <w:color w:val="auto"/>
          <w:szCs w:val="21"/>
          <w:highlight w:val="none"/>
        </w:rPr>
        <w:t xml:space="preserve">,</w:t>
      </w:r>
      <w:r>
        <w:rPr>
          <w:rFonts w:hint="eastAsia"/>
          <w:color w:val="auto"/>
          <w:szCs w:val="21"/>
          <w:highlight w:val="none"/>
        </w:rPr>
        <w:t xml:space="preserve">乙方应及时办理施工签证手续</w:t>
      </w:r>
      <w:r>
        <w:rPr>
          <w:color w:val="auto"/>
          <w:szCs w:val="21"/>
          <w:highlight w:val="none"/>
        </w:rPr>
        <w:t xml:space="preserve">, </w:t>
      </w:r>
      <w:r>
        <w:rPr>
          <w:rFonts w:hint="eastAsia"/>
          <w:color w:val="auto"/>
          <w:szCs w:val="21"/>
          <w:highlight w:val="none"/>
        </w:rPr>
        <w:t xml:space="preserve">并按照合同约定做好项目的结算编制及送审工作。</w:t>
      </w:r>
      <w:r/>
    </w:p>
    <w:p>
      <w:pPr>
        <w:ind w:firstLine="420"/>
        <w:spacing w:line="360" w:lineRule="auto"/>
        <w:shd w:val="clear" w:color="auto" w:fill="auto"/>
        <w:rPr>
          <w:color w:val="auto"/>
          <w:szCs w:val="21"/>
          <w:highlight w:val="none"/>
        </w:rPr>
      </w:pPr>
      <w:r>
        <w:rPr>
          <w:rFonts w:hint="eastAsia"/>
          <w:color w:val="auto"/>
          <w:szCs w:val="21"/>
          <w:highlight w:val="none"/>
        </w:rPr>
        <w:t xml:space="preserve">（2）养护范围及内容的变更费用结算，参照相同或相似养护类型的养护单价；没有相同或相似的养护单价的，则由甲乙双方协定变更价款。</w:t>
      </w:r>
      <w:r/>
    </w:p>
    <w:p>
      <w:pPr>
        <w:ind w:firstLine="420"/>
        <w:spacing w:line="360" w:lineRule="auto"/>
        <w:shd w:val="clear" w:color="auto" w:fill="auto"/>
        <w:rPr>
          <w:color w:val="auto"/>
          <w:szCs w:val="21"/>
          <w:highlight w:val="none"/>
        </w:rPr>
      </w:pPr>
      <w:r>
        <w:rPr>
          <w:rFonts w:hint="eastAsia"/>
          <w:color w:val="auto"/>
          <w:szCs w:val="21"/>
          <w:highlight w:val="none"/>
        </w:rPr>
        <w:t xml:space="preserve">（3）暂列金额结算和支付按本协议第四条暂列金额费用的规定执行。</w:t>
      </w:r>
      <w:r/>
    </w:p>
    <w:p>
      <w:pPr>
        <w:ind w:firstLine="420"/>
        <w:spacing w:line="360" w:lineRule="auto"/>
        <w:shd w:val="clear" w:color="auto" w:fill="auto"/>
        <w:rPr>
          <w:color w:val="auto"/>
          <w:szCs w:val="21"/>
          <w:highlight w:val="none"/>
        </w:rPr>
      </w:pPr>
      <w:r>
        <w:rPr>
          <w:rFonts w:hint="eastAsia"/>
          <w:color w:val="auto"/>
          <w:szCs w:val="21"/>
          <w:highlight w:val="none"/>
        </w:rPr>
        <w:t xml:space="preserve">六、养护验收和移交</w:t>
      </w:r>
      <w:r/>
    </w:p>
    <w:p>
      <w:pPr>
        <w:ind w:firstLine="420"/>
        <w:spacing w:line="360" w:lineRule="auto"/>
        <w:shd w:val="clear" w:color="auto" w:fill="auto"/>
        <w:rPr>
          <w:color w:val="auto"/>
          <w:szCs w:val="21"/>
          <w:highlight w:val="none"/>
        </w:rPr>
      </w:pPr>
      <w:r>
        <w:rPr>
          <w:rFonts w:hint="eastAsia"/>
          <w:color w:val="auto"/>
          <w:szCs w:val="21"/>
          <w:highlight w:val="none"/>
        </w:rPr>
        <w:t xml:space="preserve">1、养护合同到期前30日，乙方向甲方提出书面的养护验收申请，乙方与甲方进养护竣工验收，甲方出具验收情况的书面意见，明确整改内容和时间，乙方按时完成整改后与甲方办理移交。</w:t>
      </w:r>
      <w:r/>
    </w:p>
    <w:p>
      <w:pPr>
        <w:ind w:firstLine="420"/>
        <w:spacing w:line="360" w:lineRule="auto"/>
        <w:shd w:val="clear" w:color="auto" w:fill="auto"/>
        <w:rPr>
          <w:color w:val="auto"/>
          <w:szCs w:val="21"/>
          <w:highlight w:val="none"/>
        </w:rPr>
      </w:pPr>
      <w:r>
        <w:rPr>
          <w:rFonts w:hint="eastAsia"/>
          <w:color w:val="auto"/>
          <w:szCs w:val="21"/>
          <w:highlight w:val="none"/>
        </w:rPr>
        <w:t xml:space="preserve">2、验收和移交工作不得超过三个月，超出以上时间的按移交管理办法进行处理。</w:t>
      </w:r>
      <w:r/>
    </w:p>
    <w:p>
      <w:pPr>
        <w:ind w:firstLine="420"/>
        <w:spacing w:line="360" w:lineRule="auto"/>
        <w:shd w:val="clear" w:color="auto" w:fill="auto"/>
        <w:rPr>
          <w:rFonts w:hint="eastAsia" w:eastAsia="宋体"/>
          <w:color w:val="auto"/>
          <w:szCs w:val="21"/>
          <w:highlight w:val="none"/>
          <w:lang w:eastAsia="zh-CN"/>
        </w:rPr>
      </w:pPr>
      <w:r>
        <w:rPr>
          <w:rFonts w:hint="eastAsia"/>
          <w:color w:val="auto"/>
          <w:szCs w:val="21"/>
          <w:highlight w:val="none"/>
        </w:rPr>
        <w:t xml:space="preserve">3、乙方合同到期日起满一年仍未移交结束的，甲方视为乙方主动放弃该标段所有养护遗留尾款（最后一个季度的进度款）及保证金，甲方不再予以支付。</w:t>
      </w:r>
      <w:r/>
    </w:p>
    <w:p>
      <w:pPr>
        <w:ind w:firstLine="420"/>
        <w:spacing w:line="360" w:lineRule="auto"/>
        <w:shd w:val="clear" w:color="auto" w:fill="auto"/>
        <w:rPr>
          <w:color w:val="auto"/>
          <w:szCs w:val="21"/>
          <w:highlight w:val="none"/>
        </w:rPr>
      </w:pPr>
      <w:r>
        <w:rPr>
          <w:rFonts w:hint="eastAsia"/>
          <w:color w:val="auto"/>
          <w:szCs w:val="21"/>
          <w:highlight w:val="none"/>
        </w:rPr>
        <w:t xml:space="preserve">    4、养护清单为投标报价的依据，各投标单位投标时须落实专人踏勘现场，以现场实有苗木、设施、绿地面积为准，如有差异中标金额不作调整。</w:t>
      </w:r>
      <w:r/>
    </w:p>
    <w:p>
      <w:pPr>
        <w:ind w:firstLine="420"/>
        <w:spacing w:line="360" w:lineRule="auto"/>
        <w:shd w:val="clear" w:color="auto" w:fill="auto"/>
        <w:rPr>
          <w:color w:val="auto"/>
          <w:szCs w:val="21"/>
          <w:highlight w:val="none"/>
        </w:rPr>
      </w:pPr>
      <w:r>
        <w:rPr>
          <w:rFonts w:hint="eastAsia"/>
          <w:color w:val="auto"/>
          <w:szCs w:val="21"/>
          <w:highlight w:val="none"/>
        </w:rPr>
        <w:t xml:space="preserve">七、双方责任约定：</w:t>
      </w:r>
      <w:r/>
    </w:p>
    <w:p>
      <w:pPr>
        <w:ind w:firstLine="420"/>
        <w:spacing w:line="360" w:lineRule="auto"/>
        <w:shd w:val="clear" w:color="auto" w:fill="auto"/>
        <w:rPr>
          <w:color w:val="auto"/>
          <w:szCs w:val="21"/>
          <w:highlight w:val="none"/>
        </w:rPr>
      </w:pPr>
      <w:r>
        <w:rPr>
          <w:rFonts w:hint="eastAsia"/>
          <w:color w:val="auto"/>
          <w:szCs w:val="21"/>
          <w:highlight w:val="none"/>
        </w:rPr>
        <w:t xml:space="preserve">1.对于上下家移交现场空缺苗木的补种、人为损坏及踩踏（10㎡以上/处）造成的苗木损失，以上苗木及种植费用（不含种植苗木的养护费）由乙方承担，具体苗木品种、数量、规格由甲方指定；</w:t>
      </w:r>
      <w:r/>
    </w:p>
    <w:p>
      <w:pPr>
        <w:ind w:firstLine="420"/>
        <w:spacing w:line="360" w:lineRule="auto"/>
        <w:shd w:val="clear" w:color="auto" w:fill="auto"/>
        <w:rPr>
          <w:color w:val="auto"/>
          <w:szCs w:val="21"/>
          <w:highlight w:val="none"/>
        </w:rPr>
      </w:pPr>
      <w:r>
        <w:rPr>
          <w:rFonts w:hint="eastAsia"/>
          <w:color w:val="auto"/>
          <w:szCs w:val="21"/>
          <w:highlight w:val="none"/>
        </w:rPr>
        <w:t xml:space="preserve">2. 甲方安排的合同外的其它突击等工作，由甲方承担其费用；</w:t>
      </w:r>
      <w:r/>
    </w:p>
    <w:p>
      <w:pPr>
        <w:ind w:firstLine="420"/>
        <w:spacing w:line="360" w:lineRule="auto"/>
        <w:shd w:val="clear" w:color="auto" w:fill="auto"/>
        <w:rPr>
          <w:color w:val="auto"/>
          <w:szCs w:val="21"/>
          <w:highlight w:val="none"/>
        </w:rPr>
      </w:pPr>
      <w:r>
        <w:rPr>
          <w:rFonts w:hint="eastAsia"/>
          <w:color w:val="auto"/>
          <w:szCs w:val="21"/>
          <w:highlight w:val="none"/>
        </w:rPr>
        <w:t xml:space="preserve">3、除上述甲方承担的责任外其它养护风险等均由乙方承担。</w:t>
      </w:r>
      <w:r/>
    </w:p>
    <w:p>
      <w:pPr>
        <w:ind w:firstLine="420"/>
        <w:spacing w:line="360" w:lineRule="auto"/>
        <w:shd w:val="clear" w:color="auto" w:fill="auto"/>
        <w:rPr>
          <w:color w:val="auto"/>
          <w:szCs w:val="21"/>
          <w:highlight w:val="none"/>
        </w:rPr>
      </w:pPr>
      <w:r>
        <w:rPr>
          <w:rFonts w:hint="eastAsia"/>
          <w:color w:val="auto"/>
          <w:szCs w:val="21"/>
          <w:highlight w:val="none"/>
        </w:rPr>
        <w:t xml:space="preserve">八、违约责任</w:t>
      </w:r>
      <w:r/>
    </w:p>
    <w:p>
      <w:pPr>
        <w:ind w:firstLine="420"/>
        <w:spacing w:line="360" w:lineRule="auto"/>
        <w:shd w:val="clear" w:color="auto" w:fill="auto"/>
        <w:rPr>
          <w:color w:val="auto"/>
          <w:szCs w:val="21"/>
          <w:highlight w:val="none"/>
        </w:rPr>
      </w:pPr>
      <w:r>
        <w:rPr>
          <w:rFonts w:hint="eastAsia"/>
          <w:color w:val="auto"/>
          <w:szCs w:val="21"/>
          <w:highlight w:val="none"/>
        </w:rPr>
        <w:t xml:space="preserve">1、因乙方原因养护期提前终止的，乙方所缴纳的合同履约保证金及所有养护遗留尾款不再予以支付。</w:t>
      </w:r>
      <w:r/>
    </w:p>
    <w:p>
      <w:pPr>
        <w:ind w:firstLine="420"/>
        <w:jc w:val="left"/>
        <w:spacing w:line="360" w:lineRule="auto"/>
        <w:shd w:val="clear" w:color="auto" w:fill="auto"/>
        <w:widowControl/>
        <w:rPr>
          <w:color w:val="auto"/>
          <w:szCs w:val="21"/>
          <w:highlight w:val="none"/>
        </w:rPr>
      </w:pPr>
      <w:r>
        <w:rPr>
          <w:rFonts w:hint="eastAsia"/>
          <w:color w:val="auto"/>
          <w:szCs w:val="21"/>
          <w:highlight w:val="none"/>
        </w:rPr>
        <w:t xml:space="preserve">2、乙方怠于履行本合同义务或者违反本合同的约定或违反其保证或承诺的，且经甲方通知仍未纠正的，甲方有权解除合同，乙方还应向甲方承担违约责任。</w:t>
      </w:r>
      <w:r/>
    </w:p>
    <w:p>
      <w:pPr>
        <w:ind w:firstLine="420"/>
        <w:jc w:val="left"/>
        <w:spacing w:line="360" w:lineRule="auto"/>
        <w:shd w:val="clear" w:color="auto" w:fill="auto"/>
        <w:widowControl/>
        <w:rPr>
          <w:color w:val="auto"/>
          <w:szCs w:val="21"/>
          <w:highlight w:val="none"/>
        </w:rPr>
      </w:pPr>
      <w:r>
        <w:rPr>
          <w:rFonts w:hint="eastAsia"/>
          <w:color w:val="auto"/>
          <w:szCs w:val="21"/>
          <w:highlight w:val="none"/>
        </w:rPr>
        <w:t xml:space="preserve">3、因乙方违约给甲方造成的全部损失由乙方承担，包括不限于甲方支出的赔偿费用、其他经济损失、甲方为实现合法权益而支出的调查费、鉴定费、诉讼费用及律师费等。</w:t>
      </w:r>
      <w:r/>
    </w:p>
    <w:p>
      <w:pPr>
        <w:ind w:firstLine="420"/>
        <w:jc w:val="left"/>
        <w:spacing w:line="360" w:lineRule="auto"/>
        <w:shd w:val="clear" w:color="auto" w:fill="auto"/>
        <w:widowControl/>
        <w:rPr>
          <w:color w:val="auto"/>
          <w:szCs w:val="21"/>
          <w:highlight w:val="none"/>
        </w:rPr>
      </w:pPr>
      <w:r>
        <w:rPr>
          <w:rFonts w:hint="eastAsia"/>
          <w:color w:val="auto"/>
          <w:szCs w:val="21"/>
          <w:highlight w:val="none"/>
        </w:rPr>
        <w:t xml:space="preserve">4、本合同约定的违约金或其他应付费用，甲方有权在养护费、履约保证金中扣除，也有权要求乙方另外支付。</w:t>
      </w:r>
      <w:r/>
    </w:p>
    <w:p>
      <w:pPr>
        <w:ind w:firstLine="420"/>
        <w:jc w:val="left"/>
        <w:spacing w:line="360" w:lineRule="auto"/>
        <w:shd w:val="clear" w:color="auto" w:fill="auto"/>
        <w:widowControl/>
        <w:rPr>
          <w:color w:val="auto"/>
          <w:szCs w:val="21"/>
          <w:highlight w:val="none"/>
        </w:rPr>
      </w:pPr>
      <w:r>
        <w:rPr>
          <w:rFonts w:hint="eastAsia"/>
          <w:color w:val="auto"/>
          <w:szCs w:val="21"/>
          <w:highlight w:val="none"/>
        </w:rPr>
        <w:t xml:space="preserve">在本合同有效期间，甲方给予乙方的任何宽容、宽限或延缓行使本合同中享有的权益或权利，均不损害、影响或限制甲方依有关法律规定和本合同应享有的一切权益和权利，不应视为甲方对本合同项下权利、权益的放弃，也不影响乙方在本合同项下的任何义务与责任。</w:t>
      </w:r>
      <w:r/>
    </w:p>
    <w:p>
      <w:pPr>
        <w:ind w:firstLine="420"/>
        <w:jc w:val="left"/>
        <w:spacing w:line="360" w:lineRule="auto"/>
        <w:shd w:val="clear" w:color="auto" w:fill="auto"/>
        <w:widowControl/>
        <w:rPr>
          <w:color w:val="auto"/>
          <w:szCs w:val="21"/>
          <w:highlight w:val="none"/>
        </w:rPr>
      </w:pPr>
      <w:r>
        <w:rPr>
          <w:rFonts w:hint="eastAsia"/>
          <w:color w:val="auto"/>
          <w:szCs w:val="21"/>
          <w:highlight w:val="none"/>
        </w:rPr>
        <w:t xml:space="preserve">九、不可抗力</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1、因不可抗力不能履行本合同的，根据不可抗力的影响，部分或者全部免除责任。但合同一方迟延履行合同义务后发生不可抗力的，违约方不能免除责任。</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2、合同一方因不可抗力不能履行本合同的，应当及时通知对方，以减轻可能给对方造成的损失，并应当在不可抗力发生之日起15日内提供权威部门出具的认定不可抗力的证明。</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0"/>
        <w:spacing w:line="360" w:lineRule="auto"/>
        <w:shd w:val="clear" w:color="auto" w:fill="auto"/>
        <w:rPr>
          <w:color w:val="auto"/>
          <w:szCs w:val="21"/>
          <w:highlight w:val="none"/>
        </w:rPr>
      </w:pPr>
      <w:r>
        <w:rPr>
          <w:rFonts w:hint="eastAsia"/>
          <w:color w:val="auto"/>
          <w:szCs w:val="21"/>
          <w:highlight w:val="none"/>
        </w:rPr>
        <w:t xml:space="preserve">十、合同的解除、变更</w:t>
      </w:r>
      <w:r/>
    </w:p>
    <w:p>
      <w:pPr>
        <w:ind w:firstLine="420"/>
        <w:spacing w:line="360" w:lineRule="auto"/>
        <w:shd w:val="clear" w:color="auto" w:fill="auto"/>
        <w:rPr>
          <w:color w:val="auto"/>
          <w:szCs w:val="21"/>
          <w:highlight w:val="none"/>
        </w:rPr>
      </w:pPr>
      <w:r>
        <w:rPr>
          <w:rFonts w:hint="eastAsia"/>
          <w:color w:val="auto"/>
          <w:szCs w:val="21"/>
          <w:highlight w:val="none"/>
        </w:rPr>
        <w:t xml:space="preserve">1、甲乙双方协商一致，可以变更或解除合同。</w:t>
      </w:r>
      <w:r/>
    </w:p>
    <w:p>
      <w:pPr>
        <w:ind w:firstLine="420"/>
        <w:spacing w:line="360" w:lineRule="auto"/>
        <w:shd w:val="clear" w:color="auto" w:fill="auto"/>
        <w:rPr>
          <w:color w:val="auto"/>
          <w:szCs w:val="21"/>
          <w:highlight w:val="none"/>
        </w:rPr>
      </w:pPr>
      <w:r>
        <w:rPr>
          <w:rFonts w:hint="eastAsia"/>
          <w:color w:val="auto"/>
          <w:szCs w:val="21"/>
          <w:highlight w:val="none"/>
        </w:rPr>
        <w:t xml:space="preserve">2、有下列情形之一，合同一方可以解除合同：</w:t>
      </w:r>
      <w:r/>
    </w:p>
    <w:p>
      <w:pPr>
        <w:ind w:firstLine="420"/>
        <w:spacing w:line="360" w:lineRule="auto"/>
        <w:shd w:val="clear" w:color="auto" w:fill="auto"/>
        <w:rPr>
          <w:color w:val="auto"/>
          <w:szCs w:val="21"/>
          <w:highlight w:val="none"/>
        </w:rPr>
      </w:pPr>
      <w:r>
        <w:rPr>
          <w:rFonts w:hint="eastAsia"/>
          <w:color w:val="auto"/>
          <w:szCs w:val="21"/>
          <w:highlight w:val="none"/>
        </w:rPr>
        <w:t xml:space="preserve">（1）因不可抗力致使不能实现合同目的；</w:t>
      </w:r>
      <w:r/>
    </w:p>
    <w:p>
      <w:pPr>
        <w:ind w:firstLine="420"/>
        <w:spacing w:line="360" w:lineRule="auto"/>
        <w:shd w:val="clear" w:color="auto" w:fill="auto"/>
        <w:rPr>
          <w:color w:val="auto"/>
          <w:szCs w:val="21"/>
          <w:highlight w:val="none"/>
        </w:rPr>
      </w:pPr>
      <w:r>
        <w:rPr>
          <w:rFonts w:hint="eastAsia"/>
          <w:color w:val="auto"/>
          <w:szCs w:val="21"/>
          <w:highlight w:val="none"/>
        </w:rPr>
        <w:t xml:space="preserve">（2）因合同一方违约导致合同不能履行，另一方有权解除合同。</w:t>
      </w:r>
      <w:r/>
    </w:p>
    <w:p>
      <w:pPr>
        <w:ind w:firstLine="420"/>
        <w:spacing w:line="360" w:lineRule="auto"/>
        <w:shd w:val="clear" w:color="auto" w:fill="auto"/>
        <w:rPr>
          <w:color w:val="auto"/>
          <w:szCs w:val="21"/>
          <w:highlight w:val="none"/>
        </w:rPr>
      </w:pPr>
      <w:r>
        <w:rPr>
          <w:rFonts w:hint="eastAsia"/>
          <w:color w:val="auto"/>
          <w:szCs w:val="21"/>
          <w:highlight w:val="none"/>
        </w:rPr>
        <w:t xml:space="preserve">（3）因规划调整且合同期内不恢复，致使绿化养护面积减少70%（含）以上的，乙方可向甲方提出解除本合同意向，经甲方许可并办妥相关移交手续后解除合同。</w:t>
      </w:r>
      <w:r/>
    </w:p>
    <w:p>
      <w:pPr>
        <w:ind w:firstLine="420"/>
        <w:spacing w:line="360" w:lineRule="auto"/>
        <w:shd w:val="clear" w:color="auto" w:fill="auto"/>
        <w:rPr>
          <w:color w:val="auto"/>
          <w:szCs w:val="21"/>
          <w:highlight w:val="none"/>
        </w:rPr>
      </w:pPr>
      <w:r>
        <w:rPr>
          <w:rFonts w:hint="eastAsia"/>
          <w:color w:val="auto"/>
          <w:szCs w:val="21"/>
          <w:highlight w:val="none"/>
        </w:rPr>
        <w:t xml:space="preserve">（4）甲乙双方约定的其他情形。</w:t>
      </w:r>
      <w:r/>
    </w:p>
    <w:p>
      <w:pPr>
        <w:ind w:firstLine="420"/>
        <w:spacing w:line="360" w:lineRule="auto"/>
        <w:shd w:val="clear" w:color="auto" w:fill="auto"/>
        <w:rPr>
          <w:color w:val="auto"/>
          <w:szCs w:val="21"/>
          <w:highlight w:val="none"/>
        </w:rPr>
      </w:pPr>
      <w:r>
        <w:rPr>
          <w:rFonts w:hint="eastAsia"/>
          <w:color w:val="auto"/>
          <w:szCs w:val="21"/>
          <w:highlight w:val="none"/>
        </w:rPr>
        <w:t xml:space="preserve">3、本合同不得以任何形式转让，否则视为乙方违约，甲方可以单方解除本合同，由此造成甲方的损失由乙方承担赔偿（包括但不限于诉讼费、合理律师费等）。</w:t>
      </w:r>
      <w:r/>
    </w:p>
    <w:p>
      <w:pPr>
        <w:ind w:firstLine="420"/>
        <w:spacing w:line="360" w:lineRule="auto"/>
        <w:shd w:val="clear" w:color="auto" w:fill="auto"/>
        <w:rPr>
          <w:color w:val="auto"/>
          <w:szCs w:val="21"/>
          <w:highlight w:val="none"/>
        </w:rPr>
      </w:pPr>
      <w:r>
        <w:rPr>
          <w:rFonts w:hint="eastAsia"/>
          <w:color w:val="auto"/>
          <w:szCs w:val="21"/>
          <w:highlight w:val="none"/>
        </w:rPr>
        <w:t xml:space="preserve">4、本合同未经甲方书面同意不得分包，否则视为乙方违约，甲方可以单方解除本合同，由此造成甲方的损失由乙方承担赔偿（包括但不限于诉讼费、合理律师费等）。且乙方无权要求返还履约保证金。</w:t>
      </w:r>
      <w:r/>
    </w:p>
    <w:p>
      <w:pPr>
        <w:ind w:firstLine="420"/>
        <w:spacing w:line="360" w:lineRule="auto"/>
        <w:shd w:val="clear" w:color="auto" w:fill="auto"/>
        <w:rPr>
          <w:color w:val="auto"/>
          <w:szCs w:val="21"/>
          <w:highlight w:val="none"/>
        </w:rPr>
      </w:pPr>
      <w:r>
        <w:rPr>
          <w:rFonts w:hint="eastAsia"/>
          <w:color w:val="auto"/>
          <w:szCs w:val="21"/>
          <w:highlight w:val="none"/>
        </w:rPr>
        <w:t xml:space="preserve">十一、组成合同的文件：</w:t>
      </w:r>
      <w:r/>
    </w:p>
    <w:p>
      <w:pPr>
        <w:ind w:firstLine="420"/>
        <w:spacing w:line="360" w:lineRule="auto"/>
        <w:shd w:val="clear" w:color="auto" w:fill="auto"/>
        <w:rPr>
          <w:color w:val="auto"/>
          <w:szCs w:val="21"/>
          <w:highlight w:val="none"/>
        </w:rPr>
      </w:pPr>
      <w:r>
        <w:rPr>
          <w:rFonts w:hint="eastAsia"/>
          <w:color w:val="auto"/>
          <w:szCs w:val="21"/>
          <w:highlight w:val="none"/>
        </w:rPr>
        <w:t xml:space="preserve">组成本合同的文件及优先解释顺序如下：</w:t>
      </w:r>
      <w:r/>
    </w:p>
    <w:p>
      <w:pPr>
        <w:ind w:firstLine="420"/>
        <w:spacing w:line="360" w:lineRule="auto"/>
        <w:shd w:val="clear" w:color="auto" w:fill="auto"/>
        <w:rPr>
          <w:color w:val="auto"/>
          <w:szCs w:val="21"/>
          <w:highlight w:val="none"/>
        </w:rPr>
      </w:pPr>
      <w:r>
        <w:rPr>
          <w:rFonts w:hint="eastAsia"/>
          <w:color w:val="auto"/>
          <w:szCs w:val="21"/>
          <w:highlight w:val="none"/>
        </w:rPr>
        <w:t xml:space="preserve">1、本合同协议书及附件（养护考核办法及相关考核表、廉政合同等）</w:t>
      </w:r>
      <w:r/>
    </w:p>
    <w:p>
      <w:pPr>
        <w:ind w:firstLine="420"/>
        <w:spacing w:line="360" w:lineRule="auto"/>
        <w:shd w:val="clear" w:color="auto" w:fill="auto"/>
        <w:rPr>
          <w:color w:val="auto"/>
          <w:szCs w:val="21"/>
          <w:highlight w:val="none"/>
        </w:rPr>
      </w:pPr>
      <w:r>
        <w:rPr>
          <w:rFonts w:hint="eastAsia"/>
          <w:color w:val="auto"/>
          <w:szCs w:val="21"/>
          <w:highlight w:val="none"/>
        </w:rPr>
        <w:t xml:space="preserve">2、中标通知书</w:t>
      </w:r>
      <w:r/>
    </w:p>
    <w:p>
      <w:pPr>
        <w:ind w:firstLine="420"/>
        <w:spacing w:line="360" w:lineRule="auto"/>
        <w:shd w:val="clear" w:color="auto" w:fill="auto"/>
        <w:rPr>
          <w:color w:val="auto"/>
          <w:szCs w:val="21"/>
          <w:highlight w:val="none"/>
        </w:rPr>
      </w:pPr>
      <w:r>
        <w:rPr>
          <w:rFonts w:hint="eastAsia"/>
          <w:color w:val="auto"/>
          <w:szCs w:val="21"/>
          <w:highlight w:val="none"/>
        </w:rPr>
        <w:t xml:space="preserve">3、投标书、技术承诺书及有关附件</w:t>
      </w:r>
      <w:r/>
    </w:p>
    <w:p>
      <w:pPr>
        <w:ind w:firstLine="420"/>
        <w:spacing w:line="360" w:lineRule="auto"/>
        <w:shd w:val="clear" w:color="auto" w:fill="auto"/>
        <w:rPr>
          <w:color w:val="auto"/>
          <w:szCs w:val="21"/>
          <w:highlight w:val="none"/>
        </w:rPr>
      </w:pPr>
      <w:r>
        <w:rPr>
          <w:rFonts w:hint="eastAsia"/>
          <w:color w:val="auto"/>
          <w:szCs w:val="21"/>
          <w:highlight w:val="none"/>
        </w:rPr>
        <w:t xml:space="preserve">4、采购文件及其补遗书</w:t>
      </w:r>
      <w:r/>
    </w:p>
    <w:p>
      <w:pPr>
        <w:ind w:firstLine="420"/>
        <w:spacing w:line="360" w:lineRule="auto"/>
        <w:shd w:val="clear" w:color="auto" w:fill="auto"/>
        <w:rPr>
          <w:color w:val="auto"/>
          <w:szCs w:val="21"/>
          <w:highlight w:val="none"/>
        </w:rPr>
      </w:pPr>
      <w:r>
        <w:rPr>
          <w:rFonts w:hint="eastAsia"/>
          <w:color w:val="auto"/>
          <w:szCs w:val="21"/>
          <w:highlight w:val="none"/>
        </w:rPr>
        <w:t xml:space="preserve">5、国家和地方规定的标准、规范及有关技术文件</w:t>
      </w:r>
      <w:r/>
    </w:p>
    <w:p>
      <w:pPr>
        <w:ind w:firstLine="420"/>
        <w:spacing w:line="360" w:lineRule="auto"/>
        <w:shd w:val="clear" w:color="auto" w:fill="auto"/>
        <w:rPr>
          <w:color w:val="auto"/>
          <w:szCs w:val="21"/>
          <w:highlight w:val="none"/>
        </w:rPr>
      </w:pPr>
      <w:r>
        <w:rPr>
          <w:rFonts w:hint="eastAsia"/>
          <w:color w:val="auto"/>
          <w:szCs w:val="21"/>
          <w:highlight w:val="none"/>
        </w:rPr>
        <w:t xml:space="preserve">甲方如有本合同之外的委托，双方另行协商签订补充协议或另行签订合同，费用参照本合同标准执行。</w:t>
      </w:r>
      <w:r/>
    </w:p>
    <w:p>
      <w:pPr>
        <w:ind w:firstLine="420"/>
        <w:spacing w:line="360" w:lineRule="auto"/>
        <w:shd w:val="clear" w:color="auto" w:fill="auto"/>
        <w:rPr>
          <w:color w:val="auto"/>
          <w:szCs w:val="21"/>
          <w:highlight w:val="none"/>
        </w:rPr>
      </w:pPr>
      <w:r>
        <w:rPr>
          <w:rFonts w:hint="eastAsia"/>
          <w:color w:val="auto"/>
          <w:szCs w:val="21"/>
          <w:highlight w:val="none"/>
        </w:rPr>
        <w:t xml:space="preserve">双方有关本项目的洽商、变更等书面协议或文件视为本合同协议条款的组成部分。组成本合同的文件均为本合同不可分割的组成部分，与本合同具有同等法律效力.</w:t>
      </w:r>
      <w:r/>
    </w:p>
    <w:p>
      <w:pPr>
        <w:ind w:firstLine="420"/>
        <w:spacing w:line="360" w:lineRule="auto"/>
        <w:shd w:val="clear" w:color="auto" w:fill="auto"/>
        <w:rPr>
          <w:color w:val="auto"/>
          <w:szCs w:val="21"/>
          <w:highlight w:val="none"/>
        </w:rPr>
      </w:pPr>
      <w:r>
        <w:rPr>
          <w:rFonts w:hint="eastAsia"/>
          <w:color w:val="auto"/>
          <w:szCs w:val="21"/>
          <w:highlight w:val="none"/>
        </w:rPr>
        <w:t xml:space="preserve">十二、合同生效、争议解决及其他</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1.本合同经甲乙双方代表签字并加盖公章（或合同章）后即生效，同时须通过</w:t>
      </w:r>
      <w:r>
        <w:rPr>
          <w:rFonts w:hint="eastAsia"/>
          <w:color w:val="auto"/>
          <w:szCs w:val="21"/>
          <w:highlight w:val="none"/>
          <w:lang w:eastAsia="zh-CN"/>
        </w:rPr>
        <w:t xml:space="preserve">网上</w:t>
      </w:r>
      <w:r>
        <w:rPr>
          <w:rFonts w:hint="eastAsia"/>
          <w:color w:val="auto"/>
          <w:szCs w:val="21"/>
          <w:highlight w:val="none"/>
        </w:rPr>
        <w:t xml:space="preserve">案章。</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2.本合同未尽之处双方协商解决。本合同发生争议无法协商解决时，双方同意向甲方所在地有管辖权的人民法院诉讼解决。除有争议条款外，本合同其他条款继续履行。</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①乙方保证上述通讯方式为本单位各类文书送达地址，如发生变化，乙方应提前3日书面加盖公章通知甲方。</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②甲方可选择邮寄（包括特快专递、平信邮寄、挂号邮寄）、传真、电子通讯方式或专人送达等任一方式送达乙方。</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③因乙方提供的地址不准确、或变更未及时告知，或者乙方拒绝签收的，或者无人签收等，导致未被实际接收的，退回之日视为送达之日。且甲方有权但无义务再按照其他通讯方式向乙方送达。</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④如甲乙之间因合同纠纷发生争议诉至法院，乙方确认本合同载明的上述地址为人民法院司法文书的送达地址。</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3.乙方除应做好职工的安全生产教育外，还应为养护工人提供必要的劳动保护条件，为养护工人办理作业时的人身安全保险和意外伤害险，一切安全责任事故均由乙方负责（保险种类由乙方自行选择）；</w:t>
      </w:r>
      <w:r/>
    </w:p>
    <w:p>
      <w:pPr>
        <w:ind w:firstLine="420"/>
        <w:jc w:val="left"/>
        <w:spacing w:line="360" w:lineRule="auto"/>
        <w:shd w:val="clear" w:color="auto" w:fill="auto"/>
        <w:widowControl/>
        <w:tabs>
          <w:tab w:val="left" w:pos="840" w:leader="none"/>
        </w:tabs>
        <w:rPr>
          <w:color w:val="auto"/>
          <w:szCs w:val="21"/>
          <w:highlight w:val="none"/>
        </w:rPr>
      </w:pPr>
      <w:r>
        <w:rPr>
          <w:rFonts w:hint="eastAsia"/>
          <w:color w:val="auto"/>
          <w:szCs w:val="21"/>
          <w:highlight w:val="none"/>
        </w:rPr>
        <w:t xml:space="preserve">4.本合同附件与本合同具有同等法律效力。合同一式八份，甲方执四份，乙方执二份，招标机构一份，政府采购办一份，各份具有同等法律效力。</w:t>
      </w:r>
      <w:r/>
    </w:p>
    <w:p>
      <w:pPr>
        <w:spacing w:line="360" w:lineRule="auto"/>
        <w:shd w:val="clear" w:color="auto" w:fill="auto"/>
        <w:rPr>
          <w:rFonts w:cs="宋体"/>
          <w:b/>
          <w:color w:val="auto"/>
          <w:szCs w:val="21"/>
          <w:highlight w:val="none"/>
          <w:lang w:val="zh-CN"/>
        </w:rPr>
      </w:pPr>
      <w:r>
        <w:rPr>
          <w:rFonts w:cs="宋体"/>
          <w:b/>
          <w:color w:val="auto"/>
          <w:szCs w:val="21"/>
          <w:highlight w:val="none"/>
          <w:lang w:val="zh-CN"/>
        </w:rPr>
      </w:r>
      <w:r/>
    </w:p>
    <w:p>
      <w:pPr>
        <w:spacing w:line="360" w:lineRule="auto"/>
        <w:shd w:val="clear" w:color="auto" w:fill="auto"/>
        <w:rPr>
          <w:rFonts w:cs="宋体"/>
          <w:color w:val="auto"/>
          <w:szCs w:val="21"/>
          <w:highlight w:val="none"/>
          <w:lang w:val="zh-CN"/>
        </w:rPr>
      </w:pPr>
      <w:r>
        <w:rPr>
          <w:rFonts w:hint="eastAsia" w:cs="宋体"/>
          <w:color w:val="auto"/>
          <w:szCs w:val="21"/>
          <w:highlight w:val="none"/>
          <w:lang w:val="zh-CN"/>
        </w:rPr>
        <w:t xml:space="preserve">甲方：</w:t>
      </w:r>
      <w:r>
        <w:rPr>
          <w:rFonts w:hint="eastAsia"/>
          <w:color w:val="auto"/>
          <w:szCs w:val="21"/>
          <w:highlight w:val="none"/>
        </w:rPr>
        <w:t xml:space="preserve">                                          </w:t>
      </w:r>
      <w:r>
        <w:rPr>
          <w:rFonts w:hint="eastAsia" w:cs="宋体"/>
          <w:color w:val="auto"/>
          <w:szCs w:val="21"/>
          <w:highlight w:val="none"/>
          <w:lang w:val="zh-CN"/>
        </w:rPr>
        <w:t xml:space="preserve">乙方： </w:t>
      </w:r>
      <w:r/>
    </w:p>
    <w:p>
      <w:pPr>
        <w:spacing w:line="360" w:lineRule="auto"/>
        <w:shd w:val="clear" w:color="auto" w:fill="auto"/>
        <w:rPr>
          <w:rFonts w:cs="宋体"/>
          <w:color w:val="auto"/>
          <w:szCs w:val="21"/>
          <w:highlight w:val="none"/>
          <w:lang w:val="zh-CN"/>
        </w:rPr>
      </w:pPr>
      <w:r>
        <w:rPr>
          <w:rFonts w:hint="eastAsia" w:cs="宋体"/>
          <w:color w:val="auto"/>
          <w:szCs w:val="21"/>
          <w:highlight w:val="none"/>
          <w:lang w:val="zh-CN"/>
        </w:rPr>
        <w:t xml:space="preserve">（加盖公章或合同专用章）                          （加盖公章或合同专用章）</w:t>
      </w:r>
      <w:r/>
    </w:p>
    <w:p>
      <w:pPr>
        <w:spacing w:line="360" w:lineRule="auto"/>
        <w:shd w:val="clear" w:color="auto" w:fill="auto"/>
        <w:rPr>
          <w:rFonts w:cs="宋体"/>
          <w:color w:val="auto"/>
          <w:szCs w:val="21"/>
          <w:highlight w:val="none"/>
          <w:lang w:val="zh-CN"/>
        </w:rPr>
      </w:pPr>
      <w:r>
        <w:rPr>
          <w:rFonts w:hint="eastAsia" w:cs="宋体"/>
          <w:color w:val="auto"/>
          <w:szCs w:val="21"/>
          <w:highlight w:val="none"/>
          <w:lang w:val="zh-CN"/>
        </w:rPr>
        <w:t xml:space="preserve">法定代表人签字或签章：                              法定代表人签字或签章：  </w:t>
      </w:r>
      <w:r/>
    </w:p>
    <w:p>
      <w:pPr>
        <w:ind w:firstLine="240"/>
        <w:spacing w:line="360" w:lineRule="auto"/>
        <w:shd w:val="clear" w:color="auto" w:fill="auto"/>
        <w:rPr>
          <w:rFonts w:cs="宋体"/>
          <w:color w:val="auto"/>
          <w:szCs w:val="21"/>
          <w:highlight w:val="none"/>
          <w:lang w:val="zh-CN"/>
        </w:rPr>
      </w:pPr>
      <w:r>
        <w:rPr>
          <w:rFonts w:hint="eastAsia" w:cs="宋体"/>
          <w:color w:val="auto"/>
          <w:szCs w:val="21"/>
          <w:highlight w:val="none"/>
          <w:lang w:val="zh-CN"/>
        </w:rPr>
        <w:t xml:space="preserve">签约日期：    年  月    日                       签约日期：    年  月    日</w:t>
      </w:r>
      <w:r/>
    </w:p>
    <w:p>
      <w:pPr>
        <w:ind w:firstLine="240"/>
        <w:spacing w:line="360" w:lineRule="auto"/>
        <w:shd w:val="clear" w:color="auto" w:fill="auto"/>
        <w:rPr>
          <w:rFonts w:cs="宋体"/>
          <w:color w:val="auto"/>
          <w:szCs w:val="21"/>
          <w:highlight w:val="none"/>
          <w:lang w:val="zh-CN"/>
        </w:rPr>
      </w:pPr>
      <w:r>
        <w:rPr>
          <w:rFonts w:cs="宋体"/>
          <w:color w:val="auto"/>
          <w:szCs w:val="21"/>
          <w:highlight w:val="none"/>
          <w:lang w:val="zh-CN"/>
        </w:rPr>
      </w:r>
      <w:r/>
    </w:p>
    <w:p>
      <w:pPr>
        <w:spacing w:line="360" w:lineRule="auto"/>
        <w:shd w:val="clear" w:color="auto" w:fill="auto"/>
        <w:rPr>
          <w:rFonts w:cs="宋体"/>
          <w:color w:val="auto"/>
          <w:szCs w:val="21"/>
          <w:highlight w:val="none"/>
          <w:lang w:val="zh-CN"/>
        </w:rPr>
      </w:pPr>
      <w:r>
        <w:rPr>
          <w:rFonts w:hint="eastAsia" w:cs="宋体"/>
          <w:color w:val="auto"/>
          <w:szCs w:val="21"/>
          <w:highlight w:val="none"/>
          <w:lang w:val="zh-CN"/>
        </w:rPr>
        <w:t xml:space="preserve">合同签订地：苏州市。</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24"/>
        <w:rPr>
          <w:rFonts w:hint="eastAsia" w:ascii="宋体" w:hAnsi="宋体" w:cs="宋体"/>
          <w:color w:val="auto"/>
          <w:highlight w:val="none"/>
        </w:rPr>
      </w:pPr>
      <w:r>
        <w:rPr>
          <w:rFonts w:hint="eastAsia" w:ascii="宋体" w:hAnsi="宋体" w:cs="宋体"/>
          <w:color w:val="auto"/>
          <w:highlight w:val="none"/>
        </w:rPr>
      </w:r>
      <w:r/>
    </w:p>
    <w:p>
      <w:pPr>
        <w:pStyle w:val="935"/>
        <w:spacing w:before="0" w:after="0" w:line="360" w:lineRule="auto"/>
        <w:rPr>
          <w:rFonts w:hint="eastAsia" w:cs="宋体"/>
          <w:b/>
          <w:bCs/>
          <w:color w:val="auto"/>
          <w:sz w:val="32"/>
          <w:szCs w:val="32"/>
          <w:highlight w:val="none"/>
        </w:rPr>
      </w:pPr>
      <w:r>
        <w:rPr>
          <w:rFonts w:hint="eastAsia" w:cs="宋体"/>
          <w:b/>
          <w:bCs/>
          <w:color w:val="auto"/>
          <w:sz w:val="32"/>
          <w:szCs w:val="32"/>
          <w:highlight w:val="none"/>
        </w:rPr>
        <w:t xml:space="preserve">六、附件格式</w:t>
      </w:r>
      <w:bookmarkEnd w:id="76"/>
      <w:r/>
      <w:bookmarkEnd w:id="77"/>
      <w:r/>
      <w:bookmarkEnd w:id="78"/>
      <w:r/>
      <w:bookmarkEnd w:id="79"/>
      <w:r/>
      <w:bookmarkEnd w:id="80"/>
      <w:r/>
      <w:bookmarkEnd w:id="81"/>
      <w:r/>
      <w:r/>
    </w:p>
    <w:p>
      <w:pPr>
        <w:spacing w:line="360" w:lineRule="auto"/>
        <w:rPr>
          <w:rFonts w:hint="eastAsia" w:ascii="宋体" w:hAnsi="宋体" w:cs="宋体"/>
          <w:b/>
          <w:bCs/>
          <w:color w:val="auto"/>
          <w:spacing w:val="20"/>
          <w:highlight w:val="none"/>
        </w:rPr>
      </w:pPr>
      <w:r>
        <w:rPr>
          <w:rFonts w:hint="eastAsia" w:ascii="宋体" w:hAnsi="宋体" w:cs="宋体"/>
          <w:b/>
          <w:bCs/>
          <w:color w:val="auto"/>
          <w:highlight w:val="none"/>
        </w:rPr>
        <w:t xml:space="preserve">附件1：</w:t>
      </w:r>
      <w:r>
        <w:rPr>
          <w:rFonts w:hint="eastAsia" w:ascii="宋体" w:hAnsi="宋体" w:cs="宋体"/>
          <w:b/>
          <w:bCs/>
          <w:color w:val="auto"/>
          <w:spacing w:val="20"/>
          <w:highlight w:val="none"/>
        </w:rPr>
        <w:t xml:space="preserve">磋商响应函</w:t>
      </w:r>
      <w:r/>
    </w:p>
    <w:p>
      <w:pPr>
        <w:jc w:val="center"/>
        <w:spacing w:line="360" w:lineRule="auto"/>
        <w:rPr>
          <w:rFonts w:hint="eastAsia" w:ascii="宋体" w:hAnsi="宋体" w:cs="宋体"/>
          <w:b/>
          <w:bCs/>
          <w:color w:val="auto"/>
          <w:spacing w:val="20"/>
          <w:highlight w:val="none"/>
        </w:rPr>
      </w:pPr>
      <w:r>
        <w:rPr>
          <w:rFonts w:hint="eastAsia" w:ascii="宋体" w:hAnsi="宋体" w:cs="宋体"/>
          <w:b/>
          <w:bCs/>
          <w:color w:val="auto"/>
          <w:spacing w:val="20"/>
          <w:highlight w:val="none"/>
        </w:rPr>
        <w:t xml:space="preserve">磋商响应函</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苏州市东易工程招投标咨询有限公司：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我们收到你们</w:t>
      </w:r>
      <w:r>
        <w:rPr>
          <w:rFonts w:hint="eastAsia" w:ascii="宋体" w:hAnsi="宋体" w:cs="宋体"/>
          <w:bCs/>
          <w:color w:val="auto"/>
          <w:szCs w:val="22"/>
          <w:highlight w:val="none"/>
          <w:u w:val="single"/>
          <w:lang w:val="en-US" w:eastAsia="zh-CN"/>
        </w:rPr>
        <w:t xml:space="preserve">                       </w:t>
      </w:r>
      <w:r>
        <w:rPr>
          <w:rFonts w:hint="eastAsia" w:ascii="宋体" w:hAnsi="宋体" w:cs="宋体"/>
          <w:bCs/>
          <w:color w:val="auto"/>
          <w:szCs w:val="22"/>
          <w:highlight w:val="none"/>
        </w:rPr>
        <w:t xml:space="preserve">号</w:t>
      </w:r>
      <w:r>
        <w:rPr>
          <w:rFonts w:hint="eastAsia" w:ascii="宋体" w:hAnsi="宋体" w:cs="宋体"/>
          <w:color w:val="auto"/>
          <w:highlight w:val="none"/>
        </w:rPr>
        <w:t xml:space="preserve">磋商采购文件，经仔细阅读和研究，我们决定参加磋商。</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2、如果我们的投标被接受，我们将严格履行采购文件中规定的每一项要求，保证按期、按质、按量履行合同义务，完成</w:t>
      </w:r>
      <w:r>
        <w:rPr>
          <w:rFonts w:hint="eastAsia" w:ascii="宋体" w:hAnsi="宋体" w:cs="宋体"/>
          <w:color w:val="auto"/>
          <w:highlight w:val="none"/>
        </w:rPr>
        <w:t xml:space="preserve">成交</w:t>
      </w:r>
      <w:r>
        <w:rPr>
          <w:rFonts w:hint="eastAsia" w:ascii="宋体" w:hAnsi="宋体" w:cs="宋体"/>
          <w:color w:val="auto"/>
          <w:highlight w:val="none"/>
          <w:lang w:val="zh-CN"/>
        </w:rPr>
        <w:t xml:space="preserve">项目的全部服务工作</w:t>
      </w:r>
      <w:r>
        <w:rPr>
          <w:rFonts w:hint="eastAsia" w:ascii="宋体" w:hAnsi="宋体" w:cs="宋体"/>
          <w:color w:val="auto"/>
          <w:szCs w:val="21"/>
          <w:highlight w:val="none"/>
        </w:rPr>
        <w:t xml:space="preserve">。</w:t>
      </w:r>
      <w:r/>
    </w:p>
    <w:p>
      <w:pPr>
        <w:ind w:firstLine="445"/>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3、我们同意按采购文件中的规定，本</w:t>
      </w:r>
      <w:r>
        <w:rPr>
          <w:rFonts w:hint="eastAsia" w:ascii="宋体" w:hAnsi="宋体" w:cs="宋体"/>
          <w:color w:val="auto"/>
          <w:highlight w:val="none"/>
        </w:rPr>
        <w:t xml:space="preserve">响应文件</w:t>
      </w:r>
      <w:r>
        <w:rPr>
          <w:rFonts w:hint="eastAsia" w:ascii="宋体" w:hAnsi="宋体" w:cs="宋体"/>
          <w:color w:val="auto"/>
          <w:highlight w:val="none"/>
          <w:lang w:val="zh-CN"/>
        </w:rPr>
        <w:t xml:space="preserve">的有效期限为开标后</w:t>
      </w:r>
      <w:r>
        <w:rPr>
          <w:rFonts w:hint="eastAsia" w:ascii="宋体" w:hAnsi="宋体" w:cs="宋体"/>
          <w:color w:val="auto"/>
          <w:highlight w:val="none"/>
          <w:u w:val="single"/>
        </w:rPr>
        <w:t xml:space="preserve">     </w:t>
      </w:r>
      <w:r>
        <w:rPr>
          <w:rFonts w:hint="eastAsia" w:ascii="宋体" w:hAnsi="宋体" w:cs="宋体"/>
          <w:color w:val="auto"/>
          <w:highlight w:val="none"/>
          <w:lang w:val="zh-CN"/>
        </w:rPr>
        <w:t xml:space="preserve">天。</w:t>
      </w:r>
      <w:r/>
    </w:p>
    <w:p>
      <w:pPr>
        <w:ind w:firstLine="445"/>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4、我们愿意提供</w:t>
      </w:r>
      <w:r>
        <w:rPr>
          <w:rFonts w:hint="eastAsia" w:ascii="宋体" w:hAnsi="宋体" w:cs="宋体"/>
          <w:color w:val="auto"/>
          <w:highlight w:val="none"/>
        </w:rPr>
        <w:t xml:space="preserve">采购单位</w:t>
      </w:r>
      <w:r>
        <w:rPr>
          <w:rFonts w:hint="eastAsia" w:ascii="宋体" w:hAnsi="宋体" w:cs="宋体"/>
          <w:color w:val="auto"/>
          <w:highlight w:val="none"/>
          <w:lang w:val="zh-CN"/>
        </w:rPr>
        <w:t xml:space="preserve">在采购文件中要求的所有资料，也同意向贵方提供贵方可能另外要求的与其投标有关的任何证据或资料。</w:t>
      </w:r>
      <w:r/>
    </w:p>
    <w:p>
      <w:pPr>
        <w:ind w:firstLine="445"/>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5、我们愿意遵守</w:t>
      </w:r>
      <w:r>
        <w:rPr>
          <w:rFonts w:hint="eastAsia" w:ascii="宋体" w:hAnsi="宋体" w:cs="宋体"/>
          <w:color w:val="auto"/>
          <w:highlight w:val="none"/>
        </w:rPr>
        <w:t xml:space="preserve">采购公告</w:t>
      </w:r>
      <w:r>
        <w:rPr>
          <w:rFonts w:hint="eastAsia" w:ascii="宋体" w:hAnsi="宋体" w:cs="宋体"/>
          <w:color w:val="auto"/>
          <w:highlight w:val="none"/>
          <w:lang w:val="zh-CN"/>
        </w:rPr>
        <w:t xml:space="preserve">及采购文件中所列的收费标准。</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6、我们承诺该项投标在开标后的全过程中保持有效，不作任何更改和变动。我们同意</w:t>
      </w:r>
      <w:r>
        <w:rPr>
          <w:rFonts w:hint="eastAsia" w:ascii="宋体" w:hAnsi="宋体" w:cs="宋体"/>
          <w:color w:val="auto"/>
          <w:highlight w:val="none"/>
        </w:rPr>
        <w:t xml:space="preserve">成交</w:t>
      </w:r>
      <w:r>
        <w:rPr>
          <w:rFonts w:hint="eastAsia" w:ascii="宋体" w:hAnsi="宋体" w:cs="宋体"/>
          <w:color w:val="auto"/>
          <w:highlight w:val="none"/>
          <w:lang w:val="zh-CN"/>
        </w:rPr>
        <w:t xml:space="preserve">后若不履行响应文件的内容要求和各项承诺及义务的即被视为违约，其</w:t>
      </w:r>
      <w:r>
        <w:rPr>
          <w:rFonts w:hint="eastAsia" w:ascii="宋体" w:hAnsi="宋体" w:cs="宋体"/>
          <w:color w:val="auto"/>
          <w:highlight w:val="none"/>
        </w:rPr>
        <w:t xml:space="preserve">成交</w:t>
      </w:r>
      <w:r>
        <w:rPr>
          <w:rFonts w:hint="eastAsia" w:ascii="宋体" w:hAnsi="宋体" w:cs="宋体"/>
          <w:color w:val="auto"/>
          <w:highlight w:val="none"/>
          <w:lang w:val="zh-CN"/>
        </w:rPr>
        <w:t xml:space="preserve">资格将被取消。</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7、我们同意</w:t>
      </w:r>
      <w:r>
        <w:rPr>
          <w:rFonts w:hint="eastAsia" w:ascii="宋体" w:hAnsi="宋体" w:cs="宋体"/>
          <w:color w:val="auto"/>
          <w:highlight w:val="none"/>
        </w:rPr>
        <w:t xml:space="preserve">成交后</w:t>
      </w:r>
      <w:r>
        <w:rPr>
          <w:rFonts w:hint="eastAsia" w:ascii="宋体" w:hAnsi="宋体" w:cs="宋体"/>
          <w:color w:val="auto"/>
          <w:highlight w:val="none"/>
          <w:lang w:val="zh-CN"/>
        </w:rPr>
        <w:t xml:space="preserve">若无法按约定条款履行义务等行为，采购单位有权取消我们的</w:t>
      </w:r>
      <w:r>
        <w:rPr>
          <w:rFonts w:hint="eastAsia" w:ascii="宋体" w:hAnsi="宋体" w:cs="宋体"/>
          <w:color w:val="auto"/>
          <w:highlight w:val="none"/>
        </w:rPr>
        <w:t xml:space="preserve">成交</w:t>
      </w:r>
      <w:r>
        <w:rPr>
          <w:rFonts w:hint="eastAsia" w:ascii="宋体" w:hAnsi="宋体" w:cs="宋体"/>
          <w:color w:val="auto"/>
          <w:highlight w:val="none"/>
          <w:lang w:val="zh-CN"/>
        </w:rPr>
        <w:t xml:space="preserve">资格，并可就因我方未能履约而导致采购方损失的向我方进行索赔。</w:t>
      </w:r>
      <w:r/>
    </w:p>
    <w:p>
      <w:pPr>
        <w:ind w:firstLine="525"/>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8、我们保证全部响应文件内容真实有效，若有虚假，我公司愿意承担与此相关的一切责任。</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9、如果我们</w:t>
      </w:r>
      <w:r>
        <w:rPr>
          <w:rFonts w:hint="eastAsia" w:ascii="宋体" w:hAnsi="宋体" w:cs="宋体"/>
          <w:color w:val="auto"/>
          <w:highlight w:val="none"/>
        </w:rPr>
        <w:t xml:space="preserve">成交</w:t>
      </w:r>
      <w:r>
        <w:rPr>
          <w:rFonts w:hint="eastAsia" w:ascii="宋体" w:hAnsi="宋体" w:cs="宋体"/>
          <w:color w:val="auto"/>
          <w:highlight w:val="none"/>
          <w:lang w:val="zh-CN"/>
        </w:rPr>
        <w:t xml:space="preserve">，我们愿意按</w:t>
      </w:r>
      <w:r>
        <w:rPr>
          <w:rFonts w:hint="eastAsia" w:ascii="宋体" w:hAnsi="宋体" w:cs="宋体"/>
          <w:color w:val="auto"/>
          <w:highlight w:val="none"/>
        </w:rPr>
        <w:t xml:space="preserve">采购文件</w:t>
      </w:r>
      <w:r>
        <w:rPr>
          <w:rFonts w:hint="eastAsia" w:ascii="宋体" w:hAnsi="宋体" w:cs="宋体"/>
          <w:color w:val="auto"/>
          <w:highlight w:val="none"/>
          <w:lang w:val="zh-CN"/>
        </w:rPr>
        <w:t xml:space="preserve">规定的收费标准支付</w:t>
      </w:r>
      <w:r>
        <w:rPr>
          <w:rFonts w:hint="eastAsia" w:ascii="宋体" w:hAnsi="宋体" w:cs="宋体"/>
          <w:color w:val="auto"/>
          <w:highlight w:val="none"/>
        </w:rPr>
        <w:t xml:space="preserve">成交</w:t>
      </w:r>
      <w:r>
        <w:rPr>
          <w:rFonts w:hint="eastAsia" w:ascii="宋体" w:hAnsi="宋体" w:cs="宋体"/>
          <w:color w:val="auto"/>
          <w:highlight w:val="none"/>
          <w:lang w:val="zh-CN"/>
        </w:rPr>
        <w:t xml:space="preserve">服务费，逾期按中国人民银行公布的同期人民币贷款最高利率计付利息；</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10、与本投标有关的通讯地址：</w:t>
      </w:r>
      <w:r/>
    </w:p>
    <w:p>
      <w:pPr>
        <w:ind w:firstLine="492"/>
        <w:spacing w:line="360" w:lineRule="auto"/>
        <w:rPr>
          <w:rFonts w:hint="eastAsia" w:ascii="宋体" w:hAnsi="宋体" w:cs="宋体"/>
          <w:color w:val="auto"/>
          <w:highlight w:val="none"/>
          <w:u w:val="single"/>
          <w:lang w:val="zh-CN"/>
        </w:rPr>
      </w:pPr>
      <w:r>
        <w:rPr>
          <w:rFonts w:hint="eastAsia" w:ascii="宋体" w:hAnsi="宋体" w:cs="宋体"/>
          <w:color w:val="auto"/>
          <w:highlight w:val="none"/>
          <w:lang w:val="zh-CN"/>
        </w:rPr>
        <w:t xml:space="preserve">单位：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联系人：</w:t>
      </w:r>
      <w:r>
        <w:rPr>
          <w:rFonts w:hint="eastAsia" w:ascii="宋体" w:hAnsi="宋体" w:cs="宋体"/>
          <w:color w:val="auto"/>
          <w:highlight w:val="none"/>
          <w:u w:val="single"/>
          <w:lang w:val="zh-CN"/>
        </w:rPr>
        <w:t xml:space="preserve">                   </w:t>
      </w:r>
      <w:r/>
    </w:p>
    <w:p>
      <w:pPr>
        <w:ind w:firstLine="492"/>
        <w:spacing w:line="360" w:lineRule="auto"/>
        <w:rPr>
          <w:rFonts w:hint="eastAsia" w:ascii="宋体" w:hAnsi="宋体" w:cs="宋体"/>
          <w:color w:val="auto"/>
          <w:highlight w:val="none"/>
          <w:u w:val="single"/>
          <w:lang w:val="zh-CN"/>
        </w:rPr>
      </w:pPr>
      <w:r>
        <w:rPr>
          <w:rFonts w:hint="eastAsia" w:ascii="宋体" w:hAnsi="宋体" w:cs="宋体"/>
          <w:color w:val="auto"/>
          <w:highlight w:val="none"/>
          <w:lang w:val="zh-CN"/>
        </w:rPr>
        <w:t xml:space="preserve">地址：</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 邮政编码：</w:t>
      </w:r>
      <w:r>
        <w:rPr>
          <w:rFonts w:hint="eastAsia" w:ascii="宋体" w:hAnsi="宋体" w:cs="宋体"/>
          <w:color w:val="auto"/>
          <w:highlight w:val="none"/>
          <w:u w:val="single"/>
          <w:lang w:val="zh-CN"/>
        </w:rPr>
        <w:t xml:space="preserve">                </w:t>
      </w:r>
      <w:r/>
    </w:p>
    <w:p>
      <w:pPr>
        <w:ind w:firstLine="492"/>
        <w:spacing w:line="360" w:lineRule="auto"/>
        <w:rPr>
          <w:rFonts w:hint="eastAsia" w:ascii="宋体" w:hAnsi="宋体" w:cs="宋体"/>
          <w:color w:val="auto"/>
          <w:highlight w:val="none"/>
          <w:u w:val="single"/>
          <w:lang w:val="zh-CN"/>
        </w:rPr>
      </w:pPr>
      <w:r>
        <w:rPr>
          <w:rFonts w:hint="eastAsia" w:ascii="宋体" w:hAnsi="宋体" w:cs="宋体"/>
          <w:color w:val="auto"/>
          <w:highlight w:val="none"/>
          <w:lang w:val="zh-CN"/>
        </w:rPr>
        <w:t xml:space="preserve">联系电话：</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 传真：</w:t>
      </w:r>
      <w:r>
        <w:rPr>
          <w:rFonts w:hint="eastAsia" w:ascii="宋体" w:hAnsi="宋体" w:cs="宋体"/>
          <w:color w:val="auto"/>
          <w:highlight w:val="none"/>
          <w:u w:val="single"/>
          <w:lang w:val="zh-CN"/>
        </w:rPr>
        <w:t xml:space="preserve">                    </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响应单位：（单位盖章）             法定代表人或委托代理人：（签字或盖章）</w:t>
      </w:r>
      <w:r/>
    </w:p>
    <w:p>
      <w:pPr>
        <w:ind w:firstLine="46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年     月     日</w:t>
      </w:r>
      <w:r/>
    </w:p>
    <w:p>
      <w:pPr>
        <w:pStyle w:val="922"/>
        <w:ind w:firstLine="0"/>
        <w:pageBreakBefore/>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附件2：（磋商响应单位）法定代表人授权委托书</w:t>
      </w:r>
      <w:r/>
    </w:p>
    <w:p>
      <w:pPr>
        <w:pStyle w:val="922"/>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2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法定代表人授权委托书</w:t>
      </w:r>
      <w:r/>
    </w:p>
    <w:p>
      <w:pPr>
        <w:pStyle w:val="9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（磋商响应单位名称）的法定代表人，现授权委托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（姓名）为我公司委托代理人，以本公司的名义参加苏州市东易工程招投标咨询有限公司组织实施的编号为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9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922"/>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委托代理人无转委托权。特此委托。</w:t>
      </w:r>
      <w:r/>
    </w:p>
    <w:p>
      <w:pPr>
        <w:pStyle w:val="922"/>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480"/>
        <w:spacing w:line="360" w:lineRule="auto"/>
        <w:rPr>
          <w:rFonts w:hint="eastAsia" w:ascii="宋体" w:hAnsi="宋体" w:cs="宋体"/>
          <w:color w:val="auto"/>
          <w:highlight w:val="none"/>
        </w:rPr>
      </w:pPr>
      <w:r>
        <w:rPr>
          <w:rFonts w:hint="eastAsia" w:ascii="宋体" w:hAnsi="宋体" w:cs="宋体"/>
          <w:b/>
          <w:bCs/>
          <w:color w:val="auto"/>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33"/>
        <w:rPr>
          <w:rFonts w:hint="eastAsia" w:hAnsi="宋体" w:cs="宋体"/>
          <w:b/>
          <w:bCs/>
          <w:color w:val="auto"/>
          <w:highlight w:val="none"/>
        </w:rPr>
      </w:pPr>
      <w:r>
        <w:rPr>
          <w:rFonts w:hint="eastAsia" w:hAnsi="宋体" w:cs="宋体"/>
          <w:b/>
          <w:bCs/>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right="48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附件3-1：磋商响应报价表</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磋商响应报价表（第一次报价）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磋商项目名称：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磋商编号：</w:t>
      </w:r>
      <w:r>
        <w:rPr>
          <w:rFonts w:hint="eastAsia" w:ascii="宋体" w:hAnsi="宋体" w:cs="宋体"/>
          <w:bCs/>
          <w:color w:val="auto"/>
          <w:szCs w:val="22"/>
          <w:highlight w:val="none"/>
          <w:lang w:eastAsia="zh-CN"/>
        </w:rPr>
        <w:t xml:space="preserve">JSZC-320506-SZDY-C2026-0001</w:t>
      </w:r>
      <w:r>
        <w:rPr>
          <w:rFonts w:hint="eastAsia" w:ascii="宋体" w:hAnsi="宋体" w:cs="宋体"/>
          <w:bCs/>
          <w:color w:val="auto"/>
          <w:szCs w:val="22"/>
          <w:highlight w:val="none"/>
        </w:rPr>
        <w:t xml:space="preserve"> 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磋商响应单位（盖章）：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tbl>
      <w:tblPr>
        <w:tblStyle w:val="921"/>
        <w:tblpPr w:horzAnchor="page" w:tblpX="1623" w:vertAnchor="text" w:tblpY="340" w:leftFromText="180" w:topFromText="0" w:rightFromText="180" w:bottomFromText="0"/>
        <w:tblW w:w="91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3234"/>
        <w:gridCol w:w="1447"/>
        <w:gridCol w:w="2725"/>
        <w:gridCol w:w="1227"/>
      </w:tblGrid>
      <w:tr>
        <w:trPr>
          <w:cantSplit/>
          <w:trHeight w:val="602"/>
        </w:trPr>
        <w:tc>
          <w:tcPr>
            <w:tcBorders>
              <w:top w:val="single" w:color="auto" w:sz="4" w:space="0"/>
              <w:left w:val="single" w:color="auto" w:sz="4" w:space="0"/>
              <w:bottom w:val="single" w:color="auto" w:sz="4" w:space="0"/>
              <w:right w:val="single" w:color="auto" w:sz="4" w:space="0"/>
            </w:tcBorders>
            <w:tcW w:w="52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项目名称</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标段号</w:t>
            </w:r>
            <w:r/>
          </w:p>
        </w:tc>
        <w:tc>
          <w:tcPr>
            <w:tcBorders>
              <w:top w:val="single" w:color="auto" w:sz="4" w:space="0"/>
              <w:left w:val="single" w:color="auto" w:sz="4" w:space="0"/>
              <w:bottom w:val="single" w:color="auto" w:sz="4" w:space="0"/>
              <w:right w:val="single" w:color="auto" w:sz="4" w:space="0"/>
            </w:tcBorders>
            <w:tcW w:w="272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1064" w:hRule="exact"/>
        </w:trPr>
        <w:tc>
          <w:tcPr>
            <w:tcBorders>
              <w:top w:val="single" w:color="auto" w:sz="4" w:space="0"/>
              <w:left w:val="single" w:color="auto" w:sz="4" w:space="0"/>
              <w:right w:val="single" w:color="auto" w:sz="4" w:space="0"/>
            </w:tcBorders>
            <w:tcW w:w="52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3234" w:type="dxa"/>
            <w:vAlign w:val="center"/>
            <w:textDirection w:val="lrTb"/>
            <w:noWrap w:val="false"/>
          </w:tcPr>
          <w:p>
            <w:pPr>
              <w:jc w:val="cente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72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1227"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70" w:hRule="exact"/>
        </w:trPr>
        <w:tc>
          <w:tcPr>
            <w:gridSpan w:val="5"/>
            <w:tcBorders>
              <w:top w:val="single" w:color="auto" w:sz="4" w:space="0"/>
              <w:left w:val="single" w:color="auto" w:sz="4" w:space="0"/>
              <w:right w:val="single" w:color="auto" w:sz="4" w:space="0"/>
            </w:tcBorders>
            <w:tcW w:w="9157"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总价：</w:t>
            </w:r>
            <w:r>
              <w:rPr>
                <w:rFonts w:hint="eastAsia"/>
                <w:color w:val="auto"/>
                <w:szCs w:val="21"/>
                <w:highlight w:val="none"/>
              </w:rPr>
              <w:t xml:space="preserve">人民币大写：</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元</w:t>
            </w:r>
            <w:r>
              <w:rPr>
                <w:color w:val="auto"/>
                <w:szCs w:val="21"/>
                <w:highlight w:val="none"/>
              </w:rPr>
              <w:t xml:space="preserve">    </w:t>
            </w:r>
            <w:r>
              <w:rPr>
                <w:rFonts w:hint="eastAsia"/>
                <w:color w:val="auto"/>
                <w:szCs w:val="21"/>
                <w:highlight w:val="none"/>
              </w:rPr>
              <w:t xml:space="preserve">（小写</w:t>
            </w:r>
            <w:r>
              <w:rPr>
                <w:rFonts w:hint="eastAsia" w:ascii="宋体" w:hAnsi="宋体" w:eastAsia="宋体" w:cs="宋体"/>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元）</w:t>
            </w:r>
            <w:r>
              <w:rPr>
                <w:color w:val="auto"/>
                <w:szCs w:val="21"/>
                <w:highlight w:val="none"/>
              </w:rPr>
              <w:t xml:space="preserve">  </w:t>
            </w:r>
            <w:r/>
          </w:p>
        </w:tc>
      </w:tr>
      <w:tr>
        <w:trPr>
          <w:cantSplit/>
          <w:trHeight w:val="567"/>
        </w:trPr>
        <w:tc>
          <w:tcPr>
            <w:gridSpan w:val="5"/>
            <w:tcBorders>
              <w:top w:val="none" w:color="000000" w:sz="4" w:space="0"/>
              <w:left w:val="single" w:color="auto" w:sz="4" w:space="0"/>
              <w:bottom w:val="single" w:color="auto" w:sz="4" w:space="0"/>
              <w:right w:val="single" w:color="auto" w:sz="4" w:space="0"/>
            </w:tcBorders>
            <w:tcW w:w="9157" w:type="dxa"/>
            <w:vAlign w:val="bottom"/>
            <w:textDirection w:val="lrTb"/>
            <w:noWrap w:val="false"/>
          </w:tcPr>
          <w:p>
            <w:pPr>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是否小微企业  : □小型       □微型        □否</w:t>
            </w:r>
            <w:r/>
          </w:p>
          <w:p>
            <w:pPr>
              <w:jc w:val="left"/>
              <w:spacing w:line="440" w:lineRule="exact"/>
              <w:rPr>
                <w:rFonts w:hint="eastAsia" w:ascii="宋体" w:hAnsi="宋体" w:cs="宋体"/>
                <w:color w:val="auto"/>
                <w:szCs w:val="24"/>
                <w:highlight w:val="none"/>
              </w:rPr>
            </w:pPr>
            <w:r>
              <w:rPr>
                <w:rFonts w:hint="eastAsia" w:ascii="宋体" w:hAnsi="宋体" w:cs="宋体"/>
                <w:color w:val="auto"/>
                <w:szCs w:val="21"/>
                <w:highlight w:val="none"/>
              </w:rPr>
              <w:t xml:space="preserve">是否残疾人或监狱企业：□小型       □微型       □否</w:t>
            </w:r>
            <w:r/>
          </w:p>
        </w:tc>
      </w:tr>
    </w:tbl>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pStyle w:val="926"/>
        <w:jc w:val="left"/>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38"/>
        <w:pageBreakBefore/>
        <w:spacing w:line="440" w:lineRule="exact"/>
        <w:rPr>
          <w:rFonts w:hint="eastAsia"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附件3-2：响应报价明细表</w:t>
      </w:r>
      <w:r/>
    </w:p>
    <w:p>
      <w:pPr>
        <w:pStyle w:val="939"/>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项目编号：</w:t>
      </w:r>
      <w:r/>
    </w:p>
    <w:p>
      <w:pPr>
        <w:pStyle w:val="939"/>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p>
      <w:pPr>
        <w:pStyle w:val="939"/>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投标人名称（公章）：</w:t>
      </w:r>
      <w:r>
        <w:rPr>
          <w:rFonts w:hint="eastAsia" w:hAnsi="宋体" w:eastAsia="宋体" w:cs="宋体"/>
          <w:color w:val="auto"/>
          <w:sz w:val="21"/>
          <w:szCs w:val="21"/>
          <w:highlight w:val="none"/>
          <w:u w:val="single"/>
        </w:rPr>
        <w:t xml:space="preserve">                      </w:t>
      </w:r>
      <w:r/>
    </w:p>
    <w:p>
      <w:pP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tbl>
      <w:tblPr>
        <w:tblStyle w:val="9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794"/>
        <w:gridCol w:w="2120"/>
        <w:gridCol w:w="1646"/>
        <w:gridCol w:w="1365"/>
        <w:gridCol w:w="1177"/>
      </w:tblGrid>
      <w:tr>
        <w:trPr>
          <w:jc w:val="center"/>
          <w:trHeight w:val="454"/>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序号</w:t>
            </w:r>
            <w:r/>
          </w:p>
        </w:tc>
        <w:tc>
          <w:tcPr>
            <w:gridSpan w:val="2"/>
            <w:tcW w:w="3914" w:type="dxa"/>
            <w:vAlign w:val="top"/>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项目名称</w:t>
            </w:r>
            <w:r/>
          </w:p>
        </w:tc>
        <w:tc>
          <w:tcPr>
            <w:tcW w:w="1646" w:type="dxa"/>
            <w:vAlign w:val="top"/>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单价（元）</w:t>
            </w:r>
            <w:r/>
          </w:p>
        </w:tc>
        <w:tc>
          <w:tcPr>
            <w:tcW w:w="1365" w:type="dxa"/>
            <w:vAlign w:val="top"/>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报价（元）</w:t>
            </w:r>
            <w:r/>
          </w:p>
        </w:tc>
        <w:tc>
          <w:tcPr>
            <w:tcW w:w="1177" w:type="dxa"/>
            <w:vAlign w:val="top"/>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备注</w:t>
            </w:r>
            <w:r/>
          </w:p>
        </w:tc>
      </w:tr>
      <w:tr>
        <w:trPr>
          <w:jc w:val="center"/>
          <w:trHeight w:val="454"/>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1</w:t>
            </w:r>
            <w:r/>
          </w:p>
        </w:tc>
        <w:tc>
          <w:tcPr>
            <w:gridSpan w:val="2"/>
            <w:tcW w:w="3914"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646"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365"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177"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r>
      <w:tr>
        <w:trPr>
          <w:jc w:val="center"/>
          <w:trHeight w:val="70"/>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w:t>
            </w:r>
            <w:r/>
          </w:p>
        </w:tc>
        <w:tc>
          <w:tcPr>
            <w:gridSpan w:val="2"/>
            <w:tcW w:w="3914" w:type="dxa"/>
            <w:vAlign w:val="top"/>
            <w:textDirection w:val="lrTb"/>
            <w:noWrap w:val="false"/>
          </w:tcPr>
          <w:p>
            <w:pPr>
              <w:pStyle w:val="922"/>
              <w:ind w:firstLine="0"/>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646"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365"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177"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r>
      <w:tr>
        <w:trPr>
          <w:jc w:val="center"/>
          <w:trHeight w:val="454"/>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3</w:t>
            </w:r>
            <w:r/>
          </w:p>
        </w:tc>
        <w:tc>
          <w:tcPr>
            <w:gridSpan w:val="2"/>
            <w:tcW w:w="3914"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646"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365"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177"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r>
      <w:tr>
        <w:trPr>
          <w:jc w:val="center"/>
          <w:trHeight w:val="454"/>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4</w:t>
            </w:r>
            <w:r/>
          </w:p>
        </w:tc>
        <w:tc>
          <w:tcPr>
            <w:gridSpan w:val="2"/>
            <w:tcW w:w="3914"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646"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365"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177"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r>
      <w:tr>
        <w:trPr>
          <w:jc w:val="center"/>
          <w:trHeight w:val="454"/>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5</w:t>
            </w:r>
            <w:r/>
          </w:p>
        </w:tc>
        <w:tc>
          <w:tcPr>
            <w:gridSpan w:val="2"/>
            <w:tcW w:w="3914"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646"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365"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177"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r>
      <w:tr>
        <w:trPr>
          <w:jc w:val="center"/>
          <w:trHeight w:val="454"/>
        </w:trPr>
        <w:tc>
          <w:tcPr>
            <w:tcW w:w="1081" w:type="dxa"/>
            <w:vAlign w:val="center"/>
            <w:textDirection w:val="lrTb"/>
            <w:noWrap w:val="false"/>
          </w:tcPr>
          <w:p>
            <w:pPr>
              <w:pStyle w:val="922"/>
              <w:ind w:firstLine="0"/>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6</w:t>
            </w:r>
            <w:r/>
          </w:p>
        </w:tc>
        <w:tc>
          <w:tcPr>
            <w:gridSpan w:val="2"/>
            <w:tcW w:w="3914"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646"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365"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c>
          <w:tcPr>
            <w:tcW w:w="1177"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ascii="宋体" w:hAnsi="宋体" w:eastAsia="宋体"/>
                <w:color w:val="auto"/>
                <w:sz w:val="21"/>
                <w:szCs w:val="21"/>
                <w:highlight w:val="none"/>
              </w:rPr>
            </w:r>
            <w:r/>
          </w:p>
        </w:tc>
      </w:tr>
      <w:tr>
        <w:trPr>
          <w:jc w:val="center"/>
          <w:trHeight w:val="454"/>
        </w:trPr>
        <w:tc>
          <w:tcPr>
            <w:gridSpan w:val="2"/>
            <w:tcW w:w="2875" w:type="dxa"/>
            <w:vAlign w:val="center"/>
            <w:textDirection w:val="lrTb"/>
            <w:noWrap w:val="false"/>
          </w:tcPr>
          <w:p>
            <w:pPr>
              <w:pStyle w:val="922"/>
              <w:jc w:val="center"/>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响应总报价：</w:t>
            </w:r>
            <w:r/>
          </w:p>
        </w:tc>
        <w:tc>
          <w:tcPr>
            <w:gridSpan w:val="4"/>
            <w:tcW w:w="6308" w:type="dxa"/>
            <w:vAlign w:val="top"/>
            <w:textDirection w:val="lrTb"/>
            <w:noWrap w:val="false"/>
          </w:tcPr>
          <w:p>
            <w:pPr>
              <w:pStyle w:val="922"/>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（小写）：</w:t>
            </w:r>
            <w:r/>
          </w:p>
          <w:p>
            <w:pPr>
              <w:pStyle w:val="922"/>
              <w:spacing w:line="360" w:lineRule="auto"/>
              <w:shd w:val="clear" w:color="auto" w:fill="auto"/>
              <w:rPr>
                <w:rFonts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（大写）：</w:t>
            </w:r>
            <w:r/>
          </w:p>
        </w:tc>
      </w:tr>
    </w:tbl>
    <w:p>
      <w:pPr>
        <w:pStyle w:val="922"/>
        <w:ind w:firstLine="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pStyle w:val="926"/>
        <w:jc w:val="left"/>
        <w:pageBreakBefore/>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附件3-3响应报价其他费用分析表</w:t>
      </w:r>
      <w:r/>
    </w:p>
    <w:tbl>
      <w:tblPr>
        <w:tblStyle w:val="9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7"/>
        <w:gridCol w:w="2759"/>
        <w:gridCol w:w="2156"/>
        <w:gridCol w:w="2154"/>
      </w:tblGrid>
      <w:tr>
        <w:trPr>
          <w:jc w:val="center"/>
          <w:trHeight w:val="534"/>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6"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27"/>
        </w:trPr>
        <w:tc>
          <w:tcPr>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合计</w:t>
            </w:r>
            <w:r/>
          </w:p>
        </w:tc>
        <w:tc>
          <w:tcPr>
            <w:gridSpan w:val="3"/>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大写：人民币</w:t>
            </w:r>
            <w:r/>
          </w:p>
        </w:tc>
      </w:tr>
    </w:tbl>
    <w:p>
      <w:pPr>
        <w:spacing w:line="440" w:lineRule="exact"/>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1、报价表包含投标单位各项成本核算和投入的成本明细，投标报价分析表一、表二的合计金额应与开标一览表合计金额一致；否则，以开标一览表为准。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2、不限于此，可自行添加。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响应单位（公章）：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法定代表人或代理人（签字/盖章）：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日期：     年    月    日  </w:t>
      </w:r>
      <w:r/>
    </w:p>
    <w:p>
      <w:pPr>
        <w:pStyle w:val="926"/>
        <w:jc w:val="left"/>
        <w:pageBreakBefore/>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附件4：技术部分（格式为参考，磋商响应单位可参照下述格式自制表格投标，但至少应包括下述格式中的内容，没有参考格式的则可根据情况自行编制）</w:t>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1.服务条款偏离表</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服务条款偏离表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单位名称（盖章）：                              </w:t>
      </w:r>
      <w:r/>
    </w:p>
    <w:tbl>
      <w:tblPr>
        <w:tblStyle w:val="921"/>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940"/>
        <w:gridCol w:w="1745"/>
        <w:gridCol w:w="1551"/>
        <w:gridCol w:w="1829"/>
        <w:gridCol w:w="1892"/>
      </w:tblGrid>
      <w:tr>
        <w:trPr/>
        <w:tc>
          <w:tcPr>
            <w:tcBorders>
              <w:top w:val="single" w:color="auto" w:sz="12" w:space="0"/>
            </w:tcBorders>
            <w:tcW w:w="452"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序号</w:t>
            </w:r>
            <w:r/>
          </w:p>
        </w:tc>
        <w:tc>
          <w:tcPr>
            <w:tcBorders>
              <w:top w:val="single" w:color="auto" w:sz="12" w:space="0"/>
            </w:tcBorders>
            <w:tcW w:w="984"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服务内容</w:t>
            </w:r>
            <w:r/>
          </w:p>
        </w:tc>
        <w:tc>
          <w:tcPr>
            <w:tcBorders>
              <w:top w:val="single" w:color="auto" w:sz="12" w:space="0"/>
            </w:tcBorders>
            <w:tcW w:w="885"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采购要求</w:t>
            </w:r>
            <w:r/>
          </w:p>
        </w:tc>
        <w:tc>
          <w:tcPr>
            <w:tcBorders>
              <w:top w:val="single" w:color="auto" w:sz="12" w:space="0"/>
            </w:tcBorders>
            <w:tcW w:w="787"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投标要求</w:t>
            </w:r>
            <w:r/>
          </w:p>
        </w:tc>
        <w:tc>
          <w:tcPr>
            <w:tcBorders>
              <w:top w:val="single" w:color="auto" w:sz="12" w:space="0"/>
            </w:tcBorders>
            <w:tcW w:w="928"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偏离/响应</w:t>
            </w:r>
            <w:r/>
          </w:p>
        </w:tc>
        <w:tc>
          <w:tcPr>
            <w:tcBorders>
              <w:top w:val="single" w:color="auto" w:sz="12" w:space="0"/>
            </w:tcBorders>
            <w:tcW w:w="960"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说明</w:t>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bottom w:val="single" w:color="auto" w:sz="12" w:space="0"/>
            </w:tcBorders>
            <w:tcW w:w="45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984"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885"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787"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92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96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说明：</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1、服务条款内容主要是针对响应文件有关的服务要求等内容。</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2、无偏离应在本表“响应文件响应情况”栏注明“无服务条款偏离”的字样。</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2.商务条款偏离表</w:t>
      </w:r>
      <w:r/>
    </w:p>
    <w:p>
      <w:pPr>
        <w:pStyle w:val="922"/>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商务条款偏离表</w:t>
      </w:r>
      <w:r/>
    </w:p>
    <w:p>
      <w:pPr>
        <w:pStyle w:val="922"/>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单位名称（盖章）：                              </w:t>
      </w:r>
      <w:r/>
    </w:p>
    <w:tbl>
      <w:tblPr>
        <w:tblStyle w:val="921"/>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069"/>
        <w:gridCol w:w="2586"/>
        <w:gridCol w:w="2586"/>
        <w:gridCol w:w="1849"/>
      </w:tblGrid>
      <w:tr>
        <w:trPr/>
        <w:tc>
          <w:tcPr>
            <w:tcBorders>
              <w:top w:val="single" w:color="auto" w:sz="12" w:space="0"/>
            </w:tcBorders>
            <w:tcW w:w="386" w:type="pct"/>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1"/>
                <w:highlight w:val="none"/>
              </w:rPr>
              <w:t xml:space="preserve">序号</w:t>
            </w:r>
            <w:r/>
          </w:p>
        </w:tc>
        <w:tc>
          <w:tcPr>
            <w:tcBorders>
              <w:top w:val="single" w:color="auto" w:sz="12" w:space="0"/>
            </w:tcBorders>
            <w:tcW w:w="1050" w:type="pct"/>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1"/>
                <w:highlight w:val="none"/>
              </w:rPr>
              <w:t xml:space="preserve">名称</w:t>
            </w:r>
            <w:r/>
          </w:p>
        </w:tc>
        <w:tc>
          <w:tcPr>
            <w:tcBorders>
              <w:top w:val="single" w:color="auto" w:sz="12" w:space="0"/>
            </w:tcBorders>
            <w:tcW w:w="1312" w:type="pct"/>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1"/>
                <w:highlight w:val="none"/>
              </w:rPr>
              <w:t xml:space="preserve">磋商文件商务要求</w:t>
            </w:r>
            <w:r/>
          </w:p>
        </w:tc>
        <w:tc>
          <w:tcPr>
            <w:tcBorders>
              <w:top w:val="single" w:color="auto" w:sz="12" w:space="0"/>
            </w:tcBorders>
            <w:tcW w:w="1312" w:type="pct"/>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1"/>
                <w:highlight w:val="none"/>
              </w:rPr>
              <w:t xml:space="preserve">响应文件响应情况</w:t>
            </w:r>
            <w:r/>
          </w:p>
        </w:tc>
        <w:tc>
          <w:tcPr>
            <w:tcBorders>
              <w:top w:val="single" w:color="auto" w:sz="12" w:space="0"/>
            </w:tcBorders>
            <w:tcW w:w="938"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说明</w:t>
            </w:r>
            <w:r/>
          </w:p>
        </w:tc>
      </w:tr>
      <w:tr>
        <w:trPr/>
        <w:tc>
          <w:tcPr>
            <w:tcW w:w="38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1</w:t>
            </w:r>
            <w:r/>
          </w:p>
        </w:tc>
        <w:tc>
          <w:tcPr>
            <w:tcW w:w="105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服务期限</w:t>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2</w:t>
            </w:r>
            <w:r/>
          </w:p>
        </w:tc>
        <w:tc>
          <w:tcPr>
            <w:tcW w:w="105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付款方式</w:t>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3</w:t>
            </w:r>
            <w:r/>
          </w:p>
        </w:tc>
        <w:tc>
          <w:tcPr>
            <w:tcW w:w="105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合同主要条款</w:t>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w:t>
            </w:r>
            <w:r/>
          </w:p>
        </w:tc>
        <w:tc>
          <w:tcPr>
            <w:tcW w:w="105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w:t>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312" w:type="pct"/>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05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1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1312"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5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5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5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386"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5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Borders>
              <w:bottom w:val="single" w:color="auto" w:sz="12" w:space="0"/>
            </w:tcBorders>
            <w:tcW w:w="386"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1050"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1312"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Borders>
              <w:bottom w:val="single" w:color="auto" w:sz="12" w:space="0"/>
            </w:tcBorders>
            <w:tcW w:w="938" w:type="pct"/>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1、商务条款内容主要是针对采购文件有关的付款条件、服务期、合同主要条款等内容。</w:t>
      </w:r>
      <w:r/>
    </w:p>
    <w:p>
      <w:pPr>
        <w:spacing w:line="360" w:lineRule="auto"/>
        <w:rPr>
          <w:rFonts w:hint="eastAsia" w:ascii="宋体" w:hAnsi="宋体" w:cs="宋体"/>
          <w:b/>
          <w:bCs/>
          <w:color w:val="auto"/>
          <w:szCs w:val="22"/>
          <w:highlight w:val="none"/>
        </w:rPr>
      </w:pPr>
      <w:r>
        <w:rPr>
          <w:rFonts w:hint="eastAsia" w:ascii="宋体" w:hAnsi="宋体" w:cs="宋体"/>
          <w:color w:val="auto"/>
          <w:szCs w:val="21"/>
          <w:highlight w:val="none"/>
        </w:rPr>
        <w:t xml:space="preserve">2、无偏离应在本表“响应文件响应情况”栏注明“无商务条款偏离”的字样。</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6"/>
        <w:jc w:val="left"/>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3.针对本项目的人员配置表</w:t>
      </w:r>
      <w:r/>
    </w:p>
    <w:p>
      <w:pPr>
        <w:jc w:val="center"/>
        <w:spacing w:before="120" w:after="360" w:line="360" w:lineRule="auto"/>
        <w:rPr>
          <w:rFonts w:hint="eastAsia" w:ascii="宋体" w:hAnsi="宋体" w:cs="宋体"/>
          <w:b/>
          <w:bCs/>
          <w:color w:val="auto"/>
          <w:spacing w:val="20"/>
          <w:szCs w:val="21"/>
          <w:highlight w:val="none"/>
        </w:rPr>
      </w:pPr>
      <w:r/>
      <w:bookmarkStart w:id="82" w:name="_Toc348784828"/>
      <w:r/>
      <w:bookmarkStart w:id="83" w:name="_Toc377652978"/>
      <w:r/>
      <w:bookmarkStart w:id="84" w:name="_Toc348785014"/>
      <w:r>
        <w:rPr>
          <w:rFonts w:hint="eastAsia" w:ascii="宋体" w:hAnsi="宋体" w:cs="宋体"/>
          <w:b/>
          <w:bCs/>
          <w:color w:val="auto"/>
          <w:spacing w:val="20"/>
          <w:szCs w:val="21"/>
          <w:highlight w:val="none"/>
        </w:rPr>
        <w:t xml:space="preserve">项目服务人员配置表</w:t>
      </w:r>
      <w:r/>
    </w:p>
    <w:tbl>
      <w:tblPr>
        <w:tblStyle w:val="921"/>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466"/>
        <w:gridCol w:w="1517"/>
        <w:gridCol w:w="992"/>
        <w:gridCol w:w="1677"/>
      </w:tblGrid>
      <w:tr>
        <w:trPr>
          <w:jc w:val="center"/>
          <w:trHeight w:val="567"/>
        </w:trPr>
        <w:tc>
          <w:tcPr>
            <w:tcW w:w="6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34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p>
        </w:tc>
        <w:tc>
          <w:tcPr>
            <w:tcW w:w="15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职称（如有）</w:t>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工龄</w:t>
            </w:r>
            <w:r/>
          </w:p>
        </w:tc>
        <w:tc>
          <w:tcPr>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本次拟任职务</w:t>
            </w:r>
            <w:r/>
          </w:p>
        </w:tc>
      </w:tr>
      <w:tr>
        <w:trPr>
          <w:jc w:val="center"/>
          <w:trHeight w:val="567"/>
        </w:trPr>
        <w:tc>
          <w:tcPr>
            <w:tcW w:w="6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4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6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4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6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4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6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4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6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4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注：请按以上格式自制表格填写。</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磋商响应单位（公章）：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bookmarkEnd w:id="82"/>
      <w:r/>
      <w:bookmarkEnd w:id="83"/>
      <w:r/>
      <w:bookmarkEnd w:id="84"/>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33"/>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500" w:lineRule="exact"/>
        <w:rPr>
          <w:rFonts w:hint="eastAsia" w:ascii="宋体" w:hAnsi="宋体" w:cs="宋体"/>
          <w:b/>
          <w:bCs/>
          <w:color w:val="auto"/>
          <w:highlight w:val="none"/>
          <w:lang w:eastAsia="zh-TW"/>
        </w:rPr>
      </w:pPr>
      <w:r>
        <w:rPr>
          <w:rFonts w:hint="eastAsia" w:ascii="宋体" w:hAnsi="宋体" w:cs="宋体"/>
          <w:b/>
          <w:bCs/>
          <w:color w:val="auto"/>
          <w:szCs w:val="21"/>
          <w:highlight w:val="none"/>
        </w:rPr>
        <w:t xml:space="preserve">4.</w:t>
      </w:r>
      <w:r>
        <w:rPr>
          <w:rFonts w:hint="eastAsia" w:ascii="宋体" w:hAnsi="宋体" w:cs="宋体"/>
          <w:b/>
          <w:color w:val="auto"/>
          <w:sz w:val="24"/>
          <w:szCs w:val="24"/>
          <w:highlight w:val="none"/>
        </w:rPr>
        <w:t xml:space="preserve">类似项目业绩表</w:t>
      </w:r>
      <w:r/>
    </w:p>
    <w:p>
      <w:pPr>
        <w:pStyle w:val="926"/>
        <w:jc w:val="center"/>
        <w:spacing w:line="360" w:lineRule="auto"/>
        <w:rPr>
          <w:rFonts w:hint="eastAsia" w:hAnsi="宋体" w:eastAsia="宋体" w:cs="宋体"/>
          <w:b/>
          <w:bCs/>
          <w:color w:val="auto"/>
          <w:sz w:val="24"/>
          <w:szCs w:val="24"/>
          <w:highlight w:val="none"/>
          <w:lang w:val="zh-TW" w:eastAsia="zh-TW"/>
        </w:rPr>
      </w:pPr>
      <w:r>
        <w:rPr>
          <w:rFonts w:hint="eastAsia" w:hAnsi="宋体" w:eastAsia="宋体" w:cs="宋体"/>
          <w:b/>
          <w:bCs/>
          <w:color w:val="auto"/>
          <w:sz w:val="24"/>
          <w:szCs w:val="24"/>
          <w:highlight w:val="none"/>
          <w:lang w:val="zh-TW" w:eastAsia="zh-TW"/>
        </w:rPr>
      </w:r>
      <w:r/>
    </w:p>
    <w:p>
      <w:pPr>
        <w:jc w:val="center"/>
        <w:spacing w:line="500" w:lineRule="exact"/>
        <w:rPr>
          <w:rFonts w:hint="eastAsia" w:ascii="宋体" w:hAnsi="宋体" w:cs="宋体"/>
          <w:b/>
          <w:bCs/>
          <w:color w:val="auto"/>
          <w:highlight w:val="none"/>
        </w:rPr>
      </w:pPr>
      <w:r>
        <w:rPr>
          <w:rFonts w:hint="eastAsia" w:ascii="宋体" w:hAnsi="宋体" w:cs="宋体"/>
          <w:b/>
          <w:bCs/>
          <w:color w:val="auto"/>
          <w:highlight w:val="none"/>
        </w:rPr>
        <w:t xml:space="preserve">类似项目业绩表</w:t>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921"/>
        <w:tblW w:w="4997"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7"/>
        <w:gridCol w:w="1498"/>
        <w:gridCol w:w="1433"/>
        <w:gridCol w:w="1782"/>
        <w:gridCol w:w="2303"/>
        <w:gridCol w:w="1705"/>
      </w:tblGrid>
      <w:tr>
        <w:trPr>
          <w:cantSplit/>
          <w:trHeight w:val="740"/>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合同期</w:t>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服务范围</w:t>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Style w:val="941"/>
                <w:rFonts w:hint="eastAsia" w:ascii="宋体" w:hAnsi="宋体" w:cs="宋体"/>
                <w:color w:val="auto"/>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tbRlV"/>
            <w:noWrap w:val="false"/>
          </w:tcPr>
          <w:p>
            <w:pPr>
              <w:ind w:left="113" w:right="113"/>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ind w:left="420"/>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480"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76"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42"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2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4" w:space="0"/>
              <w:bottom w:val="single" w:color="000000" w:sz="6" w:space="0"/>
              <w:right w:val="single" w:color="000000" w:sz="4" w:space="0"/>
            </w:tcBorders>
            <w:tcW w:w="119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883" w:type="pct"/>
            <w:vAlign w:val="center"/>
            <w:textDirection w:val="lrTb"/>
            <w:noWrap w:val="false"/>
          </w:tcPr>
          <w:p>
            <w:pPr>
              <w:jc w:val="center"/>
              <w:spacing w:line="400" w:lineRule="exact"/>
              <w:rPr>
                <w:rStyle w:val="941"/>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pageBreakBefore/>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1.关于资格文件的声明函</w:t>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0"/>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关于资格文件的声明函</w:t>
      </w:r>
      <w:r/>
    </w:p>
    <w:p>
      <w:pPr>
        <w:ind w:firstLine="420"/>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pStyle w:val="922"/>
        <w:ind w:firstLine="66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922"/>
        <w:spacing w:line="360" w:lineRule="auto"/>
        <w:tabs>
          <w:tab w:val="left" w:pos="32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2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响应单位法定代表人或委托代理人：（签字或盖章）</w:t>
      </w:r>
      <w:r/>
    </w:p>
    <w:p>
      <w:pPr>
        <w:pStyle w:val="922"/>
        <w:ind w:left="1700" w:firstLine="42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响应单位：（公章）</w:t>
      </w:r>
      <w:r/>
    </w:p>
    <w:p>
      <w:pPr>
        <w:pStyle w:val="922"/>
        <w:ind w:left="4675" w:firstLine="42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922"/>
        <w:ind w:left="2940"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月 </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日</w:t>
      </w:r>
      <w:r/>
    </w:p>
    <w:p>
      <w:pPr>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具备履行合同所必需的设备和专业技术能力的书面声明</w:t>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pacing w:line="440" w:lineRule="exact"/>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声    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我单位郑重声明：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我单位具备履行本项采购合同所必需的设备和专业技术能力。</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响应单位（公章）：</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ind w:firstLine="630"/>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rPr>
          <w:rFonts w:hint="eastAsia" w:ascii="宋体" w:hAnsi="宋体" w:cs="宋体"/>
          <w:color w:val="auto"/>
          <w:highlight w:val="none"/>
        </w:rPr>
      </w:pPr>
      <w:r>
        <w:rPr>
          <w:rFonts w:hint="eastAsia" w:ascii="宋体" w:hAnsi="宋体" w:cs="宋体"/>
          <w:color w:val="auto"/>
          <w:highlight w:val="none"/>
        </w:rPr>
      </w:r>
      <w:r/>
    </w:p>
    <w:p>
      <w:pPr>
        <w:pStyle w:val="922"/>
        <w:ind w:left="2940"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44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参加采购活动前3年内在经营活动中没有重大违法记录的书面声明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我单位郑重声明：参加本次采购活动前3年内，我单位在经营活动中没有因违法经营受到刑事处罚或者责令停产停业、吊销许可证或者执照、较大数额罚款等行政处罚。</w:t>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pStyle w:val="922"/>
        <w:ind w:left="2940"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zh-CN"/>
        </w:rPr>
        <w:t xml:space="preserve">.供应商情况表</w:t>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供应商基本情况表</w:t>
      </w:r>
      <w:r/>
    </w:p>
    <w:p>
      <w:pPr>
        <w:spacing w:line="360" w:lineRule="auto"/>
        <w:rPr>
          <w:rFonts w:hint="eastAsia" w:ascii="宋体" w:hAnsi="宋体" w:cs="宋体"/>
          <w:color w:val="auto"/>
          <w:sz w:val="24"/>
          <w:highlight w:val="none"/>
          <w:lang w:val="zh-CN"/>
        </w:rPr>
      </w:pPr>
      <w:r>
        <w:rPr>
          <w:rFonts w:hint="eastAsia" w:ascii="宋体" w:hAnsi="宋体" w:cs="宋体"/>
          <w:color w:val="auto"/>
          <w:szCs w:val="21"/>
          <w:highlight w:val="none"/>
          <w:lang w:val="zh-CN"/>
        </w:rPr>
        <w:t xml:space="preserve">响应单位：（公章）</w:t>
      </w:r>
      <w:r/>
    </w:p>
    <w:tbl>
      <w:tblPr>
        <w:tblStyle w:val="921"/>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432"/>
        <w:gridCol w:w="2030"/>
        <w:gridCol w:w="1767"/>
        <w:gridCol w:w="2621"/>
      </w:tblGrid>
      <w:tr>
        <w:trPr>
          <w:cantSplit/>
          <w:jc w:val="center"/>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w:t>
            </w:r>
            <w:r/>
          </w:p>
        </w:tc>
        <w:tc>
          <w:tcPr>
            <w:tcW w:w="1030"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1329"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030"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tcW w:w="1329" w:type="pct"/>
            <w:textDirection w:val="lrTb"/>
            <w:noWrap w:val="false"/>
          </w:tcPr>
          <w:p>
            <w:pPr>
              <w:pStyle w:val="922"/>
              <w:ind w:firstLine="147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生产范围</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030"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329"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030" w:type="pct"/>
            <w:vAlign w:val="center"/>
            <w:textDirection w:val="lrTb"/>
            <w:noWrap w:val="false"/>
          </w:tcPr>
          <w:p>
            <w:pPr>
              <w:pStyle w:val="922"/>
              <w:ind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897" w:type="pct"/>
            <w:vAlign w:val="center"/>
            <w:textDirection w:val="lrTb"/>
            <w:noWrap w:val="false"/>
          </w:tcPr>
          <w:p>
            <w:pPr>
              <w:pStyle w:val="922"/>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tcW w:w="1329" w:type="pct"/>
            <w:vAlign w:val="center"/>
            <w:textDirection w:val="lrTb"/>
            <w:noWrap w:val="false"/>
          </w:tcPr>
          <w:p>
            <w:pPr>
              <w:pStyle w:val="922"/>
              <w:ind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jc w:val="center"/>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030" w:type="pct"/>
            <w:vAlign w:val="center"/>
            <w:textDirection w:val="lrTb"/>
            <w:noWrap w:val="false"/>
          </w:tcPr>
          <w:p>
            <w:pPr>
              <w:pStyle w:val="922"/>
              <w:ind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897" w:type="pct"/>
            <w:vAlign w:val="center"/>
            <w:textDirection w:val="lrTb"/>
            <w:noWrap w:val="false"/>
          </w:tcPr>
          <w:p>
            <w:pPr>
              <w:pStyle w:val="922"/>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tcW w:w="1329" w:type="pct"/>
            <w:vAlign w:val="center"/>
            <w:textDirection w:val="lrTb"/>
            <w:noWrap w:val="false"/>
          </w:tcPr>
          <w:p>
            <w:pPr>
              <w:pStyle w:val="922"/>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年         万元</w:t>
            </w:r>
            <w:r/>
          </w:p>
        </w:tc>
      </w:tr>
      <w:tr>
        <w:trPr>
          <w:cantSplit/>
          <w:jc w:val="center"/>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030"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年    万元</w:t>
            </w:r>
            <w:r/>
          </w:p>
        </w:tc>
        <w:tc>
          <w:tcPr>
            <w:tcW w:w="89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w:t>
            </w:r>
            <w:r/>
          </w:p>
        </w:tc>
        <w:tc>
          <w:tcPr>
            <w:tcW w:w="1030" w:type="pct"/>
            <w:vAlign w:val="center"/>
            <w:textDirection w:val="lrTb"/>
            <w:noWrap w:val="false"/>
          </w:tcPr>
          <w:p>
            <w:pPr>
              <w:pStyle w:val="922"/>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897" w:type="pct"/>
            <w:vAlign w:val="center"/>
            <w:textDirection w:val="lrTb"/>
            <w:noWrap w:val="false"/>
          </w:tcPr>
          <w:p>
            <w:pPr>
              <w:pStyle w:val="922"/>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tcW w:w="1329"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356"/>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31"/>
        </w:trPr>
        <w:tc>
          <w:tcPr>
            <w:tcW w:w="1742" w:type="pct"/>
            <w:vAlign w:val="center"/>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Height w:val="1161"/>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206"/>
        </w:trPr>
        <w:tc>
          <w:tcPr>
            <w:tcW w:w="1742"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3"/>
            <w:tcW w:w="3257" w:type="pct"/>
            <w:textDirection w:val="lrTb"/>
            <w:noWrap w:val="false"/>
          </w:tcPr>
          <w:p>
            <w:pPr>
              <w:pStyle w:val="922"/>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法定代表人或其授权代表：（签字或盖章）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lang w:val="zh-CN"/>
        </w:rPr>
        <w:t xml:space="preserve">响应单位资格承诺书</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响应单位资格承诺书</w:t>
      </w:r>
      <w:r/>
    </w:p>
    <w:p>
      <w:pPr>
        <w:ind w:firstLine="315"/>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响应单位：（公章）                             采购编号：             号</w:t>
      </w:r>
      <w:r/>
    </w:p>
    <w:tbl>
      <w:tblPr>
        <w:tblStyle w:val="921"/>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967"/>
        <w:gridCol w:w="1729"/>
        <w:gridCol w:w="3501"/>
      </w:tblGrid>
      <w:tr>
        <w:trPr>
          <w:jc w:val="center"/>
          <w:trHeight w:val="696"/>
        </w:trPr>
        <w:tc>
          <w:tcPr>
            <w:tcW w:w="68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29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响应单位部分资格要求</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是否完全满足</w:t>
            </w:r>
            <w:r/>
          </w:p>
        </w:tc>
        <w:tc>
          <w:tcPr>
            <w:tcW w:w="350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6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6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提供承诺或相关证明材料</w:t>
            </w:r>
            <w:r/>
          </w:p>
        </w:tc>
      </w:tr>
      <w:tr>
        <w:trPr>
          <w:jc w:val="center"/>
          <w:trHeight w:val="660"/>
        </w:trPr>
        <w:tc>
          <w:tcPr>
            <w:tcW w:w="6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6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686" w:type="dxa"/>
            <w:vAlign w:val="center"/>
            <w:textDirection w:val="lrTb"/>
            <w:noWrap w:val="false"/>
          </w:tcPr>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29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合格磋商响应单位特殊要求（如有）</w:t>
            </w:r>
            <w:r/>
          </w:p>
        </w:tc>
        <w:tc>
          <w:tcPr>
            <w:tcW w:w="172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0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按公告要求</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法定代表人或代理人（签字/盖章）：</w:t>
      </w:r>
      <w:r/>
    </w:p>
    <w:p>
      <w:pPr>
        <w:rPr>
          <w:rFonts w:hint="eastAsia" w:ascii="宋体" w:hAnsi="宋体" w:cs="宋体"/>
          <w:color w:val="auto"/>
          <w:highlight w:val="none"/>
        </w:rPr>
      </w:pPr>
      <w:r>
        <w:rPr>
          <w:rFonts w:hint="eastAsia" w:ascii="宋体" w:hAnsi="宋体" w:cs="宋体"/>
          <w:color w:val="auto"/>
          <w:szCs w:val="21"/>
          <w:highlight w:val="none"/>
        </w:rPr>
        <w:t xml:space="preserve">日期：     年    月    日  </w:t>
      </w:r>
      <w:r/>
    </w:p>
    <w:p>
      <w:pPr>
        <w:pStyle w:val="92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2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ageBreakBefore/>
        <w:spacing w:line="360" w:lineRule="auto"/>
        <w:rPr>
          <w:rFonts w:hint="eastAsia" w:ascii="宋体" w:hAnsi="宋体" w:cs="宋体"/>
          <w:b/>
          <w:bCs/>
          <w:color w:val="auto"/>
          <w:szCs w:val="21"/>
          <w:highlight w:val="none"/>
          <w:lang w:val="zh-CN"/>
        </w:rPr>
      </w:pPr>
      <w:r>
        <w:rPr>
          <w:rFonts w:hint="eastAsia" w:ascii="宋体" w:hAnsi="宋体" w:cs="宋体"/>
          <w:b/>
          <w:color w:val="auto"/>
          <w:szCs w:val="21"/>
          <w:highlight w:val="none"/>
        </w:rPr>
        <w:t xml:space="preserve">6.</w:t>
      </w:r>
      <w:r>
        <w:rPr>
          <w:rFonts w:hint="eastAsia" w:ascii="宋体" w:hAnsi="宋体" w:cs="宋体"/>
          <w:b/>
          <w:bCs/>
          <w:color w:val="auto"/>
          <w:szCs w:val="21"/>
          <w:highlight w:val="none"/>
          <w:lang w:val="zh-CN"/>
        </w:rPr>
        <w:t xml:space="preserve">中小企业声明资料</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中小企业声明函（服务） </w:t>
      </w:r>
      <w:r/>
    </w:p>
    <w:p>
      <w:pPr>
        <w:ind w:firstLine="424"/>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本公司（或联合体）郑重声明，根据《政府采购促进中小企业发展管理办法》（财库﹝2020﹞46 号）的规定，本公司 （或联合体）参加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color w:val="auto"/>
          <w:szCs w:val="21"/>
          <w:highlight w:val="none"/>
        </w:rPr>
        <w:t xml:space="preserve">其他未列明行业</w:t>
      </w:r>
      <w:r>
        <w:rPr>
          <w:rFonts w:hint="eastAsia" w:ascii="宋体" w:hAnsi="宋体" w:cs="宋体"/>
          <w:color w:val="auto"/>
          <w:highlight w:val="none"/>
          <w:u w:val="single"/>
        </w:rPr>
        <w:t xml:space="preserve">）</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 </w:t>
      </w:r>
      <w:r/>
    </w:p>
    <w:p>
      <w:pPr>
        <w:ind w:firstLine="424"/>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095"/>
        <w:spacing w:line="360" w:lineRule="auto"/>
        <w:rPr>
          <w:rFonts w:hint="eastAsia" w:ascii="宋体" w:hAnsi="宋体" w:cs="宋体"/>
          <w:color w:val="auto"/>
          <w:sz w:val="32"/>
          <w:szCs w:val="32"/>
          <w:highlight w:val="none"/>
          <w:lang w:val="zh-CN"/>
        </w:rPr>
      </w:pPr>
      <w:r>
        <w:rPr>
          <w:rFonts w:hint="eastAsia" w:ascii="宋体" w:hAnsi="宋体" w:cs="宋体"/>
          <w:color w:val="auto"/>
          <w:highlight w:val="none"/>
        </w:rPr>
        <w:t xml:space="preserve">日 期：</w:t>
      </w:r>
      <w:r/>
    </w:p>
    <w:p>
      <w:pPr>
        <w:jc w:val="center"/>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jc w:val="center"/>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pStyle w:val="934"/>
        <w:ind w:firstLine="422"/>
        <w:rPr>
          <w:rFonts w:hint="eastAsia" w:cs="宋体"/>
          <w:color w:val="auto"/>
          <w:highlight w:val="none"/>
        </w:rPr>
      </w:pPr>
      <w:r>
        <w:rPr>
          <w:rFonts w:hint="eastAsia" w:cs="宋体"/>
          <w:b/>
          <w:bCs/>
          <w:color w:val="auto"/>
          <w:sz w:val="21"/>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cs="宋体"/>
          <w:color w:val="auto"/>
          <w:sz w:val="21"/>
          <w:szCs w:val="21"/>
          <w:highlight w:val="none"/>
        </w:rPr>
        <w:t xml:space="preserve">。</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pStyle w:val="923"/>
        <w:spacing w:line="360" w:lineRule="auto"/>
        <w:rPr>
          <w:rFonts w:hint="eastAsia" w:ascii="宋体" w:hAnsi="宋体" w:cs="宋体"/>
          <w:color w:val="auto"/>
          <w:highlight w:val="none"/>
        </w:rPr>
      </w:pPr>
      <w:r>
        <w:rPr>
          <w:rFonts w:hint="eastAsia" w:ascii="宋体" w:hAnsi="宋体" w:cs="宋体"/>
          <w:color w:val="auto"/>
          <w:highlight w:val="none"/>
        </w:rPr>
      </w:r>
      <w:r/>
    </w:p>
    <w:p>
      <w:pPr>
        <w:ind w:right="-4"/>
        <w:pageBreakBefore/>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w:t>
      </w:r>
      <w:bookmarkStart w:id="85" w:name="OLE_LINK13"/>
      <w:r/>
      <w:bookmarkStart w:id="86" w:name="OLE_LINK14"/>
      <w:r>
        <w:rPr>
          <w:rFonts w:hint="eastAsia" w:ascii="宋体" w:hAnsi="宋体" w:cs="宋体"/>
          <w:b/>
          <w:color w:val="auto"/>
          <w:szCs w:val="21"/>
          <w:highlight w:val="none"/>
        </w:rPr>
        <w:t xml:space="preserve"> 残疾人福利性单位声明函</w:t>
      </w:r>
      <w:r/>
    </w:p>
    <w:p>
      <w:pPr>
        <w:jc w:val="center"/>
        <w:spacing w:line="36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bookmarkEnd w:id="85"/>
      <w:r/>
      <w:bookmarkEnd w:id="86"/>
      <w:r/>
      <w:r/>
    </w:p>
    <w:p>
      <w:pPr>
        <w:spacing w:line="36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p>
      <w:pPr>
        <w:ind w:right="492" w:firstLine="388"/>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492" w:firstLine="388"/>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492" w:firstLine="388"/>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color w:val="auto"/>
          <w:highlight w:val="none"/>
        </w:rPr>
        <w:t xml:space="preserve">8.监狱企业声明函</w:t>
      </w:r>
      <w:r/>
    </w:p>
    <w:p>
      <w:pPr>
        <w:jc w:val="center"/>
        <w:rPr>
          <w:rFonts w:hint="eastAsia" w:ascii="宋体" w:hAnsi="宋体" w:cs="宋体"/>
          <w:b/>
          <w:color w:val="auto"/>
          <w:sz w:val="30"/>
          <w:szCs w:val="30"/>
          <w:highlight w:val="none"/>
        </w:rPr>
      </w:pPr>
      <w:r>
        <w:rPr>
          <w:rFonts w:hint="eastAsia" w:ascii="宋体" w:hAnsi="宋体" w:cs="宋体"/>
          <w:b/>
          <w:bCs/>
          <w:color w:val="auto"/>
          <w:szCs w:val="21"/>
          <w:highlight w:val="none"/>
        </w:rPr>
        <w:t xml:space="preserve">监狱企业声明函</w:t>
      </w:r>
      <w:r/>
    </w:p>
    <w:p>
      <w:pPr>
        <w:pStyle w:val="930"/>
        <w:ind w:firstLine="48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r>
      <w:r/>
    </w:p>
    <w:p>
      <w:pPr>
        <w:pStyle w:val="930"/>
        <w:ind w:firstLine="48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本企业（单位）郑重声明下列事项（按照实际情况勾选或填空）：</w:t>
      </w:r>
      <w:r/>
    </w:p>
    <w:p>
      <w:pPr>
        <w:pStyle w:val="930"/>
        <w:ind w:firstLine="48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本企业（单位）为直接响应单位提供本企业（单位）的服务。</w:t>
      </w:r>
      <w:r/>
    </w:p>
    <w:p>
      <w:pPr>
        <w:pStyle w:val="930"/>
        <w:numPr>
          <w:ilvl w:val="0"/>
          <w:numId w:val="9"/>
        </w:numPr>
        <w:ind w:firstLine="48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本企业（单位）（请填写：是、不是）监狱企业。</w:t>
      </w:r>
      <w:r/>
    </w:p>
    <w:p>
      <w:pPr>
        <w:pStyle w:val="930"/>
        <w:ind w:firstLine="42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30"/>
        <w:ind w:firstLine="48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　　本企业（单位）对上述声明的真实性负责。如有虚假，将依法承担相应责任。</w:t>
      </w:r>
      <w:r/>
    </w:p>
    <w:p>
      <w:pPr>
        <w:pStyle w:val="930"/>
        <w:ind w:firstLine="480"/>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r>
      <w:r/>
    </w:p>
    <w:p>
      <w:pPr>
        <w:pStyle w:val="930"/>
        <w:ind w:firstLine="4200"/>
        <w:jc w:val="both"/>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响应单位签章：</w:t>
      </w:r>
      <w:r>
        <w:rPr>
          <w:rFonts w:hint="eastAsia" w:cs="宋体"/>
          <w:color w:val="auto"/>
          <w:sz w:val="21"/>
          <w:szCs w:val="21"/>
          <w:highlight w:val="none"/>
          <w:u w:val="single"/>
        </w:rPr>
        <w:t xml:space="preserve">         </w:t>
      </w:r>
      <w:r/>
    </w:p>
    <w:p>
      <w:pPr>
        <w:pStyle w:val="930"/>
        <w:ind w:firstLine="4305"/>
        <w:spacing w:before="75" w:beforeAutospacing="0" w:after="75" w:afterAutospacing="0" w:line="435" w:lineRule="atLeast"/>
        <w:rPr>
          <w:rFonts w:hint="eastAsia" w:cs="宋体"/>
          <w:color w:val="auto"/>
          <w:sz w:val="21"/>
          <w:szCs w:val="21"/>
          <w:highlight w:val="none"/>
        </w:rPr>
      </w:pPr>
      <w:r>
        <w:rPr>
          <w:rFonts w:hint="eastAsia" w:cs="宋体"/>
          <w:color w:val="auto"/>
          <w:sz w:val="21"/>
          <w:szCs w:val="21"/>
          <w:highlight w:val="none"/>
        </w:rPr>
        <w:t xml:space="preserve">日     期：</w:t>
      </w:r>
      <w:r>
        <w:rPr>
          <w:rFonts w:hint="eastAsia" w:cs="宋体"/>
          <w:color w:val="auto"/>
          <w:sz w:val="21"/>
          <w:szCs w:val="21"/>
          <w:highlight w:val="none"/>
          <w:u w:val="single"/>
        </w:rPr>
        <w:t xml:space="preserve">    </w:t>
      </w:r>
      <w:r>
        <w:rPr>
          <w:rFonts w:hint="eastAsia" w:cs="宋体"/>
          <w:color w:val="auto"/>
          <w:sz w:val="21"/>
          <w:szCs w:val="21"/>
          <w:highlight w:val="none"/>
        </w:rPr>
        <w:t xml:space="preserve">年</w:t>
      </w:r>
      <w:r>
        <w:rPr>
          <w:rFonts w:hint="eastAsia" w:cs="宋体"/>
          <w:color w:val="auto"/>
          <w:sz w:val="21"/>
          <w:szCs w:val="21"/>
          <w:highlight w:val="none"/>
          <w:u w:val="single"/>
        </w:rPr>
        <w:t xml:space="preserve">   </w:t>
      </w:r>
      <w:r>
        <w:rPr>
          <w:rFonts w:hint="eastAsia" w:cs="宋体"/>
          <w:color w:val="auto"/>
          <w:sz w:val="21"/>
          <w:szCs w:val="21"/>
          <w:highlight w:val="none"/>
        </w:rPr>
        <w:t xml:space="preserve">月</w:t>
      </w:r>
      <w:r>
        <w:rPr>
          <w:rFonts w:hint="eastAsia" w:cs="宋体"/>
          <w:color w:val="auto"/>
          <w:sz w:val="21"/>
          <w:szCs w:val="21"/>
          <w:highlight w:val="none"/>
          <w:u w:val="single"/>
        </w:rPr>
        <w:t xml:space="preserve">   </w:t>
      </w:r>
      <w:r>
        <w:rPr>
          <w:rFonts w:hint="eastAsia" w:cs="宋体"/>
          <w:color w:val="auto"/>
          <w:sz w:val="21"/>
          <w:szCs w:val="21"/>
          <w:highlight w:val="none"/>
        </w:rPr>
        <w:t xml:space="preserve">日</w:t>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color w:val="auto"/>
          <w:szCs w:val="21"/>
          <w:highlight w:val="none"/>
        </w:rPr>
        <w:br w:type="page" w:clear="all"/>
      </w: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安全承诺责任书</w:t>
      </w:r>
      <w:r/>
    </w:p>
    <w:p>
      <w:pPr>
        <w:jc w:val="cente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r>
      <w:r/>
    </w:p>
    <w:p>
      <w:pPr>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 xml:space="preserve">安全承诺责任书</w:t>
      </w:r>
      <w:r/>
    </w:p>
    <w:p>
      <w:pPr>
        <w:rPr>
          <w:rFonts w:hint="eastAsia" w:ascii="宋体" w:hAnsi="宋体" w:cs="宋体"/>
          <w:color w:val="auto"/>
          <w:sz w:val="36"/>
          <w:szCs w:val="28"/>
          <w:highlight w:val="none"/>
        </w:rPr>
      </w:pPr>
      <w:r>
        <w:rPr>
          <w:rFonts w:hint="eastAsia" w:ascii="宋体" w:hAnsi="宋体" w:cs="宋体"/>
          <w:color w:val="auto"/>
          <w:sz w:val="36"/>
          <w:szCs w:val="28"/>
          <w:highlight w:val="none"/>
        </w:rPr>
      </w:r>
      <w:r/>
    </w:p>
    <w:p>
      <w:pPr>
        <w:rPr>
          <w:rFonts w:hint="eastAsia" w:ascii="宋体" w:hAnsi="宋体" w:cs="宋体"/>
          <w:color w:val="auto"/>
          <w:sz w:val="22"/>
          <w:szCs w:val="28"/>
          <w:highlight w:val="none"/>
        </w:rPr>
      </w:pPr>
      <w:r>
        <w:rPr>
          <w:rFonts w:hint="eastAsia" w:ascii="宋体" w:hAnsi="宋体" w:cs="宋体"/>
          <w:color w:val="auto"/>
          <w:sz w:val="22"/>
          <w:szCs w:val="28"/>
          <w:highlight w:val="none"/>
        </w:rPr>
      </w:r>
      <w:r/>
    </w:p>
    <w:p>
      <w:pPr>
        <w:spacing w:line="360" w:lineRule="auto"/>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                   （采购单位）</w:t>
      </w:r>
      <w:r>
        <w:rPr>
          <w:rFonts w:hint="eastAsia" w:ascii="宋体" w:hAnsi="宋体" w:cs="宋体"/>
          <w:color w:val="auto"/>
          <w:sz w:val="22"/>
          <w:szCs w:val="22"/>
          <w:highlight w:val="none"/>
        </w:rPr>
        <w:t xml:space="preserve">：</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投标单位：（公章）</w:t>
      </w:r>
      <w:r/>
    </w:p>
    <w:p>
      <w:pPr>
        <w:ind w:firstLine="220"/>
        <w:jc w:val="left"/>
        <w:spacing w:line="360" w:lineRule="auto"/>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法定代表人或代理人：（签字或盖章）</w:t>
      </w:r>
      <w:r/>
    </w:p>
    <w:p>
      <w:pPr>
        <w:ind w:firstLine="220"/>
        <w:rPr>
          <w:rFonts w:hint="eastAsia" w:ascii="宋体" w:hAnsi="宋体" w:cs="宋体"/>
          <w:b/>
          <w:color w:val="auto"/>
          <w:szCs w:val="21"/>
          <w:highlight w:val="none"/>
        </w:rPr>
      </w:pPr>
      <w:r>
        <w:rPr>
          <w:rFonts w:hint="eastAsia" w:ascii="宋体" w:hAnsi="宋体" w:cs="宋体"/>
          <w:color w:val="auto"/>
          <w:sz w:val="22"/>
          <w:szCs w:val="21"/>
          <w:highlight w:val="none"/>
        </w:rPr>
        <w:t xml:space="preserve">日期：      年    月    日</w:t>
      </w:r>
      <w:r/>
    </w:p>
    <w:p>
      <w:pPr>
        <w:pageBreakBefore/>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10.</w:t>
      </w:r>
      <w:r>
        <w:rPr>
          <w:rFonts w:hint="eastAsia" w:ascii="宋体" w:hAnsi="宋体" w:cs="宋体"/>
          <w:b/>
          <w:bCs/>
          <w:color w:val="auto"/>
          <w:szCs w:val="21"/>
          <w:highlight w:val="none"/>
        </w:rPr>
        <w:t xml:space="preserve">投标（响应）保证承诺书</w:t>
      </w:r>
      <w:r/>
    </w:p>
    <w:p>
      <w:pPr>
        <w:pStyle w:val="923"/>
        <w:jc w:val="center"/>
        <w:spacing w:line="360" w:lineRule="auto"/>
        <w:rPr>
          <w:rFonts w:hint="eastAsia" w:ascii="宋体" w:hAnsi="宋体" w:cs="宋体"/>
          <w:b/>
          <w:bCs/>
          <w:color w:val="auto"/>
          <w:highlight w:val="none"/>
        </w:rPr>
      </w:pPr>
      <w:r>
        <w:rPr>
          <w:rFonts w:hint="eastAsia" w:ascii="宋体" w:hAnsi="宋体" w:cs="宋体"/>
          <w:b/>
          <w:bCs/>
          <w:color w:val="auto"/>
          <w:sz w:val="21"/>
          <w:szCs w:val="21"/>
          <w:highlight w:val="none"/>
        </w:rPr>
        <w:t xml:space="preserve">投标（响应）保证承诺书</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     </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94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11</w:t>
      </w:r>
      <w:r>
        <w:rPr>
          <w:rFonts w:hint="eastAsia" w:ascii="宋体" w:hAnsi="宋体" w:cs="宋体"/>
          <w:b/>
          <w:color w:val="auto"/>
          <w:szCs w:val="21"/>
          <w:highlight w:val="none"/>
        </w:rPr>
        <w:t xml:space="preserve">：（该项为通知内容，不需要作为响应文件组成）</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pStyle w:val="946"/>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right"/>
        <w:spacing w:line="360" w:lineRule="auto"/>
        <w:rPr>
          <w:rFonts w:hint="eastAsia" w:ascii="宋体" w:hAnsi="宋体" w:cs="宋体"/>
          <w:b/>
          <w:color w:val="auto"/>
          <w:highlight w:val="none"/>
        </w:rPr>
      </w:pPr>
      <w:r>
        <w:rPr>
          <w:rFonts w:hint="eastAsia" w:ascii="宋体" w:hAnsi="宋体" w:cs="宋体"/>
          <w:b/>
          <w:color w:val="auto"/>
          <w:highlight w:val="none"/>
        </w:rPr>
        <w:t xml:space="preserve">（全文完）</w:t>
      </w:r>
      <w:r/>
    </w:p>
    <w:p>
      <w:pPr>
        <w:rPr>
          <w:color w:val="auto"/>
          <w:highlight w:val="none"/>
        </w:rPr>
      </w:pPr>
      <w:r>
        <w:rPr>
          <w:color w:val="auto"/>
          <w:highlight w:val="none"/>
        </w:rPr>
      </w:r>
      <w:r/>
    </w:p>
    <w:sectPr>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tabs>
        <w:tab w:val="right" w:pos="8820" w:leader="none"/>
      </w:tabs>
      <w:rPr>
        <w:rFonts w:ascii="宋体"/>
      </w:rPr>
    </w:pPr>
    <w:r>
      <w:rPr>
        <w:rFonts w:hint="eastAsia" w:ascii="宋体" w:hAnsi="宋体" w:eastAsia="宋体" w:cs="宋体"/>
      </w:rPr>
      <w:t xml:space="preserve">苏州市东易工程招投标咨询有限公司                             标号：</w:t>
    </w:r>
    <w:r>
      <w:rPr>
        <w:rFonts w:hint="eastAsia" w:ascii="宋体" w:hAnsi="宋体" w:eastAsia="宋体" w:cs="宋体"/>
        <w:bCs/>
        <w:color w:val="000000"/>
        <w:szCs w:val="22"/>
        <w:lang w:eastAsia="zh-CN"/>
      </w:rPr>
      <w:t xml:space="preserve">JSZC-320506-SZDY-C2026-0001</w:t>
    </w:r>
    <w:r>
      <w:rPr>
        <w:rFonts w:hint="eastAsia" w:ascii="宋体" w:hAnsi="宋体" w:eastAsia="宋体" w:cs="宋体"/>
        <w:bCs/>
        <w:color w:val="000000"/>
        <w:szCs w:val="22"/>
      </w:rPr>
      <w:t xml:space="preserve"> 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tabs>
        <w:tab w:val="right" w:pos="8820" w:leader="none"/>
      </w:tabs>
      <w:rPr>
        <w:rFonts w:ascii="宋体"/>
      </w:rPr>
      <w:pBdr>
        <w:bottom w:val="none" w:color="auto" w:sz="0" w:space="1"/>
      </w:pBdr>
    </w:pPr>
    <w:r>
      <w:rPr>
        <w:rFonts w:hint="eastAsia" w:ascii="Arial" w:hAnsi="Arial" w:eastAsia="Arial" w:cs="Arial"/>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000" w:hanging="360"/>
      </w:pPr>
      <w:rPr>
        <w:rFonts w:hint="default"/>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5">
    <w:multiLevelType w:val="hybridMultilevel"/>
    <w:lvl w:ilvl="0">
      <w:start w:val="1"/>
      <w:numFmt w:val="japaneseCounting"/>
      <w:isLgl w:val="false"/>
      <w:suff w:val="tab"/>
      <w:lvlText w:val="%1、"/>
      <w:lvlJc w:val="left"/>
      <w:pPr>
        <w:ind w:left="1360" w:hanging="720"/>
        <w:tabs>
          <w:tab w:val="left" w:pos="1360" w:leader="none"/>
        </w:tabs>
      </w:pPr>
      <w:rPr>
        <w:rFonts w:hint="default"/>
      </w:rPr>
    </w:lvl>
    <w:lvl w:ilvl="1">
      <w:start w:val="1"/>
      <w:numFmt w:val="decimal"/>
      <w:isLgl w:val="false"/>
      <w:suff w:val="tab"/>
      <w:lvlText w:val="%2、"/>
      <w:lvlJc w:val="left"/>
      <w:pPr>
        <w:ind w:left="1780" w:hanging="720"/>
        <w:tabs>
          <w:tab w:val="left" w:pos="1780" w:leader="none"/>
        </w:tabs>
      </w:pPr>
      <w:rPr>
        <w:rFonts w:hint="default"/>
      </w:rPr>
    </w:lvl>
    <w:lvl w:ilvl="2">
      <w:start w:val="1"/>
      <w:numFmt w:val="lowerRoman"/>
      <w:isLgl w:val="false"/>
      <w:suff w:val="tab"/>
      <w:lvlText w:val="%3."/>
      <w:lvlJc w:val="right"/>
      <w:pPr>
        <w:ind w:left="1900" w:hanging="420"/>
        <w:tabs>
          <w:tab w:val="left" w:pos="1900" w:leader="none"/>
        </w:tabs>
      </w:pPr>
    </w:lvl>
    <w:lvl w:ilvl="3">
      <w:start w:val="1"/>
      <w:numFmt w:val="decimal"/>
      <w:isLgl w:val="false"/>
      <w:suff w:val="tab"/>
      <w:lvlText w:val="%4."/>
      <w:lvlJc w:val="left"/>
      <w:pPr>
        <w:ind w:left="2320" w:hanging="420"/>
        <w:tabs>
          <w:tab w:val="left" w:pos="2320" w:leader="none"/>
        </w:tabs>
      </w:pPr>
    </w:lvl>
    <w:lvl w:ilvl="4">
      <w:start w:val="1"/>
      <w:numFmt w:val="lowerLetter"/>
      <w:isLgl w:val="false"/>
      <w:suff w:val="tab"/>
      <w:lvlText w:val="%5)"/>
      <w:lvlJc w:val="left"/>
      <w:pPr>
        <w:ind w:left="2740" w:hanging="420"/>
        <w:tabs>
          <w:tab w:val="left" w:pos="2740" w:leader="none"/>
        </w:tabs>
      </w:pPr>
    </w:lvl>
    <w:lvl w:ilvl="5">
      <w:start w:val="1"/>
      <w:numFmt w:val="lowerRoman"/>
      <w:isLgl w:val="false"/>
      <w:suff w:val="tab"/>
      <w:lvlText w:val="%6."/>
      <w:lvlJc w:val="right"/>
      <w:pPr>
        <w:ind w:left="3160" w:hanging="420"/>
        <w:tabs>
          <w:tab w:val="left" w:pos="3160" w:leader="none"/>
        </w:tabs>
      </w:pPr>
    </w:lvl>
    <w:lvl w:ilvl="6">
      <w:start w:val="1"/>
      <w:numFmt w:val="decimal"/>
      <w:isLgl w:val="false"/>
      <w:suff w:val="tab"/>
      <w:lvlText w:val="%7."/>
      <w:lvlJc w:val="left"/>
      <w:pPr>
        <w:ind w:left="3580" w:hanging="420"/>
        <w:tabs>
          <w:tab w:val="left" w:pos="3580" w:leader="none"/>
        </w:tabs>
      </w:pPr>
    </w:lvl>
    <w:lvl w:ilvl="7">
      <w:start w:val="1"/>
      <w:numFmt w:val="lowerLetter"/>
      <w:isLgl w:val="false"/>
      <w:suff w:val="tab"/>
      <w:lvlText w:val="%8)"/>
      <w:lvlJc w:val="left"/>
      <w:pPr>
        <w:ind w:left="4000" w:hanging="420"/>
        <w:tabs>
          <w:tab w:val="left" w:pos="4000" w:leader="none"/>
        </w:tabs>
      </w:pPr>
    </w:lvl>
    <w:lvl w:ilvl="8">
      <w:start w:val="1"/>
      <w:numFmt w:val="lowerRoman"/>
      <w:isLgl w:val="false"/>
      <w:suff w:val="tab"/>
      <w:lvlText w:val="%9."/>
      <w:lvlJc w:val="right"/>
      <w:pPr>
        <w:ind w:left="4420" w:hanging="420"/>
        <w:tabs>
          <w:tab w:val="left" w:pos="442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360" w:hanging="720"/>
      </w:pPr>
      <w:rPr>
        <w:rFonts w:ascii="楷体_GB2312" w:hAnsi="Times New Roman" w:eastAsia="楷体_GB2312" w:cs="Times New Roman"/>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8">
    <w:multiLevelType w:val="hybridMultilevel"/>
    <w:lvl w:ilvl="0">
      <w:start w:val="1"/>
      <w:numFmt w:val="japaneseCounting"/>
      <w:isLgl w:val="false"/>
      <w:suff w:val="tab"/>
      <w:lvlText w:val="%1、"/>
      <w:lvlJc w:val="left"/>
      <w:pPr>
        <w:ind w:left="630" w:hanging="42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num w:numId="1">
    <w:abstractNumId w:val="6"/>
  </w:num>
  <w:num w:numId="2">
    <w:abstractNumId w:val="2"/>
  </w:num>
  <w:num w:numId="3">
    <w:abstractNumId w:val="1"/>
  </w:num>
  <w:num w:numId="4">
    <w:abstractNumId w:val="0"/>
  </w:num>
  <w:num w:numId="5">
    <w:abstractNumId w:val="5"/>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20"/>
    <w:link w:val="936"/>
    <w:uiPriority w:val="9"/>
    <w:rPr>
      <w:rFonts w:ascii="Arial" w:hAnsi="Arial" w:eastAsia="Arial" w:cs="Arial"/>
      <w:sz w:val="40"/>
      <w:szCs w:val="40"/>
    </w:rPr>
  </w:style>
  <w:style w:type="paragraph" w:styleId="747">
    <w:name w:val="Heading 2"/>
    <w:basedOn w:val="919"/>
    <w:next w:val="919"/>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basedOn w:val="920"/>
    <w:link w:val="747"/>
    <w:uiPriority w:val="9"/>
    <w:rPr>
      <w:rFonts w:ascii="Arial" w:hAnsi="Arial" w:eastAsia="Arial" w:cs="Arial"/>
      <w:sz w:val="34"/>
    </w:rPr>
  </w:style>
  <w:style w:type="paragraph" w:styleId="749">
    <w:name w:val="Heading 3"/>
    <w:basedOn w:val="919"/>
    <w:next w:val="919"/>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basedOn w:val="920"/>
    <w:link w:val="749"/>
    <w:uiPriority w:val="9"/>
    <w:rPr>
      <w:rFonts w:ascii="Arial" w:hAnsi="Arial" w:eastAsia="Arial" w:cs="Arial"/>
      <w:sz w:val="30"/>
      <w:szCs w:val="30"/>
    </w:rPr>
  </w:style>
  <w:style w:type="paragraph" w:styleId="751">
    <w:name w:val="Heading 4"/>
    <w:basedOn w:val="919"/>
    <w:next w:val="919"/>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basedOn w:val="920"/>
    <w:link w:val="751"/>
    <w:uiPriority w:val="9"/>
    <w:rPr>
      <w:rFonts w:ascii="Arial" w:hAnsi="Arial" w:eastAsia="Arial" w:cs="Arial"/>
      <w:b/>
      <w:bCs/>
      <w:sz w:val="26"/>
      <w:szCs w:val="26"/>
    </w:rPr>
  </w:style>
  <w:style w:type="paragraph" w:styleId="753">
    <w:name w:val="Heading 5"/>
    <w:basedOn w:val="919"/>
    <w:next w:val="919"/>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basedOn w:val="920"/>
    <w:link w:val="753"/>
    <w:uiPriority w:val="9"/>
    <w:rPr>
      <w:rFonts w:ascii="Arial" w:hAnsi="Arial" w:eastAsia="Arial" w:cs="Arial"/>
      <w:b/>
      <w:bCs/>
      <w:sz w:val="24"/>
      <w:szCs w:val="24"/>
    </w:rPr>
  </w:style>
  <w:style w:type="paragraph" w:styleId="755">
    <w:name w:val="Heading 6"/>
    <w:basedOn w:val="919"/>
    <w:next w:val="919"/>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basedOn w:val="920"/>
    <w:link w:val="755"/>
    <w:uiPriority w:val="9"/>
    <w:rPr>
      <w:rFonts w:ascii="Arial" w:hAnsi="Arial" w:eastAsia="Arial" w:cs="Arial"/>
      <w:b/>
      <w:bCs/>
      <w:sz w:val="22"/>
      <w:szCs w:val="22"/>
    </w:rPr>
  </w:style>
  <w:style w:type="paragraph" w:styleId="757">
    <w:name w:val="Heading 7"/>
    <w:basedOn w:val="919"/>
    <w:next w:val="919"/>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basedOn w:val="920"/>
    <w:link w:val="757"/>
    <w:uiPriority w:val="9"/>
    <w:rPr>
      <w:rFonts w:ascii="Arial" w:hAnsi="Arial" w:eastAsia="Arial" w:cs="Arial"/>
      <w:b/>
      <w:bCs/>
      <w:i/>
      <w:iCs/>
      <w:sz w:val="22"/>
      <w:szCs w:val="22"/>
    </w:rPr>
  </w:style>
  <w:style w:type="paragraph" w:styleId="759">
    <w:name w:val="Heading 8"/>
    <w:basedOn w:val="919"/>
    <w:next w:val="919"/>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basedOn w:val="920"/>
    <w:link w:val="759"/>
    <w:uiPriority w:val="9"/>
    <w:rPr>
      <w:rFonts w:ascii="Arial" w:hAnsi="Arial" w:eastAsia="Arial" w:cs="Arial"/>
      <w:i/>
      <w:iCs/>
      <w:sz w:val="22"/>
      <w:szCs w:val="22"/>
    </w:rPr>
  </w:style>
  <w:style w:type="paragraph" w:styleId="761">
    <w:name w:val="Heading 9"/>
    <w:basedOn w:val="919"/>
    <w:next w:val="919"/>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basedOn w:val="920"/>
    <w:link w:val="761"/>
    <w:uiPriority w:val="9"/>
    <w:rPr>
      <w:rFonts w:ascii="Arial" w:hAnsi="Arial" w:eastAsia="Arial" w:cs="Arial"/>
      <w:i/>
      <w:iCs/>
      <w:sz w:val="21"/>
      <w:szCs w:val="21"/>
    </w:rPr>
  </w:style>
  <w:style w:type="paragraph" w:styleId="763">
    <w:name w:val="List Paragraph"/>
    <w:basedOn w:val="919"/>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19"/>
    <w:next w:val="919"/>
    <w:link w:val="766"/>
    <w:uiPriority w:val="10"/>
    <w:qFormat/>
    <w:pPr>
      <w:contextualSpacing/>
      <w:spacing w:before="300" w:after="200"/>
    </w:pPr>
    <w:rPr>
      <w:sz w:val="48"/>
      <w:szCs w:val="48"/>
    </w:rPr>
  </w:style>
  <w:style w:type="character" w:styleId="766">
    <w:name w:val="Title Char"/>
    <w:basedOn w:val="920"/>
    <w:link w:val="765"/>
    <w:uiPriority w:val="10"/>
    <w:rPr>
      <w:sz w:val="48"/>
      <w:szCs w:val="48"/>
    </w:rPr>
  </w:style>
  <w:style w:type="paragraph" w:styleId="767">
    <w:name w:val="Subtitle"/>
    <w:basedOn w:val="919"/>
    <w:next w:val="919"/>
    <w:link w:val="768"/>
    <w:uiPriority w:val="11"/>
    <w:qFormat/>
    <w:pPr>
      <w:spacing w:before="200" w:after="200"/>
    </w:pPr>
    <w:rPr>
      <w:sz w:val="24"/>
      <w:szCs w:val="24"/>
    </w:rPr>
  </w:style>
  <w:style w:type="character" w:styleId="768">
    <w:name w:val="Subtitle Char"/>
    <w:basedOn w:val="920"/>
    <w:link w:val="767"/>
    <w:uiPriority w:val="11"/>
    <w:rPr>
      <w:sz w:val="24"/>
      <w:szCs w:val="24"/>
    </w:rPr>
  </w:style>
  <w:style w:type="paragraph" w:styleId="769">
    <w:name w:val="Quote"/>
    <w:basedOn w:val="919"/>
    <w:next w:val="919"/>
    <w:link w:val="770"/>
    <w:uiPriority w:val="29"/>
    <w:qFormat/>
    <w:pPr>
      <w:ind w:left="720" w:right="720"/>
    </w:pPr>
    <w:rPr>
      <w:i/>
    </w:rPr>
  </w:style>
  <w:style w:type="character" w:styleId="770">
    <w:name w:val="Quote Char"/>
    <w:link w:val="769"/>
    <w:uiPriority w:val="29"/>
    <w:rPr>
      <w:i/>
    </w:rPr>
  </w:style>
  <w:style w:type="paragraph" w:styleId="771">
    <w:name w:val="Intense Quote"/>
    <w:basedOn w:val="919"/>
    <w:next w:val="919"/>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0"/>
    <w:link w:val="943"/>
    <w:uiPriority w:val="99"/>
  </w:style>
  <w:style w:type="character" w:styleId="774">
    <w:name w:val="Footer Char"/>
    <w:basedOn w:val="920"/>
    <w:link w:val="944"/>
    <w:uiPriority w:val="99"/>
  </w:style>
  <w:style w:type="paragraph" w:styleId="775">
    <w:name w:val="Caption"/>
    <w:basedOn w:val="919"/>
    <w:next w:val="919"/>
    <w:uiPriority w:val="35"/>
    <w:semiHidden/>
    <w:unhideWhenUsed/>
    <w:qFormat/>
    <w:pPr>
      <w:spacing w:line="276" w:lineRule="auto"/>
    </w:pPr>
    <w:rPr>
      <w:b/>
      <w:bCs/>
      <w:color w:val="4f81bd" w:themeColor="accent1"/>
      <w:sz w:val="18"/>
      <w:szCs w:val="18"/>
    </w:rPr>
  </w:style>
  <w:style w:type="character" w:styleId="776">
    <w:name w:val="Caption Char"/>
    <w:basedOn w:val="775"/>
    <w:link w:val="944"/>
    <w:uiPriority w:val="99"/>
  </w:style>
  <w:style w:type="table" w:styleId="777">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3">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4">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5">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6">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7">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5">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8">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9">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0">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1">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2">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5">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6">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7">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8">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9">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0">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9">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0">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1">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2">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3">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4">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6">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7">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8">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9">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0">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1">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3">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4">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5">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6">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7">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8">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0">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1">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2">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3">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4">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5">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19"/>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0"/>
    <w:uiPriority w:val="99"/>
    <w:unhideWhenUsed/>
    <w:rPr>
      <w:vertAlign w:val="superscript"/>
    </w:rPr>
  </w:style>
  <w:style w:type="paragraph" w:styleId="906">
    <w:name w:val="endnote text"/>
    <w:basedOn w:val="919"/>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0"/>
    <w:uiPriority w:val="99"/>
    <w:semiHidden/>
    <w:unhideWhenUsed/>
    <w:rPr>
      <w:vertAlign w:val="superscript"/>
    </w:r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uiPriority w:val="0"/>
    <w:qFormat/>
    <w:pPr>
      <w:jc w:val="both"/>
      <w:widowControl w:val="off"/>
    </w:pPr>
    <w:rPr>
      <w:rFonts w:ascii="Calibri" w:hAnsi="Calibri" w:eastAsia="宋体" w:cs="Times New Roman"/>
      <w:sz w:val="21"/>
      <w:lang w:val="en-US" w:eastAsia="zh-CN" w:bidi="ar-SA"/>
    </w:rPr>
  </w:style>
  <w:style w:type="character" w:styleId="920" w:default="1">
    <w:name w:val="Default Paragraph Font"/>
    <w:uiPriority w:val="0"/>
    <w:semiHidden/>
  </w:style>
  <w:style w:type="table" w:styleId="921" w:default="1">
    <w:name w:val="Normal Table"/>
    <w:uiPriority w:val="0"/>
    <w:semiHidden/>
    <w:qFormat/>
    <w:tblPr>
      <w:tblCellMar>
        <w:left w:w="108" w:type="dxa"/>
        <w:top w:w="0" w:type="dxa"/>
        <w:right w:w="108" w:type="dxa"/>
        <w:bottom w:w="0" w:type="dxa"/>
      </w:tblCellMar>
    </w:tblPr>
  </w:style>
  <w:style w:type="paragraph" w:styleId="922">
    <w:name w:val="Normal Indent"/>
    <w:basedOn w:val="919"/>
    <w:next w:val="919"/>
    <w:uiPriority w:val="0"/>
    <w:qFormat/>
    <w:pPr>
      <w:ind w:firstLine="420"/>
      <w:jc w:val="left"/>
    </w:pPr>
    <w:rPr>
      <w:rFonts w:eastAsia="楷体_GB2312"/>
      <w:sz w:val="24"/>
    </w:rPr>
  </w:style>
  <w:style w:type="paragraph" w:styleId="923">
    <w:name w:val="Body Text"/>
    <w:basedOn w:val="919"/>
    <w:uiPriority w:val="0"/>
    <w:qFormat/>
    <w:pPr>
      <w:tabs>
        <w:tab w:val="left" w:pos="5250" w:leader="none"/>
      </w:tabs>
    </w:pPr>
    <w:rPr>
      <w:sz w:val="28"/>
    </w:rPr>
  </w:style>
  <w:style w:type="paragraph" w:styleId="924">
    <w:name w:val="Body Text Indent"/>
    <w:basedOn w:val="919"/>
    <w:next w:val="925"/>
    <w:uiPriority w:val="0"/>
    <w:qFormat/>
    <w:pPr>
      <w:ind w:left="315" w:firstLine="632"/>
      <w:spacing w:line="360" w:lineRule="auto"/>
    </w:pPr>
    <w:rPr>
      <w:b/>
    </w:rPr>
  </w:style>
  <w:style w:type="paragraph" w:styleId="925">
    <w:name w:val="envelope return"/>
    <w:basedOn w:val="919"/>
    <w:uiPriority w:val="0"/>
    <w:qFormat/>
    <w:rPr>
      <w:rFonts w:ascii="Arial" w:hAnsi="Arial" w:eastAsia="楷体_GB2312"/>
      <w:sz w:val="26"/>
    </w:rPr>
  </w:style>
  <w:style w:type="paragraph" w:styleId="926">
    <w:name w:val="Plain Text"/>
    <w:basedOn w:val="919"/>
    <w:uiPriority w:val="0"/>
    <w:qFormat/>
    <w:rPr>
      <w:rFonts w:ascii="宋体" w:hAnsi="Courier New" w:eastAsia="楷体_GB2312"/>
      <w:sz w:val="28"/>
    </w:rPr>
  </w:style>
  <w:style w:type="paragraph" w:styleId="927">
    <w:name w:val="toc 1"/>
    <w:basedOn w:val="919"/>
    <w:next w:val="919"/>
    <w:uiPriority w:val="0"/>
    <w:qFormat/>
    <w:pPr>
      <w:jc w:val="left"/>
      <w:spacing w:before="120" w:after="120" w:line="360" w:lineRule="auto"/>
    </w:pPr>
    <w:rPr>
      <w:b/>
      <w:caps/>
      <w:sz w:val="30"/>
    </w:rPr>
  </w:style>
  <w:style w:type="paragraph" w:styleId="928">
    <w:name w:val="List"/>
    <w:basedOn w:val="919"/>
    <w:uiPriority w:val="0"/>
    <w:qFormat/>
    <w:pPr>
      <w:ind w:left="200" w:hanging="200"/>
      <w:jc w:val="left"/>
      <w:widowControl/>
    </w:pPr>
    <w:rPr>
      <w:sz w:val="20"/>
    </w:rPr>
  </w:style>
  <w:style w:type="paragraph" w:styleId="929">
    <w:name w:val="Body Text Indent 3"/>
    <w:basedOn w:val="919"/>
    <w:uiPriority w:val="0"/>
    <w:qFormat/>
    <w:pPr>
      <w:ind w:firstLine="617"/>
      <w:spacing w:line="360" w:lineRule="auto"/>
    </w:pPr>
    <w:rPr>
      <w:rFonts w:ascii="Times New Roman" w:hAnsi="Times New Roman" w:eastAsia="宋体" w:cs="Times New Roman"/>
      <w:sz w:val="24"/>
      <w:szCs w:val="24"/>
    </w:rPr>
  </w:style>
  <w:style w:type="paragraph" w:styleId="930">
    <w:name w:val="Normal (Web)"/>
    <w:basedOn w:val="919"/>
    <w:uiPriority w:val="0"/>
    <w:qFormat/>
    <w:pPr>
      <w:jc w:val="left"/>
      <w:spacing w:before="100" w:beforeAutospacing="1" w:after="100" w:afterAutospacing="1"/>
      <w:widowControl/>
    </w:pPr>
    <w:rPr>
      <w:rFonts w:ascii="宋体" w:hAnsi="宋体"/>
      <w:sz w:val="24"/>
    </w:rPr>
  </w:style>
  <w:style w:type="paragraph" w:styleId="931">
    <w:name w:val="Body Text First Indent 2"/>
    <w:basedOn w:val="924"/>
    <w:next w:val="928"/>
    <w:uiPriority w:val="0"/>
    <w:qFormat/>
    <w:pPr>
      <w:ind w:left="420" w:firstLine="420"/>
      <w:spacing w:after="120" w:line="240" w:lineRule="auto"/>
    </w:pPr>
    <w:rPr>
      <w:b w:val="0"/>
      <w:szCs w:val="24"/>
    </w:rPr>
  </w:style>
  <w:style w:type="table" w:styleId="932">
    <w:name w:val="Table Grid"/>
    <w:basedOn w:val="9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3" w:customStyle="1">
    <w:name w:val="段"/>
    <w:next w:val="919"/>
    <w:uiPriority w:val="0"/>
    <w:qFormat/>
    <w:pPr>
      <w:ind w:firstLine="200"/>
      <w:jc w:val="both"/>
    </w:pPr>
    <w:rPr>
      <w:rFonts w:ascii="宋体" w:hAnsi="Calibri" w:eastAsia="宋体" w:cs="Times New Roman"/>
      <w:sz w:val="21"/>
      <w:lang w:val="en-US" w:eastAsia="zh-CN" w:bidi="ar-SA"/>
    </w:rPr>
  </w:style>
  <w:style w:type="paragraph" w:styleId="934" w:customStyle="1">
    <w:name w:val="首行缩进"/>
    <w:basedOn w:val="919"/>
    <w:uiPriority w:val="0"/>
    <w:qFormat/>
    <w:pPr>
      <w:ind w:firstLine="480"/>
      <w:jc w:val="left"/>
      <w:spacing w:line="360" w:lineRule="auto"/>
    </w:pPr>
    <w:rPr>
      <w:rFonts w:ascii="宋体" w:hAnsi="宋体"/>
      <w:sz w:val="24"/>
    </w:rPr>
  </w:style>
  <w:style w:type="paragraph" w:styleId="935" w:customStyle="1">
    <w:name w:val="+标题1"/>
    <w:basedOn w:val="936"/>
    <w:uiPriority w:val="0"/>
    <w:qFormat/>
    <w:pPr>
      <w:ind w:left="0" w:firstLine="0"/>
      <w:jc w:val="center"/>
      <w:keepNext w:val="0"/>
      <w:pageBreakBefore/>
      <w:spacing w:before="240" w:after="240" w:line="240" w:lineRule="auto"/>
      <w:tabs>
        <w:tab w:val="left" w:pos="405" w:leader="none"/>
      </w:tabs>
    </w:pPr>
    <w:rPr>
      <w:rFonts w:ascii="宋体" w:hAnsi="宋体"/>
      <w:color w:val="000000"/>
      <w:sz w:val="36"/>
    </w:rPr>
  </w:style>
  <w:style w:type="paragraph" w:styleId="936" w:customStyle="1">
    <w:name w:val="Heading 1"/>
    <w:basedOn w:val="919"/>
    <w:next w:val="919"/>
    <w:uiPriority w:val="0"/>
    <w:qFormat/>
    <w:pPr>
      <w:ind w:left="405" w:hanging="405"/>
      <w:jc w:val="left"/>
      <w:keepNext/>
      <w:spacing w:line="300" w:lineRule="auto"/>
      <w:tabs>
        <w:tab w:val="left" w:pos="405" w:leader="none"/>
      </w:tabs>
      <w:outlineLvl w:val="0"/>
    </w:pPr>
    <w:rPr>
      <w:sz w:val="28"/>
    </w:rPr>
  </w:style>
  <w:style w:type="paragraph" w:styleId="937" w:customStyle="1">
    <w:name w:val="纯文本5"/>
    <w:basedOn w:val="919"/>
    <w:uiPriority w:val="0"/>
    <w:qFormat/>
    <w:rPr>
      <w:rFonts w:ascii="宋体" w:hAnsi="Courier New" w:eastAsia="楷体_GB2312"/>
      <w:sz w:val="26"/>
    </w:rPr>
  </w:style>
  <w:style w:type="paragraph" w:styleId="938" w:customStyle="1">
    <w:name w:val="纯文本2"/>
    <w:basedOn w:val="919"/>
    <w:uiPriority w:val="0"/>
    <w:qFormat/>
    <w:pPr>
      <w:jc w:val="left"/>
      <w:widowControl/>
    </w:pPr>
    <w:rPr>
      <w:rFonts w:ascii="宋体" w:hAnsi="Courier New" w:eastAsia="楷体_GB2312"/>
      <w:sz w:val="26"/>
    </w:rPr>
  </w:style>
  <w:style w:type="paragraph" w:styleId="939" w:customStyle="1">
    <w:name w:val="Plain Text"/>
    <w:basedOn w:val="919"/>
    <w:uiPriority w:val="0"/>
    <w:qFormat/>
    <w:rPr>
      <w:rFonts w:ascii="宋体" w:hAnsi="Courier New" w:eastAsia="楷体_GB2312"/>
      <w:sz w:val="28"/>
    </w:rPr>
  </w:style>
  <w:style w:type="paragraph" w:styleId="940" w:customStyle="1">
    <w:name w:val="纯文本111"/>
    <w:uiPriority w:val="0"/>
    <w:qFormat/>
    <w:pPr>
      <w:spacing w:line="500" w:lineRule="exact"/>
    </w:pPr>
    <w:rPr>
      <w:rFonts w:ascii="宋体" w:hAnsi="Courier New" w:eastAsia="宋体" w:cs="Times New Roman"/>
      <w:sz w:val="34"/>
      <w:lang w:val="en-US" w:eastAsia="zh-CN" w:bidi="ar-SA"/>
    </w:rPr>
  </w:style>
  <w:style w:type="character" w:styleId="941" w:customStyle="1">
    <w:name w:val="NormalCharacter"/>
    <w:uiPriority w:val="0"/>
    <w:qFormat/>
  </w:style>
  <w:style w:type="paragraph" w:styleId="942" w:customStyle="1">
    <w:name w:val="Default"/>
    <w:uiPriority w:val="0"/>
    <w:qFormat/>
    <w:pPr>
      <w:widowControl w:val="off"/>
    </w:pPr>
    <w:rPr>
      <w:rFonts w:ascii="Calibri" w:hAnsi="Calibri" w:eastAsia="Times New Roman" w:cs="Times New Roman"/>
      <w:color w:val="000000"/>
      <w:sz w:val="24"/>
      <w:lang w:val="en-US" w:eastAsia="zh-CN" w:bidi="ar-SA"/>
    </w:rPr>
  </w:style>
  <w:style w:type="paragraph" w:styleId="943" w:customStyle="1">
    <w:name w:val="Header"/>
    <w:basedOn w:val="919"/>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44" w:customStyle="1">
    <w:name w:val="Footer"/>
    <w:basedOn w:val="919"/>
    <w:uiPriority w:val="99"/>
    <w:qFormat/>
    <w:pPr>
      <w:jc w:val="left"/>
      <w:tabs>
        <w:tab w:val="center" w:pos="4153" w:leader="none"/>
        <w:tab w:val="right" w:pos="8306" w:leader="none"/>
      </w:tabs>
    </w:pPr>
    <w:rPr>
      <w:rFonts w:eastAsia="楷体_GB2312"/>
      <w:sz w:val="18"/>
    </w:rPr>
  </w:style>
  <w:style w:type="paragraph" w:styleId="945" w:customStyle="1">
    <w:name w:val="列出段落3"/>
    <w:basedOn w:val="919"/>
    <w:uiPriority w:val="0"/>
    <w:qFormat/>
    <w:pPr>
      <w:ind w:firstLine="420"/>
    </w:pPr>
    <w:rPr>
      <w:rFonts w:ascii="Calibri" w:hAnsi="Calibri" w:eastAsia="楷体_GB2312"/>
      <w:szCs w:val="22"/>
    </w:rPr>
  </w:style>
  <w:style w:type="paragraph" w:styleId="946" w:customStyle="1">
    <w:name w:val="正文缩进1"/>
    <w:basedOn w:val="919"/>
    <w:next w:val="919"/>
    <w:uiPriority w:val="0"/>
    <w:qFormat/>
    <w:pPr>
      <w:ind w:firstLine="420"/>
      <w:jc w:val="left"/>
      <w:widowControl/>
    </w:pPr>
    <w:rPr>
      <w:rFonts w:eastAsia="楷体_GB2312"/>
      <w:sz w:val="24"/>
      <w:szCs w:val="20"/>
    </w:rPr>
  </w:style>
  <w:style w:type="numbering" w:styleId="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潘致阳</cp:lastModifiedBy>
  <cp:revision>3</cp:revision>
  <dcterms:created xsi:type="dcterms:W3CDTF">2026-01-23T07:35:00Z</dcterms:created>
  <dcterms:modified xsi:type="dcterms:W3CDTF">2026-03-06T07:34:06Z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eyJoZGlkIjoiNjBlYTZhOGFiMTQ0NjkzNjViMDk3YTVkNDEyNjRlNmYiLCJ1c2VySWQiOiIyMjk5NzU1MzAifQ==</vt:lpwstr>
  </property>
  <property fmtid="{D5CDD505-2E9C-101B-9397-08002B2CF9AE}" pid="4" name="ICV">
    <vt:lpwstr>331EF8D05E33405688CB87B74E133F28_13</vt:lpwstr>
  </property>
</Properties>
</file>