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7A9575">
      <w:pPr>
        <w:ind w:right="96"/>
        <w:rPr>
          <w:rFonts w:hint="eastAsia" w:eastAsia="创艺简魏碑"/>
          <w:b/>
          <w:color w:val="000000"/>
          <w:sz w:val="24"/>
        </w:rPr>
      </w:pPr>
    </w:p>
    <w:p w14:paraId="0817F8E9">
      <w:pPr>
        <w:rPr>
          <w:rFonts w:eastAsia="仿宋_GB2312"/>
          <w:color w:val="000000"/>
          <w:sz w:val="44"/>
        </w:rPr>
      </w:pPr>
      <w:r>
        <w:rPr>
          <w:rFonts w:eastAsia="仿宋_GB2312"/>
          <w:color w:val="000000"/>
          <w:sz w:val="30"/>
        </w:rPr>
        <w:t xml:space="preserve">                                       </w:t>
      </w:r>
      <w:r>
        <w:rPr>
          <w:rFonts w:eastAsia="仿宋_GB2312"/>
          <w:color w:val="000000"/>
          <w:sz w:val="36"/>
        </w:rPr>
        <w:t xml:space="preserve"> </w:t>
      </w:r>
      <w:r>
        <w:rPr>
          <w:rFonts w:eastAsia="仿宋_GB2312"/>
          <w:color w:val="000000"/>
          <w:sz w:val="44"/>
        </w:rPr>
        <w:t xml:space="preserve"> </w:t>
      </w:r>
    </w:p>
    <w:p w14:paraId="2C940FBA">
      <w:pPr>
        <w:jc w:val="center"/>
        <w:rPr>
          <w:b/>
          <w:color w:val="000000"/>
          <w:sz w:val="82"/>
        </w:rPr>
      </w:pPr>
      <w:r>
        <w:rPr>
          <w:rFonts w:hint="eastAsia"/>
          <w:b/>
          <w:color w:val="000000"/>
          <w:sz w:val="82"/>
        </w:rPr>
        <w:t>公开招标</w:t>
      </w:r>
      <w:r>
        <w:rPr>
          <w:b/>
          <w:color w:val="000000"/>
          <w:sz w:val="82"/>
        </w:rPr>
        <w:t xml:space="preserve">文件 </w:t>
      </w:r>
    </w:p>
    <w:p w14:paraId="01275CCE">
      <w:pPr>
        <w:spacing w:line="500" w:lineRule="exact"/>
        <w:rPr>
          <w:color w:val="000000"/>
          <w:sz w:val="36"/>
          <w:szCs w:val="36"/>
        </w:rPr>
      </w:pPr>
    </w:p>
    <w:p w14:paraId="59C623F2">
      <w:pPr>
        <w:spacing w:line="500" w:lineRule="exact"/>
        <w:jc w:val="center"/>
        <w:rPr>
          <w:rFonts w:hint="eastAsia" w:eastAsia="宋体"/>
          <w:color w:val="000000"/>
          <w:sz w:val="36"/>
          <w:szCs w:val="36"/>
          <w:u w:val="single"/>
          <w:lang w:eastAsia="zh-CN"/>
        </w:rPr>
      </w:pPr>
      <w:r>
        <w:rPr>
          <w:color w:val="000000"/>
          <w:sz w:val="36"/>
          <w:szCs w:val="36"/>
        </w:rPr>
        <w:t>项目编号：</w:t>
      </w:r>
      <w:r>
        <w:rPr>
          <w:rFonts w:hint="eastAsia"/>
          <w:color w:val="000000"/>
          <w:sz w:val="36"/>
          <w:szCs w:val="36"/>
          <w:lang w:eastAsia="zh-CN"/>
        </w:rPr>
        <w:t>JSZC-320100-NJJK-G2026-0003</w:t>
      </w:r>
    </w:p>
    <w:p w14:paraId="3A336270">
      <w:pPr>
        <w:spacing w:line="500" w:lineRule="exact"/>
        <w:jc w:val="center"/>
        <w:rPr>
          <w:b/>
          <w:color w:val="000000"/>
          <w:sz w:val="18"/>
        </w:rPr>
      </w:pPr>
    </w:p>
    <w:p w14:paraId="6C5C2436">
      <w:pPr>
        <w:spacing w:line="500" w:lineRule="exact"/>
        <w:jc w:val="center"/>
        <w:rPr>
          <w:b/>
          <w:color w:val="000000"/>
          <w:sz w:val="18"/>
        </w:rPr>
      </w:pPr>
    </w:p>
    <w:p w14:paraId="13020D15">
      <w:pPr>
        <w:spacing w:line="500" w:lineRule="exact"/>
        <w:ind w:firstLine="909"/>
        <w:rPr>
          <w:color w:val="000000"/>
          <w:sz w:val="32"/>
          <w:u w:val="single"/>
        </w:rPr>
      </w:pPr>
    </w:p>
    <w:p w14:paraId="294AE802">
      <w:pPr>
        <w:spacing w:line="500" w:lineRule="exact"/>
        <w:jc w:val="center"/>
        <w:rPr>
          <w:b/>
          <w:color w:val="000000"/>
          <w:sz w:val="18"/>
        </w:rPr>
      </w:pPr>
    </w:p>
    <w:p w14:paraId="7FEBE78B">
      <w:pPr>
        <w:spacing w:line="500" w:lineRule="exact"/>
        <w:jc w:val="center"/>
        <w:rPr>
          <w:b/>
          <w:color w:val="000000"/>
          <w:sz w:val="18"/>
        </w:rPr>
      </w:pPr>
    </w:p>
    <w:p w14:paraId="5A7782C0">
      <w:pPr>
        <w:spacing w:line="500" w:lineRule="exact"/>
        <w:rPr>
          <w:b/>
          <w:color w:val="000000"/>
          <w:sz w:val="18"/>
        </w:rPr>
      </w:pPr>
    </w:p>
    <w:p w14:paraId="402EDEFE">
      <w:pPr>
        <w:spacing w:line="500" w:lineRule="exact"/>
        <w:rPr>
          <w:color w:val="000000"/>
          <w:sz w:val="32"/>
        </w:rPr>
      </w:pPr>
    </w:p>
    <w:p w14:paraId="4500DED1">
      <w:pPr>
        <w:spacing w:line="500" w:lineRule="exact"/>
        <w:ind w:firstLine="455"/>
        <w:rPr>
          <w:color w:val="000000"/>
          <w:sz w:val="32"/>
        </w:rPr>
      </w:pPr>
      <w:r>
        <w:rPr>
          <w:color w:val="000000"/>
          <w:sz w:val="32"/>
        </w:rPr>
        <w:t xml:space="preserve">     </w:t>
      </w:r>
    </w:p>
    <w:p w14:paraId="33DD3DD6">
      <w:pPr>
        <w:spacing w:line="500" w:lineRule="exact"/>
        <w:ind w:firstLine="455"/>
        <w:jc w:val="center"/>
        <w:rPr>
          <w:color w:val="000000"/>
          <w:sz w:val="32"/>
        </w:rPr>
      </w:pPr>
    </w:p>
    <w:p w14:paraId="7C5400CF">
      <w:pPr>
        <w:tabs>
          <w:tab w:val="left" w:pos="7881"/>
        </w:tabs>
        <w:spacing w:line="500" w:lineRule="exact"/>
        <w:rPr>
          <w:color w:val="000000"/>
          <w:sz w:val="32"/>
          <w:szCs w:val="22"/>
          <w:u w:val="single"/>
        </w:rPr>
      </w:pPr>
      <w:r>
        <w:rPr>
          <w:color w:val="000000"/>
          <w:sz w:val="32"/>
        </w:rPr>
        <w:t xml:space="preserve">        项目名称：</w:t>
      </w:r>
      <w:r>
        <w:rPr>
          <w:rFonts w:hint="eastAsia"/>
          <w:color w:val="000000"/>
          <w:sz w:val="32"/>
          <w:szCs w:val="22"/>
          <w:u w:val="single"/>
        </w:rPr>
        <w:t>紫金山松材线虫病无疫情成果巩固项目</w:t>
      </w:r>
    </w:p>
    <w:p w14:paraId="58876E52">
      <w:pPr>
        <w:spacing w:line="500" w:lineRule="exact"/>
        <w:ind w:firstLine="455"/>
        <w:rPr>
          <w:color w:val="000000"/>
          <w:sz w:val="32"/>
        </w:rPr>
      </w:pPr>
      <w:r>
        <w:rPr>
          <w:color w:val="000000"/>
          <w:sz w:val="32"/>
        </w:rPr>
        <w:t xml:space="preserve">     采 购 人：</w:t>
      </w:r>
      <w:r>
        <w:rPr>
          <w:rFonts w:hint="eastAsia"/>
          <w:color w:val="000000"/>
          <w:sz w:val="32"/>
          <w:u w:val="single"/>
        </w:rPr>
        <w:t>中山陵园管理局</w:t>
      </w:r>
      <w:r>
        <w:rPr>
          <w:color w:val="000000"/>
          <w:sz w:val="32"/>
        </w:rPr>
        <w:t xml:space="preserve">    </w:t>
      </w:r>
    </w:p>
    <w:p w14:paraId="1AD3C2FD">
      <w:pPr>
        <w:spacing w:line="500" w:lineRule="exact"/>
        <w:ind w:firstLine="455"/>
        <w:rPr>
          <w:color w:val="000000"/>
          <w:sz w:val="32"/>
        </w:rPr>
      </w:pPr>
      <w:r>
        <w:rPr>
          <w:color w:val="000000"/>
          <w:sz w:val="32"/>
        </w:rPr>
        <w:t xml:space="preserve">     代理机构：</w:t>
      </w:r>
      <w:r>
        <w:rPr>
          <w:color w:val="000000"/>
          <w:sz w:val="32"/>
          <w:u w:val="single"/>
        </w:rPr>
        <w:t>南京建凯建设项目管理有限公司</w:t>
      </w:r>
      <w:r>
        <w:rPr>
          <w:color w:val="000000"/>
          <w:sz w:val="32"/>
        </w:rPr>
        <w:t xml:space="preserve">  </w:t>
      </w:r>
    </w:p>
    <w:p w14:paraId="353BC1B1">
      <w:pPr>
        <w:spacing w:line="480" w:lineRule="auto"/>
        <w:rPr>
          <w:color w:val="000000"/>
          <w:sz w:val="36"/>
        </w:rPr>
      </w:pPr>
    </w:p>
    <w:p w14:paraId="2BECEC45">
      <w:pPr>
        <w:spacing w:line="480" w:lineRule="auto"/>
        <w:rPr>
          <w:color w:val="000000"/>
          <w:sz w:val="36"/>
        </w:rPr>
      </w:pPr>
    </w:p>
    <w:p w14:paraId="4A2ADB4C">
      <w:pPr>
        <w:spacing w:line="480" w:lineRule="auto"/>
        <w:rPr>
          <w:b/>
          <w:bCs/>
          <w:color w:val="000000"/>
          <w:sz w:val="36"/>
        </w:rPr>
      </w:pPr>
      <w:r>
        <w:rPr>
          <w:color w:val="000000"/>
          <w:sz w:val="36"/>
        </w:rPr>
        <w:t xml:space="preserve">                  </w:t>
      </w:r>
      <w:r>
        <w:rPr>
          <w:b/>
          <w:bCs/>
          <w:color w:val="000000"/>
          <w:sz w:val="36"/>
        </w:rPr>
        <w:t xml:space="preserve">  </w:t>
      </w:r>
    </w:p>
    <w:p w14:paraId="1F99038F">
      <w:pPr>
        <w:spacing w:line="480" w:lineRule="auto"/>
        <w:rPr>
          <w:b/>
          <w:bCs/>
          <w:color w:val="000000"/>
          <w:sz w:val="36"/>
        </w:rPr>
      </w:pPr>
    </w:p>
    <w:p w14:paraId="4EC58F6A">
      <w:pPr>
        <w:spacing w:line="480" w:lineRule="auto"/>
        <w:jc w:val="center"/>
        <w:rPr>
          <w:b/>
          <w:bCs/>
          <w:color w:val="000000"/>
          <w:sz w:val="52"/>
        </w:rPr>
        <w:sectPr>
          <w:headerReference r:id="rId3" w:type="default"/>
          <w:footerReference r:id="rId4" w:type="default"/>
          <w:footerReference r:id="rId5" w:type="even"/>
          <w:pgSz w:w="11906" w:h="16838"/>
          <w:pgMar w:top="1418" w:right="1418" w:bottom="1134" w:left="1418" w:header="851" w:footer="992" w:gutter="0"/>
          <w:cols w:space="1701" w:num="1"/>
          <w:docGrid w:linePitch="360" w:charSpace="0"/>
        </w:sectPr>
      </w:pPr>
      <w:r>
        <w:rPr>
          <w:b/>
          <w:bCs/>
          <w:color w:val="000000"/>
          <w:sz w:val="36"/>
        </w:rPr>
        <w:t>二〇二</w:t>
      </w:r>
      <w:r>
        <w:rPr>
          <w:rFonts w:hint="eastAsia"/>
          <w:b/>
          <w:bCs/>
          <w:color w:val="000000"/>
          <w:sz w:val="36"/>
        </w:rPr>
        <w:t>六</w:t>
      </w:r>
      <w:r>
        <w:rPr>
          <w:b/>
          <w:bCs/>
          <w:color w:val="000000"/>
          <w:sz w:val="36"/>
        </w:rPr>
        <w:t>年</w:t>
      </w:r>
      <w:r>
        <w:rPr>
          <w:rFonts w:hint="eastAsia"/>
          <w:b/>
          <w:bCs/>
          <w:color w:val="000000"/>
          <w:sz w:val="36"/>
          <w:lang w:val="en-US" w:eastAsia="zh-CN"/>
        </w:rPr>
        <w:t>三</w:t>
      </w:r>
      <w:r>
        <w:rPr>
          <w:b/>
          <w:bCs/>
          <w:color w:val="000000"/>
          <w:sz w:val="36"/>
        </w:rPr>
        <w:t>月</w:t>
      </w:r>
    </w:p>
    <w:p w14:paraId="7A02422F">
      <w:pPr>
        <w:jc w:val="center"/>
        <w:rPr>
          <w:color w:val="000000"/>
          <w:sz w:val="32"/>
          <w:szCs w:val="32"/>
        </w:rPr>
      </w:pPr>
      <w:bookmarkStart w:id="0" w:name="_Toc23523_WPSOffice_Type2"/>
      <w:r>
        <w:rPr>
          <w:color w:val="000000"/>
          <w:sz w:val="32"/>
          <w:szCs w:val="32"/>
        </w:rPr>
        <w:t>目录</w:t>
      </w:r>
    </w:p>
    <w:p w14:paraId="6812FE28">
      <w:pPr>
        <w:pStyle w:val="313"/>
        <w:tabs>
          <w:tab w:val="right" w:leader="dot" w:pos="9072"/>
        </w:tabs>
        <w:spacing w:line="1100" w:lineRule="atLeast"/>
        <w:rPr>
          <w:color w:val="000000"/>
          <w:sz w:val="28"/>
          <w:szCs w:val="28"/>
          <w:highlight w:val="none"/>
        </w:rPr>
      </w:pPr>
      <w:r>
        <w:rPr>
          <w:highlight w:val="none"/>
        </w:rPr>
        <w:fldChar w:fldCharType="begin"/>
      </w:r>
      <w:r>
        <w:rPr>
          <w:highlight w:val="none"/>
        </w:rPr>
        <w:instrText xml:space="preserve">HYPERLINK \l "_Toc4328_WPSOffice_Level1"</w:instrText>
      </w:r>
      <w:r>
        <w:rPr>
          <w:highlight w:val="none"/>
        </w:rPr>
        <w:fldChar w:fldCharType="separate"/>
      </w:r>
      <w:r>
        <w:rPr>
          <w:b/>
          <w:bCs/>
          <w:color w:val="000000"/>
          <w:sz w:val="28"/>
          <w:szCs w:val="28"/>
          <w:highlight w:val="none"/>
        </w:rPr>
        <w:t>第一章 采购公告</w:t>
      </w:r>
      <w:r>
        <w:rPr>
          <w:b/>
          <w:bCs/>
          <w:color w:val="000000"/>
          <w:sz w:val="28"/>
          <w:szCs w:val="28"/>
          <w:highlight w:val="none"/>
        </w:rPr>
        <w:tab/>
      </w:r>
      <w:r>
        <w:rPr>
          <w:rFonts w:hint="eastAsia"/>
          <w:b/>
          <w:bCs/>
          <w:color w:val="000000"/>
          <w:sz w:val="28"/>
          <w:szCs w:val="28"/>
          <w:highlight w:val="none"/>
        </w:rPr>
        <w:t>3</w:t>
      </w:r>
      <w:r>
        <w:rPr>
          <w:highlight w:val="none"/>
        </w:rPr>
        <w:fldChar w:fldCharType="end"/>
      </w:r>
    </w:p>
    <w:p w14:paraId="5B9E16BD">
      <w:pPr>
        <w:pStyle w:val="313"/>
        <w:tabs>
          <w:tab w:val="right" w:leader="dot" w:pos="9072"/>
        </w:tabs>
        <w:spacing w:line="1100" w:lineRule="atLeast"/>
        <w:rPr>
          <w:color w:val="000000"/>
          <w:sz w:val="28"/>
          <w:szCs w:val="28"/>
          <w:highlight w:val="none"/>
        </w:rPr>
      </w:pPr>
      <w:r>
        <w:rPr>
          <w:highlight w:val="none"/>
        </w:rPr>
        <w:fldChar w:fldCharType="begin"/>
      </w:r>
      <w:r>
        <w:rPr>
          <w:highlight w:val="none"/>
        </w:rPr>
        <w:instrText xml:space="preserve">HYPERLINK \l "_Toc795_WPSOffice_Level1"</w:instrText>
      </w:r>
      <w:r>
        <w:rPr>
          <w:highlight w:val="none"/>
        </w:rPr>
        <w:fldChar w:fldCharType="separate"/>
      </w:r>
      <w:r>
        <w:rPr>
          <w:b/>
          <w:bCs/>
          <w:color w:val="000000"/>
          <w:sz w:val="28"/>
          <w:szCs w:val="28"/>
          <w:highlight w:val="none"/>
        </w:rPr>
        <w:t xml:space="preserve">第二章 </w:t>
      </w:r>
      <w:r>
        <w:rPr>
          <w:rFonts w:hint="eastAsia"/>
          <w:b/>
          <w:bCs/>
          <w:color w:val="000000"/>
          <w:sz w:val="28"/>
          <w:szCs w:val="28"/>
          <w:highlight w:val="none"/>
        </w:rPr>
        <w:t>投标人</w:t>
      </w:r>
      <w:r>
        <w:rPr>
          <w:b/>
          <w:bCs/>
          <w:color w:val="000000"/>
          <w:sz w:val="28"/>
          <w:szCs w:val="28"/>
          <w:highlight w:val="none"/>
        </w:rPr>
        <w:t>须知</w:t>
      </w:r>
      <w:r>
        <w:rPr>
          <w:b/>
          <w:bCs/>
          <w:color w:val="000000"/>
          <w:sz w:val="28"/>
          <w:szCs w:val="28"/>
          <w:highlight w:val="none"/>
        </w:rPr>
        <w:tab/>
      </w:r>
      <w:r>
        <w:rPr>
          <w:rFonts w:hint="eastAsia"/>
          <w:b/>
          <w:bCs/>
          <w:color w:val="000000"/>
          <w:sz w:val="28"/>
          <w:szCs w:val="28"/>
          <w:highlight w:val="none"/>
        </w:rPr>
        <w:t>7</w:t>
      </w:r>
      <w:r>
        <w:rPr>
          <w:highlight w:val="none"/>
        </w:rPr>
        <w:fldChar w:fldCharType="end"/>
      </w:r>
    </w:p>
    <w:p w14:paraId="29825B27">
      <w:pPr>
        <w:pStyle w:val="313"/>
        <w:tabs>
          <w:tab w:val="right" w:leader="dot" w:pos="9072"/>
        </w:tabs>
        <w:spacing w:line="1100" w:lineRule="atLeast"/>
        <w:rPr>
          <w:rFonts w:hint="eastAsia"/>
          <w:b/>
          <w:bCs/>
          <w:color w:val="000000"/>
          <w:sz w:val="28"/>
          <w:szCs w:val="28"/>
          <w:highlight w:val="none"/>
        </w:rPr>
      </w:pPr>
      <w:r>
        <w:rPr>
          <w:highlight w:val="none"/>
        </w:rPr>
        <w:fldChar w:fldCharType="begin"/>
      </w:r>
      <w:r>
        <w:rPr>
          <w:highlight w:val="none"/>
        </w:rPr>
        <w:instrText xml:space="preserve">HYPERLINK \l "_Toc4194_WPSOffice_Level1"</w:instrText>
      </w:r>
      <w:r>
        <w:rPr>
          <w:highlight w:val="none"/>
        </w:rPr>
        <w:fldChar w:fldCharType="separate"/>
      </w:r>
      <w:r>
        <w:rPr>
          <w:b/>
          <w:bCs/>
          <w:color w:val="000000"/>
          <w:sz w:val="28"/>
          <w:szCs w:val="28"/>
          <w:highlight w:val="none"/>
        </w:rPr>
        <w:t>第</w:t>
      </w:r>
      <w:r>
        <w:rPr>
          <w:rFonts w:hint="eastAsia"/>
          <w:b/>
          <w:bCs/>
          <w:color w:val="000000"/>
          <w:sz w:val="28"/>
          <w:szCs w:val="28"/>
          <w:highlight w:val="none"/>
        </w:rPr>
        <w:t>三</w:t>
      </w:r>
      <w:r>
        <w:rPr>
          <w:b/>
          <w:bCs/>
          <w:color w:val="000000"/>
          <w:sz w:val="28"/>
          <w:szCs w:val="28"/>
          <w:highlight w:val="none"/>
        </w:rPr>
        <w:t>章 招标项目的技术标准、要求等</w:t>
      </w:r>
      <w:r>
        <w:rPr>
          <w:b/>
          <w:bCs/>
          <w:color w:val="000000"/>
          <w:sz w:val="28"/>
          <w:szCs w:val="28"/>
          <w:highlight w:val="none"/>
        </w:rPr>
        <w:tab/>
      </w:r>
      <w:r>
        <w:rPr>
          <w:b/>
          <w:bCs/>
          <w:color w:val="000000"/>
          <w:sz w:val="28"/>
          <w:szCs w:val="28"/>
          <w:highlight w:val="none"/>
        </w:rPr>
        <w:t>2</w:t>
      </w:r>
      <w:r>
        <w:rPr>
          <w:highlight w:val="none"/>
        </w:rPr>
        <w:fldChar w:fldCharType="end"/>
      </w:r>
      <w:r>
        <w:rPr>
          <w:rFonts w:hint="eastAsia"/>
          <w:b/>
          <w:bCs/>
          <w:color w:val="000000"/>
          <w:sz w:val="28"/>
          <w:szCs w:val="28"/>
          <w:highlight w:val="none"/>
        </w:rPr>
        <w:t>1</w:t>
      </w:r>
    </w:p>
    <w:p w14:paraId="31B4DD46">
      <w:pPr>
        <w:pStyle w:val="313"/>
        <w:tabs>
          <w:tab w:val="right" w:leader="dot" w:pos="9072"/>
        </w:tabs>
        <w:spacing w:line="1100" w:lineRule="atLeast"/>
        <w:rPr>
          <w:color w:val="000000"/>
          <w:sz w:val="28"/>
          <w:szCs w:val="28"/>
          <w:highlight w:val="none"/>
        </w:rPr>
      </w:pPr>
      <w:r>
        <w:rPr>
          <w:highlight w:val="none"/>
        </w:rPr>
        <w:fldChar w:fldCharType="begin"/>
      </w:r>
      <w:r>
        <w:rPr>
          <w:highlight w:val="none"/>
        </w:rPr>
        <w:instrText xml:space="preserve">HYPERLINK \l "_Toc16807_WPSOffice_Level1"</w:instrText>
      </w:r>
      <w:r>
        <w:rPr>
          <w:highlight w:val="none"/>
        </w:rPr>
        <w:fldChar w:fldCharType="separate"/>
      </w:r>
      <w:r>
        <w:rPr>
          <w:b/>
          <w:bCs/>
          <w:color w:val="000000"/>
          <w:sz w:val="28"/>
          <w:szCs w:val="28"/>
          <w:highlight w:val="none"/>
        </w:rPr>
        <w:t>第</w:t>
      </w:r>
      <w:r>
        <w:rPr>
          <w:rFonts w:hint="eastAsia"/>
          <w:b/>
          <w:bCs/>
          <w:color w:val="000000"/>
          <w:sz w:val="28"/>
          <w:szCs w:val="28"/>
          <w:highlight w:val="none"/>
        </w:rPr>
        <w:t>四</w:t>
      </w:r>
      <w:r>
        <w:rPr>
          <w:b/>
          <w:bCs/>
          <w:color w:val="000000"/>
          <w:sz w:val="28"/>
          <w:szCs w:val="28"/>
          <w:highlight w:val="none"/>
        </w:rPr>
        <w:t>章 评标标准</w:t>
      </w:r>
      <w:r>
        <w:rPr>
          <w:b/>
          <w:bCs/>
          <w:color w:val="000000"/>
          <w:sz w:val="28"/>
          <w:szCs w:val="28"/>
          <w:highlight w:val="none"/>
        </w:rPr>
        <w:tab/>
      </w:r>
      <w:r>
        <w:rPr>
          <w:rFonts w:hint="eastAsia"/>
          <w:b/>
          <w:bCs/>
          <w:color w:val="000000"/>
          <w:sz w:val="28"/>
          <w:szCs w:val="28"/>
          <w:highlight w:val="none"/>
        </w:rPr>
        <w:t>27</w:t>
      </w:r>
      <w:r>
        <w:rPr>
          <w:highlight w:val="none"/>
        </w:rPr>
        <w:fldChar w:fldCharType="end"/>
      </w:r>
    </w:p>
    <w:p w14:paraId="02A92432">
      <w:pPr>
        <w:pStyle w:val="313"/>
        <w:tabs>
          <w:tab w:val="right" w:leader="dot" w:pos="9072"/>
        </w:tabs>
        <w:spacing w:line="1100" w:lineRule="atLeast"/>
        <w:rPr>
          <w:color w:val="000000"/>
          <w:sz w:val="28"/>
          <w:szCs w:val="28"/>
          <w:highlight w:val="none"/>
        </w:rPr>
      </w:pPr>
      <w:r>
        <w:rPr>
          <w:highlight w:val="none"/>
        </w:rPr>
        <w:fldChar w:fldCharType="begin"/>
      </w:r>
      <w:r>
        <w:rPr>
          <w:highlight w:val="none"/>
        </w:rPr>
        <w:instrText xml:space="preserve">HYPERLINK \l "_Toc29292_WPSOffice_Level1"</w:instrText>
      </w:r>
      <w:r>
        <w:rPr>
          <w:highlight w:val="none"/>
        </w:rPr>
        <w:fldChar w:fldCharType="separate"/>
      </w:r>
      <w:r>
        <w:rPr>
          <w:b/>
          <w:bCs/>
          <w:color w:val="000000"/>
          <w:sz w:val="28"/>
          <w:szCs w:val="28"/>
          <w:highlight w:val="none"/>
        </w:rPr>
        <w:t>第五章 合同主要条款及格式</w:t>
      </w:r>
      <w:r>
        <w:rPr>
          <w:b/>
          <w:bCs/>
          <w:color w:val="000000"/>
          <w:sz w:val="28"/>
          <w:szCs w:val="28"/>
          <w:highlight w:val="none"/>
        </w:rPr>
        <w:tab/>
      </w:r>
      <w:r>
        <w:rPr>
          <w:rFonts w:hint="eastAsia"/>
          <w:b/>
          <w:bCs/>
          <w:color w:val="000000"/>
          <w:sz w:val="28"/>
          <w:szCs w:val="28"/>
          <w:highlight w:val="none"/>
        </w:rPr>
        <w:t>31</w:t>
      </w:r>
      <w:r>
        <w:rPr>
          <w:highlight w:val="none"/>
        </w:rPr>
        <w:fldChar w:fldCharType="end"/>
      </w:r>
    </w:p>
    <w:p w14:paraId="03811853">
      <w:pPr>
        <w:pStyle w:val="313"/>
        <w:tabs>
          <w:tab w:val="right" w:leader="dot" w:pos="9072"/>
        </w:tabs>
        <w:spacing w:line="1100" w:lineRule="atLeast"/>
        <w:rPr>
          <w:color w:val="000000"/>
          <w:sz w:val="28"/>
          <w:szCs w:val="28"/>
          <w:highlight w:val="none"/>
        </w:rPr>
      </w:pPr>
      <w:r>
        <w:rPr>
          <w:highlight w:val="none"/>
        </w:rPr>
        <w:fldChar w:fldCharType="begin"/>
      </w:r>
      <w:r>
        <w:rPr>
          <w:highlight w:val="none"/>
        </w:rPr>
        <w:instrText xml:space="preserve">HYPERLINK \l "_Toc20712_WPSOffice_Level1"</w:instrText>
      </w:r>
      <w:r>
        <w:rPr>
          <w:highlight w:val="none"/>
        </w:rPr>
        <w:fldChar w:fldCharType="separate"/>
      </w:r>
      <w:r>
        <w:rPr>
          <w:b/>
          <w:bCs/>
          <w:color w:val="000000"/>
          <w:sz w:val="28"/>
          <w:szCs w:val="28"/>
          <w:highlight w:val="none"/>
        </w:rPr>
        <w:t xml:space="preserve">第六章 </w:t>
      </w:r>
      <w:r>
        <w:rPr>
          <w:rFonts w:hint="eastAsia"/>
          <w:b/>
          <w:bCs/>
          <w:color w:val="000000"/>
          <w:sz w:val="28"/>
          <w:szCs w:val="28"/>
          <w:highlight w:val="none"/>
        </w:rPr>
        <w:t>投标</w:t>
      </w:r>
      <w:r>
        <w:rPr>
          <w:b/>
          <w:bCs/>
          <w:color w:val="000000"/>
          <w:sz w:val="28"/>
          <w:szCs w:val="28"/>
          <w:highlight w:val="none"/>
        </w:rPr>
        <w:t>文件格式及附件</w:t>
      </w:r>
      <w:r>
        <w:rPr>
          <w:b/>
          <w:bCs/>
          <w:color w:val="000000"/>
          <w:sz w:val="28"/>
          <w:szCs w:val="28"/>
          <w:highlight w:val="none"/>
        </w:rPr>
        <w:tab/>
      </w:r>
      <w:r>
        <w:rPr>
          <w:rFonts w:hint="eastAsia"/>
          <w:b/>
          <w:bCs/>
          <w:color w:val="000000"/>
          <w:sz w:val="28"/>
          <w:szCs w:val="28"/>
          <w:highlight w:val="none"/>
        </w:rPr>
        <w:t>44</w:t>
      </w:r>
      <w:r>
        <w:rPr>
          <w:highlight w:val="none"/>
        </w:rPr>
        <w:fldChar w:fldCharType="end"/>
      </w:r>
    </w:p>
    <w:bookmarkEnd w:id="0"/>
    <w:p w14:paraId="46D5AE58">
      <w:pPr>
        <w:pStyle w:val="248"/>
        <w:spacing w:line="360" w:lineRule="auto"/>
        <w:jc w:val="center"/>
        <w:rPr>
          <w:color w:val="000000"/>
          <w:szCs w:val="22"/>
        </w:rPr>
      </w:pPr>
      <w:r>
        <w:rPr>
          <w:color w:val="000000"/>
          <w:szCs w:val="22"/>
        </w:rPr>
        <w:br w:type="page" w:clear="all"/>
      </w:r>
      <w:bookmarkStart w:id="1" w:name="_Toc4328_WPSOffice_Level1"/>
      <w:r>
        <w:rPr>
          <w:color w:val="000000"/>
          <w:szCs w:val="22"/>
        </w:rPr>
        <w:t>第一章  采购公告</w:t>
      </w:r>
      <w:bookmarkEnd w:id="1"/>
    </w:p>
    <w:p w14:paraId="777E0503">
      <w:pPr>
        <w:widowControl/>
        <w:shd w:val="clear" w:color="auto" w:fill="FFFFFF"/>
        <w:spacing w:before="75" w:after="75" w:line="480" w:lineRule="auto"/>
        <w:jc w:val="center"/>
        <w:rPr>
          <w:b/>
          <w:color w:val="000000"/>
          <w:sz w:val="30"/>
          <w:szCs w:val="30"/>
        </w:rPr>
      </w:pPr>
      <w:bookmarkStart w:id="2" w:name="_Toc13858_WPSOffice_Level2"/>
      <w:r>
        <w:rPr>
          <w:rFonts w:hint="eastAsia"/>
          <w:b/>
          <w:color w:val="000000"/>
          <w:sz w:val="30"/>
          <w:szCs w:val="30"/>
        </w:rPr>
        <w:t>紫金山松材线虫病无疫情成果巩固项目</w:t>
      </w:r>
    </w:p>
    <w:p w14:paraId="6B1162EB">
      <w:pPr>
        <w:widowControl/>
        <w:shd w:val="clear" w:color="auto" w:fill="FFFFFF"/>
        <w:spacing w:before="75" w:after="75" w:line="480" w:lineRule="auto"/>
        <w:jc w:val="center"/>
        <w:rPr>
          <w:b/>
          <w:color w:val="000000"/>
          <w:sz w:val="30"/>
          <w:szCs w:val="30"/>
        </w:rPr>
      </w:pPr>
      <w:r>
        <w:rPr>
          <w:rFonts w:hint="eastAsia"/>
          <w:b/>
          <w:color w:val="000000"/>
          <w:sz w:val="30"/>
          <w:szCs w:val="30"/>
        </w:rPr>
        <w:t>公开招标</w:t>
      </w:r>
      <w:r>
        <w:rPr>
          <w:b/>
          <w:color w:val="000000"/>
          <w:sz w:val="30"/>
          <w:szCs w:val="30"/>
        </w:rPr>
        <w:t>公告</w:t>
      </w:r>
      <w:bookmarkEnd w:id="2"/>
    </w:p>
    <w:tbl>
      <w:tblPr>
        <w:tblStyle w:val="28"/>
        <w:tblW w:w="5002"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9178"/>
      </w:tblGrid>
      <w:tr w14:paraId="2CD17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9106" w:type="dxa"/>
            <w:noWrap w:val="0"/>
            <w:vAlign w:val="center"/>
          </w:tcPr>
          <w:p w14:paraId="700970DD">
            <w:pPr>
              <w:pStyle w:val="272"/>
              <w:rPr>
                <w:sz w:val="28"/>
                <w:szCs w:val="28"/>
              </w:rPr>
            </w:pPr>
            <w:r>
              <w:rPr>
                <w:rFonts w:ascii="仿宋" w:hAnsi="仿宋" w:eastAsia="仿宋" w:cs="仿宋"/>
                <w:sz w:val="28"/>
                <w:szCs w:val="28"/>
              </w:rPr>
              <w:t>项目概况</w:t>
            </w:r>
            <w:r>
              <w:rPr>
                <w:rFonts w:hint="eastAsia" w:ascii="仿宋" w:hAnsi="仿宋" w:eastAsia="仿宋" w:cs="仿宋"/>
                <w:sz w:val="28"/>
                <w:szCs w:val="28"/>
              </w:rPr>
              <w:t>：紫金山松材线虫病无疫情成果巩固项目</w:t>
            </w:r>
            <w:r>
              <w:rPr>
                <w:rFonts w:hint="eastAsia" w:ascii="仿宋" w:hAnsi="仿宋" w:eastAsia="仿宋" w:cs="仿宋"/>
                <w:sz w:val="28"/>
                <w:szCs w:val="28"/>
                <w:lang w:eastAsia="zh-CN"/>
              </w:rPr>
              <w:t>JSZC-320100-NJJK-G2026-0003</w:t>
            </w:r>
            <w:r>
              <w:rPr>
                <w:rFonts w:hint="eastAsia" w:ascii="仿宋" w:hAnsi="仿宋" w:eastAsia="仿宋" w:cs="仿宋"/>
                <w:sz w:val="28"/>
                <w:szCs w:val="28"/>
              </w:rPr>
              <w:t>采购项目的潜在供应商应在江苏政府采购网、南京公共采购信息网获取采购文件，并于</w:t>
            </w:r>
            <w:r>
              <w:rPr>
                <w:rFonts w:hint="eastAsia" w:ascii="仿宋" w:hAnsi="仿宋" w:eastAsia="仿宋" w:cs="仿宋"/>
                <w:sz w:val="28"/>
                <w:szCs w:val="28"/>
                <w:lang w:eastAsia="zh-CN"/>
              </w:rPr>
              <w:t>2026-03- 24日</w:t>
            </w:r>
            <w:r>
              <w:rPr>
                <w:rFonts w:hint="eastAsia" w:ascii="仿宋" w:hAnsi="仿宋" w:eastAsia="仿宋" w:cs="仿宋"/>
                <w:sz w:val="28"/>
                <w:szCs w:val="28"/>
              </w:rPr>
              <w:t>14:30（北京时间）前提交投标文件。</w:t>
            </w:r>
          </w:p>
        </w:tc>
      </w:tr>
    </w:tbl>
    <w:p w14:paraId="028FE746">
      <w:pPr>
        <w:pStyle w:val="249"/>
        <w:keepNext w:val="0"/>
        <w:keepLines w:val="0"/>
        <w:widowControl/>
        <w:spacing w:before="0" w:after="0" w:line="460" w:lineRule="exact"/>
        <w:rPr>
          <w:sz w:val="28"/>
          <w:szCs w:val="28"/>
        </w:rPr>
      </w:pPr>
      <w:r>
        <w:rPr>
          <w:rStyle w:val="276"/>
          <w:rFonts w:ascii="黑体" w:hAnsi="宋体" w:cs="黑体"/>
          <w:b w:val="0"/>
          <w:sz w:val="28"/>
          <w:szCs w:val="28"/>
        </w:rPr>
        <w:t>一、项目基本情况</w:t>
      </w:r>
    </w:p>
    <w:p w14:paraId="399E2278">
      <w:pPr>
        <w:pStyle w:val="272"/>
        <w:spacing w:before="0" w:beforeAutospacing="0" w:after="0" w:afterAutospacing="0" w:line="460" w:lineRule="exact"/>
        <w:rPr>
          <w:rFonts w:hint="eastAsia" w:eastAsia="仿宋"/>
          <w:sz w:val="28"/>
          <w:szCs w:val="28"/>
          <w:lang w:eastAsia="zh-CN"/>
        </w:rPr>
      </w:pPr>
      <w:r>
        <w:rPr>
          <w:rFonts w:hint="eastAsia" w:ascii="仿宋" w:hAnsi="仿宋" w:eastAsia="仿宋" w:cs="仿宋"/>
          <w:sz w:val="28"/>
          <w:szCs w:val="28"/>
        </w:rPr>
        <w:t>项目编号：</w:t>
      </w:r>
      <w:r>
        <w:rPr>
          <w:rFonts w:hint="eastAsia" w:ascii="仿宋" w:hAnsi="仿宋" w:eastAsia="仿宋" w:cs="仿宋"/>
          <w:sz w:val="28"/>
          <w:szCs w:val="28"/>
          <w:lang w:eastAsia="zh-CN"/>
        </w:rPr>
        <w:t>JSZC-320100-NJJK-G2026-0003</w:t>
      </w:r>
    </w:p>
    <w:p w14:paraId="4F3F38C3">
      <w:pPr>
        <w:pStyle w:val="272"/>
        <w:spacing w:before="0" w:beforeAutospacing="0" w:after="0" w:afterAutospacing="0" w:line="460" w:lineRule="exact"/>
        <w:rPr>
          <w:rFonts w:eastAsia="仿宋"/>
          <w:sz w:val="28"/>
          <w:szCs w:val="28"/>
        </w:rPr>
      </w:pPr>
      <w:r>
        <w:rPr>
          <w:rFonts w:hint="eastAsia" w:ascii="仿宋" w:hAnsi="仿宋" w:eastAsia="仿宋" w:cs="仿宋"/>
          <w:sz w:val="28"/>
          <w:szCs w:val="28"/>
        </w:rPr>
        <w:t>项目名称：紫金山松材线虫病无疫情成果巩固项目</w:t>
      </w:r>
    </w:p>
    <w:p w14:paraId="1DD60FA2">
      <w:pPr>
        <w:pStyle w:val="272"/>
        <w:spacing w:before="0" w:beforeAutospacing="0" w:after="0" w:afterAutospacing="0" w:line="460" w:lineRule="exact"/>
        <w:rPr>
          <w:sz w:val="28"/>
          <w:szCs w:val="28"/>
        </w:rPr>
      </w:pPr>
      <w:r>
        <w:rPr>
          <w:rFonts w:hint="eastAsia" w:ascii="仿宋" w:hAnsi="仿宋" w:eastAsia="仿宋" w:cs="仿宋"/>
          <w:sz w:val="28"/>
          <w:szCs w:val="28"/>
        </w:rPr>
        <w:t>采购方式：公开招标 </w:t>
      </w:r>
    </w:p>
    <w:p w14:paraId="319D56A4">
      <w:pPr>
        <w:pStyle w:val="272"/>
        <w:spacing w:before="0" w:beforeAutospacing="0" w:after="0" w:afterAutospacing="0" w:line="460" w:lineRule="exact"/>
        <w:rPr>
          <w:rFonts w:ascii="仿宋" w:hAnsi="仿宋" w:eastAsia="仿宋" w:cs="仿宋"/>
          <w:sz w:val="28"/>
          <w:szCs w:val="28"/>
          <w:highlight w:val="none"/>
        </w:rPr>
      </w:pPr>
      <w:r>
        <w:rPr>
          <w:rFonts w:hint="eastAsia" w:ascii="仿宋" w:hAnsi="仿宋" w:eastAsia="仿宋" w:cs="仿宋"/>
          <w:sz w:val="28"/>
          <w:szCs w:val="28"/>
        </w:rPr>
        <w:t>最高限</w:t>
      </w:r>
      <w:r>
        <w:rPr>
          <w:rFonts w:hint="eastAsia" w:ascii="仿宋" w:hAnsi="仿宋" w:eastAsia="仿宋" w:cs="仿宋"/>
          <w:sz w:val="28"/>
          <w:szCs w:val="28"/>
          <w:highlight w:val="none"/>
        </w:rPr>
        <w:t>价：254万元（两年费用），超过最高限价按废标处理。</w:t>
      </w:r>
    </w:p>
    <w:p w14:paraId="3F720BAB">
      <w:pPr>
        <w:pStyle w:val="272"/>
        <w:spacing w:before="0" w:beforeAutospacing="0" w:after="0" w:afterAutospacing="0" w:line="460" w:lineRule="exact"/>
        <w:rPr>
          <w:color w:val="000000"/>
          <w:sz w:val="28"/>
          <w:szCs w:val="28"/>
          <w:highlight w:val="none"/>
        </w:rPr>
      </w:pPr>
      <w:r>
        <w:rPr>
          <w:rFonts w:hint="eastAsia" w:ascii="仿宋" w:hAnsi="仿宋" w:eastAsia="仿宋" w:cs="仿宋"/>
          <w:sz w:val="28"/>
          <w:szCs w:val="28"/>
          <w:highlight w:val="none"/>
        </w:rPr>
        <w:t>采购需求：实施方案编制；疫情监测与鉴定（疫情日常监测、专项普查、成虫诱捕监测、疫情样本鉴定）；死亡松树除治、健康松树注干预防保护、生物防治、药剂防治及除治标识制作；项目所需的招标、审计、验收等配套组织工作。具体详见招标文件。</w:t>
      </w:r>
    </w:p>
    <w:p w14:paraId="50253FAE">
      <w:pPr>
        <w:pStyle w:val="272"/>
        <w:spacing w:before="0" w:beforeAutospacing="0" w:after="0" w:afterAutospacing="0" w:line="4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合同履行期限：本项目服务期两年，自合同签订之日起至2028年2月29日。</w:t>
      </w:r>
    </w:p>
    <w:p w14:paraId="736EDD32">
      <w:pPr>
        <w:pStyle w:val="272"/>
        <w:spacing w:before="0" w:beforeAutospacing="0" w:after="0" w:afterAutospacing="0" w:line="460" w:lineRule="exact"/>
        <w:rPr>
          <w:color w:val="000000"/>
          <w:sz w:val="28"/>
          <w:szCs w:val="28"/>
          <w:highlight w:val="none"/>
        </w:rPr>
      </w:pPr>
      <w:r>
        <w:rPr>
          <w:rFonts w:hint="eastAsia" w:ascii="仿宋" w:hAnsi="仿宋" w:eastAsia="仿宋" w:cs="仿宋"/>
          <w:color w:val="000000"/>
          <w:sz w:val="28"/>
          <w:szCs w:val="28"/>
          <w:highlight w:val="none"/>
        </w:rPr>
        <w:t>本项目（是/否）接受联合体：不接受联合体 </w:t>
      </w:r>
    </w:p>
    <w:p w14:paraId="72825BC0">
      <w:pPr>
        <w:pStyle w:val="249"/>
        <w:keepNext w:val="0"/>
        <w:keepLines w:val="0"/>
        <w:widowControl/>
        <w:spacing w:before="0" w:after="0" w:line="460" w:lineRule="exact"/>
        <w:rPr>
          <w:color w:val="000000"/>
          <w:sz w:val="28"/>
          <w:szCs w:val="28"/>
        </w:rPr>
      </w:pPr>
      <w:r>
        <w:rPr>
          <w:rStyle w:val="276"/>
          <w:rFonts w:hint="eastAsia" w:ascii="黑体" w:hAnsi="宋体" w:cs="黑体"/>
          <w:b w:val="0"/>
          <w:color w:val="000000"/>
          <w:sz w:val="28"/>
          <w:szCs w:val="28"/>
        </w:rPr>
        <w:t>二、申请人的资格要求：</w:t>
      </w:r>
    </w:p>
    <w:p w14:paraId="2C712DC0">
      <w:pPr>
        <w:pStyle w:val="272"/>
        <w:spacing w:before="0" w:beforeAutospacing="0" w:after="0" w:afterAutospacing="0" w:line="460" w:lineRule="exact"/>
        <w:ind w:firstLine="560"/>
        <w:rPr>
          <w:color w:val="000000"/>
          <w:sz w:val="28"/>
          <w:szCs w:val="28"/>
        </w:rPr>
      </w:pPr>
      <w:r>
        <w:rPr>
          <w:rFonts w:hint="eastAsia" w:ascii="仿宋" w:hAnsi="仿宋" w:eastAsia="仿宋" w:cs="仿宋"/>
          <w:color w:val="000000"/>
          <w:sz w:val="28"/>
          <w:szCs w:val="28"/>
        </w:rPr>
        <w:t>（一）满足《中华人民共和国政府采购法》第二十二条规定：</w:t>
      </w:r>
    </w:p>
    <w:p w14:paraId="31853843">
      <w:pPr>
        <w:pStyle w:val="272"/>
        <w:spacing w:before="0" w:beforeAutospacing="0" w:after="0" w:afterAutospacing="0" w:line="460" w:lineRule="exact"/>
        <w:ind w:firstLine="560"/>
        <w:rPr>
          <w:color w:val="000000"/>
          <w:sz w:val="28"/>
          <w:szCs w:val="28"/>
        </w:rPr>
      </w:pPr>
      <w:r>
        <w:rPr>
          <w:rFonts w:hint="eastAsia" w:ascii="仿宋" w:hAnsi="仿宋" w:eastAsia="仿宋" w:cs="仿宋"/>
          <w:color w:val="000000"/>
          <w:sz w:val="28"/>
          <w:szCs w:val="28"/>
        </w:rPr>
        <w:t>1.具有独立承担民事责任的能力（法人或者其他组织提供营业执照或法人证书或组织机构代码证，自然人提供身份证）</w:t>
      </w:r>
    </w:p>
    <w:p w14:paraId="09E612BD">
      <w:pPr>
        <w:pStyle w:val="272"/>
        <w:spacing w:before="0" w:beforeAutospacing="0" w:after="0" w:afterAutospacing="0" w:line="460" w:lineRule="exact"/>
        <w:ind w:firstLine="560"/>
        <w:rPr>
          <w:color w:val="000000"/>
          <w:sz w:val="28"/>
          <w:szCs w:val="28"/>
        </w:rPr>
      </w:pPr>
      <w:r>
        <w:rPr>
          <w:rFonts w:hint="eastAsia" w:ascii="仿宋" w:hAnsi="仿宋" w:eastAsia="仿宋" w:cs="仿宋"/>
          <w:color w:val="000000"/>
          <w:sz w:val="28"/>
          <w:szCs w:val="28"/>
        </w:rPr>
        <w:t>2.具有良好的商业信誉和健全的财务会计制度（提供参加2024年或2025年的会计报表或财务报告，成立不满一年的无需提供）</w:t>
      </w:r>
    </w:p>
    <w:p w14:paraId="2C598202">
      <w:pPr>
        <w:pStyle w:val="272"/>
        <w:spacing w:before="0" w:beforeAutospacing="0" w:after="0" w:afterAutospacing="0" w:line="460" w:lineRule="exact"/>
        <w:ind w:firstLine="560"/>
        <w:rPr>
          <w:color w:val="000000"/>
          <w:sz w:val="28"/>
          <w:szCs w:val="28"/>
        </w:rPr>
      </w:pPr>
      <w:r>
        <w:rPr>
          <w:rFonts w:hint="eastAsia" w:ascii="仿宋" w:hAnsi="仿宋" w:eastAsia="仿宋" w:cs="仿宋"/>
          <w:color w:val="000000"/>
          <w:sz w:val="28"/>
          <w:szCs w:val="28"/>
        </w:rPr>
        <w:t>3.具有履行合同所必须的设备和专业技术能力（根据项目需求提供履行合同所必需的设备和专业技术能力的声明或证明材料）（格式见后附件）</w:t>
      </w:r>
    </w:p>
    <w:p w14:paraId="40F4BFC6">
      <w:pPr>
        <w:pStyle w:val="272"/>
        <w:spacing w:before="0" w:beforeAutospacing="0" w:after="0" w:afterAutospacing="0" w:line="460" w:lineRule="exact"/>
        <w:ind w:firstLine="560"/>
        <w:rPr>
          <w:color w:val="000000"/>
          <w:sz w:val="28"/>
          <w:szCs w:val="28"/>
        </w:rPr>
      </w:pPr>
      <w:r>
        <w:rPr>
          <w:rFonts w:hint="eastAsia" w:ascii="仿宋" w:hAnsi="仿宋" w:eastAsia="仿宋" w:cs="仿宋"/>
          <w:color w:val="000000"/>
          <w:sz w:val="28"/>
          <w:szCs w:val="28"/>
        </w:rPr>
        <w:t>4.有依法缴纳税收和社会保障资金的良好记录（提供参加本次政府采购活动前一年内（至少一个月）依法缴纳税收和社会保障资金的相关材料复印件并加盖公章）</w:t>
      </w:r>
    </w:p>
    <w:p w14:paraId="229FAE14">
      <w:pPr>
        <w:pStyle w:val="272"/>
        <w:spacing w:before="0" w:beforeAutospacing="0" w:after="0" w:afterAutospacing="0" w:line="460" w:lineRule="exact"/>
        <w:ind w:firstLine="560"/>
        <w:rPr>
          <w:rFonts w:ascii="仿宋" w:hAnsi="仿宋" w:eastAsia="仿宋" w:cs="仿宋"/>
          <w:color w:val="000000"/>
          <w:sz w:val="28"/>
          <w:szCs w:val="28"/>
        </w:rPr>
      </w:pPr>
      <w:r>
        <w:rPr>
          <w:rFonts w:hint="eastAsia" w:ascii="仿宋" w:hAnsi="仿宋" w:eastAsia="仿宋" w:cs="仿宋"/>
          <w:color w:val="000000"/>
          <w:sz w:val="28"/>
          <w:szCs w:val="28"/>
        </w:rPr>
        <w:t>5.参加政府采购活动前三年内，在经营活动中没有重大违法记录（在经营活动中没有重大违法记录，提供参加政府采购活动前3年内在经营活动中没有重大违法记录的书面声明原件并加盖公章）（格式见后附件）</w:t>
      </w:r>
    </w:p>
    <w:p w14:paraId="67CD794C">
      <w:pPr>
        <w:pStyle w:val="272"/>
        <w:spacing w:before="0" w:beforeAutospacing="0" w:after="0" w:afterAutospacing="0" w:line="460" w:lineRule="exact"/>
        <w:ind w:firstLine="560"/>
        <w:rPr>
          <w:color w:val="000000"/>
          <w:sz w:val="28"/>
          <w:szCs w:val="28"/>
        </w:rPr>
      </w:pPr>
      <w:r>
        <w:rPr>
          <w:rFonts w:hint="eastAsia" w:ascii="仿宋" w:hAnsi="仿宋" w:eastAsia="仿宋" w:cs="仿宋"/>
          <w:color w:val="000000"/>
          <w:sz w:val="28"/>
          <w:szCs w:val="28"/>
        </w:rPr>
        <w:t>6.法律、行政法规规定的其他条件：无</w:t>
      </w:r>
    </w:p>
    <w:p w14:paraId="3173C61F">
      <w:pPr>
        <w:pStyle w:val="272"/>
        <w:spacing w:before="0" w:beforeAutospacing="0" w:after="0" w:afterAutospacing="0" w:line="460" w:lineRule="exact"/>
        <w:ind w:firstLine="560"/>
        <w:rPr>
          <w:color w:val="000000"/>
          <w:sz w:val="28"/>
          <w:szCs w:val="28"/>
        </w:rPr>
      </w:pPr>
      <w:r>
        <w:rPr>
          <w:rFonts w:hint="eastAsia" w:ascii="仿宋" w:hAnsi="仿宋" w:eastAsia="仿宋" w:cs="仿宋"/>
          <w:color w:val="000000"/>
          <w:sz w:val="28"/>
          <w:szCs w:val="28"/>
        </w:rPr>
        <w:t>（二）落实政府采购政策需满足的资格要求：</w:t>
      </w:r>
    </w:p>
    <w:p w14:paraId="052F2504">
      <w:pPr>
        <w:widowControl/>
        <w:spacing w:line="460" w:lineRule="exact"/>
        <w:ind w:firstLine="560"/>
        <w:jc w:val="left"/>
        <w:rPr>
          <w:color w:val="000000"/>
          <w:sz w:val="28"/>
          <w:szCs w:val="28"/>
        </w:rPr>
      </w:pPr>
      <w:r>
        <w:rPr>
          <w:rFonts w:hint="eastAsia" w:ascii="仿宋" w:hAnsi="仿宋" w:eastAsia="仿宋" w:cs="仿宋"/>
          <w:color w:val="000000"/>
          <w:sz w:val="28"/>
          <w:szCs w:val="28"/>
        </w:rPr>
        <w:t>本项目为非预留份额的采购项目或采购包，执行价格扣除优惠政策，具体详见第三章评标标准。</w:t>
      </w:r>
    </w:p>
    <w:p w14:paraId="3269BC28">
      <w:pPr>
        <w:pStyle w:val="272"/>
        <w:spacing w:before="0" w:beforeAutospacing="0" w:after="0" w:afterAutospacing="0" w:line="460" w:lineRule="exact"/>
        <w:ind w:firstLine="560"/>
        <w:rPr>
          <w:rFonts w:ascii="仿宋" w:hAnsi="仿宋" w:eastAsia="仿宋" w:cs="仿宋"/>
          <w:color w:val="FF0000"/>
          <w:sz w:val="28"/>
          <w:szCs w:val="28"/>
        </w:rPr>
      </w:pPr>
      <w:r>
        <w:rPr>
          <w:rFonts w:hint="eastAsia" w:ascii="仿宋" w:hAnsi="仿宋" w:eastAsia="仿宋" w:cs="仿宋"/>
          <w:color w:val="000000"/>
          <w:sz w:val="28"/>
          <w:szCs w:val="28"/>
        </w:rPr>
        <w:t>（三）本项目的特定资格要求：无</w:t>
      </w:r>
    </w:p>
    <w:p w14:paraId="1C650FAE">
      <w:pPr>
        <w:pStyle w:val="249"/>
        <w:keepNext w:val="0"/>
        <w:keepLines w:val="0"/>
        <w:widowControl/>
        <w:spacing w:before="0" w:after="0" w:line="460" w:lineRule="exact"/>
        <w:rPr>
          <w:color w:val="000000"/>
          <w:sz w:val="28"/>
          <w:szCs w:val="28"/>
        </w:rPr>
      </w:pPr>
      <w:r>
        <w:rPr>
          <w:rStyle w:val="276"/>
          <w:rFonts w:hint="eastAsia" w:ascii="黑体" w:hAnsi="宋体" w:cs="黑体"/>
          <w:b w:val="0"/>
          <w:color w:val="000000"/>
          <w:sz w:val="28"/>
          <w:szCs w:val="28"/>
        </w:rPr>
        <w:t>三、获取采购文件</w:t>
      </w:r>
    </w:p>
    <w:p w14:paraId="29006F7E">
      <w:pPr>
        <w:pStyle w:val="272"/>
        <w:spacing w:before="0" w:beforeAutospacing="0" w:after="0" w:afterAutospacing="0" w:line="460" w:lineRule="exact"/>
        <w:rPr>
          <w:color w:val="000000"/>
          <w:sz w:val="28"/>
          <w:szCs w:val="28"/>
        </w:rPr>
      </w:pPr>
      <w:r>
        <w:rPr>
          <w:rFonts w:hint="eastAsia" w:ascii="仿宋" w:hAnsi="仿宋" w:eastAsia="仿宋" w:cs="仿宋"/>
          <w:color w:val="000000"/>
          <w:sz w:val="28"/>
          <w:szCs w:val="28"/>
        </w:rPr>
        <w:t>时间：</w:t>
      </w:r>
      <w:r>
        <w:rPr>
          <w:rFonts w:hint="eastAsia" w:ascii="仿宋" w:hAnsi="仿宋" w:eastAsia="仿宋" w:cs="仿宋"/>
          <w:sz w:val="28"/>
          <w:szCs w:val="28"/>
        </w:rPr>
        <w:t>自招标文件公告发布之日起5个工作日</w:t>
      </w:r>
    </w:p>
    <w:p w14:paraId="72D64D3E">
      <w:pPr>
        <w:pStyle w:val="272"/>
        <w:spacing w:before="0" w:beforeAutospacing="0" w:after="0" w:afterAutospacing="0" w:line="460" w:lineRule="exact"/>
        <w:rPr>
          <w:rFonts w:ascii="仿宋" w:hAnsi="仿宋" w:eastAsia="仿宋" w:cs="仿宋"/>
          <w:color w:val="000000"/>
          <w:sz w:val="28"/>
          <w:szCs w:val="28"/>
        </w:rPr>
      </w:pPr>
      <w:r>
        <w:rPr>
          <w:rFonts w:hint="eastAsia" w:ascii="仿宋" w:hAnsi="仿宋" w:eastAsia="仿宋" w:cs="仿宋"/>
          <w:color w:val="000000"/>
          <w:sz w:val="28"/>
          <w:szCs w:val="28"/>
        </w:rPr>
        <w:t>地点：</w:t>
      </w:r>
      <w:r>
        <w:rPr>
          <w:rFonts w:ascii="仿宋" w:hAnsi="仿宋" w:eastAsia="仿宋" w:cs="仿宋"/>
          <w:sz w:val="28"/>
          <w:szCs w:val="28"/>
        </w:rPr>
        <w:t>江苏政府采购网、南京公共采购信息网</w:t>
      </w:r>
    </w:p>
    <w:p w14:paraId="31173A67">
      <w:pPr>
        <w:pStyle w:val="272"/>
        <w:spacing w:before="0" w:beforeAutospacing="0" w:after="0" w:afterAutospacing="0" w:line="460" w:lineRule="exact"/>
        <w:rPr>
          <w:color w:val="000000"/>
          <w:sz w:val="28"/>
          <w:szCs w:val="28"/>
        </w:rPr>
      </w:pPr>
      <w:r>
        <w:rPr>
          <w:rFonts w:hint="eastAsia" w:ascii="仿宋" w:hAnsi="仿宋" w:eastAsia="仿宋" w:cs="仿宋"/>
          <w:color w:val="000000"/>
          <w:sz w:val="28"/>
          <w:szCs w:val="28"/>
        </w:rPr>
        <w:t>方式：</w:t>
      </w:r>
      <w:r>
        <w:rPr>
          <w:rFonts w:hint="eastAsia" w:ascii="仿宋" w:hAnsi="仿宋" w:eastAsia="仿宋"/>
          <w:color w:val="000000"/>
          <w:sz w:val="28"/>
          <w:szCs w:val="28"/>
          <w:shd w:val="clear" w:color="auto" w:fill="FFFFFF"/>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cs="宋体"/>
          <w:color w:val="000000"/>
          <w:sz w:val="28"/>
          <w:szCs w:val="28"/>
          <w:shd w:val="clear" w:color="auto" w:fill="FFFFFF"/>
        </w:rPr>
        <w:t> </w:t>
      </w:r>
    </w:p>
    <w:p w14:paraId="42A9EC25">
      <w:pPr>
        <w:pStyle w:val="272"/>
        <w:spacing w:before="0" w:beforeAutospacing="0" w:after="0" w:afterAutospacing="0" w:line="460" w:lineRule="exact"/>
        <w:rPr>
          <w:color w:val="000000"/>
          <w:sz w:val="28"/>
          <w:szCs w:val="28"/>
        </w:rPr>
      </w:pPr>
      <w:r>
        <w:rPr>
          <w:rFonts w:hint="eastAsia" w:ascii="仿宋" w:hAnsi="仿宋" w:eastAsia="仿宋" w:cs="仿宋"/>
          <w:color w:val="000000"/>
          <w:sz w:val="28"/>
          <w:szCs w:val="28"/>
        </w:rPr>
        <w:t>售价：0.00元 </w:t>
      </w:r>
    </w:p>
    <w:p w14:paraId="0D87C625">
      <w:pPr>
        <w:pStyle w:val="249"/>
        <w:keepNext w:val="0"/>
        <w:keepLines w:val="0"/>
        <w:widowControl/>
        <w:spacing w:before="0" w:after="0" w:line="460" w:lineRule="exact"/>
        <w:rPr>
          <w:color w:val="000000"/>
          <w:sz w:val="28"/>
          <w:szCs w:val="28"/>
        </w:rPr>
      </w:pPr>
      <w:r>
        <w:rPr>
          <w:rStyle w:val="276"/>
          <w:rFonts w:hint="eastAsia" w:ascii="黑体" w:hAnsi="宋体" w:cs="黑体"/>
          <w:b w:val="0"/>
          <w:color w:val="000000"/>
          <w:sz w:val="28"/>
          <w:szCs w:val="28"/>
        </w:rPr>
        <w:t>四、投标文件提交</w:t>
      </w:r>
    </w:p>
    <w:p w14:paraId="533C3EF5">
      <w:pPr>
        <w:pStyle w:val="272"/>
        <w:spacing w:before="0" w:beforeAutospacing="0" w:after="0" w:afterAutospacing="0" w:line="460" w:lineRule="exact"/>
        <w:rPr>
          <w:sz w:val="28"/>
          <w:szCs w:val="28"/>
        </w:rPr>
      </w:pPr>
      <w:r>
        <w:rPr>
          <w:rFonts w:hint="eastAsia" w:ascii="仿宋" w:hAnsi="仿宋" w:eastAsia="仿宋" w:cs="仿宋"/>
          <w:sz w:val="28"/>
          <w:szCs w:val="28"/>
        </w:rPr>
        <w:t>截止时间：</w:t>
      </w:r>
      <w:r>
        <w:rPr>
          <w:rFonts w:hint="eastAsia" w:ascii="仿宋" w:hAnsi="仿宋" w:eastAsia="仿宋" w:cs="仿宋"/>
          <w:sz w:val="28"/>
          <w:szCs w:val="28"/>
          <w:lang w:eastAsia="zh-CN"/>
        </w:rPr>
        <w:t>2026-03- 24日</w:t>
      </w:r>
      <w:r>
        <w:rPr>
          <w:rFonts w:hint="eastAsia" w:ascii="仿宋" w:hAnsi="仿宋" w:eastAsia="仿宋" w:cs="仿宋"/>
          <w:sz w:val="28"/>
          <w:szCs w:val="28"/>
        </w:rPr>
        <w:t>14:30（北京时间）</w:t>
      </w:r>
    </w:p>
    <w:p w14:paraId="66A7CBA0">
      <w:pPr>
        <w:pStyle w:val="272"/>
        <w:spacing w:before="0" w:beforeAutospacing="0" w:after="0" w:afterAutospacing="0" w:line="460" w:lineRule="exact"/>
        <w:rPr>
          <w:sz w:val="28"/>
          <w:szCs w:val="28"/>
        </w:rPr>
      </w:pPr>
      <w:r>
        <w:rPr>
          <w:rFonts w:hint="eastAsia" w:ascii="仿宋" w:hAnsi="仿宋" w:eastAsia="仿宋" w:cs="仿宋"/>
          <w:sz w:val="28"/>
          <w:szCs w:val="28"/>
        </w:rPr>
        <w:t>地点：“苏采云”政府采购交易系统网上开标大厅 </w:t>
      </w:r>
    </w:p>
    <w:p w14:paraId="7642C547">
      <w:pPr>
        <w:pStyle w:val="249"/>
        <w:keepNext w:val="0"/>
        <w:keepLines w:val="0"/>
        <w:widowControl/>
        <w:spacing w:before="0" w:after="0" w:line="460" w:lineRule="exact"/>
        <w:rPr>
          <w:sz w:val="28"/>
          <w:szCs w:val="28"/>
        </w:rPr>
      </w:pPr>
      <w:r>
        <w:rPr>
          <w:rStyle w:val="276"/>
          <w:rFonts w:hint="eastAsia" w:ascii="黑体" w:hAnsi="宋体" w:cs="黑体"/>
          <w:b w:val="0"/>
          <w:sz w:val="28"/>
          <w:szCs w:val="28"/>
        </w:rPr>
        <w:t>五、开启</w:t>
      </w:r>
    </w:p>
    <w:p w14:paraId="121B2D74">
      <w:pPr>
        <w:pStyle w:val="272"/>
        <w:spacing w:before="0" w:beforeAutospacing="0" w:after="0" w:afterAutospacing="0" w:line="460" w:lineRule="exact"/>
        <w:rPr>
          <w:sz w:val="28"/>
          <w:szCs w:val="28"/>
        </w:rPr>
      </w:pPr>
      <w:r>
        <w:rPr>
          <w:rFonts w:hint="eastAsia" w:ascii="仿宋" w:hAnsi="仿宋" w:eastAsia="仿宋" w:cs="仿宋"/>
          <w:sz w:val="28"/>
          <w:szCs w:val="28"/>
        </w:rPr>
        <w:t>时间：</w:t>
      </w:r>
      <w:r>
        <w:rPr>
          <w:rFonts w:hint="eastAsia" w:ascii="仿宋" w:hAnsi="仿宋" w:eastAsia="仿宋" w:cs="仿宋"/>
          <w:sz w:val="28"/>
          <w:szCs w:val="28"/>
          <w:lang w:eastAsia="zh-CN"/>
        </w:rPr>
        <w:t>2026-03- 24日</w:t>
      </w:r>
      <w:r>
        <w:rPr>
          <w:rFonts w:hint="eastAsia" w:ascii="仿宋" w:hAnsi="仿宋" w:eastAsia="仿宋" w:cs="仿宋"/>
          <w:sz w:val="28"/>
          <w:szCs w:val="28"/>
        </w:rPr>
        <w:t>14:30（北京时间）</w:t>
      </w:r>
    </w:p>
    <w:p w14:paraId="577A2CBC">
      <w:pPr>
        <w:pStyle w:val="272"/>
        <w:spacing w:before="0" w:beforeAutospacing="0" w:after="0" w:afterAutospacing="0" w:line="460" w:lineRule="exact"/>
        <w:rPr>
          <w:color w:val="000000"/>
          <w:sz w:val="28"/>
          <w:szCs w:val="28"/>
        </w:rPr>
      </w:pPr>
      <w:r>
        <w:rPr>
          <w:rFonts w:hint="eastAsia" w:ascii="仿宋" w:hAnsi="仿宋" w:eastAsia="仿宋" w:cs="仿宋"/>
          <w:color w:val="000000"/>
          <w:sz w:val="28"/>
          <w:szCs w:val="28"/>
        </w:rPr>
        <w:t>地点：</w:t>
      </w:r>
      <w:r>
        <w:rPr>
          <w:rFonts w:hint="eastAsia" w:ascii="仿宋" w:hAnsi="仿宋" w:eastAsia="仿宋"/>
          <w:color w:val="000000"/>
          <w:sz w:val="28"/>
          <w:szCs w:val="28"/>
          <w:shd w:val="clear" w:color="auto" w:fill="FFFFFF"/>
        </w:rPr>
        <w:t>“苏采云”政府采购交易系统网上开标大厅</w:t>
      </w:r>
      <w:r>
        <w:rPr>
          <w:rFonts w:hint="eastAsia" w:cs="宋体"/>
          <w:color w:val="000000"/>
          <w:sz w:val="28"/>
          <w:szCs w:val="28"/>
          <w:shd w:val="clear" w:color="auto" w:fill="FFFFFF"/>
        </w:rPr>
        <w:t> </w:t>
      </w:r>
    </w:p>
    <w:p w14:paraId="7D07A71D">
      <w:pPr>
        <w:pStyle w:val="249"/>
        <w:keepNext w:val="0"/>
        <w:keepLines w:val="0"/>
        <w:widowControl/>
        <w:spacing w:before="0" w:after="0" w:line="460" w:lineRule="exact"/>
        <w:rPr>
          <w:color w:val="000000"/>
          <w:sz w:val="28"/>
          <w:szCs w:val="28"/>
        </w:rPr>
      </w:pPr>
      <w:r>
        <w:rPr>
          <w:rStyle w:val="276"/>
          <w:rFonts w:hint="eastAsia" w:ascii="黑体" w:hAnsi="宋体" w:cs="黑体"/>
          <w:b w:val="0"/>
          <w:color w:val="000000"/>
          <w:sz w:val="28"/>
          <w:szCs w:val="28"/>
        </w:rPr>
        <w:t>六、公告期限</w:t>
      </w:r>
    </w:p>
    <w:p w14:paraId="09367254">
      <w:pPr>
        <w:pStyle w:val="272"/>
        <w:spacing w:before="0" w:beforeAutospacing="0" w:after="0" w:afterAutospacing="0" w:line="460" w:lineRule="exact"/>
        <w:rPr>
          <w:color w:val="000000"/>
          <w:sz w:val="28"/>
          <w:szCs w:val="28"/>
        </w:rPr>
      </w:pPr>
      <w:r>
        <w:rPr>
          <w:rFonts w:hint="eastAsia" w:ascii="仿宋" w:hAnsi="仿宋" w:eastAsia="仿宋" w:cs="仿宋"/>
          <w:sz w:val="28"/>
          <w:szCs w:val="28"/>
        </w:rPr>
        <w:t>自招标文件公告发布之日起5个工作日</w:t>
      </w:r>
      <w:r>
        <w:rPr>
          <w:rFonts w:hint="eastAsia" w:ascii="仿宋" w:hAnsi="仿宋" w:eastAsia="仿宋" w:cs="仿宋"/>
          <w:color w:val="000000"/>
          <w:sz w:val="28"/>
          <w:szCs w:val="28"/>
        </w:rPr>
        <w:t>。</w:t>
      </w:r>
    </w:p>
    <w:p w14:paraId="05DD8678">
      <w:pPr>
        <w:pStyle w:val="249"/>
        <w:keepNext w:val="0"/>
        <w:keepLines w:val="0"/>
        <w:widowControl/>
        <w:spacing w:before="0" w:after="0" w:line="460" w:lineRule="exact"/>
        <w:rPr>
          <w:color w:val="000000"/>
          <w:sz w:val="28"/>
          <w:szCs w:val="28"/>
        </w:rPr>
      </w:pPr>
      <w:r>
        <w:rPr>
          <w:rStyle w:val="276"/>
          <w:rFonts w:hint="eastAsia" w:ascii="黑体" w:hAnsi="宋体" w:cs="黑体"/>
          <w:b w:val="0"/>
          <w:color w:val="000000"/>
          <w:sz w:val="28"/>
          <w:szCs w:val="28"/>
        </w:rPr>
        <w:t>七、其他补充事宜</w:t>
      </w:r>
    </w:p>
    <w:p w14:paraId="471BA295">
      <w:pPr>
        <w:widowControl/>
        <w:spacing w:line="460" w:lineRule="exact"/>
        <w:ind w:firstLine="560"/>
        <w:jc w:val="left"/>
        <w:rPr>
          <w:color w:val="000000"/>
          <w:sz w:val="28"/>
          <w:szCs w:val="28"/>
        </w:rPr>
      </w:pPr>
      <w:r>
        <w:rPr>
          <w:rFonts w:hint="eastAsia" w:ascii="仿宋" w:hAnsi="仿宋" w:eastAsia="仿宋" w:cs="仿宋"/>
          <w:color w:val="000000"/>
          <w:sz w:val="28"/>
          <w:szCs w:val="28"/>
        </w:rPr>
        <w:t>1、采购人不组织现场勘查，供应商可自行勘察现场或联系采购人。未踏勘现场或踏勘工作不详细的供应商中标后，不得以不完全了解现场情况为理由而向采购人提出任何索赔或其他要求，对此采购人不承担任何责任并将不作任何答复，请各潜在投标供应商务必对采购文件进行仔细认真地阅读，在随后的采购中，对采购文件所作出的推论、解释和结论及由此造成的后果由投标供应商负责。</w:t>
      </w:r>
    </w:p>
    <w:p w14:paraId="5588AFF8">
      <w:pPr>
        <w:pStyle w:val="272"/>
        <w:spacing w:before="0" w:beforeAutospacing="0" w:after="0" w:afterAutospacing="0" w:line="460" w:lineRule="exact"/>
        <w:ind w:firstLine="560"/>
        <w:rPr>
          <w:color w:val="000000"/>
          <w:sz w:val="28"/>
          <w:szCs w:val="28"/>
        </w:rPr>
      </w:pPr>
      <w:r>
        <w:rPr>
          <w:rFonts w:hint="eastAsia" w:ascii="仿宋" w:hAnsi="仿宋" w:eastAsia="仿宋" w:cs="仿宋"/>
          <w:color w:val="000000"/>
          <w:sz w:val="28"/>
          <w:szCs w:val="28"/>
        </w:rPr>
        <w:t>2、拒绝下述供应商参加本次采购活动：</w:t>
      </w:r>
    </w:p>
    <w:p w14:paraId="0F2B51F9">
      <w:pPr>
        <w:pStyle w:val="272"/>
        <w:spacing w:before="0" w:beforeAutospacing="0" w:after="0" w:afterAutospacing="0" w:line="460" w:lineRule="exact"/>
        <w:ind w:firstLine="280"/>
        <w:rPr>
          <w:color w:val="000000"/>
          <w:sz w:val="28"/>
          <w:szCs w:val="28"/>
        </w:rPr>
      </w:pPr>
      <w:r>
        <w:rPr>
          <w:rFonts w:hint="eastAsia" w:ascii="仿宋" w:hAnsi="仿宋" w:eastAsia="仿宋" w:cs="仿宋"/>
          <w:color w:val="000000"/>
          <w:sz w:val="28"/>
          <w:szCs w:val="28"/>
        </w:rPr>
        <w:t>（1）供应商单位负责人为同一人或者存在直接控股、管理关系的不同供应商，不得参加同一合同项下的政府采购活动。</w:t>
      </w:r>
    </w:p>
    <w:p w14:paraId="43699749">
      <w:pPr>
        <w:pStyle w:val="272"/>
        <w:spacing w:before="0" w:beforeAutospacing="0" w:after="0" w:afterAutospacing="0" w:line="460" w:lineRule="exact"/>
        <w:ind w:firstLine="280"/>
        <w:rPr>
          <w:color w:val="000000"/>
          <w:sz w:val="28"/>
          <w:szCs w:val="28"/>
        </w:rPr>
      </w:pPr>
      <w:r>
        <w:rPr>
          <w:rFonts w:hint="eastAsia" w:ascii="仿宋" w:hAnsi="仿宋" w:eastAsia="仿宋" w:cs="仿宋"/>
          <w:color w:val="000000"/>
          <w:sz w:val="28"/>
          <w:szCs w:val="28"/>
        </w:rPr>
        <w:t>（2）凡为采购项目提供整体设计、规范编制或者项目管理、监理、检测等服务的供应商，不得再参加本项目的采购活动。</w:t>
      </w:r>
    </w:p>
    <w:p w14:paraId="58E4DE62">
      <w:pPr>
        <w:pStyle w:val="272"/>
        <w:spacing w:before="0" w:beforeAutospacing="0" w:after="0" w:afterAutospacing="0" w:line="460" w:lineRule="exact"/>
        <w:ind w:firstLine="280"/>
        <w:rPr>
          <w:color w:val="000000"/>
          <w:sz w:val="28"/>
          <w:szCs w:val="28"/>
        </w:rPr>
      </w:pPr>
      <w:r>
        <w:rPr>
          <w:rFonts w:hint="eastAsia" w:ascii="仿宋" w:hAnsi="仿宋" w:eastAsia="仿宋" w:cs="仿宋"/>
          <w:color w:val="000000"/>
          <w:sz w:val="28"/>
          <w:szCs w:val="28"/>
        </w:rPr>
        <w:t>（3）供应商被“信用中国”网站（www.creditchina.gov.cn）、“中国政府采购网”(www.ccgp.gov.cn)等渠道列入失信被执行人、重大税收违法案件当事人名单、政府采购严重违法失信行为记录名单。</w:t>
      </w:r>
    </w:p>
    <w:p w14:paraId="5C78B642">
      <w:pPr>
        <w:pStyle w:val="272"/>
        <w:spacing w:before="0" w:beforeAutospacing="0" w:after="0" w:afterAutospacing="0" w:line="460" w:lineRule="exact"/>
        <w:ind w:firstLine="280"/>
        <w:rPr>
          <w:color w:val="000000"/>
          <w:sz w:val="28"/>
          <w:szCs w:val="28"/>
        </w:rPr>
      </w:pPr>
      <w:r>
        <w:rPr>
          <w:rFonts w:hint="eastAsia" w:ascii="仿宋" w:hAnsi="仿宋" w:eastAsia="仿宋" w:cs="仿宋"/>
          <w:color w:val="000000"/>
          <w:sz w:val="28"/>
          <w:szCs w:val="28"/>
        </w:rPr>
        <w:t>（4）供应商未提供《南京市政府采购供应商信用记录表暨信用承诺书》。</w:t>
      </w:r>
    </w:p>
    <w:p w14:paraId="5CE6B1AA">
      <w:pPr>
        <w:pStyle w:val="272"/>
        <w:spacing w:before="0" w:beforeAutospacing="0" w:after="0" w:afterAutospacing="0" w:line="460" w:lineRule="exact"/>
        <w:ind w:firstLine="560"/>
        <w:rPr>
          <w:color w:val="000000"/>
          <w:sz w:val="28"/>
          <w:szCs w:val="28"/>
        </w:rPr>
      </w:pPr>
      <w:r>
        <w:rPr>
          <w:rFonts w:hint="eastAsia" w:ascii="仿宋" w:hAnsi="仿宋" w:eastAsia="仿宋" w:cs="仿宋"/>
          <w:color w:val="000000"/>
          <w:sz w:val="28"/>
          <w:szCs w:val="28"/>
        </w:rPr>
        <w:t>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要求完成注册），然后在“信用记录”模块页面点击“信用记录打印”下载本单位《南京市政府采购供应商信用记录表暨信用承诺书》，由法人签字并盖单位公章，随投标文件一并递交。</w:t>
      </w:r>
    </w:p>
    <w:p w14:paraId="1E6F267F">
      <w:pPr>
        <w:pStyle w:val="272"/>
        <w:spacing w:before="0" w:beforeAutospacing="0" w:after="0" w:afterAutospacing="0" w:line="460" w:lineRule="exact"/>
        <w:rPr>
          <w:color w:val="000000"/>
          <w:sz w:val="28"/>
          <w:szCs w:val="28"/>
        </w:rPr>
      </w:pPr>
      <w:r>
        <w:rPr>
          <w:rFonts w:hint="eastAsia" w:ascii="仿宋" w:hAnsi="仿宋" w:eastAsia="仿宋" w:cs="仿宋"/>
          <w:color w:val="000000"/>
          <w:sz w:val="28"/>
          <w:szCs w:val="28"/>
        </w:rPr>
        <w:t>在政府采购资格审查环节，供应商只需提供书面《南京市政府采购供应商信用记录表暨信用承诺书》，即可替代以下证明材料：</w:t>
      </w:r>
    </w:p>
    <w:p w14:paraId="5036E928">
      <w:pPr>
        <w:pStyle w:val="272"/>
        <w:spacing w:before="0" w:beforeAutospacing="0" w:after="0" w:afterAutospacing="0" w:line="460" w:lineRule="exact"/>
        <w:ind w:firstLine="560"/>
        <w:rPr>
          <w:color w:val="000000"/>
          <w:sz w:val="28"/>
          <w:szCs w:val="28"/>
        </w:rPr>
      </w:pPr>
      <w:r>
        <w:rPr>
          <w:rFonts w:hint="eastAsia" w:ascii="仿宋" w:hAnsi="仿宋" w:eastAsia="仿宋" w:cs="仿宋"/>
          <w:color w:val="000000"/>
          <w:sz w:val="28"/>
          <w:szCs w:val="28"/>
        </w:rPr>
        <w:t>（1）具有独立承担民事责任的能力；</w:t>
      </w:r>
    </w:p>
    <w:p w14:paraId="4AA69BEF">
      <w:pPr>
        <w:pStyle w:val="272"/>
        <w:spacing w:before="0" w:beforeAutospacing="0" w:after="0" w:afterAutospacing="0" w:line="460" w:lineRule="exact"/>
        <w:ind w:firstLine="560"/>
        <w:rPr>
          <w:color w:val="000000"/>
          <w:sz w:val="28"/>
          <w:szCs w:val="28"/>
        </w:rPr>
      </w:pPr>
      <w:r>
        <w:rPr>
          <w:rFonts w:hint="eastAsia" w:ascii="仿宋" w:hAnsi="仿宋" w:eastAsia="仿宋" w:cs="仿宋"/>
          <w:color w:val="000000"/>
          <w:sz w:val="28"/>
          <w:szCs w:val="28"/>
        </w:rPr>
        <w:t>（2）具有良好的商业信誉和健全的财务会计制度；</w:t>
      </w:r>
    </w:p>
    <w:p w14:paraId="68F51FE4">
      <w:pPr>
        <w:pStyle w:val="272"/>
        <w:spacing w:before="0" w:beforeAutospacing="0" w:after="0" w:afterAutospacing="0" w:line="460" w:lineRule="exact"/>
        <w:ind w:firstLine="560"/>
        <w:rPr>
          <w:color w:val="000000"/>
          <w:sz w:val="28"/>
          <w:szCs w:val="28"/>
        </w:rPr>
      </w:pPr>
      <w:r>
        <w:rPr>
          <w:rFonts w:hint="eastAsia" w:ascii="仿宋" w:hAnsi="仿宋" w:eastAsia="仿宋" w:cs="仿宋"/>
          <w:color w:val="000000"/>
          <w:sz w:val="28"/>
          <w:szCs w:val="28"/>
        </w:rPr>
        <w:t>（3）具有履行合同所必须的设备和专业技术能力；</w:t>
      </w:r>
    </w:p>
    <w:p w14:paraId="668F2BEB">
      <w:pPr>
        <w:pStyle w:val="272"/>
        <w:spacing w:before="0" w:beforeAutospacing="0" w:after="0" w:afterAutospacing="0" w:line="460" w:lineRule="exact"/>
        <w:ind w:firstLine="560"/>
        <w:rPr>
          <w:color w:val="000000"/>
          <w:sz w:val="28"/>
          <w:szCs w:val="28"/>
        </w:rPr>
      </w:pPr>
      <w:r>
        <w:rPr>
          <w:rFonts w:hint="eastAsia" w:ascii="仿宋" w:hAnsi="仿宋" w:eastAsia="仿宋" w:cs="仿宋"/>
          <w:color w:val="000000"/>
          <w:sz w:val="28"/>
          <w:szCs w:val="28"/>
        </w:rPr>
        <w:t>（4）有依法缴纳税收和社会保障资金的良好记录；</w:t>
      </w:r>
    </w:p>
    <w:p w14:paraId="1B5A6E5B">
      <w:pPr>
        <w:pStyle w:val="272"/>
        <w:spacing w:before="0" w:beforeAutospacing="0" w:after="0" w:afterAutospacing="0" w:line="460" w:lineRule="exact"/>
        <w:ind w:firstLine="560"/>
        <w:rPr>
          <w:color w:val="000000"/>
          <w:sz w:val="28"/>
          <w:szCs w:val="28"/>
        </w:rPr>
      </w:pPr>
      <w:r>
        <w:rPr>
          <w:rFonts w:hint="eastAsia" w:ascii="仿宋" w:hAnsi="仿宋" w:eastAsia="仿宋" w:cs="仿宋"/>
          <w:color w:val="000000"/>
          <w:sz w:val="28"/>
          <w:szCs w:val="28"/>
        </w:rPr>
        <w:t>（5）参加政府采购活动前三年内，在经营活动中没有重大违法记录；</w:t>
      </w:r>
    </w:p>
    <w:p w14:paraId="39F382C6">
      <w:pPr>
        <w:pStyle w:val="272"/>
        <w:spacing w:before="0" w:beforeAutospacing="0" w:after="0" w:afterAutospacing="0" w:line="460" w:lineRule="exact"/>
        <w:ind w:firstLine="560"/>
        <w:rPr>
          <w:color w:val="000000"/>
          <w:sz w:val="28"/>
          <w:szCs w:val="28"/>
        </w:rPr>
      </w:pPr>
      <w:r>
        <w:rPr>
          <w:rFonts w:hint="eastAsia" w:ascii="仿宋" w:hAnsi="仿宋" w:eastAsia="仿宋" w:cs="仿宋"/>
          <w:color w:val="000000"/>
          <w:sz w:val="28"/>
          <w:szCs w:val="28"/>
        </w:rPr>
        <w:t>（6）符合法律、行政法规和采购文件规定的其他条件。</w:t>
      </w:r>
    </w:p>
    <w:p w14:paraId="6FE42A95">
      <w:pPr>
        <w:pStyle w:val="272"/>
        <w:spacing w:before="0" w:beforeAutospacing="0" w:after="0" w:afterAutospacing="0" w:line="460" w:lineRule="exact"/>
        <w:ind w:firstLine="560"/>
        <w:rPr>
          <w:color w:val="000000"/>
          <w:sz w:val="28"/>
          <w:szCs w:val="28"/>
        </w:rPr>
      </w:pPr>
      <w:r>
        <w:rPr>
          <w:rFonts w:hint="eastAsia" w:ascii="仿宋" w:hAnsi="仿宋" w:eastAsia="仿宋" w:cs="仿宋"/>
          <w:color w:val="000000"/>
          <w:sz w:val="28"/>
          <w:szCs w:val="28"/>
        </w:rPr>
        <w:t>供应商在中标（成交）后，应按采购文件要求，将上述由信用承诺书替代的证明材料提交采购人或采购代理机构核验。经核验无误后，由采购人或采购代理机构发出中标（成交）通知书。</w:t>
      </w:r>
    </w:p>
    <w:p w14:paraId="1EA1339C">
      <w:pPr>
        <w:pStyle w:val="272"/>
        <w:spacing w:before="0" w:beforeAutospacing="0" w:after="0" w:afterAutospacing="0" w:line="460" w:lineRule="exact"/>
        <w:ind w:firstLine="560"/>
        <w:rPr>
          <w:color w:val="000000"/>
          <w:sz w:val="28"/>
          <w:szCs w:val="28"/>
        </w:rPr>
      </w:pPr>
      <w:r>
        <w:rPr>
          <w:rFonts w:hint="eastAsia" w:ascii="仿宋" w:hAnsi="仿宋" w:eastAsia="仿宋" w:cs="仿宋"/>
          <w:color w:val="000000"/>
          <w:sz w:val="28"/>
          <w:szCs w:val="28"/>
        </w:rPr>
        <w:t>供应商涉及以下情形的，不适用信用承诺：</w:t>
      </w:r>
    </w:p>
    <w:p w14:paraId="6D881E13">
      <w:pPr>
        <w:pStyle w:val="272"/>
        <w:spacing w:before="0" w:beforeAutospacing="0" w:after="0" w:afterAutospacing="0" w:line="460" w:lineRule="exact"/>
        <w:ind w:firstLine="280"/>
        <w:rPr>
          <w:color w:val="000000"/>
          <w:sz w:val="28"/>
          <w:szCs w:val="28"/>
        </w:rPr>
      </w:pPr>
      <w:r>
        <w:rPr>
          <w:rFonts w:hint="eastAsia" w:ascii="仿宋" w:hAnsi="仿宋" w:eastAsia="仿宋" w:cs="仿宋"/>
          <w:color w:val="000000"/>
          <w:sz w:val="28"/>
          <w:szCs w:val="28"/>
        </w:rPr>
        <w:t>（1）供应商被列入严重失信主体名单；</w:t>
      </w:r>
    </w:p>
    <w:p w14:paraId="60566856">
      <w:pPr>
        <w:pStyle w:val="272"/>
        <w:spacing w:before="0" w:beforeAutospacing="0" w:after="0" w:afterAutospacing="0" w:line="460" w:lineRule="exact"/>
        <w:ind w:firstLine="280"/>
        <w:rPr>
          <w:color w:val="000000"/>
          <w:sz w:val="28"/>
          <w:szCs w:val="28"/>
        </w:rPr>
      </w:pPr>
      <w:r>
        <w:rPr>
          <w:rFonts w:hint="eastAsia" w:ascii="仿宋" w:hAnsi="仿宋" w:eastAsia="仿宋" w:cs="仿宋"/>
          <w:color w:val="000000"/>
          <w:sz w:val="28"/>
          <w:szCs w:val="28"/>
        </w:rPr>
        <w:t>（2）被相关监管部门作出行政处罚且尚在处罚有效期内；</w:t>
      </w:r>
    </w:p>
    <w:p w14:paraId="36A3DB46">
      <w:pPr>
        <w:pStyle w:val="272"/>
        <w:spacing w:before="0" w:beforeAutospacing="0" w:after="0" w:afterAutospacing="0" w:line="460" w:lineRule="exact"/>
        <w:ind w:firstLine="280"/>
        <w:rPr>
          <w:color w:val="000000"/>
          <w:sz w:val="28"/>
          <w:szCs w:val="28"/>
        </w:rPr>
      </w:pPr>
      <w:r>
        <w:rPr>
          <w:rFonts w:hint="eastAsia" w:ascii="仿宋" w:hAnsi="仿宋" w:eastAsia="仿宋" w:cs="仿宋"/>
          <w:color w:val="000000"/>
          <w:sz w:val="28"/>
          <w:szCs w:val="28"/>
        </w:rPr>
        <w:t>（3）其他法律、行政法规规定的不适用信用承诺的情形。</w:t>
      </w:r>
    </w:p>
    <w:p w14:paraId="583C33C1">
      <w:pPr>
        <w:pStyle w:val="272"/>
        <w:spacing w:before="0" w:beforeAutospacing="0" w:after="0" w:afterAutospacing="0" w:line="460" w:lineRule="exact"/>
        <w:rPr>
          <w:color w:val="000000"/>
          <w:sz w:val="28"/>
          <w:szCs w:val="28"/>
        </w:rPr>
      </w:pPr>
      <w:r>
        <w:rPr>
          <w:rFonts w:hint="eastAsia" w:ascii="仿宋" w:hAnsi="仿宋" w:eastAsia="仿宋" w:cs="仿宋"/>
          <w:color w:val="000000"/>
          <w:sz w:val="28"/>
          <w:szCs w:val="28"/>
        </w:rPr>
        <w:t>供应商对信用承诺内容的真实性、合法性、有效性负责。如作出虚假信用承诺，视同为“提供虚假材料谋取中标、成交”的违法行为。</w:t>
      </w:r>
    </w:p>
    <w:p w14:paraId="42A0E35D">
      <w:pPr>
        <w:pStyle w:val="249"/>
        <w:keepNext w:val="0"/>
        <w:keepLines w:val="0"/>
        <w:widowControl/>
        <w:spacing w:before="0" w:after="0" w:line="460" w:lineRule="exact"/>
        <w:rPr>
          <w:color w:val="000000"/>
          <w:sz w:val="28"/>
          <w:szCs w:val="28"/>
        </w:rPr>
      </w:pPr>
      <w:r>
        <w:rPr>
          <w:rStyle w:val="276"/>
          <w:rFonts w:hint="eastAsia" w:ascii="黑体" w:hAnsi="宋体" w:cs="黑体"/>
          <w:b w:val="0"/>
          <w:color w:val="000000"/>
          <w:sz w:val="28"/>
          <w:szCs w:val="28"/>
        </w:rPr>
        <w:t>八、凡对本次采购提出询问，请按以下方式联系。</w:t>
      </w:r>
    </w:p>
    <w:p w14:paraId="3A985FE3">
      <w:pPr>
        <w:pStyle w:val="275"/>
        <w:spacing w:line="460" w:lineRule="exact"/>
        <w:ind w:firstLine="0"/>
        <w:rPr>
          <w:rFonts w:ascii="仿宋" w:hAnsi="仿宋" w:eastAsia="仿宋" w:cs="仿宋"/>
          <w:color w:val="000000"/>
          <w:sz w:val="28"/>
          <w:szCs w:val="28"/>
        </w:rPr>
      </w:pPr>
      <w:r>
        <w:rPr>
          <w:rFonts w:hint="eastAsia" w:ascii="仿宋" w:hAnsi="仿宋" w:eastAsia="仿宋" w:cs="仿宋"/>
          <w:color w:val="000000"/>
          <w:sz w:val="28"/>
          <w:szCs w:val="28"/>
        </w:rPr>
        <w:t>1.采购人信息</w:t>
      </w:r>
    </w:p>
    <w:p w14:paraId="268C195F">
      <w:pPr>
        <w:pStyle w:val="275"/>
        <w:spacing w:line="460" w:lineRule="exact"/>
        <w:ind w:firstLine="0"/>
        <w:rPr>
          <w:rFonts w:ascii="仿宋" w:hAnsi="仿宋" w:eastAsia="仿宋" w:cs="仿宋"/>
          <w:color w:val="000000"/>
          <w:sz w:val="28"/>
          <w:szCs w:val="28"/>
        </w:rPr>
      </w:pPr>
      <w:r>
        <w:rPr>
          <w:rFonts w:hint="eastAsia" w:ascii="仿宋" w:hAnsi="仿宋" w:eastAsia="仿宋" w:cs="仿宋"/>
          <w:color w:val="000000"/>
          <w:sz w:val="28"/>
          <w:szCs w:val="28"/>
        </w:rPr>
        <w:t>名    称：中山陵园管理局</w:t>
      </w:r>
    </w:p>
    <w:p w14:paraId="5E8827DB">
      <w:pPr>
        <w:pStyle w:val="275"/>
        <w:spacing w:line="460" w:lineRule="exact"/>
        <w:ind w:firstLine="0"/>
        <w:rPr>
          <w:rFonts w:ascii="仿宋" w:hAnsi="仿宋" w:eastAsia="仿宋" w:cs="仿宋"/>
          <w:color w:val="000000"/>
          <w:sz w:val="28"/>
          <w:szCs w:val="28"/>
        </w:rPr>
      </w:pPr>
      <w:r>
        <w:rPr>
          <w:rFonts w:hint="eastAsia" w:ascii="仿宋" w:hAnsi="仿宋" w:eastAsia="仿宋" w:cs="仿宋"/>
          <w:color w:val="000000"/>
          <w:sz w:val="28"/>
          <w:szCs w:val="28"/>
        </w:rPr>
        <w:t>地    址：南京市玄武区石象路7号</w:t>
      </w:r>
    </w:p>
    <w:p w14:paraId="5F36D56D">
      <w:pPr>
        <w:spacing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联 系 人：居老师</w:t>
      </w:r>
    </w:p>
    <w:p w14:paraId="0A1FCF8D">
      <w:pPr>
        <w:pStyle w:val="275"/>
        <w:spacing w:line="460" w:lineRule="exact"/>
        <w:ind w:firstLine="0"/>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联系电话：025-85769166</w:t>
      </w:r>
    </w:p>
    <w:p w14:paraId="580B1B95">
      <w:pPr>
        <w:pStyle w:val="275"/>
        <w:spacing w:line="460" w:lineRule="exact"/>
        <w:ind w:firstLine="0"/>
        <w:rPr>
          <w:rFonts w:ascii="仿宋" w:hAnsi="仿宋" w:eastAsia="仿宋" w:cs="仿宋"/>
          <w:color w:val="000000"/>
          <w:sz w:val="28"/>
          <w:szCs w:val="28"/>
        </w:rPr>
      </w:pPr>
      <w:r>
        <w:rPr>
          <w:rFonts w:hint="eastAsia" w:ascii="仿宋" w:hAnsi="仿宋" w:eastAsia="仿宋" w:cs="仿宋"/>
          <w:color w:val="000000"/>
          <w:sz w:val="28"/>
          <w:szCs w:val="28"/>
        </w:rPr>
        <w:t>2.采购代理机构信息</w:t>
      </w:r>
    </w:p>
    <w:p w14:paraId="63369367">
      <w:pPr>
        <w:pStyle w:val="275"/>
        <w:spacing w:line="460" w:lineRule="exact"/>
        <w:ind w:firstLine="0"/>
        <w:rPr>
          <w:rFonts w:ascii="仿宋" w:hAnsi="仿宋" w:eastAsia="仿宋" w:cs="仿宋"/>
          <w:color w:val="000000"/>
          <w:sz w:val="28"/>
          <w:szCs w:val="28"/>
        </w:rPr>
      </w:pPr>
      <w:r>
        <w:rPr>
          <w:rFonts w:hint="eastAsia" w:ascii="仿宋" w:hAnsi="仿宋" w:eastAsia="仿宋" w:cs="仿宋"/>
          <w:color w:val="000000"/>
          <w:sz w:val="28"/>
          <w:szCs w:val="28"/>
        </w:rPr>
        <w:t>名    称：南京建凯建设项目管理有限公司</w:t>
      </w:r>
    </w:p>
    <w:p w14:paraId="26973921">
      <w:pPr>
        <w:pStyle w:val="275"/>
        <w:spacing w:line="460" w:lineRule="exact"/>
        <w:ind w:firstLine="0"/>
        <w:rPr>
          <w:rFonts w:ascii="仿宋" w:hAnsi="仿宋" w:eastAsia="仿宋" w:cs="仿宋"/>
          <w:color w:val="000000"/>
          <w:sz w:val="28"/>
          <w:szCs w:val="28"/>
        </w:rPr>
      </w:pPr>
      <w:r>
        <w:rPr>
          <w:rFonts w:hint="eastAsia" w:ascii="仿宋" w:hAnsi="仿宋" w:eastAsia="仿宋" w:cs="仿宋"/>
          <w:color w:val="000000"/>
          <w:sz w:val="28"/>
          <w:szCs w:val="28"/>
        </w:rPr>
        <w:t>地    址：南京市浦口区新城总部大厦B座515室</w:t>
      </w:r>
    </w:p>
    <w:p w14:paraId="76E954AE">
      <w:pPr>
        <w:pStyle w:val="275"/>
        <w:spacing w:line="460" w:lineRule="exact"/>
        <w:ind w:firstLine="0"/>
        <w:rPr>
          <w:rFonts w:ascii="仿宋" w:hAnsi="仿宋" w:eastAsia="仿宋" w:cs="仿宋"/>
          <w:color w:val="000000"/>
          <w:sz w:val="28"/>
          <w:szCs w:val="28"/>
        </w:rPr>
      </w:pPr>
      <w:r>
        <w:rPr>
          <w:rFonts w:hint="eastAsia" w:ascii="仿宋" w:hAnsi="仿宋" w:eastAsia="仿宋" w:cs="仿宋"/>
          <w:color w:val="000000"/>
          <w:sz w:val="28"/>
          <w:szCs w:val="28"/>
        </w:rPr>
        <w:t>联系方式：025-83286879</w:t>
      </w:r>
    </w:p>
    <w:p w14:paraId="2DBCF2D4">
      <w:pPr>
        <w:pStyle w:val="275"/>
        <w:spacing w:line="460" w:lineRule="exact"/>
        <w:ind w:firstLine="0"/>
        <w:rPr>
          <w:rFonts w:ascii="仿宋" w:hAnsi="仿宋" w:eastAsia="仿宋" w:cs="仿宋"/>
          <w:color w:val="000000"/>
          <w:sz w:val="28"/>
          <w:szCs w:val="28"/>
        </w:rPr>
      </w:pPr>
      <w:r>
        <w:rPr>
          <w:rFonts w:hint="eastAsia" w:ascii="仿宋" w:hAnsi="仿宋" w:eastAsia="仿宋" w:cs="仿宋"/>
          <w:color w:val="000000"/>
          <w:sz w:val="28"/>
          <w:szCs w:val="28"/>
        </w:rPr>
        <w:t>3.项目联系方式</w:t>
      </w:r>
    </w:p>
    <w:p w14:paraId="18392C77">
      <w:pPr>
        <w:pStyle w:val="275"/>
        <w:spacing w:line="460" w:lineRule="exact"/>
        <w:ind w:firstLine="0"/>
        <w:rPr>
          <w:rFonts w:ascii="仿宋" w:hAnsi="仿宋" w:eastAsia="仿宋" w:cs="仿宋"/>
          <w:color w:val="000000"/>
          <w:sz w:val="28"/>
          <w:szCs w:val="28"/>
        </w:rPr>
      </w:pPr>
      <w:r>
        <w:rPr>
          <w:rFonts w:hint="eastAsia" w:ascii="仿宋" w:hAnsi="仿宋" w:eastAsia="仿宋" w:cs="仿宋"/>
          <w:color w:val="000000"/>
          <w:sz w:val="28"/>
          <w:szCs w:val="28"/>
        </w:rPr>
        <w:t>项目联系人：陈工</w:t>
      </w:r>
    </w:p>
    <w:p w14:paraId="4D75666D">
      <w:pPr>
        <w:pStyle w:val="275"/>
        <w:spacing w:line="460" w:lineRule="exact"/>
        <w:ind w:firstLine="0"/>
        <w:rPr>
          <w:rFonts w:ascii="仿宋" w:hAnsi="仿宋" w:eastAsia="仿宋" w:cs="仿宋"/>
          <w:color w:val="000000"/>
          <w:sz w:val="28"/>
          <w:szCs w:val="28"/>
        </w:rPr>
      </w:pPr>
      <w:r>
        <w:rPr>
          <w:rFonts w:hint="eastAsia" w:ascii="仿宋" w:hAnsi="仿宋" w:eastAsia="仿宋" w:cs="仿宋"/>
          <w:color w:val="000000"/>
          <w:sz w:val="28"/>
          <w:szCs w:val="28"/>
        </w:rPr>
        <w:t>电      话：025-83286879</w:t>
      </w:r>
    </w:p>
    <w:p w14:paraId="20362C66">
      <w:pPr>
        <w:rPr>
          <w:color w:val="000000"/>
        </w:rPr>
      </w:pPr>
    </w:p>
    <w:p w14:paraId="0CFF6DCA">
      <w:pPr>
        <w:pStyle w:val="248"/>
        <w:rPr>
          <w:color w:val="000000"/>
          <w:sz w:val="36"/>
          <w:szCs w:val="36"/>
          <w:highlight w:val="none"/>
        </w:rPr>
      </w:pPr>
      <w:bookmarkStart w:id="3" w:name="_Toc795_WPSOffice_Level1"/>
      <w:r>
        <w:rPr>
          <w:color w:val="000000"/>
          <w:szCs w:val="22"/>
        </w:rPr>
        <w:br w:type="page" w:clear="all"/>
      </w:r>
      <w:bookmarkEnd w:id="3"/>
      <w:r>
        <w:rPr>
          <w:rFonts w:hint="eastAsia"/>
          <w:color w:val="000000"/>
          <w:szCs w:val="22"/>
        </w:rPr>
        <w:t xml:space="preserve">  </w:t>
      </w:r>
      <w:r>
        <w:rPr>
          <w:rFonts w:hint="eastAsia"/>
          <w:color w:val="000000"/>
          <w:szCs w:val="22"/>
          <w:highlight w:val="none"/>
        </w:rPr>
        <w:t xml:space="preserve">         </w:t>
      </w:r>
      <w:r>
        <w:rPr>
          <w:rFonts w:hint="eastAsia"/>
          <w:color w:val="000000"/>
          <w:sz w:val="36"/>
          <w:szCs w:val="36"/>
          <w:highlight w:val="none"/>
        </w:rPr>
        <w:t>第二章 投标人须知</w:t>
      </w:r>
    </w:p>
    <w:p w14:paraId="5C01523A">
      <w:pPr>
        <w:spacing w:line="360" w:lineRule="auto"/>
        <w:ind w:firstLine="482"/>
        <w:rPr>
          <w:rFonts w:hint="eastAsia" w:ascii="宋体" w:hAnsi="宋体" w:cs="宋体"/>
          <w:b/>
          <w:sz w:val="24"/>
          <w:highlight w:val="none"/>
        </w:rPr>
      </w:pPr>
      <w:r>
        <w:rPr>
          <w:rFonts w:hint="eastAsia" w:ascii="宋体" w:hAnsi="宋体" w:cs="宋体"/>
          <w:b/>
          <w:sz w:val="24"/>
          <w:highlight w:val="none"/>
        </w:rPr>
        <w:t>受</w:t>
      </w:r>
      <w:r>
        <w:rPr>
          <w:rFonts w:hint="eastAsia" w:ascii="宋体" w:hAnsi="宋体" w:cs="宋体"/>
          <w:b/>
          <w:bCs/>
          <w:sz w:val="24"/>
          <w:highlight w:val="none"/>
        </w:rPr>
        <w:t>中山陵园管理局</w:t>
      </w:r>
      <w:r>
        <w:rPr>
          <w:rFonts w:hint="eastAsia" w:ascii="宋体" w:hAnsi="宋体" w:cs="宋体"/>
          <w:b/>
          <w:sz w:val="24"/>
          <w:highlight w:val="none"/>
        </w:rPr>
        <w:t>（采购人）委托，对</w:t>
      </w:r>
      <w:r>
        <w:rPr>
          <w:rFonts w:hint="eastAsia" w:ascii="宋体" w:hAnsi="宋体" w:cs="宋体"/>
          <w:b/>
          <w:bCs/>
          <w:sz w:val="24"/>
          <w:highlight w:val="none"/>
        </w:rPr>
        <w:t>紫金山松材线虫病无疫情成果巩固项目</w:t>
      </w:r>
      <w:r>
        <w:rPr>
          <w:rFonts w:hint="eastAsia" w:ascii="宋体" w:hAnsi="宋体" w:cs="宋体"/>
          <w:b/>
          <w:sz w:val="24"/>
          <w:highlight w:val="none"/>
        </w:rPr>
        <w:t>进行公开招标采购，兹邀请符合条件的供应商参与投标，相关信息如下：</w:t>
      </w:r>
    </w:p>
    <w:tbl>
      <w:tblPr>
        <w:tblStyle w:val="28"/>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5"/>
        <w:gridCol w:w="1837"/>
        <w:gridCol w:w="6644"/>
      </w:tblGrid>
      <w:tr w14:paraId="7EE40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6" w:hRule="atLeast"/>
          <w:jc w:val="center"/>
        </w:trPr>
        <w:tc>
          <w:tcPr>
            <w:tcW w:w="715" w:type="dxa"/>
            <w:noWrap w:val="0"/>
            <w:vAlign w:val="center"/>
          </w:tcPr>
          <w:p w14:paraId="4E597903">
            <w:pPr>
              <w:pStyle w:val="239"/>
              <w:spacing w:line="260" w:lineRule="exact"/>
              <w:ind w:firstLine="0"/>
              <w:rPr>
                <w:rFonts w:hint="eastAsia" w:ascii="宋体" w:hAnsi="宋体" w:cs="宋体"/>
                <w:b/>
                <w:bCs/>
                <w:sz w:val="24"/>
                <w:szCs w:val="24"/>
                <w:highlight w:val="none"/>
              </w:rPr>
            </w:pPr>
            <w:r>
              <w:rPr>
                <w:rFonts w:hint="eastAsia" w:ascii="宋体" w:hAnsi="宋体" w:cs="宋体"/>
                <w:b/>
                <w:bCs/>
                <w:sz w:val="24"/>
                <w:szCs w:val="24"/>
                <w:highlight w:val="none"/>
              </w:rPr>
              <w:t>序号</w:t>
            </w:r>
          </w:p>
        </w:tc>
        <w:tc>
          <w:tcPr>
            <w:tcW w:w="1837" w:type="dxa"/>
            <w:noWrap w:val="0"/>
            <w:vAlign w:val="center"/>
          </w:tcPr>
          <w:p w14:paraId="71727D89">
            <w:pPr>
              <w:spacing w:line="260" w:lineRule="exact"/>
              <w:jc w:val="left"/>
              <w:rPr>
                <w:rFonts w:hint="eastAsia" w:ascii="宋体" w:hAnsi="宋体" w:cs="宋体"/>
                <w:b/>
                <w:bCs/>
                <w:sz w:val="24"/>
                <w:highlight w:val="none"/>
              </w:rPr>
            </w:pPr>
            <w:r>
              <w:rPr>
                <w:rFonts w:hint="eastAsia" w:ascii="宋体" w:hAnsi="宋体" w:cs="宋体"/>
                <w:b/>
                <w:bCs/>
                <w:sz w:val="24"/>
                <w:highlight w:val="none"/>
              </w:rPr>
              <w:t>名称</w:t>
            </w:r>
          </w:p>
        </w:tc>
        <w:tc>
          <w:tcPr>
            <w:tcW w:w="6644" w:type="dxa"/>
            <w:noWrap w:val="0"/>
            <w:vAlign w:val="center"/>
          </w:tcPr>
          <w:p w14:paraId="48CFC61F">
            <w:pPr>
              <w:pStyle w:val="239"/>
              <w:spacing w:line="260" w:lineRule="exact"/>
              <w:ind w:firstLine="0"/>
              <w:jc w:val="center"/>
              <w:rPr>
                <w:rFonts w:hint="eastAsia" w:ascii="宋体" w:hAnsi="宋体" w:cs="宋体"/>
                <w:b/>
                <w:bCs/>
                <w:sz w:val="24"/>
                <w:szCs w:val="24"/>
                <w:highlight w:val="none"/>
              </w:rPr>
            </w:pPr>
            <w:r>
              <w:rPr>
                <w:rFonts w:hint="eastAsia" w:ascii="宋体" w:hAnsi="宋体" w:cs="宋体"/>
                <w:b/>
                <w:bCs/>
                <w:sz w:val="24"/>
                <w:szCs w:val="24"/>
                <w:highlight w:val="none"/>
              </w:rPr>
              <w:t>内容</w:t>
            </w:r>
          </w:p>
        </w:tc>
      </w:tr>
      <w:tr w14:paraId="32F8B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715" w:type="dxa"/>
            <w:noWrap w:val="0"/>
            <w:vAlign w:val="center"/>
          </w:tcPr>
          <w:p w14:paraId="6FCCC9F3">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1</w:t>
            </w:r>
          </w:p>
        </w:tc>
        <w:tc>
          <w:tcPr>
            <w:tcW w:w="1837" w:type="dxa"/>
            <w:noWrap w:val="0"/>
            <w:vAlign w:val="center"/>
          </w:tcPr>
          <w:p w14:paraId="3E920200">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采购人</w:t>
            </w:r>
          </w:p>
        </w:tc>
        <w:tc>
          <w:tcPr>
            <w:tcW w:w="6644" w:type="dxa"/>
            <w:noWrap w:val="0"/>
            <w:vAlign w:val="center"/>
          </w:tcPr>
          <w:p w14:paraId="7B56B9C6">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名称：中山陵园管理局</w:t>
            </w:r>
          </w:p>
          <w:p w14:paraId="16543F1E">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地址：南京市玄武区石象路7-1号</w:t>
            </w:r>
          </w:p>
          <w:p w14:paraId="3CDE3A82">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联系人：居老师</w:t>
            </w:r>
          </w:p>
          <w:p w14:paraId="5D17EC91">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联系电话：025-85769166</w:t>
            </w:r>
          </w:p>
        </w:tc>
      </w:tr>
      <w:tr w14:paraId="69F72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715" w:type="dxa"/>
            <w:noWrap w:val="0"/>
            <w:vAlign w:val="center"/>
          </w:tcPr>
          <w:p w14:paraId="23BA2FE7">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2</w:t>
            </w:r>
          </w:p>
        </w:tc>
        <w:tc>
          <w:tcPr>
            <w:tcW w:w="1837" w:type="dxa"/>
            <w:noWrap w:val="0"/>
            <w:vAlign w:val="center"/>
          </w:tcPr>
          <w:p w14:paraId="3869A3C0">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采购代理机构</w:t>
            </w:r>
          </w:p>
        </w:tc>
        <w:tc>
          <w:tcPr>
            <w:tcW w:w="6644" w:type="dxa"/>
            <w:noWrap w:val="0"/>
            <w:vAlign w:val="center"/>
          </w:tcPr>
          <w:p w14:paraId="7790D089">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名称：南京建凯建设项目管理有限公司</w:t>
            </w:r>
          </w:p>
          <w:p w14:paraId="0D423A8C">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地址：南京市浦口区新城总部大厦B座515室</w:t>
            </w:r>
          </w:p>
          <w:p w14:paraId="5D8966DD">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联系人：陈工</w:t>
            </w:r>
          </w:p>
          <w:p w14:paraId="1D835407">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联系电话：025-83286879</w:t>
            </w:r>
          </w:p>
        </w:tc>
      </w:tr>
      <w:tr w14:paraId="2C2AA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715" w:type="dxa"/>
            <w:noWrap w:val="0"/>
            <w:vAlign w:val="center"/>
          </w:tcPr>
          <w:p w14:paraId="290F0FBC">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3</w:t>
            </w:r>
          </w:p>
        </w:tc>
        <w:tc>
          <w:tcPr>
            <w:tcW w:w="1837" w:type="dxa"/>
            <w:noWrap w:val="0"/>
            <w:vAlign w:val="center"/>
          </w:tcPr>
          <w:p w14:paraId="6217C12A">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项目名称</w:t>
            </w:r>
          </w:p>
        </w:tc>
        <w:tc>
          <w:tcPr>
            <w:tcW w:w="6644" w:type="dxa"/>
            <w:noWrap w:val="0"/>
            <w:vAlign w:val="center"/>
          </w:tcPr>
          <w:p w14:paraId="5AFDA394">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紫金山松材线虫病无疫情成果巩固项目</w:t>
            </w:r>
          </w:p>
        </w:tc>
      </w:tr>
      <w:tr w14:paraId="4CEB1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jc w:val="center"/>
        </w:trPr>
        <w:tc>
          <w:tcPr>
            <w:tcW w:w="715" w:type="dxa"/>
            <w:noWrap w:val="0"/>
            <w:vAlign w:val="center"/>
          </w:tcPr>
          <w:p w14:paraId="2391A0BF">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4</w:t>
            </w:r>
          </w:p>
        </w:tc>
        <w:tc>
          <w:tcPr>
            <w:tcW w:w="1837" w:type="dxa"/>
            <w:noWrap w:val="0"/>
            <w:vAlign w:val="center"/>
          </w:tcPr>
          <w:p w14:paraId="544B102D">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项目最高限价</w:t>
            </w:r>
          </w:p>
        </w:tc>
        <w:tc>
          <w:tcPr>
            <w:tcW w:w="6644" w:type="dxa"/>
            <w:noWrap w:val="0"/>
            <w:vAlign w:val="center"/>
          </w:tcPr>
          <w:p w14:paraId="02B8E9EA">
            <w:pPr>
              <w:pStyle w:val="239"/>
              <w:spacing w:line="260" w:lineRule="exact"/>
              <w:ind w:firstLine="0"/>
              <w:rPr>
                <w:rFonts w:hint="eastAsia" w:ascii="宋体" w:hAnsi="宋体" w:cs="宋体"/>
                <w:b/>
                <w:bCs/>
                <w:sz w:val="24"/>
                <w:szCs w:val="24"/>
                <w:highlight w:val="none"/>
              </w:rPr>
            </w:pPr>
            <w:r>
              <w:rPr>
                <w:rFonts w:hint="eastAsia" w:ascii="宋体" w:hAnsi="宋体" w:cs="宋体"/>
                <w:b/>
                <w:bCs/>
                <w:sz w:val="24"/>
                <w:szCs w:val="24"/>
                <w:highlight w:val="none"/>
              </w:rPr>
              <w:t>254万元（两年费用），超过该限价将视为无效投标</w:t>
            </w:r>
          </w:p>
        </w:tc>
      </w:tr>
      <w:tr w14:paraId="17A33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715" w:type="dxa"/>
            <w:noWrap w:val="0"/>
            <w:vAlign w:val="center"/>
          </w:tcPr>
          <w:p w14:paraId="1D913DF7">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5</w:t>
            </w:r>
          </w:p>
        </w:tc>
        <w:tc>
          <w:tcPr>
            <w:tcW w:w="1837" w:type="dxa"/>
            <w:noWrap w:val="0"/>
            <w:vAlign w:val="center"/>
          </w:tcPr>
          <w:p w14:paraId="5113227D">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报价及费用</w:t>
            </w:r>
          </w:p>
        </w:tc>
        <w:tc>
          <w:tcPr>
            <w:tcW w:w="6644" w:type="dxa"/>
            <w:noWrap w:val="0"/>
            <w:vAlign w:val="center"/>
          </w:tcPr>
          <w:p w14:paraId="35B8D736">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1.本项目投标应以人民币报价。</w:t>
            </w:r>
          </w:p>
          <w:p w14:paraId="6BAE3E52">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2.不论最终结果如何，</w:t>
            </w:r>
            <w:r>
              <w:rPr>
                <w:rFonts w:hint="eastAsia" w:ascii="宋体" w:hAnsi="宋体" w:cs="宋体"/>
                <w:b/>
                <w:bCs/>
                <w:sz w:val="24"/>
                <w:szCs w:val="24"/>
                <w:highlight w:val="none"/>
              </w:rPr>
              <w:t>供应商</w:t>
            </w:r>
            <w:r>
              <w:rPr>
                <w:rFonts w:hint="eastAsia" w:ascii="宋体" w:hAnsi="宋体" w:cs="宋体"/>
                <w:b/>
                <w:sz w:val="24"/>
                <w:szCs w:val="24"/>
                <w:highlight w:val="none"/>
              </w:rPr>
              <w:t>均应自行承担所有有关的全部费用。</w:t>
            </w:r>
          </w:p>
        </w:tc>
      </w:tr>
      <w:tr w14:paraId="012A6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jc w:val="center"/>
        </w:trPr>
        <w:tc>
          <w:tcPr>
            <w:tcW w:w="715" w:type="dxa"/>
            <w:noWrap w:val="0"/>
            <w:vAlign w:val="center"/>
          </w:tcPr>
          <w:p w14:paraId="44697C57">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6</w:t>
            </w:r>
          </w:p>
        </w:tc>
        <w:tc>
          <w:tcPr>
            <w:tcW w:w="1837" w:type="dxa"/>
            <w:noWrap w:val="0"/>
            <w:vAlign w:val="center"/>
          </w:tcPr>
          <w:p w14:paraId="39020E21">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现场踏勘</w:t>
            </w:r>
          </w:p>
        </w:tc>
        <w:tc>
          <w:tcPr>
            <w:tcW w:w="6644" w:type="dxa"/>
            <w:noWrap w:val="0"/>
            <w:vAlign w:val="center"/>
          </w:tcPr>
          <w:p w14:paraId="211AA059">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本次采购不组织集中勘察现场。供应商如对采购需求有疑问请与采购联系人沟通。请务必对项目现场和周围环境进行仔细认真地查勘，在随后的采购中，对现场资料和数据所作出的推论、解释和结论及由此造成的后果由供应商负责。</w:t>
            </w:r>
          </w:p>
        </w:tc>
      </w:tr>
      <w:tr w14:paraId="3ED44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8" w:hRule="atLeast"/>
          <w:jc w:val="center"/>
        </w:trPr>
        <w:tc>
          <w:tcPr>
            <w:tcW w:w="715" w:type="dxa"/>
            <w:noWrap w:val="0"/>
            <w:vAlign w:val="center"/>
          </w:tcPr>
          <w:p w14:paraId="5EB54B0B">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7</w:t>
            </w:r>
          </w:p>
        </w:tc>
        <w:tc>
          <w:tcPr>
            <w:tcW w:w="1837" w:type="dxa"/>
            <w:noWrap w:val="0"/>
            <w:vAlign w:val="center"/>
          </w:tcPr>
          <w:p w14:paraId="2AA800EB">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采购范围</w:t>
            </w:r>
          </w:p>
        </w:tc>
        <w:tc>
          <w:tcPr>
            <w:tcW w:w="6644" w:type="dxa"/>
            <w:noWrap w:val="0"/>
            <w:vAlign w:val="center"/>
          </w:tcPr>
          <w:p w14:paraId="2D669AB0">
            <w:pPr>
              <w:pStyle w:val="239"/>
              <w:spacing w:line="260" w:lineRule="exact"/>
              <w:ind w:left="3" w:hanging="22"/>
              <w:rPr>
                <w:rFonts w:hint="eastAsia" w:ascii="宋体" w:hAnsi="宋体" w:cs="宋体"/>
                <w:b/>
                <w:sz w:val="24"/>
                <w:szCs w:val="24"/>
                <w:highlight w:val="none"/>
              </w:rPr>
            </w:pPr>
            <w:r>
              <w:rPr>
                <w:rFonts w:hint="eastAsia" w:ascii="宋体" w:hAnsi="宋体" w:cs="宋体"/>
                <w:b/>
                <w:sz w:val="24"/>
                <w:szCs w:val="24"/>
                <w:highlight w:val="none"/>
              </w:rPr>
              <w:t>通过全面、科学的监测与综合防治措施，巩固紫金山松材线虫病疫点拔除成果，实现无疫情状态的可持续维持。具体详见“招标项目技术、规格和数量要求等”。</w:t>
            </w:r>
          </w:p>
        </w:tc>
      </w:tr>
      <w:tr w14:paraId="7D113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715" w:type="dxa"/>
            <w:noWrap w:val="0"/>
            <w:vAlign w:val="center"/>
          </w:tcPr>
          <w:p w14:paraId="13705A0B">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8</w:t>
            </w:r>
          </w:p>
        </w:tc>
        <w:tc>
          <w:tcPr>
            <w:tcW w:w="1837" w:type="dxa"/>
            <w:noWrap w:val="0"/>
            <w:vAlign w:val="center"/>
          </w:tcPr>
          <w:p w14:paraId="04250690">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合同履行期限</w:t>
            </w:r>
          </w:p>
        </w:tc>
        <w:tc>
          <w:tcPr>
            <w:tcW w:w="6644" w:type="dxa"/>
            <w:noWrap w:val="0"/>
            <w:vAlign w:val="center"/>
          </w:tcPr>
          <w:p w14:paraId="089D72EF">
            <w:pPr>
              <w:spacing w:line="260" w:lineRule="exact"/>
              <w:jc w:val="left"/>
              <w:rPr>
                <w:rFonts w:hint="eastAsia" w:ascii="宋体" w:hAnsi="宋体" w:cs="宋体"/>
                <w:b/>
                <w:sz w:val="24"/>
                <w:highlight w:val="none"/>
              </w:rPr>
            </w:pPr>
            <w:r>
              <w:rPr>
                <w:rFonts w:hint="eastAsia" w:ascii="宋体" w:hAnsi="宋体" w:cs="宋体"/>
                <w:b/>
                <w:sz w:val="24"/>
                <w:highlight w:val="none"/>
              </w:rPr>
              <w:t>本项目服务期两年，自合同签订之日起至</w:t>
            </w:r>
            <w:r>
              <w:rPr>
                <w:rFonts w:hint="eastAsia" w:ascii="宋体" w:hAnsi="宋体" w:cs="宋体"/>
                <w:b/>
                <w:sz w:val="24"/>
                <w:highlight w:val="none"/>
                <w:lang w:eastAsia="zh-CN"/>
              </w:rPr>
              <w:t>2028年2月29日</w:t>
            </w:r>
            <w:r>
              <w:rPr>
                <w:rFonts w:hint="eastAsia" w:ascii="宋体" w:hAnsi="宋体" w:cs="宋体"/>
                <w:b/>
                <w:sz w:val="24"/>
                <w:highlight w:val="none"/>
              </w:rPr>
              <w:t>。</w:t>
            </w:r>
          </w:p>
        </w:tc>
      </w:tr>
      <w:tr w14:paraId="036AA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715" w:type="dxa"/>
            <w:noWrap w:val="0"/>
            <w:vAlign w:val="center"/>
          </w:tcPr>
          <w:p w14:paraId="5CEB41F8">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9</w:t>
            </w:r>
          </w:p>
        </w:tc>
        <w:tc>
          <w:tcPr>
            <w:tcW w:w="1837" w:type="dxa"/>
            <w:noWrap w:val="0"/>
            <w:vAlign w:val="center"/>
          </w:tcPr>
          <w:p w14:paraId="3AC77627">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分包</w:t>
            </w:r>
          </w:p>
        </w:tc>
        <w:tc>
          <w:tcPr>
            <w:tcW w:w="6644" w:type="dxa"/>
            <w:noWrap w:val="0"/>
            <w:vAlign w:val="center"/>
          </w:tcPr>
          <w:p w14:paraId="2B46B748">
            <w:pPr>
              <w:pStyle w:val="239"/>
              <w:spacing w:line="260" w:lineRule="exact"/>
              <w:ind w:left="3" w:hanging="22"/>
              <w:rPr>
                <w:rFonts w:hint="eastAsia" w:ascii="宋体" w:hAnsi="宋体" w:cs="宋体"/>
                <w:b/>
                <w:sz w:val="24"/>
                <w:szCs w:val="24"/>
                <w:highlight w:val="none"/>
              </w:rPr>
            </w:pPr>
            <w:bookmarkStart w:id="4" w:name="bm44"/>
            <w:r>
              <w:rPr>
                <w:rFonts w:hint="eastAsia" w:ascii="宋体" w:hAnsi="宋体" w:cs="宋体"/>
                <w:b/>
                <w:sz w:val="24"/>
                <w:szCs w:val="24"/>
                <w:highlight w:val="none"/>
              </w:rPr>
              <w:t>不允许</w:t>
            </w:r>
            <w:bookmarkEnd w:id="4"/>
          </w:p>
        </w:tc>
      </w:tr>
      <w:tr w14:paraId="69DB1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715" w:type="dxa"/>
            <w:noWrap w:val="0"/>
            <w:vAlign w:val="center"/>
          </w:tcPr>
          <w:p w14:paraId="48FE21C2">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10</w:t>
            </w:r>
          </w:p>
        </w:tc>
        <w:tc>
          <w:tcPr>
            <w:tcW w:w="1837" w:type="dxa"/>
            <w:noWrap w:val="0"/>
            <w:vAlign w:val="center"/>
          </w:tcPr>
          <w:p w14:paraId="412752A7">
            <w:pPr>
              <w:pStyle w:val="239"/>
              <w:spacing w:line="260" w:lineRule="exact"/>
              <w:ind w:firstLine="0"/>
              <w:rPr>
                <w:rFonts w:hint="eastAsia" w:ascii="宋体" w:hAnsi="宋体" w:cs="宋体"/>
                <w:b/>
                <w:bCs/>
                <w:sz w:val="24"/>
                <w:szCs w:val="24"/>
                <w:highlight w:val="none"/>
              </w:rPr>
            </w:pPr>
            <w:r>
              <w:rPr>
                <w:rFonts w:hint="eastAsia" w:ascii="宋体" w:hAnsi="宋体" w:cs="宋体"/>
                <w:b/>
                <w:bCs/>
                <w:sz w:val="24"/>
                <w:szCs w:val="24"/>
                <w:highlight w:val="none"/>
              </w:rPr>
              <w:t>投标文件递交截止时间</w:t>
            </w:r>
          </w:p>
        </w:tc>
        <w:tc>
          <w:tcPr>
            <w:tcW w:w="6644" w:type="dxa"/>
            <w:noWrap w:val="0"/>
            <w:vAlign w:val="center"/>
          </w:tcPr>
          <w:p w14:paraId="71D4D68D">
            <w:pPr>
              <w:spacing w:line="260" w:lineRule="exact"/>
              <w:jc w:val="left"/>
              <w:rPr>
                <w:rFonts w:hint="eastAsia" w:ascii="宋体" w:hAnsi="宋体" w:cs="宋体"/>
                <w:bCs/>
                <w:sz w:val="24"/>
                <w:highlight w:val="none"/>
              </w:rPr>
            </w:pPr>
            <w:r>
              <w:rPr>
                <w:rFonts w:hint="eastAsia" w:ascii="宋体" w:hAnsi="宋体" w:cs="宋体"/>
                <w:sz w:val="24"/>
                <w:highlight w:val="none"/>
                <w:lang w:eastAsia="zh-CN"/>
              </w:rPr>
              <w:t>2026-03- 24日</w:t>
            </w:r>
            <w:r>
              <w:rPr>
                <w:rFonts w:hint="eastAsia" w:ascii="宋体" w:hAnsi="宋体" w:cs="宋体"/>
                <w:sz w:val="24"/>
                <w:highlight w:val="none"/>
              </w:rPr>
              <w:t>14:30（北京时间）</w:t>
            </w:r>
          </w:p>
        </w:tc>
      </w:tr>
      <w:tr w14:paraId="0B392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15" w:type="dxa"/>
            <w:noWrap w:val="0"/>
            <w:vAlign w:val="center"/>
          </w:tcPr>
          <w:p w14:paraId="20838D85">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11</w:t>
            </w:r>
          </w:p>
        </w:tc>
        <w:tc>
          <w:tcPr>
            <w:tcW w:w="1837" w:type="dxa"/>
            <w:noWrap w:val="0"/>
            <w:vAlign w:val="center"/>
          </w:tcPr>
          <w:p w14:paraId="6B62E6CA">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投标有效期</w:t>
            </w:r>
          </w:p>
        </w:tc>
        <w:tc>
          <w:tcPr>
            <w:tcW w:w="6644" w:type="dxa"/>
            <w:noWrap w:val="0"/>
            <w:vAlign w:val="center"/>
          </w:tcPr>
          <w:p w14:paraId="7973ED81">
            <w:pPr>
              <w:pStyle w:val="239"/>
              <w:spacing w:line="260" w:lineRule="exact"/>
              <w:ind w:left="3" w:hanging="22"/>
              <w:rPr>
                <w:rFonts w:hint="eastAsia" w:ascii="宋体" w:hAnsi="宋体" w:cs="宋体"/>
                <w:b/>
                <w:bCs/>
                <w:sz w:val="24"/>
                <w:szCs w:val="24"/>
                <w:highlight w:val="none"/>
              </w:rPr>
            </w:pPr>
            <w:r>
              <w:rPr>
                <w:rFonts w:hint="eastAsia" w:ascii="宋体" w:hAnsi="宋体" w:cs="宋体"/>
                <w:b/>
                <w:sz w:val="24"/>
                <w:szCs w:val="24"/>
                <w:highlight w:val="none"/>
                <w:lang w:val="zh-CN"/>
              </w:rPr>
              <w:t>自</w:t>
            </w:r>
            <w:r>
              <w:rPr>
                <w:rFonts w:hint="eastAsia" w:ascii="宋体" w:hAnsi="宋体" w:cs="宋体"/>
                <w:b/>
                <w:sz w:val="24"/>
                <w:szCs w:val="24"/>
                <w:highlight w:val="none"/>
              </w:rPr>
              <w:t>投标文件递交截止</w:t>
            </w:r>
            <w:r>
              <w:rPr>
                <w:rFonts w:hint="eastAsia" w:ascii="宋体" w:hAnsi="宋体" w:cs="宋体"/>
                <w:b/>
                <w:sz w:val="24"/>
                <w:szCs w:val="24"/>
                <w:highlight w:val="none"/>
                <w:lang w:val="zh-CN"/>
              </w:rPr>
              <w:t>之日起</w:t>
            </w:r>
            <w:r>
              <w:rPr>
                <w:rFonts w:hint="eastAsia" w:ascii="宋体" w:hAnsi="宋体" w:cs="宋体"/>
                <w:b/>
                <w:sz w:val="24"/>
                <w:szCs w:val="24"/>
                <w:highlight w:val="none"/>
              </w:rPr>
              <w:t>6</w:t>
            </w:r>
            <w:r>
              <w:rPr>
                <w:rFonts w:hint="eastAsia" w:ascii="宋体" w:hAnsi="宋体" w:cs="宋体"/>
                <w:b/>
                <w:sz w:val="24"/>
                <w:szCs w:val="24"/>
                <w:highlight w:val="none"/>
                <w:lang w:val="zh-CN"/>
              </w:rPr>
              <w:t>0</w:t>
            </w:r>
            <w:r>
              <w:rPr>
                <w:rFonts w:hint="eastAsia" w:ascii="宋体" w:hAnsi="宋体" w:cs="宋体"/>
                <w:b/>
                <w:sz w:val="24"/>
                <w:szCs w:val="24"/>
                <w:highlight w:val="none"/>
              </w:rPr>
              <w:t>天</w:t>
            </w:r>
          </w:p>
        </w:tc>
      </w:tr>
      <w:tr w14:paraId="2E06D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715" w:type="dxa"/>
            <w:noWrap w:val="0"/>
            <w:vAlign w:val="center"/>
          </w:tcPr>
          <w:p w14:paraId="54298998">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12</w:t>
            </w:r>
          </w:p>
        </w:tc>
        <w:tc>
          <w:tcPr>
            <w:tcW w:w="1837" w:type="dxa"/>
            <w:noWrap w:val="0"/>
            <w:vAlign w:val="center"/>
          </w:tcPr>
          <w:p w14:paraId="348BA607">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投标保证金</w:t>
            </w:r>
          </w:p>
        </w:tc>
        <w:tc>
          <w:tcPr>
            <w:tcW w:w="6644" w:type="dxa"/>
            <w:noWrap w:val="0"/>
            <w:vAlign w:val="center"/>
          </w:tcPr>
          <w:p w14:paraId="7CC23689">
            <w:pPr>
              <w:pStyle w:val="239"/>
              <w:spacing w:line="260" w:lineRule="exact"/>
              <w:ind w:left="3" w:hanging="22"/>
              <w:rPr>
                <w:rFonts w:hint="eastAsia" w:ascii="宋体" w:hAnsi="宋体" w:cs="宋体"/>
                <w:b/>
                <w:bCs/>
                <w:sz w:val="24"/>
                <w:szCs w:val="24"/>
                <w:highlight w:val="none"/>
              </w:rPr>
            </w:pPr>
            <w:r>
              <w:rPr>
                <w:rFonts w:hint="eastAsia" w:ascii="宋体" w:hAnsi="宋体" w:cs="宋体"/>
                <w:b/>
                <w:bCs/>
                <w:sz w:val="24"/>
                <w:szCs w:val="24"/>
                <w:highlight w:val="none"/>
              </w:rPr>
              <w:t>本项目无投标保证金</w:t>
            </w:r>
          </w:p>
        </w:tc>
      </w:tr>
      <w:tr w14:paraId="4ED96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715" w:type="dxa"/>
            <w:noWrap w:val="0"/>
            <w:vAlign w:val="center"/>
          </w:tcPr>
          <w:p w14:paraId="7D734508">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13</w:t>
            </w:r>
          </w:p>
        </w:tc>
        <w:tc>
          <w:tcPr>
            <w:tcW w:w="1837" w:type="dxa"/>
            <w:noWrap w:val="0"/>
            <w:vAlign w:val="center"/>
          </w:tcPr>
          <w:p w14:paraId="30AB2672">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是否允许递交备选投标方案</w:t>
            </w:r>
          </w:p>
        </w:tc>
        <w:tc>
          <w:tcPr>
            <w:tcW w:w="6644" w:type="dxa"/>
            <w:noWrap w:val="0"/>
            <w:vAlign w:val="center"/>
          </w:tcPr>
          <w:p w14:paraId="754A25EF">
            <w:pPr>
              <w:pStyle w:val="239"/>
              <w:spacing w:line="260" w:lineRule="exact"/>
              <w:ind w:left="3" w:hanging="22"/>
              <w:rPr>
                <w:rFonts w:hint="eastAsia" w:ascii="宋体" w:hAnsi="宋体" w:cs="宋体"/>
                <w:b/>
                <w:bCs/>
                <w:sz w:val="24"/>
                <w:szCs w:val="24"/>
                <w:highlight w:val="none"/>
              </w:rPr>
            </w:pPr>
            <w:bookmarkStart w:id="5" w:name="bm67"/>
            <w:r>
              <w:rPr>
                <w:rFonts w:hint="eastAsia" w:ascii="宋体" w:hAnsi="宋体" w:cs="宋体"/>
                <w:b/>
                <w:bCs/>
                <w:sz w:val="24"/>
                <w:szCs w:val="24"/>
                <w:highlight w:val="none"/>
              </w:rPr>
              <w:t>不允许</w:t>
            </w:r>
            <w:bookmarkEnd w:id="5"/>
          </w:p>
        </w:tc>
      </w:tr>
      <w:tr w14:paraId="76FED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1" w:hRule="atLeast"/>
          <w:jc w:val="center"/>
        </w:trPr>
        <w:tc>
          <w:tcPr>
            <w:tcW w:w="715" w:type="dxa"/>
            <w:noWrap w:val="0"/>
            <w:vAlign w:val="center"/>
          </w:tcPr>
          <w:p w14:paraId="106EF58F">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14</w:t>
            </w:r>
          </w:p>
        </w:tc>
        <w:tc>
          <w:tcPr>
            <w:tcW w:w="1837" w:type="dxa"/>
            <w:noWrap w:val="0"/>
            <w:vAlign w:val="center"/>
          </w:tcPr>
          <w:p w14:paraId="6A00E610">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递交投标文件地点</w:t>
            </w:r>
          </w:p>
        </w:tc>
        <w:tc>
          <w:tcPr>
            <w:tcW w:w="6644" w:type="dxa"/>
            <w:noWrap w:val="0"/>
            <w:vAlign w:val="center"/>
          </w:tcPr>
          <w:p w14:paraId="69B17A10">
            <w:pPr>
              <w:pStyle w:val="239"/>
              <w:spacing w:line="260" w:lineRule="exact"/>
              <w:ind w:left="2" w:hanging="21"/>
              <w:rPr>
                <w:rFonts w:hint="eastAsia" w:ascii="宋体" w:hAnsi="宋体" w:cs="宋体"/>
                <w:bCs/>
                <w:sz w:val="24"/>
                <w:szCs w:val="24"/>
                <w:highlight w:val="none"/>
              </w:rPr>
            </w:pPr>
            <w:r>
              <w:rPr>
                <w:rFonts w:hint="eastAsia" w:ascii="宋体" w:hAnsi="宋体" w:cs="宋体"/>
                <w:bCs/>
                <w:sz w:val="24"/>
                <w:szCs w:val="24"/>
                <w:highlight w:val="none"/>
              </w:rPr>
              <w:t>“苏采云”政府采购交易系统网上开标大厅</w:t>
            </w:r>
          </w:p>
        </w:tc>
      </w:tr>
      <w:tr w14:paraId="42005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715" w:type="dxa"/>
            <w:noWrap w:val="0"/>
            <w:vAlign w:val="center"/>
          </w:tcPr>
          <w:p w14:paraId="733AF2F7">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15</w:t>
            </w:r>
          </w:p>
        </w:tc>
        <w:tc>
          <w:tcPr>
            <w:tcW w:w="1837" w:type="dxa"/>
            <w:noWrap w:val="0"/>
            <w:vAlign w:val="center"/>
          </w:tcPr>
          <w:p w14:paraId="124184CA">
            <w:pPr>
              <w:pStyle w:val="239"/>
              <w:spacing w:line="260" w:lineRule="exact"/>
              <w:ind w:firstLine="0"/>
              <w:rPr>
                <w:rFonts w:hint="eastAsia" w:ascii="宋体" w:hAnsi="宋体" w:cs="宋体"/>
                <w:bCs/>
                <w:sz w:val="24"/>
                <w:szCs w:val="24"/>
                <w:highlight w:val="none"/>
              </w:rPr>
            </w:pPr>
            <w:r>
              <w:rPr>
                <w:rFonts w:hint="eastAsia" w:ascii="宋体" w:hAnsi="宋体" w:cs="宋体"/>
                <w:sz w:val="24"/>
                <w:szCs w:val="24"/>
                <w:highlight w:val="none"/>
              </w:rPr>
              <w:t>评分办法</w:t>
            </w:r>
          </w:p>
        </w:tc>
        <w:tc>
          <w:tcPr>
            <w:tcW w:w="6644" w:type="dxa"/>
            <w:noWrap w:val="0"/>
            <w:vAlign w:val="center"/>
          </w:tcPr>
          <w:p w14:paraId="2B8DF667">
            <w:pPr>
              <w:pStyle w:val="239"/>
              <w:spacing w:line="260" w:lineRule="exact"/>
              <w:ind w:firstLine="0"/>
              <w:rPr>
                <w:rFonts w:hint="eastAsia" w:ascii="宋体" w:hAnsi="宋体" w:cs="宋体"/>
                <w:sz w:val="24"/>
                <w:szCs w:val="24"/>
                <w:highlight w:val="none"/>
              </w:rPr>
            </w:pPr>
            <w:r>
              <w:rPr>
                <w:rFonts w:hint="eastAsia" w:ascii="宋体" w:hAnsi="宋体" w:cs="宋体"/>
                <w:sz w:val="24"/>
                <w:szCs w:val="24"/>
                <w:highlight w:val="none"/>
              </w:rPr>
              <w:t>综合评分法</w:t>
            </w:r>
          </w:p>
        </w:tc>
      </w:tr>
      <w:tr w14:paraId="66949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5" w:hRule="atLeast"/>
          <w:jc w:val="center"/>
        </w:trPr>
        <w:tc>
          <w:tcPr>
            <w:tcW w:w="715" w:type="dxa"/>
            <w:noWrap w:val="0"/>
            <w:vAlign w:val="center"/>
          </w:tcPr>
          <w:p w14:paraId="126EBB4D">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16</w:t>
            </w:r>
          </w:p>
        </w:tc>
        <w:tc>
          <w:tcPr>
            <w:tcW w:w="1837" w:type="dxa"/>
            <w:noWrap w:val="0"/>
            <w:vAlign w:val="center"/>
          </w:tcPr>
          <w:p w14:paraId="55EAFFBE">
            <w:pPr>
              <w:pStyle w:val="239"/>
              <w:spacing w:line="260" w:lineRule="exact"/>
              <w:ind w:firstLine="0"/>
              <w:rPr>
                <w:rFonts w:hint="eastAsia" w:ascii="宋体" w:hAnsi="宋体" w:cs="宋体"/>
                <w:sz w:val="24"/>
                <w:szCs w:val="24"/>
                <w:highlight w:val="none"/>
              </w:rPr>
            </w:pPr>
            <w:r>
              <w:rPr>
                <w:rFonts w:hint="eastAsia" w:ascii="宋体" w:hAnsi="宋体" w:cs="宋体"/>
                <w:sz w:val="24"/>
                <w:szCs w:val="24"/>
                <w:highlight w:val="none"/>
              </w:rPr>
              <w:t>盖章要求</w:t>
            </w:r>
          </w:p>
        </w:tc>
        <w:tc>
          <w:tcPr>
            <w:tcW w:w="6644" w:type="dxa"/>
            <w:noWrap w:val="0"/>
            <w:vAlign w:val="center"/>
          </w:tcPr>
          <w:p w14:paraId="02BC2849">
            <w:pPr>
              <w:pStyle w:val="239"/>
              <w:spacing w:line="260" w:lineRule="exact"/>
              <w:ind w:firstLine="0"/>
              <w:rPr>
                <w:rFonts w:hint="eastAsia" w:ascii="宋体" w:hAnsi="宋体" w:cs="宋体"/>
                <w:sz w:val="24"/>
                <w:szCs w:val="24"/>
                <w:highlight w:val="none"/>
              </w:rPr>
            </w:pPr>
            <w:r>
              <w:rPr>
                <w:rFonts w:hint="eastAsia" w:ascii="宋体" w:hAnsi="宋体" w:cs="宋体"/>
                <w:sz w:val="24"/>
                <w:szCs w:val="24"/>
                <w:highlight w:val="none"/>
              </w:rPr>
              <w:t>供应商投标文件中加盖的公章仅能使用与供应商名称一致的标准公章，不得使用其他形式（如带有“专用章”、“合同章”、“财务章”、“业务章”等字样）的印章；否则，按无效投标处理。</w:t>
            </w:r>
          </w:p>
        </w:tc>
      </w:tr>
      <w:tr w14:paraId="0EF02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jc w:val="center"/>
        </w:trPr>
        <w:tc>
          <w:tcPr>
            <w:tcW w:w="715" w:type="dxa"/>
            <w:noWrap w:val="0"/>
            <w:vAlign w:val="center"/>
          </w:tcPr>
          <w:p w14:paraId="30EE389C">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17</w:t>
            </w:r>
          </w:p>
        </w:tc>
        <w:tc>
          <w:tcPr>
            <w:tcW w:w="1837" w:type="dxa"/>
            <w:noWrap w:val="0"/>
            <w:vAlign w:val="center"/>
          </w:tcPr>
          <w:p w14:paraId="25CB71E9">
            <w:pPr>
              <w:pStyle w:val="239"/>
              <w:spacing w:line="260" w:lineRule="exact"/>
              <w:ind w:firstLine="0"/>
              <w:rPr>
                <w:rFonts w:hint="eastAsia" w:ascii="宋体" w:hAnsi="宋体" w:cs="宋体"/>
                <w:sz w:val="24"/>
                <w:szCs w:val="24"/>
                <w:highlight w:val="none"/>
              </w:rPr>
            </w:pPr>
            <w:r>
              <w:rPr>
                <w:rFonts w:hint="eastAsia" w:ascii="宋体" w:hAnsi="宋体" w:cs="宋体"/>
                <w:sz w:val="24"/>
                <w:szCs w:val="24"/>
                <w:highlight w:val="none"/>
              </w:rPr>
              <w:t>履约担保</w:t>
            </w:r>
          </w:p>
        </w:tc>
        <w:tc>
          <w:tcPr>
            <w:tcW w:w="6644" w:type="dxa"/>
            <w:noWrap w:val="0"/>
            <w:vAlign w:val="center"/>
          </w:tcPr>
          <w:p w14:paraId="67E25B4B">
            <w:pPr>
              <w:pStyle w:val="239"/>
              <w:spacing w:line="260" w:lineRule="exact"/>
              <w:ind w:firstLine="0"/>
              <w:rPr>
                <w:rFonts w:hint="eastAsia" w:ascii="宋体" w:hAnsi="宋体" w:cs="宋体"/>
                <w:sz w:val="24"/>
                <w:szCs w:val="24"/>
                <w:highlight w:val="none"/>
              </w:rPr>
            </w:pPr>
            <w:r>
              <w:rPr>
                <w:rFonts w:hint="eastAsia" w:ascii="宋体" w:hAnsi="宋体" w:cs="宋体"/>
                <w:sz w:val="24"/>
                <w:szCs w:val="24"/>
                <w:highlight w:val="none"/>
              </w:rPr>
              <w:t>是否要求中标人提交履约保证金：</w:t>
            </w:r>
            <w:r>
              <w:rPr>
                <w:rFonts w:ascii="Wingdings 2" w:hAnsi="Wingdings 2" w:eastAsia="Wingdings 2" w:cs="Wingdings 2"/>
                <w:sz w:val="24"/>
                <w:szCs w:val="24"/>
                <w:highlight w:val="none"/>
              </w:rPr>
              <w:t>R</w:t>
            </w:r>
            <w:r>
              <w:rPr>
                <w:rFonts w:hint="eastAsia" w:ascii="宋体" w:hAnsi="宋体" w:cs="宋体"/>
                <w:sz w:val="24"/>
                <w:szCs w:val="24"/>
                <w:highlight w:val="none"/>
              </w:rPr>
              <w:t>不要求</w:t>
            </w:r>
          </w:p>
          <w:p w14:paraId="5938A86C">
            <w:pPr>
              <w:pStyle w:val="239"/>
              <w:spacing w:line="260" w:lineRule="exact"/>
              <w:ind w:firstLine="0"/>
              <w:rPr>
                <w:rFonts w:hint="eastAsia" w:ascii="宋体" w:hAnsi="宋体" w:cs="宋体"/>
                <w:sz w:val="24"/>
                <w:szCs w:val="24"/>
                <w:highlight w:val="none"/>
              </w:rPr>
            </w:pPr>
            <w:bookmarkStart w:id="6" w:name="hstbrxz1009"/>
            <w:r>
              <w:rPr>
                <w:rFonts w:hint="eastAsia" w:ascii="宋体" w:hAnsi="宋体" w:cs="宋体"/>
                <w:sz w:val="24"/>
                <w:szCs w:val="24"/>
                <w:highlight w:val="none"/>
              </w:rPr>
              <w:t>履约担保的形式：/</w:t>
            </w:r>
          </w:p>
          <w:p w14:paraId="4A91761A">
            <w:pPr>
              <w:pStyle w:val="239"/>
              <w:spacing w:line="260" w:lineRule="exact"/>
              <w:ind w:firstLine="0"/>
              <w:rPr>
                <w:rFonts w:hint="eastAsia" w:ascii="宋体" w:hAnsi="宋体" w:cs="宋体"/>
                <w:sz w:val="24"/>
                <w:szCs w:val="24"/>
                <w:highlight w:val="none"/>
              </w:rPr>
            </w:pPr>
            <w:r>
              <w:rPr>
                <w:rFonts w:hint="eastAsia" w:ascii="宋体" w:hAnsi="宋体" w:cs="宋体"/>
                <w:sz w:val="24"/>
                <w:szCs w:val="24"/>
                <w:highlight w:val="none"/>
              </w:rPr>
              <w:t>履约担保的金额：</w:t>
            </w:r>
            <w:bookmarkEnd w:id="6"/>
            <w:r>
              <w:rPr>
                <w:rFonts w:hint="eastAsia" w:ascii="宋体" w:hAnsi="宋体" w:cs="宋体"/>
                <w:sz w:val="24"/>
                <w:szCs w:val="24"/>
                <w:highlight w:val="none"/>
              </w:rPr>
              <w:t>/</w:t>
            </w:r>
          </w:p>
        </w:tc>
      </w:tr>
      <w:tr w14:paraId="11762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jc w:val="center"/>
        </w:trPr>
        <w:tc>
          <w:tcPr>
            <w:tcW w:w="715" w:type="dxa"/>
            <w:noWrap w:val="0"/>
            <w:vAlign w:val="center"/>
          </w:tcPr>
          <w:p w14:paraId="5E1E7BB6">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18</w:t>
            </w:r>
          </w:p>
        </w:tc>
        <w:tc>
          <w:tcPr>
            <w:tcW w:w="1837" w:type="dxa"/>
            <w:noWrap w:val="0"/>
            <w:vAlign w:val="center"/>
          </w:tcPr>
          <w:p w14:paraId="5AE6788C">
            <w:pPr>
              <w:pStyle w:val="239"/>
              <w:spacing w:line="260" w:lineRule="exact"/>
              <w:ind w:firstLine="0"/>
              <w:rPr>
                <w:rFonts w:hint="eastAsia" w:ascii="宋体" w:hAnsi="宋体" w:cs="宋体"/>
                <w:sz w:val="24"/>
                <w:szCs w:val="24"/>
                <w:highlight w:val="none"/>
              </w:rPr>
            </w:pPr>
            <w:r>
              <w:rPr>
                <w:rFonts w:hint="eastAsia" w:ascii="宋体" w:hAnsi="宋体" w:cs="宋体"/>
                <w:sz w:val="24"/>
                <w:szCs w:val="24"/>
                <w:highlight w:val="none"/>
              </w:rPr>
              <w:t>特别提醒</w:t>
            </w:r>
          </w:p>
        </w:tc>
        <w:tc>
          <w:tcPr>
            <w:tcW w:w="6644" w:type="dxa"/>
            <w:noWrap w:val="0"/>
            <w:vAlign w:val="center"/>
          </w:tcPr>
          <w:p w14:paraId="58A73188">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根据《政府采购促进中小企业发展管理办法》（财库[2020]46号）、《江苏省财政厅关于进一步加大政府采购支持中小企业力度的通知》（苏财购[2022]45号）、《关于规范和加强小型建设工程政府采购管理的通知》（宁财购[2022]409号）的规定 对符合规定的小微企业报价给予10%的扣除，用扣除后的价格参加评审。（中小企业需提供“中小企业声明函”加盖供应商公章。认定标准参照《关于印发中小企业划型标准规定的通知》（工信部联企业〔2011〕300号）行业认定标准：农、林、牧、渔业）</w:t>
            </w:r>
          </w:p>
        </w:tc>
      </w:tr>
      <w:tr w14:paraId="1402C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9" w:hRule="atLeast"/>
          <w:jc w:val="center"/>
        </w:trPr>
        <w:tc>
          <w:tcPr>
            <w:tcW w:w="715" w:type="dxa"/>
            <w:noWrap w:val="0"/>
            <w:vAlign w:val="center"/>
          </w:tcPr>
          <w:p w14:paraId="1A524269">
            <w:pPr>
              <w:pStyle w:val="239"/>
              <w:spacing w:line="260" w:lineRule="exact"/>
              <w:ind w:firstLine="0"/>
              <w:rPr>
                <w:rFonts w:ascii="宋体" w:hAnsi="宋体" w:cs="宋体"/>
                <w:bCs/>
                <w:sz w:val="24"/>
                <w:szCs w:val="24"/>
                <w:highlight w:val="none"/>
              </w:rPr>
            </w:pPr>
            <w:r>
              <w:rPr>
                <w:rFonts w:hint="eastAsia" w:ascii="宋体" w:hAnsi="宋体" w:cs="宋体"/>
                <w:bCs/>
                <w:sz w:val="24"/>
                <w:szCs w:val="24"/>
                <w:highlight w:val="none"/>
              </w:rPr>
              <w:t>19</w:t>
            </w:r>
          </w:p>
        </w:tc>
        <w:tc>
          <w:tcPr>
            <w:tcW w:w="1837" w:type="dxa"/>
            <w:noWrap w:val="0"/>
            <w:vAlign w:val="center"/>
          </w:tcPr>
          <w:p w14:paraId="78D945A6">
            <w:pPr>
              <w:pStyle w:val="239"/>
              <w:spacing w:line="260" w:lineRule="exact"/>
              <w:ind w:firstLine="0"/>
              <w:rPr>
                <w:rFonts w:hint="eastAsia" w:ascii="宋体" w:hAnsi="宋体" w:cs="宋体"/>
                <w:sz w:val="24"/>
                <w:szCs w:val="24"/>
                <w:highlight w:val="none"/>
              </w:rPr>
            </w:pPr>
            <w:r>
              <w:rPr>
                <w:rFonts w:hint="eastAsia" w:ascii="宋体" w:hAnsi="宋体" w:cs="宋体"/>
                <w:sz w:val="24"/>
                <w:szCs w:val="24"/>
                <w:highlight w:val="none"/>
              </w:rPr>
              <w:t>招标代理服务费</w:t>
            </w:r>
          </w:p>
        </w:tc>
        <w:tc>
          <w:tcPr>
            <w:tcW w:w="6644" w:type="dxa"/>
            <w:noWrap w:val="0"/>
            <w:vAlign w:val="center"/>
          </w:tcPr>
          <w:p w14:paraId="4186DB5B">
            <w:pPr>
              <w:pStyle w:val="239"/>
              <w:spacing w:line="260" w:lineRule="exact"/>
              <w:ind w:firstLine="0"/>
              <w:rPr>
                <w:rFonts w:hint="eastAsia" w:ascii="宋体" w:hAnsi="宋体" w:cs="宋体"/>
                <w:sz w:val="24"/>
                <w:szCs w:val="24"/>
                <w:highlight w:val="none"/>
              </w:rPr>
            </w:pPr>
            <w:r>
              <w:rPr>
                <w:rFonts w:hint="eastAsia" w:ascii="宋体" w:hAnsi="宋体" w:cs="宋体"/>
                <w:sz w:val="24"/>
                <w:szCs w:val="24"/>
                <w:highlight w:val="none"/>
              </w:rPr>
              <w:t>本次中标供应商在领取中标通知书时,需向采购代理机构支付招标代理费及清单编制费（以中标价为计费基数按计价格[2002]1980号文收费标准的49%计取）和专家评委费（按实支付）。本项费用无需在报价表中单列。</w:t>
            </w:r>
          </w:p>
        </w:tc>
      </w:tr>
      <w:tr w14:paraId="5B3A3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9" w:hRule="atLeast"/>
          <w:jc w:val="center"/>
        </w:trPr>
        <w:tc>
          <w:tcPr>
            <w:tcW w:w="715" w:type="dxa"/>
            <w:noWrap w:val="0"/>
            <w:vAlign w:val="center"/>
          </w:tcPr>
          <w:p w14:paraId="53479750">
            <w:pPr>
              <w:pStyle w:val="239"/>
              <w:spacing w:line="260" w:lineRule="exact"/>
              <w:ind w:firstLine="0"/>
              <w:rPr>
                <w:rFonts w:hint="eastAsia" w:ascii="宋体" w:hAnsi="宋体" w:cs="宋体"/>
                <w:bCs/>
                <w:sz w:val="24"/>
                <w:szCs w:val="24"/>
                <w:highlight w:val="none"/>
              </w:rPr>
            </w:pPr>
            <w:r>
              <w:rPr>
                <w:rFonts w:hint="eastAsia" w:ascii="宋体" w:hAnsi="宋体" w:cs="宋体"/>
                <w:bCs/>
                <w:sz w:val="24"/>
                <w:szCs w:val="24"/>
                <w:highlight w:val="none"/>
              </w:rPr>
              <w:t>20</w:t>
            </w:r>
          </w:p>
        </w:tc>
        <w:tc>
          <w:tcPr>
            <w:tcW w:w="1837" w:type="dxa"/>
            <w:noWrap w:val="0"/>
            <w:vAlign w:val="center"/>
          </w:tcPr>
          <w:p w14:paraId="439A5ADB">
            <w:pPr>
              <w:pStyle w:val="239"/>
              <w:spacing w:line="260" w:lineRule="exact"/>
              <w:ind w:firstLine="0"/>
              <w:rPr>
                <w:rFonts w:hint="eastAsia" w:ascii="宋体" w:hAnsi="宋体" w:cs="宋体"/>
                <w:sz w:val="24"/>
                <w:szCs w:val="24"/>
                <w:highlight w:val="none"/>
              </w:rPr>
            </w:pPr>
            <w:r>
              <w:rPr>
                <w:rFonts w:hint="eastAsia" w:ascii="宋体" w:hAnsi="宋体" w:cs="宋体"/>
                <w:sz w:val="24"/>
                <w:szCs w:val="24"/>
                <w:highlight w:val="none"/>
              </w:rPr>
              <w:t>违约风险提示</w:t>
            </w:r>
          </w:p>
        </w:tc>
        <w:tc>
          <w:tcPr>
            <w:tcW w:w="6644" w:type="dxa"/>
            <w:noWrap w:val="0"/>
            <w:vAlign w:val="center"/>
          </w:tcPr>
          <w:p w14:paraId="65374235">
            <w:pPr>
              <w:pStyle w:val="239"/>
              <w:spacing w:line="260" w:lineRule="exact"/>
              <w:ind w:firstLine="0"/>
              <w:rPr>
                <w:rFonts w:hint="eastAsia" w:ascii="宋体" w:hAnsi="宋体" w:cs="宋体"/>
                <w:b/>
                <w:sz w:val="24"/>
                <w:szCs w:val="24"/>
                <w:highlight w:val="none"/>
              </w:rPr>
            </w:pPr>
            <w:r>
              <w:rPr>
                <w:rFonts w:hint="eastAsia" w:ascii="宋体" w:hAnsi="宋体" w:cs="宋体"/>
                <w:b/>
                <w:sz w:val="24"/>
                <w:szCs w:val="24"/>
                <w:highlight w:val="none"/>
              </w:rPr>
              <w:t>除继续履行将损害国家利益和社会公共利益的，政府采购合同的双方当事人不得擅自变更、中止或者终止合同。中标供应商除发生法律规定的不能预见、不能避免并不能克服的客观情况外，不得放弃或拒绝签订合同。放弃或者拒绝签订合同的，中标供应商不得参加对该项目重新开展的采购活动，由财政部门按照《政府采购法》第七十七条第一款予以罚款，列入不良行为记录名单，在一至三年内禁止参加政府采购活动，并予以通报。</w:t>
            </w:r>
          </w:p>
        </w:tc>
      </w:tr>
    </w:tbl>
    <w:p w14:paraId="4C6CC6F0">
      <w:pPr>
        <w:spacing w:line="360" w:lineRule="auto"/>
        <w:rPr>
          <w:rFonts w:hint="eastAsia" w:ascii="宋体"/>
          <w:b/>
          <w:bCs/>
          <w:sz w:val="24"/>
          <w:lang w:val="zh-CN"/>
        </w:rPr>
      </w:pPr>
    </w:p>
    <w:p w14:paraId="40AFD344">
      <w:pPr>
        <w:spacing w:line="360" w:lineRule="auto"/>
        <w:ind w:firstLine="420"/>
        <w:rPr>
          <w:rFonts w:ascii="宋体"/>
          <w:b/>
          <w:bCs/>
          <w:sz w:val="24"/>
          <w:lang w:val="zh-CN"/>
        </w:rPr>
      </w:pPr>
      <w:r>
        <w:rPr>
          <w:rFonts w:hint="eastAsia" w:ascii="宋体"/>
          <w:b/>
          <w:bCs/>
          <w:sz w:val="24"/>
          <w:lang w:val="zh-CN"/>
        </w:rPr>
        <w:t>一、总则</w:t>
      </w:r>
    </w:p>
    <w:p w14:paraId="0605BF57">
      <w:pPr>
        <w:spacing w:line="360" w:lineRule="auto"/>
        <w:ind w:firstLine="420"/>
        <w:outlineLvl w:val="0"/>
        <w:rPr>
          <w:rFonts w:ascii="宋体"/>
          <w:b/>
          <w:sz w:val="24"/>
          <w:lang w:val="zh-CN"/>
        </w:rPr>
      </w:pPr>
      <w:r>
        <w:rPr>
          <w:rFonts w:ascii="宋体"/>
          <w:b/>
          <w:sz w:val="24"/>
          <w:lang w:val="zh-CN"/>
        </w:rPr>
        <w:t>1</w:t>
      </w:r>
      <w:r>
        <w:rPr>
          <w:rFonts w:hint="eastAsia" w:ascii="宋体"/>
          <w:b/>
          <w:sz w:val="24"/>
          <w:lang w:val="zh-CN"/>
        </w:rPr>
        <w:t>、适用法律</w:t>
      </w:r>
    </w:p>
    <w:p w14:paraId="21B53A9F">
      <w:pPr>
        <w:spacing w:line="360" w:lineRule="auto"/>
        <w:ind w:firstLine="420"/>
        <w:rPr>
          <w:rFonts w:ascii="宋体"/>
          <w:sz w:val="24"/>
          <w:lang w:val="zh-CN"/>
        </w:rPr>
      </w:pPr>
      <w:r>
        <w:rPr>
          <w:rFonts w:ascii="宋体"/>
          <w:sz w:val="24"/>
          <w:lang w:val="zh-CN"/>
        </w:rPr>
        <w:t>1.1</w:t>
      </w:r>
      <w:r>
        <w:rPr>
          <w:rFonts w:hint="eastAsia" w:ascii="宋体"/>
          <w:sz w:val="24"/>
          <w:lang w:val="zh-CN"/>
        </w:rPr>
        <w:t xml:space="preserve"> 《中华人民共和国政府采购法》、《中华人民共和国政府采购法实施条例》、《政府采购货物和服务招标投标管理办法》等有关法律、规章和规定等。</w:t>
      </w:r>
    </w:p>
    <w:p w14:paraId="00D677EE">
      <w:pPr>
        <w:spacing w:line="360" w:lineRule="auto"/>
        <w:ind w:firstLine="420"/>
        <w:outlineLvl w:val="0"/>
        <w:rPr>
          <w:rFonts w:ascii="宋体"/>
          <w:b/>
          <w:sz w:val="24"/>
          <w:lang w:val="zh-CN"/>
        </w:rPr>
      </w:pPr>
      <w:r>
        <w:rPr>
          <w:rFonts w:ascii="宋体"/>
          <w:b/>
          <w:sz w:val="24"/>
          <w:lang w:val="zh-CN"/>
        </w:rPr>
        <w:t>2</w:t>
      </w:r>
      <w:r>
        <w:rPr>
          <w:rFonts w:hint="eastAsia" w:ascii="宋体"/>
          <w:b/>
          <w:sz w:val="24"/>
          <w:lang w:val="zh-CN"/>
        </w:rPr>
        <w:t>、定义</w:t>
      </w:r>
    </w:p>
    <w:p w14:paraId="64F95081">
      <w:pPr>
        <w:spacing w:line="360" w:lineRule="auto"/>
        <w:ind w:firstLine="420"/>
        <w:rPr>
          <w:rFonts w:ascii="宋体"/>
          <w:sz w:val="24"/>
          <w:lang w:val="zh-CN"/>
        </w:rPr>
      </w:pPr>
      <w:r>
        <w:rPr>
          <w:rFonts w:ascii="宋体"/>
          <w:sz w:val="24"/>
          <w:lang w:val="zh-CN"/>
        </w:rPr>
        <w:t>2.</w:t>
      </w:r>
      <w:r>
        <w:rPr>
          <w:rFonts w:hint="eastAsia" w:ascii="宋体"/>
          <w:sz w:val="24"/>
          <w:lang w:val="zh-CN"/>
        </w:rPr>
        <w:t>1 “供应商”、“投标人”是指参加投标竞争，并符合招标文件规定资格条件的法人、其他组织或者自然人。</w:t>
      </w:r>
    </w:p>
    <w:p w14:paraId="740183C4">
      <w:pPr>
        <w:spacing w:line="360" w:lineRule="auto"/>
        <w:ind w:firstLine="420"/>
        <w:rPr>
          <w:rFonts w:ascii="宋体"/>
          <w:sz w:val="24"/>
          <w:lang w:val="zh-CN"/>
        </w:rPr>
      </w:pPr>
      <w:r>
        <w:rPr>
          <w:rFonts w:ascii="宋体"/>
          <w:sz w:val="24"/>
          <w:lang w:val="zh-CN"/>
        </w:rPr>
        <w:t>2.</w:t>
      </w:r>
      <w:r>
        <w:rPr>
          <w:rFonts w:hint="eastAsia" w:ascii="宋体"/>
          <w:sz w:val="24"/>
          <w:lang w:val="zh-CN"/>
        </w:rPr>
        <w:t>2 “产品”指本招标文件中所述产品及相关服务。</w:t>
      </w:r>
    </w:p>
    <w:p w14:paraId="1D7D76AE">
      <w:pPr>
        <w:spacing w:line="360" w:lineRule="auto"/>
        <w:ind w:firstLine="420"/>
        <w:rPr>
          <w:rFonts w:ascii="宋体"/>
          <w:sz w:val="24"/>
          <w:lang w:val="zh-CN"/>
        </w:rPr>
      </w:pPr>
      <w:r>
        <w:rPr>
          <w:rFonts w:ascii="宋体"/>
          <w:sz w:val="24"/>
          <w:lang w:val="zh-CN"/>
        </w:rPr>
        <w:t>2.</w:t>
      </w:r>
      <w:r>
        <w:rPr>
          <w:rFonts w:hint="eastAsia" w:ascii="宋体"/>
          <w:sz w:val="24"/>
          <w:lang w:val="zh-CN"/>
        </w:rPr>
        <w:t>3 “用户或使用单位”是指使用货物、服务的单位。</w:t>
      </w:r>
    </w:p>
    <w:p w14:paraId="52BADF4F">
      <w:pPr>
        <w:spacing w:line="360" w:lineRule="auto"/>
        <w:ind w:firstLine="420"/>
        <w:rPr>
          <w:rFonts w:ascii="宋体" w:hAnsi="宋体"/>
          <w:b/>
          <w:sz w:val="24"/>
          <w:lang w:val="zh-CN"/>
        </w:rPr>
      </w:pPr>
      <w:r>
        <w:rPr>
          <w:rFonts w:hint="eastAsia" w:ascii="宋体" w:hAnsi="宋体"/>
          <w:b/>
          <w:sz w:val="24"/>
          <w:lang w:val="zh-CN"/>
        </w:rPr>
        <w:t>3、政策功能</w:t>
      </w:r>
    </w:p>
    <w:p w14:paraId="59CEA98D">
      <w:pPr>
        <w:spacing w:line="360" w:lineRule="auto"/>
        <w:ind w:firstLine="470"/>
        <w:rPr>
          <w:rFonts w:ascii="宋体" w:hAnsi="宋体" w:cs="宋体"/>
          <w:sz w:val="24"/>
          <w:lang w:val="zh-CN"/>
        </w:rPr>
      </w:pPr>
      <w:r>
        <w:rPr>
          <w:rFonts w:hint="eastAsia" w:ascii="宋体" w:hAnsi="宋体" w:cs="宋体"/>
          <w:sz w:val="24"/>
          <w:lang w:val="zh-CN"/>
        </w:rPr>
        <w:t>3.1 政府采购促进中小企业发展，在政府采购活动中，供应商提供的货物、工程或者服务</w:t>
      </w:r>
    </w:p>
    <w:p w14:paraId="02EA2A98">
      <w:pPr>
        <w:spacing w:line="360" w:lineRule="auto"/>
        <w:ind w:firstLine="470"/>
        <w:rPr>
          <w:rFonts w:ascii="宋体" w:hAnsi="宋体" w:cs="宋体"/>
          <w:sz w:val="24"/>
          <w:lang w:val="zh-CN"/>
        </w:rPr>
      </w:pPr>
      <w:r>
        <w:rPr>
          <w:rFonts w:hint="eastAsia" w:ascii="宋体" w:hAnsi="宋体" w:cs="宋体"/>
          <w:sz w:val="24"/>
          <w:lang w:val="zh-CN"/>
        </w:rPr>
        <w:t>符合下列情形的，享受中小企业扶持政策：</w:t>
      </w:r>
    </w:p>
    <w:p w14:paraId="22A65980">
      <w:pPr>
        <w:spacing w:line="360" w:lineRule="auto"/>
        <w:ind w:firstLine="470"/>
        <w:rPr>
          <w:rFonts w:ascii="宋体" w:hAnsi="宋体" w:cs="宋体"/>
          <w:sz w:val="24"/>
          <w:lang w:val="zh-CN"/>
        </w:rPr>
      </w:pPr>
      <w:r>
        <w:rPr>
          <w:rFonts w:hint="eastAsia" w:ascii="宋体" w:hAnsi="宋体" w:cs="宋体"/>
          <w:sz w:val="24"/>
          <w:lang w:val="zh-CN"/>
        </w:rPr>
        <w:t>（1）在货物采购项目中，货物由中小企业制造，即货物由中小企业生产且使用该中小企业商号或者注册商标；</w:t>
      </w:r>
    </w:p>
    <w:p w14:paraId="1647558E">
      <w:pPr>
        <w:spacing w:line="360" w:lineRule="auto"/>
        <w:ind w:firstLine="470"/>
        <w:rPr>
          <w:rFonts w:ascii="宋体" w:hAnsi="宋体" w:cs="宋体"/>
          <w:sz w:val="24"/>
          <w:lang w:val="zh-CN"/>
        </w:rPr>
      </w:pPr>
      <w:r>
        <w:rPr>
          <w:rFonts w:hint="eastAsia" w:ascii="宋体" w:hAnsi="宋体" w:cs="宋体"/>
          <w:sz w:val="24"/>
          <w:lang w:val="zh-CN"/>
        </w:rPr>
        <w:t>（2）在工程采购项目中，工程由中小企业承建，即工程施工单位为中小企业；</w:t>
      </w:r>
    </w:p>
    <w:p w14:paraId="0BEF20F4">
      <w:pPr>
        <w:spacing w:line="360" w:lineRule="auto"/>
        <w:ind w:firstLine="470"/>
        <w:rPr>
          <w:rFonts w:ascii="宋体" w:hAnsi="宋体" w:cs="宋体"/>
          <w:sz w:val="24"/>
          <w:lang w:val="zh-CN"/>
        </w:rPr>
      </w:pPr>
      <w:r>
        <w:rPr>
          <w:rFonts w:hint="eastAsia" w:ascii="宋体" w:hAnsi="宋体" w:cs="宋体"/>
          <w:sz w:val="24"/>
          <w:lang w:val="zh-CN"/>
        </w:rPr>
        <w:t>（3）在服务采购项目中，服务由中小企业承接，即提供服务的人员为中小企业依照《中华人民共和国劳动合同法》订立劳动合同的从业人员。</w:t>
      </w:r>
    </w:p>
    <w:p w14:paraId="077B2C59">
      <w:pPr>
        <w:spacing w:line="360" w:lineRule="auto"/>
        <w:ind w:firstLine="470"/>
        <w:rPr>
          <w:rFonts w:ascii="宋体" w:hAnsi="宋体" w:cs="宋体"/>
          <w:sz w:val="24"/>
          <w:lang w:val="zh-CN"/>
        </w:rPr>
      </w:pPr>
      <w:r>
        <w:rPr>
          <w:rFonts w:hint="eastAsia" w:ascii="宋体" w:hAnsi="宋体" w:cs="宋体"/>
          <w:sz w:val="24"/>
          <w:lang w:val="zh-CN"/>
        </w:rPr>
        <w:t>在货物采购项目中，供应商提供的货物既有中小企业制造货物，也有大型企业制造货物的，不享受中小企业扶持政策。</w:t>
      </w:r>
    </w:p>
    <w:p w14:paraId="45372BE1">
      <w:pPr>
        <w:spacing w:line="360" w:lineRule="auto"/>
        <w:ind w:firstLine="470"/>
        <w:rPr>
          <w:rFonts w:ascii="宋体" w:hAnsi="宋体" w:cs="宋体"/>
          <w:sz w:val="24"/>
          <w:lang w:val="zh-CN"/>
        </w:rPr>
      </w:pPr>
      <w:r>
        <w:rPr>
          <w:rFonts w:hint="eastAsia" w:ascii="宋体" w:hAnsi="宋体" w:cs="宋体"/>
          <w:sz w:val="24"/>
          <w:lang w:val="zh-CN"/>
        </w:rPr>
        <w:t>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p>
    <w:p w14:paraId="2874EF67">
      <w:pPr>
        <w:spacing w:line="360" w:lineRule="auto"/>
        <w:ind w:firstLine="470"/>
        <w:rPr>
          <w:rFonts w:ascii="宋体" w:hAnsi="宋体" w:cs="宋体"/>
          <w:sz w:val="24"/>
          <w:lang w:val="zh-CN"/>
        </w:rPr>
      </w:pPr>
      <w:r>
        <w:rPr>
          <w:rFonts w:hint="eastAsia" w:ascii="宋体" w:hAnsi="宋体" w:cs="宋体"/>
          <w:sz w:val="24"/>
          <w:lang w:val="zh-CN"/>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11016D81">
      <w:pPr>
        <w:spacing w:line="360" w:lineRule="auto"/>
        <w:ind w:firstLine="470"/>
        <w:rPr>
          <w:rFonts w:ascii="宋体" w:hAnsi="宋体" w:cs="宋体"/>
          <w:sz w:val="24"/>
          <w:lang w:val="zh-CN"/>
        </w:rPr>
      </w:pPr>
      <w:r>
        <w:rPr>
          <w:rFonts w:hint="eastAsia" w:ascii="宋体" w:hAnsi="宋体" w:cs="宋体"/>
          <w:sz w:val="24"/>
          <w:lang w:val="zh-CN"/>
        </w:rPr>
        <w:t>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p>
    <w:p w14:paraId="0F5DB53E">
      <w:pPr>
        <w:spacing w:line="360" w:lineRule="auto"/>
        <w:ind w:firstLine="470"/>
        <w:rPr>
          <w:rFonts w:ascii="宋体" w:hAnsi="宋体" w:cs="宋体"/>
          <w:sz w:val="24"/>
          <w:lang w:val="zh-CN"/>
        </w:rPr>
      </w:pPr>
      <w:r>
        <w:rPr>
          <w:rFonts w:hint="eastAsia" w:ascii="宋体" w:hAnsi="宋体" w:cs="宋体"/>
          <w:sz w:val="24"/>
          <w:lang w:val="zh-CN"/>
        </w:rPr>
        <w:t>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p>
    <w:p w14:paraId="0B6D9AF1">
      <w:pPr>
        <w:spacing w:line="360" w:lineRule="auto"/>
        <w:ind w:firstLine="470"/>
        <w:rPr>
          <w:rFonts w:ascii="宋体" w:hAnsi="宋体" w:cs="宋体"/>
          <w:sz w:val="24"/>
          <w:lang w:val="zh-CN"/>
        </w:rPr>
      </w:pPr>
      <w:r>
        <w:rPr>
          <w:rFonts w:hint="eastAsia" w:ascii="宋体" w:hAnsi="宋体" w:cs="宋体"/>
          <w:sz w:val="24"/>
          <w:lang w:val="zh-CN"/>
        </w:rPr>
        <w:t>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2DCA3822">
      <w:pPr>
        <w:spacing w:line="360" w:lineRule="auto"/>
        <w:ind w:firstLine="470"/>
        <w:rPr>
          <w:rFonts w:ascii="宋体" w:hAnsi="宋体" w:cs="宋体"/>
          <w:sz w:val="24"/>
          <w:lang w:val="zh-CN"/>
        </w:rPr>
      </w:pPr>
      <w:r>
        <w:rPr>
          <w:rFonts w:hint="eastAsia" w:ascii="宋体" w:hAnsi="宋体" w:cs="宋体"/>
          <w:sz w:val="24"/>
          <w:lang w:val="zh-CN"/>
        </w:rPr>
        <w:t>3.5 提供的产品属于信息安全产品的，供应商应当选择经国家认证的信息安全产品投标，并提供由中国信息安全认证中心按国家标准认证颁发的有效认证证书复印件。</w:t>
      </w:r>
    </w:p>
    <w:p w14:paraId="3A7C5EC9">
      <w:pPr>
        <w:spacing w:line="360" w:lineRule="auto"/>
        <w:ind w:firstLine="470"/>
        <w:rPr>
          <w:rFonts w:ascii="宋体" w:hAnsi="宋体" w:cs="宋体"/>
          <w:sz w:val="24"/>
          <w:lang w:val="zh-CN"/>
        </w:rPr>
      </w:pPr>
      <w:r>
        <w:rPr>
          <w:rFonts w:hint="eastAsia" w:ascii="宋体" w:hAnsi="宋体" w:cs="宋体"/>
          <w:sz w:val="24"/>
          <w:lang w:val="zh-CN"/>
        </w:rPr>
        <w:t>3.6 提供的产品属于政府强制采购节能产品的，供应商应当选择依据国家标准中二级能效（水效）指标认证的节能产品投标，并提供有效的节能产品认证证书复印件。</w:t>
      </w:r>
    </w:p>
    <w:p w14:paraId="2910703B">
      <w:pPr>
        <w:spacing w:line="360" w:lineRule="auto"/>
        <w:ind w:firstLine="470"/>
        <w:rPr>
          <w:rFonts w:ascii="宋体" w:hAnsi="宋体" w:cs="宋体"/>
          <w:sz w:val="24"/>
          <w:lang w:val="zh-CN"/>
        </w:rPr>
      </w:pPr>
      <w:r>
        <w:rPr>
          <w:rFonts w:hint="eastAsia" w:ascii="宋体" w:hAnsi="宋体" w:cs="宋体"/>
          <w:sz w:val="24"/>
          <w:lang w:val="zh-CN"/>
        </w:rPr>
        <w:t>3.7 提供的产品属于环境标志产品的，供应商应当选择依据相关标准的最新版本认证的环境标志产品投标，并提供有效的环境标志产品认证证书复印件。</w:t>
      </w:r>
    </w:p>
    <w:p w14:paraId="19BB2C0D">
      <w:pPr>
        <w:spacing w:line="360" w:lineRule="auto"/>
        <w:ind w:left="479"/>
        <w:rPr>
          <w:rFonts w:ascii="宋体" w:hAnsi="宋体" w:cs="宋体"/>
          <w:sz w:val="24"/>
          <w:lang w:val="zh-CN"/>
        </w:rPr>
      </w:pPr>
      <w:r>
        <w:rPr>
          <w:rFonts w:hint="eastAsia" w:ascii="宋体" w:hAnsi="宋体" w:cs="宋体"/>
          <w:sz w:val="24"/>
          <w:lang w:val="zh-CN"/>
        </w:rPr>
        <w:t>3.8未按要求提供相关材料的，不享受相关政策。</w:t>
      </w:r>
    </w:p>
    <w:p w14:paraId="1068E16F">
      <w:pPr>
        <w:spacing w:line="360" w:lineRule="auto"/>
        <w:ind w:left="479"/>
        <w:rPr>
          <w:rFonts w:ascii="宋体" w:hAnsi="宋体"/>
          <w:b/>
          <w:sz w:val="24"/>
        </w:rPr>
      </w:pPr>
      <w:r>
        <w:rPr>
          <w:rFonts w:hint="eastAsia" w:ascii="宋体" w:hAnsi="宋体"/>
          <w:b/>
          <w:sz w:val="24"/>
        </w:rPr>
        <w:t>二、招标文件</w:t>
      </w:r>
    </w:p>
    <w:p w14:paraId="28E99D3F">
      <w:pPr>
        <w:spacing w:line="360" w:lineRule="auto"/>
        <w:ind w:firstLine="482"/>
        <w:rPr>
          <w:rFonts w:ascii="宋体" w:hAnsi="宋体"/>
          <w:bCs/>
          <w:sz w:val="24"/>
        </w:rPr>
      </w:pPr>
      <w:r>
        <w:rPr>
          <w:rFonts w:hint="eastAsia" w:ascii="宋体" w:hAnsi="宋体"/>
          <w:b/>
          <w:sz w:val="24"/>
        </w:rPr>
        <w:t>4.招标文件组成</w:t>
      </w:r>
    </w:p>
    <w:p w14:paraId="047A0903">
      <w:pPr>
        <w:spacing w:line="360" w:lineRule="auto"/>
        <w:ind w:firstLine="480"/>
        <w:rPr>
          <w:rFonts w:ascii="宋体" w:hAnsi="宋体"/>
          <w:bCs/>
          <w:sz w:val="24"/>
        </w:rPr>
      </w:pPr>
      <w:r>
        <w:rPr>
          <w:rFonts w:hint="eastAsia" w:ascii="宋体" w:hAnsi="宋体"/>
          <w:bCs/>
          <w:sz w:val="24"/>
        </w:rPr>
        <w:t>4.1 招标文件组成：</w:t>
      </w:r>
      <w:r>
        <w:rPr>
          <w:rFonts w:hint="eastAsia" w:ascii="宋体"/>
          <w:color w:val="000000"/>
          <w:sz w:val="24"/>
          <w:lang w:val="zh-CN"/>
        </w:rPr>
        <w:t>招标公告</w:t>
      </w:r>
      <w:r>
        <w:rPr>
          <w:rFonts w:hint="eastAsia" w:ascii="宋体" w:hAnsi="宋体"/>
          <w:bCs/>
          <w:sz w:val="24"/>
        </w:rPr>
        <w:t>、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p>
    <w:p w14:paraId="4EB7753F">
      <w:pPr>
        <w:spacing w:line="360" w:lineRule="auto"/>
        <w:ind w:firstLine="480"/>
        <w:rPr>
          <w:rFonts w:ascii="宋体" w:hAnsi="宋体"/>
          <w:bCs/>
          <w:sz w:val="24"/>
        </w:rPr>
      </w:pPr>
      <w:r>
        <w:rPr>
          <w:rFonts w:hint="eastAsia" w:ascii="宋体" w:hAnsi="宋体"/>
          <w:bCs/>
          <w:sz w:val="24"/>
        </w:rPr>
        <w:t>4.2 招标的最小单位是包。招标服务数量及技术要求中未分包的，供应商对要求提供的服务不得部分投标；招标服务数量及技术要求中已经分包的，应当以包为单位投标。</w:t>
      </w:r>
    </w:p>
    <w:p w14:paraId="43DDFA2B">
      <w:pPr>
        <w:spacing w:line="360" w:lineRule="auto"/>
        <w:ind w:firstLine="480"/>
        <w:rPr>
          <w:rFonts w:ascii="宋体" w:hAnsi="宋体"/>
          <w:bCs/>
          <w:sz w:val="24"/>
        </w:rPr>
      </w:pPr>
      <w:r>
        <w:rPr>
          <w:rFonts w:hint="eastAsia" w:ascii="宋体" w:hAnsi="宋体"/>
          <w:bCs/>
          <w:sz w:val="24"/>
        </w:rPr>
        <w:t>4.3 招标文件如果要求供应商提交备选投标方案的，供应商可以提交备选方案，否则，不接受备选方案。</w:t>
      </w:r>
    </w:p>
    <w:p w14:paraId="63876B87">
      <w:pPr>
        <w:spacing w:line="360" w:lineRule="auto"/>
        <w:ind w:firstLine="482"/>
        <w:rPr>
          <w:rFonts w:ascii="宋体" w:hAnsi="宋体"/>
          <w:bCs/>
          <w:sz w:val="24"/>
        </w:rPr>
      </w:pPr>
      <w:r>
        <w:rPr>
          <w:rFonts w:hint="eastAsia" w:ascii="宋体" w:hAnsi="宋体"/>
          <w:b/>
          <w:sz w:val="24"/>
        </w:rPr>
        <w:t>5.招标文件的澄清修改</w:t>
      </w:r>
    </w:p>
    <w:p w14:paraId="304D4ACD">
      <w:pPr>
        <w:spacing w:line="360" w:lineRule="auto"/>
        <w:ind w:firstLine="480"/>
        <w:rPr>
          <w:rFonts w:ascii="宋体" w:hAnsi="宋体"/>
          <w:bCs/>
          <w:sz w:val="24"/>
        </w:rPr>
      </w:pPr>
      <w:r>
        <w:rPr>
          <w:rFonts w:hint="eastAsia" w:ascii="宋体" w:hAnsi="宋体"/>
          <w:bCs/>
          <w:sz w:val="24"/>
        </w:rPr>
        <w:t>5.1 任何要求对招标文件进行澄清的投标人，应在投标截止期十五日前按招标公告中的通讯地址，以书面形式通知代理机构；</w:t>
      </w:r>
    </w:p>
    <w:p w14:paraId="0D6B33E2">
      <w:pPr>
        <w:spacing w:line="360" w:lineRule="auto"/>
        <w:ind w:firstLine="480"/>
        <w:rPr>
          <w:rFonts w:ascii="宋体" w:hAnsi="宋体"/>
          <w:bCs/>
          <w:sz w:val="24"/>
        </w:rPr>
      </w:pPr>
      <w:r>
        <w:rPr>
          <w:rFonts w:hint="eastAsia" w:ascii="宋体" w:hAnsi="宋体"/>
          <w:bCs/>
          <w:sz w:val="24"/>
        </w:rPr>
        <w:t>5.2代理机构对已发出的招标文件进行必要澄清或者修改的，将在招标文件要求提交投标文件截止时间十五日前，在原招标公告媒体发布更正公告，该澄清或者修改的内容为招标文件的组成部分。</w:t>
      </w:r>
    </w:p>
    <w:p w14:paraId="0855E782">
      <w:pPr>
        <w:spacing w:line="360" w:lineRule="auto"/>
        <w:ind w:firstLine="480"/>
        <w:rPr>
          <w:rFonts w:ascii="宋体" w:hAnsi="宋体"/>
          <w:bCs/>
          <w:sz w:val="24"/>
        </w:rPr>
      </w:pPr>
      <w:r>
        <w:rPr>
          <w:rFonts w:hint="eastAsia" w:ascii="宋体" w:hAnsi="宋体"/>
          <w:bCs/>
          <w:sz w:val="24"/>
        </w:rPr>
        <w:t>5.3 代理机构在招标文件要求提交投标文件截止时间前，有权决定延长投标截止时间和开标时间，并在原采购信息发布媒体上发布变更公告。</w:t>
      </w:r>
    </w:p>
    <w:p w14:paraId="6A9A6ECE">
      <w:pPr>
        <w:spacing w:line="360" w:lineRule="auto"/>
        <w:ind w:firstLine="480"/>
        <w:rPr>
          <w:rFonts w:ascii="宋体" w:hAnsi="宋体"/>
          <w:bCs/>
          <w:sz w:val="24"/>
        </w:rPr>
      </w:pPr>
      <w:r>
        <w:rPr>
          <w:rFonts w:hint="eastAsia" w:ascii="宋体" w:hAnsi="宋体"/>
          <w:bCs/>
          <w:sz w:val="24"/>
        </w:rPr>
        <w:t>5.4供应商应在投标截止时间前关注原采购信息发布媒体上有关本招标项目有无变更公告。根据更正公告内容自行决定是否需要重新制作和提交投标文件，并承担由此产生的相应责任。</w:t>
      </w:r>
    </w:p>
    <w:p w14:paraId="19B08D78">
      <w:pPr>
        <w:spacing w:line="360" w:lineRule="auto"/>
        <w:ind w:firstLine="482"/>
        <w:rPr>
          <w:rFonts w:ascii="宋体" w:hAnsi="宋体"/>
          <w:bCs/>
          <w:sz w:val="24"/>
        </w:rPr>
      </w:pPr>
      <w:r>
        <w:rPr>
          <w:rFonts w:hint="eastAsia" w:ascii="宋体" w:hAnsi="宋体"/>
          <w:b/>
          <w:sz w:val="24"/>
        </w:rPr>
        <w:t>三、投标</w:t>
      </w:r>
    </w:p>
    <w:p w14:paraId="099144CC">
      <w:pPr>
        <w:spacing w:line="360" w:lineRule="auto"/>
        <w:ind w:firstLine="482"/>
        <w:rPr>
          <w:rFonts w:ascii="宋体" w:hAnsi="宋体"/>
          <w:bCs/>
          <w:sz w:val="24"/>
        </w:rPr>
      </w:pPr>
      <w:r>
        <w:rPr>
          <w:rFonts w:hint="eastAsia" w:ascii="宋体" w:hAnsi="宋体"/>
          <w:b/>
          <w:sz w:val="24"/>
        </w:rPr>
        <w:t>6.投标文件的语言、计量单位、货币、技术标准和编制</w:t>
      </w:r>
    </w:p>
    <w:p w14:paraId="39254C28">
      <w:pPr>
        <w:spacing w:line="360" w:lineRule="auto"/>
        <w:ind w:firstLine="480"/>
        <w:rPr>
          <w:rFonts w:ascii="宋体" w:hAnsi="宋体"/>
          <w:bCs/>
          <w:sz w:val="24"/>
        </w:rPr>
      </w:pPr>
      <w:r>
        <w:rPr>
          <w:rFonts w:hint="eastAsia" w:ascii="宋体" w:hAnsi="宋体"/>
          <w:bCs/>
          <w:sz w:val="24"/>
        </w:rPr>
        <w:t>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583E6871">
      <w:pPr>
        <w:spacing w:line="360" w:lineRule="auto"/>
        <w:ind w:firstLine="480"/>
        <w:rPr>
          <w:rFonts w:ascii="宋体" w:hAnsi="宋体"/>
          <w:bCs/>
          <w:sz w:val="24"/>
        </w:rPr>
      </w:pPr>
      <w:r>
        <w:rPr>
          <w:rFonts w:hint="eastAsia" w:ascii="宋体" w:hAnsi="宋体"/>
          <w:bCs/>
          <w:sz w:val="24"/>
        </w:rPr>
        <w:t>6.2 供应商所使用的计量单位应为国家法定计量单位。</w:t>
      </w:r>
    </w:p>
    <w:p w14:paraId="38674C2C">
      <w:pPr>
        <w:spacing w:line="360" w:lineRule="auto"/>
        <w:ind w:firstLine="480"/>
        <w:rPr>
          <w:rFonts w:ascii="宋体" w:hAnsi="宋体"/>
          <w:bCs/>
          <w:sz w:val="24"/>
        </w:rPr>
      </w:pPr>
      <w:r>
        <w:rPr>
          <w:rFonts w:hint="eastAsia" w:ascii="宋体" w:hAnsi="宋体"/>
          <w:bCs/>
          <w:sz w:val="24"/>
        </w:rPr>
        <w:t>6.3 供应商应用人民币报价。</w:t>
      </w:r>
    </w:p>
    <w:p w14:paraId="643FC11A">
      <w:pPr>
        <w:spacing w:line="360" w:lineRule="auto"/>
        <w:ind w:firstLine="480"/>
        <w:rPr>
          <w:rFonts w:ascii="宋体" w:hAnsi="宋体"/>
          <w:bCs/>
          <w:sz w:val="24"/>
        </w:rPr>
      </w:pPr>
      <w:r>
        <w:rPr>
          <w:rFonts w:hint="eastAsia" w:ascii="宋体" w:hAnsi="宋体"/>
          <w:bCs/>
          <w:sz w:val="24"/>
        </w:rPr>
        <w:t>6.4 如标书制作工具中格式和内容与“江苏政府采购网”发布的招标文件不一致，以“江苏政府采购网”发布的招标文件为准。</w:t>
      </w:r>
    </w:p>
    <w:p w14:paraId="0A6246D2">
      <w:pPr>
        <w:spacing w:line="360" w:lineRule="auto"/>
        <w:ind w:firstLine="480"/>
        <w:rPr>
          <w:rFonts w:ascii="宋体" w:hAnsi="宋体"/>
          <w:bCs/>
          <w:sz w:val="24"/>
        </w:rPr>
      </w:pPr>
      <w:r>
        <w:rPr>
          <w:rFonts w:hint="eastAsia" w:ascii="宋体" w:hAnsi="宋体"/>
          <w:bCs/>
          <w:sz w:val="24"/>
        </w:rPr>
        <w:t>6.5 供应商应在投标文件中写清相应的项目编号、项目名称、供应商全称、地址、电话、传真等。</w:t>
      </w:r>
    </w:p>
    <w:p w14:paraId="02A3EC83">
      <w:pPr>
        <w:spacing w:line="360" w:lineRule="auto"/>
        <w:ind w:firstLine="480"/>
        <w:rPr>
          <w:rFonts w:ascii="宋体" w:hAnsi="宋体"/>
          <w:bCs/>
          <w:sz w:val="24"/>
        </w:rPr>
      </w:pPr>
      <w:r>
        <w:rPr>
          <w:rFonts w:hint="eastAsia" w:ascii="宋体" w:hAnsi="宋体"/>
          <w:bCs/>
          <w:sz w:val="24"/>
        </w:rPr>
        <w:t>6.6 供应商所使用的技术标准应遵循国家最新标准及规范。</w:t>
      </w:r>
    </w:p>
    <w:p w14:paraId="21E45EC1">
      <w:pPr>
        <w:spacing w:line="360" w:lineRule="auto"/>
        <w:ind w:firstLine="482"/>
        <w:rPr>
          <w:rFonts w:ascii="宋体" w:hAnsi="宋体"/>
          <w:b/>
          <w:sz w:val="24"/>
        </w:rPr>
      </w:pPr>
      <w:r>
        <w:rPr>
          <w:rFonts w:hint="eastAsia" w:ascii="宋体" w:hAnsi="宋体"/>
          <w:b/>
          <w:sz w:val="24"/>
        </w:rPr>
        <w:t>7.联合体及分包：</w:t>
      </w:r>
    </w:p>
    <w:p w14:paraId="5B5585D4">
      <w:pPr>
        <w:spacing w:line="360" w:lineRule="auto"/>
        <w:ind w:firstLine="482"/>
        <w:rPr>
          <w:rFonts w:ascii="宋体" w:hAnsi="宋体"/>
          <w:bCs/>
          <w:sz w:val="24"/>
        </w:rPr>
      </w:pPr>
      <w:r>
        <w:rPr>
          <w:rFonts w:hint="eastAsia" w:ascii="宋体" w:hAnsi="宋体"/>
          <w:b/>
          <w:color w:val="000000"/>
          <w:sz w:val="24"/>
        </w:rPr>
        <w:t>本项目不接受联合体投标，本项目不接受分包。</w:t>
      </w:r>
    </w:p>
    <w:p w14:paraId="62F97E7D">
      <w:pPr>
        <w:spacing w:line="360" w:lineRule="auto"/>
        <w:ind w:firstLine="482"/>
        <w:rPr>
          <w:rFonts w:ascii="宋体" w:hAnsi="宋体"/>
          <w:bCs/>
          <w:sz w:val="24"/>
        </w:rPr>
      </w:pPr>
      <w:r>
        <w:rPr>
          <w:rFonts w:hint="eastAsia" w:ascii="宋体" w:hAnsi="宋体"/>
          <w:b/>
          <w:sz w:val="24"/>
        </w:rPr>
        <w:t>8.投标费用</w:t>
      </w:r>
    </w:p>
    <w:p w14:paraId="5AEABA4B">
      <w:pPr>
        <w:spacing w:line="360" w:lineRule="auto"/>
        <w:ind w:firstLine="480"/>
        <w:rPr>
          <w:rFonts w:ascii="宋体" w:hAnsi="宋体"/>
          <w:bCs/>
          <w:sz w:val="24"/>
        </w:rPr>
      </w:pPr>
      <w:r>
        <w:rPr>
          <w:rFonts w:hint="eastAsia" w:ascii="宋体" w:hAnsi="宋体"/>
          <w:bCs/>
          <w:sz w:val="24"/>
        </w:rPr>
        <w:t>8.1 供应商应承担所有与准备和参加投标有关的费用，无论采购结果如何，代理机构和采购人在任何情况下均无义务和责任承担这些费用。</w:t>
      </w:r>
    </w:p>
    <w:p w14:paraId="6F1F444F">
      <w:pPr>
        <w:spacing w:line="360" w:lineRule="auto"/>
        <w:ind w:firstLine="480"/>
        <w:rPr>
          <w:rFonts w:ascii="宋体" w:hAnsi="宋体"/>
          <w:bCs/>
          <w:color w:val="000000"/>
          <w:sz w:val="24"/>
        </w:rPr>
      </w:pPr>
      <w:r>
        <w:rPr>
          <w:rFonts w:hint="eastAsia" w:ascii="宋体" w:hAnsi="宋体"/>
          <w:bCs/>
          <w:color w:val="000000"/>
          <w:sz w:val="24"/>
        </w:rPr>
        <w:t xml:space="preserve">8.2 </w:t>
      </w:r>
      <w:r>
        <w:rPr>
          <w:rFonts w:hint="eastAsia" w:ascii="宋体" w:hAnsi="宋体"/>
          <w:color w:val="000000"/>
          <w:sz w:val="24"/>
        </w:rPr>
        <w:t>代理服务费：招标代理服务费按照计价格[2002]1980号文件中规定的收费标准的49%，招标代理费由中标人支付</w:t>
      </w:r>
      <w:r>
        <w:rPr>
          <w:rFonts w:hint="eastAsia" w:ascii="宋体" w:hAnsi="宋体"/>
          <w:bCs/>
          <w:color w:val="000000"/>
          <w:sz w:val="24"/>
        </w:rPr>
        <w:t>。该项费用请供应商综合考虑在投标报价中，后期采购人不单独列支，在领取中标通知书前向招标代理机构支付招标服务费和专家评审费。</w:t>
      </w:r>
    </w:p>
    <w:p w14:paraId="0B1179ED">
      <w:pPr>
        <w:spacing w:line="360" w:lineRule="auto"/>
        <w:ind w:firstLine="482"/>
        <w:rPr>
          <w:rFonts w:ascii="宋体" w:hAnsi="宋体"/>
          <w:bCs/>
          <w:sz w:val="24"/>
        </w:rPr>
      </w:pPr>
      <w:r>
        <w:rPr>
          <w:rFonts w:hint="eastAsia" w:ascii="宋体" w:hAnsi="宋体"/>
          <w:b/>
          <w:sz w:val="24"/>
        </w:rPr>
        <w:t>9.投标文件组成</w:t>
      </w:r>
    </w:p>
    <w:p w14:paraId="7B23D3A8">
      <w:pPr>
        <w:spacing w:line="360" w:lineRule="auto"/>
        <w:ind w:firstLine="480"/>
        <w:rPr>
          <w:rFonts w:ascii="宋体" w:hAnsi="宋体"/>
          <w:bCs/>
          <w:sz w:val="24"/>
        </w:rPr>
      </w:pPr>
      <w:r>
        <w:rPr>
          <w:rFonts w:hint="eastAsia" w:ascii="宋体" w:hAnsi="宋体"/>
          <w:bCs/>
          <w:sz w:val="24"/>
        </w:rPr>
        <w:t>9.1 投标人编写的投标文件应包括资格证明文件、符合性证明文件、投标分项报价表、响应及偏离表、其他证明文件、投标函、开标一览表等部分。</w:t>
      </w:r>
    </w:p>
    <w:p w14:paraId="3D9A36AD">
      <w:pPr>
        <w:spacing w:line="360" w:lineRule="auto"/>
        <w:ind w:firstLine="480"/>
        <w:rPr>
          <w:rFonts w:ascii="宋体" w:hAnsi="宋体"/>
          <w:bCs/>
          <w:sz w:val="24"/>
        </w:rPr>
      </w:pPr>
      <w:r>
        <w:rPr>
          <w:rFonts w:hint="eastAsia" w:ascii="宋体" w:hAnsi="宋体"/>
          <w:bCs/>
          <w:sz w:val="24"/>
        </w:rPr>
        <w:t>9.2 供应商应当根据招标文件要求编制投标文件，投标文件应对招标文件提出的要求和条件作出实质性响应，并在《商务条款偏离表》、《资格性和符合性检查响应对照表》等处逐条标明满足与否。对带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p>
    <w:p w14:paraId="44B09842">
      <w:pPr>
        <w:spacing w:line="360" w:lineRule="auto"/>
        <w:ind w:firstLine="480"/>
        <w:rPr>
          <w:rFonts w:ascii="宋体" w:hAnsi="宋体"/>
          <w:bCs/>
          <w:sz w:val="24"/>
        </w:rPr>
      </w:pPr>
      <w:r>
        <w:rPr>
          <w:rFonts w:hint="eastAsia" w:ascii="宋体" w:hAnsi="宋体"/>
          <w:bCs/>
          <w:sz w:val="24"/>
        </w:rPr>
        <w:t>9.3 供应商根据招标文件载明的采购项目实际情况，拟在中标后将中标项目的非主体、非关键性工作交由他人完成的，应当在投标文件中载明。</w:t>
      </w:r>
    </w:p>
    <w:p w14:paraId="7B3E67DD">
      <w:pPr>
        <w:spacing w:line="360" w:lineRule="auto"/>
        <w:ind w:firstLine="482"/>
        <w:rPr>
          <w:rFonts w:ascii="宋体" w:hAnsi="宋体"/>
          <w:bCs/>
          <w:sz w:val="24"/>
        </w:rPr>
      </w:pPr>
      <w:r>
        <w:rPr>
          <w:rFonts w:hint="eastAsia" w:ascii="宋体" w:hAnsi="宋体"/>
          <w:b/>
          <w:sz w:val="24"/>
        </w:rPr>
        <w:t>10.投标文件的商务部分</w:t>
      </w:r>
    </w:p>
    <w:p w14:paraId="62B2A725">
      <w:pPr>
        <w:spacing w:line="360" w:lineRule="auto"/>
        <w:ind w:firstLine="480"/>
        <w:rPr>
          <w:rFonts w:ascii="宋体" w:hAnsi="宋体"/>
          <w:bCs/>
          <w:sz w:val="24"/>
        </w:rPr>
      </w:pPr>
      <w:r>
        <w:rPr>
          <w:rFonts w:hint="eastAsia" w:ascii="宋体" w:hAnsi="宋体"/>
          <w:bCs/>
          <w:sz w:val="24"/>
        </w:rPr>
        <w:t>10.1 商务部分是证明供应商有资格参加投标和中标后有能力履行合同的文件，这些文件应能满足招标的要求，包括但不限于下列文件，其中加“★”项目不得有缺失或无效：</w:t>
      </w:r>
    </w:p>
    <w:p w14:paraId="2E732AAD">
      <w:pPr>
        <w:spacing w:line="360" w:lineRule="auto"/>
        <w:ind w:firstLine="480"/>
        <w:rPr>
          <w:rFonts w:ascii="宋体" w:hAnsi="宋体"/>
          <w:bCs/>
          <w:sz w:val="24"/>
        </w:rPr>
      </w:pPr>
      <w:r>
        <w:rPr>
          <w:rFonts w:hint="eastAsia" w:ascii="宋体" w:hAnsi="宋体"/>
          <w:bCs/>
          <w:sz w:val="24"/>
        </w:rPr>
        <w:t>（1）★投标函（投标申请及声明）；</w:t>
      </w:r>
    </w:p>
    <w:p w14:paraId="27C6DFD9">
      <w:pPr>
        <w:spacing w:line="360" w:lineRule="auto"/>
        <w:ind w:firstLine="480"/>
        <w:rPr>
          <w:rFonts w:ascii="宋体" w:hAnsi="宋体"/>
          <w:bCs/>
          <w:sz w:val="24"/>
        </w:rPr>
      </w:pPr>
      <w:r>
        <w:rPr>
          <w:rFonts w:hint="eastAsia" w:ascii="宋体" w:hAnsi="宋体"/>
          <w:bCs/>
          <w:sz w:val="24"/>
        </w:rPr>
        <w:t>（2）★法定代表人授权委托书及授权委托人的身份证复印件（有授权委托的），或法定代表人身份证复印件（无授权委托的）；</w:t>
      </w:r>
    </w:p>
    <w:p w14:paraId="0FDD657E">
      <w:pPr>
        <w:spacing w:line="360" w:lineRule="auto"/>
        <w:ind w:firstLine="480"/>
        <w:rPr>
          <w:rFonts w:ascii="宋体" w:hAnsi="宋体"/>
          <w:bCs/>
          <w:sz w:val="24"/>
        </w:rPr>
      </w:pPr>
      <w:r>
        <w:rPr>
          <w:rFonts w:hint="eastAsia" w:ascii="宋体" w:hAnsi="宋体"/>
          <w:bCs/>
          <w:sz w:val="24"/>
        </w:rPr>
        <w:t>（3）★</w:t>
      </w:r>
      <w:r>
        <w:rPr>
          <w:rFonts w:hint="eastAsia" w:ascii="宋体" w:hAnsi="宋体" w:cs="宋体"/>
          <w:sz w:val="24"/>
        </w:rPr>
        <w:t>第一章招标公告中申请人的资格要求</w:t>
      </w:r>
      <w:r>
        <w:rPr>
          <w:rFonts w:hint="eastAsia" w:ascii="宋体" w:hAnsi="宋体"/>
          <w:bCs/>
          <w:sz w:val="24"/>
        </w:rPr>
        <w:t>；</w:t>
      </w:r>
    </w:p>
    <w:p w14:paraId="0E1AF0BE">
      <w:pPr>
        <w:spacing w:line="360" w:lineRule="auto"/>
        <w:ind w:firstLine="480"/>
        <w:rPr>
          <w:rFonts w:ascii="宋体" w:hAnsi="宋体"/>
          <w:bCs/>
          <w:sz w:val="24"/>
        </w:rPr>
      </w:pPr>
      <w:r>
        <w:rPr>
          <w:rFonts w:hint="eastAsia" w:ascii="宋体" w:hAnsi="宋体"/>
          <w:bCs/>
          <w:sz w:val="24"/>
        </w:rPr>
        <w:t>（4）《商务条款偏离表》；</w:t>
      </w:r>
    </w:p>
    <w:p w14:paraId="564BF4E5">
      <w:pPr>
        <w:spacing w:line="360" w:lineRule="auto"/>
        <w:ind w:firstLine="480"/>
        <w:rPr>
          <w:rFonts w:ascii="宋体" w:hAnsi="宋体"/>
          <w:b/>
          <w:sz w:val="24"/>
        </w:rPr>
      </w:pPr>
      <w:r>
        <w:rPr>
          <w:rFonts w:hint="eastAsia" w:ascii="宋体" w:hAnsi="宋体"/>
          <w:b/>
          <w:sz w:val="24"/>
        </w:rPr>
        <w:t>（5）</w:t>
      </w:r>
      <w:r>
        <w:rPr>
          <w:rFonts w:hint="eastAsia" w:ascii="宋体" w:hAnsi="宋体"/>
          <w:bCs/>
          <w:sz w:val="24"/>
        </w:rPr>
        <w:t>★</w:t>
      </w:r>
      <w:r>
        <w:rPr>
          <w:rFonts w:hint="eastAsia" w:ascii="宋体" w:hAnsi="宋体" w:cs="宋体"/>
          <w:b/>
          <w:sz w:val="24"/>
        </w:rPr>
        <w:t>《</w:t>
      </w:r>
      <w:r>
        <w:rPr>
          <w:rFonts w:hint="eastAsia" w:ascii="宋体" w:hAnsi="宋体"/>
          <w:b/>
          <w:sz w:val="24"/>
        </w:rPr>
        <w:t>开标一览表</w:t>
      </w:r>
      <w:r>
        <w:rPr>
          <w:rFonts w:hint="eastAsia" w:ascii="宋体" w:hAnsi="宋体"/>
          <w:b/>
          <w:sz w:val="24"/>
          <w:lang w:val="zh-CN"/>
        </w:rPr>
        <w:t>》、《分项报价表》</w:t>
      </w:r>
    </w:p>
    <w:p w14:paraId="63F3FE9F">
      <w:pPr>
        <w:spacing w:line="360" w:lineRule="auto"/>
        <w:ind w:firstLine="480"/>
        <w:rPr>
          <w:rFonts w:ascii="宋体" w:hAnsi="宋体"/>
          <w:bCs/>
          <w:sz w:val="24"/>
        </w:rPr>
      </w:pPr>
      <w:r>
        <w:rPr>
          <w:rFonts w:hint="eastAsia" w:ascii="宋体" w:hAnsi="宋体"/>
          <w:bCs/>
          <w:sz w:val="24"/>
        </w:rPr>
        <w:t>（6）合同条款；</w:t>
      </w:r>
    </w:p>
    <w:p w14:paraId="477ED1DC">
      <w:pPr>
        <w:spacing w:line="360" w:lineRule="auto"/>
        <w:ind w:firstLine="480"/>
        <w:rPr>
          <w:rFonts w:ascii="宋体" w:hAnsi="宋体"/>
          <w:bCs/>
          <w:sz w:val="24"/>
        </w:rPr>
      </w:pPr>
      <w:r>
        <w:rPr>
          <w:rFonts w:hint="eastAsia" w:ascii="宋体" w:hAnsi="宋体"/>
          <w:bCs/>
          <w:sz w:val="24"/>
        </w:rPr>
        <w:t>（7）供应商认为需要提供的其他资格证明文件和商务资料。</w:t>
      </w:r>
    </w:p>
    <w:p w14:paraId="4AECEA50">
      <w:pPr>
        <w:spacing w:line="360" w:lineRule="auto"/>
        <w:ind w:firstLine="482"/>
        <w:rPr>
          <w:rFonts w:ascii="宋体" w:hAnsi="宋体"/>
          <w:bCs/>
          <w:sz w:val="24"/>
        </w:rPr>
      </w:pPr>
      <w:r>
        <w:rPr>
          <w:rFonts w:hint="eastAsia" w:ascii="宋体" w:hAnsi="宋体"/>
          <w:b/>
          <w:sz w:val="24"/>
        </w:rPr>
        <w:t>11.投标文件的技术部分</w:t>
      </w:r>
    </w:p>
    <w:p w14:paraId="594CE4C5">
      <w:pPr>
        <w:spacing w:line="360" w:lineRule="auto"/>
        <w:ind w:firstLine="480"/>
        <w:rPr>
          <w:rFonts w:ascii="宋体" w:hAnsi="宋体"/>
          <w:bCs/>
          <w:sz w:val="24"/>
        </w:rPr>
      </w:pPr>
      <w:r>
        <w:rPr>
          <w:rFonts w:hint="eastAsia" w:ascii="宋体" w:hAnsi="宋体"/>
          <w:bCs/>
          <w:sz w:val="24"/>
        </w:rPr>
        <w:t>11.1 技术部分是证明供应商提供的服务是合格的、并符合招标文件要求的证明文件，以及对投标报价表中的服务的详细说明，这些文件可以是文字资料、图纸和数据等。</w:t>
      </w:r>
    </w:p>
    <w:p w14:paraId="32B88E10">
      <w:pPr>
        <w:spacing w:line="360" w:lineRule="auto"/>
        <w:ind w:firstLine="480"/>
        <w:rPr>
          <w:rFonts w:ascii="宋体" w:hAnsi="宋体"/>
          <w:bCs/>
          <w:sz w:val="24"/>
        </w:rPr>
      </w:pPr>
      <w:r>
        <w:rPr>
          <w:rFonts w:hint="eastAsia" w:ascii="宋体" w:hAnsi="宋体"/>
          <w:bCs/>
          <w:sz w:val="24"/>
        </w:rPr>
        <w:t>11.2 若提供的服务与招标文件要求有不符之处，应说明其差别之所在。</w:t>
      </w:r>
    </w:p>
    <w:p w14:paraId="685B4E6C">
      <w:pPr>
        <w:spacing w:line="360" w:lineRule="auto"/>
        <w:ind w:firstLine="480"/>
        <w:rPr>
          <w:rFonts w:ascii="宋体" w:hAnsi="宋体"/>
          <w:bCs/>
          <w:sz w:val="24"/>
        </w:rPr>
      </w:pPr>
      <w:r>
        <w:rPr>
          <w:rFonts w:hint="eastAsia" w:ascii="宋体" w:hAnsi="宋体"/>
          <w:bCs/>
          <w:sz w:val="24"/>
        </w:rPr>
        <w:t>11.3 投标文件应按照招标文件要求提供服务说明，技术资料、文件和有关证明，包括但不限于以下材料，其中加“★”项目不得有缺失或无效：</w:t>
      </w:r>
    </w:p>
    <w:p w14:paraId="21E0F91A">
      <w:pPr>
        <w:spacing w:line="360" w:lineRule="auto"/>
        <w:ind w:firstLine="480"/>
        <w:rPr>
          <w:rFonts w:ascii="宋体" w:hAnsi="宋体"/>
          <w:bCs/>
          <w:sz w:val="24"/>
        </w:rPr>
      </w:pPr>
      <w:r>
        <w:rPr>
          <w:rFonts w:hint="eastAsia" w:ascii="宋体" w:hAnsi="宋体"/>
          <w:bCs/>
          <w:sz w:val="24"/>
        </w:rPr>
        <w:t>（1）服务方案；</w:t>
      </w:r>
    </w:p>
    <w:p w14:paraId="60C2F432">
      <w:pPr>
        <w:spacing w:line="360" w:lineRule="auto"/>
        <w:ind w:firstLine="480"/>
        <w:rPr>
          <w:rFonts w:ascii="宋体" w:hAnsi="宋体"/>
          <w:bCs/>
          <w:sz w:val="24"/>
        </w:rPr>
      </w:pPr>
      <w:r>
        <w:rPr>
          <w:rFonts w:hint="eastAsia" w:ascii="宋体" w:hAnsi="宋体"/>
          <w:sz w:val="24"/>
        </w:rPr>
        <w:t>（2）供应商认为需要</w:t>
      </w:r>
      <w:r>
        <w:rPr>
          <w:rFonts w:hint="eastAsia" w:ascii="宋体" w:hAnsi="宋体"/>
          <w:sz w:val="24"/>
          <w:lang w:val="zh-CN"/>
        </w:rPr>
        <w:t>提供的其他技术资料</w:t>
      </w:r>
      <w:r>
        <w:rPr>
          <w:rFonts w:hint="eastAsia" w:ascii="宋体" w:hAnsi="宋体"/>
          <w:bCs/>
          <w:sz w:val="24"/>
        </w:rPr>
        <w:t>。</w:t>
      </w:r>
    </w:p>
    <w:p w14:paraId="39C3F198">
      <w:pPr>
        <w:spacing w:line="360" w:lineRule="auto"/>
        <w:ind w:firstLine="482"/>
        <w:rPr>
          <w:rFonts w:ascii="宋体" w:hAnsi="宋体"/>
          <w:bCs/>
          <w:sz w:val="24"/>
        </w:rPr>
      </w:pPr>
      <w:r>
        <w:rPr>
          <w:rFonts w:hint="eastAsia" w:ascii="宋体" w:hAnsi="宋体"/>
          <w:b/>
          <w:sz w:val="24"/>
        </w:rPr>
        <w:t>12.投标文件的价格部分</w:t>
      </w:r>
    </w:p>
    <w:p w14:paraId="7EB0F9FD">
      <w:pPr>
        <w:spacing w:line="360" w:lineRule="auto"/>
        <w:ind w:firstLine="480"/>
        <w:rPr>
          <w:rFonts w:ascii="宋体" w:hAnsi="宋体"/>
          <w:bCs/>
          <w:sz w:val="24"/>
        </w:rPr>
      </w:pPr>
      <w:r>
        <w:rPr>
          <w:rFonts w:hint="eastAsia" w:ascii="宋体" w:hAnsi="宋体"/>
          <w:bCs/>
          <w:sz w:val="24"/>
        </w:rPr>
        <w:t>12.1 价格部分是对投标服务价格构成的说明，每一项服务仅接受一个价格。投标人应按照招标文件规定格式填报投标分项报价表。</w:t>
      </w:r>
    </w:p>
    <w:p w14:paraId="1004B98A">
      <w:pPr>
        <w:spacing w:line="360" w:lineRule="auto"/>
        <w:ind w:firstLine="480"/>
        <w:rPr>
          <w:rFonts w:ascii="宋体" w:hAnsi="宋体"/>
          <w:bCs/>
          <w:sz w:val="24"/>
        </w:rPr>
      </w:pPr>
      <w:r>
        <w:rPr>
          <w:rFonts w:hint="eastAsia" w:ascii="宋体" w:hAnsi="宋体"/>
          <w:bCs/>
          <w:sz w:val="24"/>
        </w:rPr>
        <w:t>12.2 报价应包含完成本服务项目发生的所有含税费用、支付给员工的工资和国家强制缴纳的各种社会保障资金，以及供应商认为需要的其他费用等。</w:t>
      </w:r>
    </w:p>
    <w:p w14:paraId="64E0006D">
      <w:pPr>
        <w:spacing w:line="360" w:lineRule="auto"/>
        <w:ind w:firstLine="480"/>
        <w:rPr>
          <w:rFonts w:ascii="宋体" w:hAnsi="宋体"/>
          <w:bCs/>
          <w:sz w:val="24"/>
        </w:rPr>
      </w:pPr>
      <w:r>
        <w:rPr>
          <w:rFonts w:hint="eastAsia" w:ascii="宋体" w:hAnsi="宋体"/>
          <w:bCs/>
          <w:sz w:val="24"/>
        </w:rPr>
        <w:t>12.3 供应商的任何错漏、优惠、竞争性报价不得作为减轻责任、减少服务、增加收费、降低质量的理由。</w:t>
      </w:r>
    </w:p>
    <w:p w14:paraId="5B7C7F7F">
      <w:pPr>
        <w:spacing w:line="360" w:lineRule="auto"/>
        <w:ind w:firstLine="480"/>
        <w:rPr>
          <w:rFonts w:ascii="宋体" w:hAnsi="宋体"/>
          <w:bCs/>
          <w:sz w:val="24"/>
        </w:rPr>
      </w:pPr>
      <w:r>
        <w:rPr>
          <w:rFonts w:hint="eastAsia" w:ascii="宋体" w:hAnsi="宋体"/>
          <w:bCs/>
          <w:sz w:val="24"/>
        </w:rPr>
        <w:t xml:space="preserve">12.4 </w:t>
      </w:r>
      <w:r>
        <w:rPr>
          <w:rFonts w:hint="eastAsia" w:ascii="宋体" w:hAnsi="宋体" w:cs="宋体"/>
          <w:color w:val="000000"/>
          <w:sz w:val="24"/>
        </w:rPr>
        <w:t>供应商应在《开标一览表》、《投标分项报价》等标明提供服务的单价、总价以及分项报价。供应商系小企业（含小型、微型企业）、残疾人福利性单位、监狱企业的，并提供本企业承担的工程或者服务，或者提供其他小企业、残疾人福利性单位、监狱企业制造的货物和服务的，须在《开标一览表》、《投标分项报价》中注明,供应商应当如实申报,否则评标委员会有权取消其小微企业、残疾人福利性单位、监狱企业优惠政策</w:t>
      </w:r>
      <w:r>
        <w:rPr>
          <w:rFonts w:hint="eastAsia" w:ascii="宋体" w:hAnsi="宋体"/>
          <w:bCs/>
          <w:sz w:val="24"/>
        </w:rPr>
        <w:t>。</w:t>
      </w:r>
    </w:p>
    <w:p w14:paraId="7C598337">
      <w:pPr>
        <w:spacing w:line="360" w:lineRule="auto"/>
        <w:ind w:firstLine="480"/>
        <w:rPr>
          <w:rFonts w:ascii="宋体" w:hAnsi="宋体"/>
          <w:bCs/>
          <w:sz w:val="24"/>
        </w:rPr>
      </w:pPr>
      <w:r>
        <w:rPr>
          <w:rFonts w:hint="eastAsia" w:ascii="宋体" w:hAnsi="宋体"/>
          <w:bCs/>
          <w:sz w:val="24"/>
        </w:rPr>
        <w:t>12.5 《开标一览表》须加盖电子公章。</w:t>
      </w:r>
    </w:p>
    <w:p w14:paraId="20D8C5F4">
      <w:pPr>
        <w:spacing w:line="360" w:lineRule="auto"/>
        <w:ind w:firstLine="482"/>
        <w:rPr>
          <w:rFonts w:ascii="宋体" w:hAnsi="宋体"/>
          <w:bCs/>
          <w:sz w:val="24"/>
        </w:rPr>
      </w:pPr>
      <w:r>
        <w:rPr>
          <w:rFonts w:hint="eastAsia" w:ascii="宋体" w:hAnsi="宋体"/>
          <w:b/>
          <w:sz w:val="24"/>
        </w:rPr>
        <w:t>13.投标文件的其他部分</w:t>
      </w:r>
    </w:p>
    <w:p w14:paraId="34B854FA">
      <w:pPr>
        <w:spacing w:line="360" w:lineRule="auto"/>
        <w:ind w:firstLine="480"/>
        <w:rPr>
          <w:rFonts w:ascii="宋体" w:hAnsi="宋体"/>
          <w:bCs/>
          <w:sz w:val="24"/>
        </w:rPr>
      </w:pPr>
      <w:r>
        <w:rPr>
          <w:rFonts w:hint="eastAsia" w:ascii="宋体" w:hAnsi="宋体"/>
          <w:bCs/>
          <w:sz w:val="24"/>
        </w:rPr>
        <w:t>供应商编制投标文件需要提供的其他相关文件。</w:t>
      </w:r>
    </w:p>
    <w:p w14:paraId="4941140D">
      <w:pPr>
        <w:spacing w:line="360" w:lineRule="auto"/>
        <w:ind w:firstLine="482"/>
        <w:rPr>
          <w:rFonts w:ascii="宋体" w:hAnsi="宋体"/>
          <w:b/>
          <w:sz w:val="24"/>
        </w:rPr>
      </w:pPr>
      <w:r>
        <w:rPr>
          <w:rFonts w:hint="eastAsia" w:ascii="宋体" w:hAnsi="宋体"/>
          <w:b/>
          <w:sz w:val="24"/>
        </w:rPr>
        <w:t>14.投标保证金：无。</w:t>
      </w:r>
    </w:p>
    <w:p w14:paraId="19497EEF">
      <w:pPr>
        <w:spacing w:line="360" w:lineRule="auto"/>
        <w:ind w:firstLine="482"/>
        <w:rPr>
          <w:rFonts w:ascii="宋体" w:hAnsi="宋体"/>
          <w:bCs/>
          <w:sz w:val="24"/>
        </w:rPr>
      </w:pPr>
      <w:r>
        <w:rPr>
          <w:rFonts w:hint="eastAsia" w:ascii="宋体" w:hAnsi="宋体"/>
          <w:b/>
          <w:sz w:val="24"/>
        </w:rPr>
        <w:t>15.投标有效期</w:t>
      </w:r>
    </w:p>
    <w:p w14:paraId="02A43414">
      <w:pPr>
        <w:spacing w:line="360" w:lineRule="auto"/>
        <w:ind w:firstLine="480"/>
        <w:rPr>
          <w:rFonts w:ascii="宋体" w:hAnsi="宋体"/>
          <w:bCs/>
          <w:sz w:val="24"/>
        </w:rPr>
      </w:pPr>
      <w:r>
        <w:rPr>
          <w:rFonts w:hint="eastAsia" w:ascii="宋体" w:hAnsi="宋体"/>
          <w:bCs/>
          <w:sz w:val="24"/>
        </w:rPr>
        <w:t xml:space="preserve">15.1 </w:t>
      </w:r>
      <w:r>
        <w:rPr>
          <w:rFonts w:hint="eastAsia" w:ascii="宋体" w:hAnsi="宋体"/>
          <w:color w:val="000000"/>
          <w:sz w:val="24"/>
          <w:lang w:val="zh-CN"/>
        </w:rPr>
        <w:t>自开标之日起</w:t>
      </w:r>
      <w:r>
        <w:rPr>
          <w:rFonts w:hint="eastAsia" w:ascii="宋体" w:hAnsi="宋体"/>
          <w:bCs/>
          <w:color w:val="000000"/>
          <w:sz w:val="24"/>
        </w:rPr>
        <w:t>90</w:t>
      </w:r>
      <w:r>
        <w:rPr>
          <w:rFonts w:hint="eastAsia" w:ascii="宋体" w:hAnsi="宋体"/>
          <w:bCs/>
          <w:color w:val="000000"/>
          <w:sz w:val="24"/>
          <w:lang w:val="zh-CN"/>
        </w:rPr>
        <w:t>天</w:t>
      </w:r>
      <w:r>
        <w:rPr>
          <w:rFonts w:hint="eastAsia" w:ascii="宋体" w:hAnsi="宋体"/>
          <w:color w:val="000000"/>
          <w:sz w:val="24"/>
          <w:lang w:val="zh-CN"/>
        </w:rPr>
        <w:t>内投标有效</w:t>
      </w:r>
      <w:r>
        <w:rPr>
          <w:rFonts w:hint="eastAsia" w:ascii="宋体" w:hAnsi="宋体"/>
          <w:bCs/>
          <w:sz w:val="24"/>
        </w:rPr>
        <w:t>。</w:t>
      </w:r>
    </w:p>
    <w:p w14:paraId="58D80D13">
      <w:pPr>
        <w:spacing w:line="360" w:lineRule="auto"/>
        <w:ind w:firstLine="480"/>
        <w:rPr>
          <w:rFonts w:ascii="宋体" w:hAnsi="宋体"/>
          <w:bCs/>
          <w:sz w:val="24"/>
        </w:rPr>
      </w:pPr>
      <w:r>
        <w:rPr>
          <w:rFonts w:hint="eastAsia" w:ascii="宋体" w:hAnsi="宋体"/>
          <w:bCs/>
          <w:sz w:val="24"/>
        </w:rPr>
        <w:t>15.2 特殊情况下，在原投标有效期截止之前，代理机构可要求供应商同意延长投标有效期，这种要求与答复均以书面形式提交。供应商可拒绝这种要求，但接受延长投标有效期的供应商将不会要求和允许修正其投标。</w:t>
      </w:r>
    </w:p>
    <w:p w14:paraId="7A07C542">
      <w:pPr>
        <w:spacing w:line="360" w:lineRule="auto"/>
        <w:ind w:firstLine="482"/>
        <w:rPr>
          <w:rFonts w:ascii="宋体" w:hAnsi="宋体"/>
          <w:bCs/>
          <w:sz w:val="24"/>
        </w:rPr>
      </w:pPr>
      <w:r>
        <w:rPr>
          <w:rFonts w:hint="eastAsia" w:ascii="宋体" w:hAnsi="宋体"/>
          <w:b/>
          <w:sz w:val="24"/>
        </w:rPr>
        <w:t>16.投标文件的签署</w:t>
      </w:r>
    </w:p>
    <w:p w14:paraId="4A9E5D74">
      <w:pPr>
        <w:spacing w:line="360" w:lineRule="auto"/>
        <w:ind w:firstLine="480"/>
        <w:rPr>
          <w:rFonts w:ascii="宋体" w:hAnsi="宋体"/>
          <w:bCs/>
          <w:sz w:val="24"/>
        </w:rPr>
      </w:pPr>
      <w:r>
        <w:rPr>
          <w:rFonts w:hint="eastAsia" w:ascii="宋体" w:hAnsi="宋体"/>
          <w:bCs/>
          <w:sz w:val="24"/>
        </w:rPr>
        <w:t>16.1 除供应商对错处做必要修改外，投标文件不得行间插字、涂改或增删。如有修改错漏处，必须由投标文件签署人签字或加盖电子公章。</w:t>
      </w:r>
    </w:p>
    <w:p w14:paraId="78BCBDBC">
      <w:pPr>
        <w:spacing w:line="360" w:lineRule="auto"/>
        <w:ind w:firstLine="482"/>
        <w:rPr>
          <w:rFonts w:ascii="宋体" w:hAnsi="宋体"/>
          <w:bCs/>
          <w:sz w:val="24"/>
        </w:rPr>
      </w:pPr>
      <w:r>
        <w:rPr>
          <w:rFonts w:hint="eastAsia" w:ascii="宋体" w:hAnsi="宋体"/>
          <w:b/>
          <w:sz w:val="24"/>
        </w:rPr>
        <w:t>17.投标文件的递交</w:t>
      </w:r>
    </w:p>
    <w:p w14:paraId="49AE1362">
      <w:pPr>
        <w:spacing w:line="360" w:lineRule="auto"/>
        <w:ind w:firstLine="480"/>
        <w:rPr>
          <w:rFonts w:ascii="宋体" w:hAnsi="宋体"/>
          <w:bCs/>
          <w:sz w:val="24"/>
        </w:rPr>
      </w:pPr>
      <w:r>
        <w:rPr>
          <w:rFonts w:hint="eastAsia" w:ascii="宋体" w:hAnsi="宋体"/>
          <w:bCs/>
          <w:sz w:val="24"/>
        </w:rPr>
        <w:t>17.1 投标人应当按照《操作手册》规定，在招标公告规定的投标截止时间前制作并上传电子投标文件。</w:t>
      </w:r>
    </w:p>
    <w:p w14:paraId="4925D80F">
      <w:pPr>
        <w:spacing w:line="360" w:lineRule="auto"/>
        <w:ind w:firstLine="480"/>
        <w:rPr>
          <w:rFonts w:ascii="宋体" w:hAnsi="宋体"/>
          <w:bCs/>
          <w:sz w:val="24"/>
        </w:rPr>
      </w:pPr>
      <w:r>
        <w:rPr>
          <w:rFonts w:hint="eastAsia" w:ascii="宋体" w:hAnsi="宋体"/>
          <w:bCs/>
          <w:sz w:val="24"/>
        </w:rPr>
        <w:t>17.2 投标人应充分考虑网络环境、网络带宽等因素可能对投标产生的影响，如因投标人自身原因造成的电子投标文件上传不成功的，按照本招标文件第二章第21.2.2.4 条规定做无效投标处理。</w:t>
      </w:r>
    </w:p>
    <w:p w14:paraId="356040F7">
      <w:pPr>
        <w:spacing w:line="360" w:lineRule="auto"/>
        <w:ind w:firstLine="480"/>
        <w:rPr>
          <w:rFonts w:ascii="宋体" w:hAnsi="宋体"/>
          <w:bCs/>
          <w:sz w:val="24"/>
        </w:rPr>
      </w:pPr>
      <w:r>
        <w:rPr>
          <w:rFonts w:hint="eastAsia" w:ascii="宋体" w:hAnsi="宋体"/>
          <w:bCs/>
          <w:sz w:val="24"/>
        </w:rPr>
        <w:t>17.3 代理机构有权通过修改招标文件酌情延长投标截止时间，在此情况下，投标人的所有权利和义务均以延长后新的截止时间为准。</w:t>
      </w:r>
    </w:p>
    <w:p w14:paraId="5431B25A">
      <w:pPr>
        <w:spacing w:line="360" w:lineRule="auto"/>
        <w:ind w:firstLine="482"/>
        <w:rPr>
          <w:rFonts w:ascii="宋体" w:hAnsi="宋体"/>
          <w:bCs/>
          <w:sz w:val="24"/>
        </w:rPr>
      </w:pPr>
      <w:r>
        <w:rPr>
          <w:rFonts w:hint="eastAsia" w:ascii="宋体" w:hAnsi="宋体"/>
          <w:b/>
          <w:sz w:val="24"/>
        </w:rPr>
        <w:t>18.有下列情形之一的投标文件将被拒收</w:t>
      </w:r>
    </w:p>
    <w:p w14:paraId="650BDFC9">
      <w:pPr>
        <w:spacing w:line="360" w:lineRule="auto"/>
        <w:ind w:firstLine="480"/>
        <w:rPr>
          <w:rFonts w:ascii="宋体" w:hAnsi="宋体"/>
          <w:bCs/>
          <w:sz w:val="24"/>
        </w:rPr>
      </w:pPr>
      <w:r>
        <w:rPr>
          <w:rFonts w:hint="eastAsia" w:ascii="宋体" w:hAnsi="宋体"/>
          <w:bCs/>
          <w:sz w:val="24"/>
        </w:rPr>
        <w:t>18.1 在招标文件要求提交投标文件的截止时间之后上传的。</w:t>
      </w:r>
    </w:p>
    <w:p w14:paraId="75B0351F">
      <w:pPr>
        <w:spacing w:line="360" w:lineRule="auto"/>
        <w:ind w:firstLine="482"/>
        <w:rPr>
          <w:rFonts w:ascii="宋体" w:hAnsi="宋体"/>
          <w:bCs/>
          <w:sz w:val="24"/>
        </w:rPr>
      </w:pPr>
      <w:r>
        <w:rPr>
          <w:rFonts w:hint="eastAsia" w:ascii="宋体" w:hAnsi="宋体"/>
          <w:b/>
          <w:sz w:val="24"/>
        </w:rPr>
        <w:t>19.投标文件的修改和撤回</w:t>
      </w:r>
    </w:p>
    <w:p w14:paraId="4CB9CF90">
      <w:pPr>
        <w:spacing w:line="360" w:lineRule="auto"/>
        <w:ind w:firstLine="480"/>
        <w:rPr>
          <w:rFonts w:ascii="宋体" w:hAnsi="宋体"/>
          <w:bCs/>
          <w:sz w:val="24"/>
          <w:lang w:val="zh-CN"/>
        </w:rPr>
      </w:pPr>
      <w:r>
        <w:rPr>
          <w:rFonts w:hint="eastAsia" w:ascii="宋体" w:hAnsi="宋体"/>
          <w:bCs/>
          <w:sz w:val="24"/>
        </w:rPr>
        <w:t>19</w:t>
      </w:r>
      <w:r>
        <w:rPr>
          <w:rFonts w:hint="eastAsia" w:ascii="宋体" w:hAnsi="宋体"/>
          <w:bCs/>
          <w:sz w:val="24"/>
          <w:lang w:val="zh-CN"/>
        </w:rPr>
        <w:t>.</w:t>
      </w:r>
      <w:r>
        <w:rPr>
          <w:rFonts w:hint="eastAsia" w:ascii="宋体" w:hAnsi="宋体"/>
          <w:bCs/>
          <w:sz w:val="24"/>
        </w:rPr>
        <w:t>1</w:t>
      </w:r>
      <w:r>
        <w:rPr>
          <w:rFonts w:hint="eastAsia" w:ascii="宋体" w:hAnsi="宋体"/>
          <w:bCs/>
          <w:sz w:val="24"/>
          <w:lang w:val="zh-CN"/>
        </w:rPr>
        <w:t xml:space="preserve"> 投标文件的修改</w:t>
      </w:r>
    </w:p>
    <w:p w14:paraId="1EBF9CBB">
      <w:pPr>
        <w:spacing w:line="360" w:lineRule="auto"/>
        <w:ind w:firstLine="480"/>
        <w:rPr>
          <w:rFonts w:ascii="宋体" w:hAnsi="宋体"/>
          <w:bCs/>
          <w:sz w:val="24"/>
          <w:lang w:val="zh-CN"/>
        </w:rPr>
      </w:pPr>
      <w:r>
        <w:rPr>
          <w:rFonts w:hint="eastAsia" w:ascii="宋体" w:hAnsi="宋体"/>
          <w:bCs/>
          <w:sz w:val="24"/>
        </w:rPr>
        <w:t>19</w:t>
      </w:r>
      <w:r>
        <w:rPr>
          <w:rFonts w:hint="eastAsia" w:ascii="宋体" w:hAnsi="宋体"/>
          <w:bCs/>
          <w:sz w:val="24"/>
          <w:lang w:val="zh-CN"/>
        </w:rPr>
        <w:t>.</w:t>
      </w:r>
      <w:r>
        <w:rPr>
          <w:rFonts w:hint="eastAsia" w:ascii="宋体" w:hAnsi="宋体"/>
          <w:bCs/>
          <w:sz w:val="24"/>
        </w:rPr>
        <w:t>1</w:t>
      </w:r>
      <w:r>
        <w:rPr>
          <w:rFonts w:hint="eastAsia" w:ascii="宋体" w:hAnsi="宋体"/>
          <w:bCs/>
          <w:sz w:val="24"/>
          <w:lang w:val="zh-CN"/>
        </w:rPr>
        <w:t>.1</w:t>
      </w:r>
      <w:r>
        <w:rPr>
          <w:rFonts w:hint="eastAsia" w:ascii="宋体" w:hAnsi="宋体"/>
          <w:bCs/>
          <w:sz w:val="24"/>
        </w:rPr>
        <w:t xml:space="preserve"> </w:t>
      </w:r>
      <w:r>
        <w:rPr>
          <w:rFonts w:hint="eastAsia" w:ascii="宋体" w:hAnsi="宋体"/>
          <w:bCs/>
          <w:sz w:val="24"/>
          <w:lang w:val="zh-CN"/>
        </w:rPr>
        <w:t>投标人可在投标截止时间前对其电子投标文件进行修改，具体操作方法见《操作手册》。</w:t>
      </w:r>
    </w:p>
    <w:p w14:paraId="74AE7080">
      <w:pPr>
        <w:spacing w:line="360" w:lineRule="auto"/>
        <w:ind w:firstLine="480"/>
        <w:rPr>
          <w:rFonts w:ascii="宋体" w:hAnsi="宋体"/>
          <w:bCs/>
          <w:sz w:val="24"/>
          <w:lang w:val="zh-CN"/>
        </w:rPr>
      </w:pPr>
      <w:r>
        <w:rPr>
          <w:rFonts w:hint="eastAsia" w:ascii="宋体" w:hAnsi="宋体"/>
          <w:bCs/>
          <w:sz w:val="24"/>
        </w:rPr>
        <w:t>19</w:t>
      </w:r>
      <w:r>
        <w:rPr>
          <w:rFonts w:hint="eastAsia" w:ascii="宋体" w:hAnsi="宋体"/>
          <w:bCs/>
          <w:sz w:val="24"/>
          <w:lang w:val="zh-CN"/>
        </w:rPr>
        <w:t>.</w:t>
      </w:r>
      <w:r>
        <w:rPr>
          <w:rFonts w:hint="eastAsia" w:ascii="宋体" w:hAnsi="宋体"/>
          <w:bCs/>
          <w:sz w:val="24"/>
        </w:rPr>
        <w:t>1</w:t>
      </w:r>
      <w:r>
        <w:rPr>
          <w:rFonts w:hint="eastAsia" w:ascii="宋体" w:hAnsi="宋体"/>
          <w:bCs/>
          <w:sz w:val="24"/>
          <w:lang w:val="zh-CN"/>
        </w:rPr>
        <w:t>.2</w:t>
      </w:r>
      <w:r>
        <w:rPr>
          <w:rFonts w:hint="eastAsia" w:ascii="宋体" w:hAnsi="宋体"/>
          <w:bCs/>
          <w:sz w:val="24"/>
        </w:rPr>
        <w:t xml:space="preserve"> </w:t>
      </w:r>
      <w:r>
        <w:rPr>
          <w:rFonts w:hint="eastAsia" w:ascii="宋体" w:hAnsi="宋体"/>
          <w:bCs/>
          <w:sz w:val="24"/>
          <w:lang w:val="zh-CN"/>
        </w:rPr>
        <w:t>投标截止时间之后，投标人不得对其电子投标文件作任何修改。</w:t>
      </w:r>
    </w:p>
    <w:p w14:paraId="57250EE4">
      <w:pPr>
        <w:spacing w:line="360" w:lineRule="auto"/>
        <w:ind w:firstLine="480"/>
        <w:rPr>
          <w:rFonts w:ascii="宋体" w:hAnsi="宋体"/>
          <w:bCs/>
          <w:sz w:val="24"/>
        </w:rPr>
      </w:pPr>
      <w:r>
        <w:rPr>
          <w:rFonts w:hint="eastAsia" w:ascii="宋体" w:hAnsi="宋体"/>
          <w:bCs/>
          <w:sz w:val="24"/>
        </w:rPr>
        <w:t>19.2 投标文件的撤回</w:t>
      </w:r>
    </w:p>
    <w:p w14:paraId="64AB1643">
      <w:pPr>
        <w:spacing w:line="360" w:lineRule="auto"/>
        <w:ind w:firstLine="480"/>
        <w:rPr>
          <w:rFonts w:ascii="宋体" w:hAnsi="宋体"/>
          <w:bCs/>
          <w:sz w:val="24"/>
        </w:rPr>
      </w:pPr>
      <w:r>
        <w:rPr>
          <w:rFonts w:hint="eastAsia" w:ascii="宋体" w:hAnsi="宋体"/>
          <w:bCs/>
          <w:sz w:val="24"/>
        </w:rPr>
        <w:t>19.2.1  投标人可在投标截止时间前撤回其电子投标文件，具体操作方法见《操作手册》。</w:t>
      </w:r>
    </w:p>
    <w:p w14:paraId="16949956">
      <w:pPr>
        <w:spacing w:line="360" w:lineRule="auto"/>
        <w:ind w:firstLine="480"/>
        <w:rPr>
          <w:rFonts w:ascii="宋体" w:hAnsi="宋体"/>
          <w:bCs/>
          <w:sz w:val="24"/>
        </w:rPr>
      </w:pPr>
      <w:r>
        <w:rPr>
          <w:rFonts w:hint="eastAsia" w:ascii="宋体" w:hAnsi="宋体"/>
          <w:bCs/>
          <w:sz w:val="24"/>
        </w:rPr>
        <w:t>19.2.2 投标人撤回电子投标文件，则认为其不再参与本项目投标活动。</w:t>
      </w:r>
    </w:p>
    <w:p w14:paraId="23D4CF98">
      <w:pPr>
        <w:spacing w:line="360" w:lineRule="auto"/>
        <w:ind w:firstLine="480"/>
        <w:rPr>
          <w:rFonts w:ascii="宋体" w:hAnsi="宋体"/>
          <w:bCs/>
          <w:sz w:val="24"/>
          <w:lang w:val="zh-CN"/>
        </w:rPr>
      </w:pPr>
      <w:r>
        <w:rPr>
          <w:rFonts w:hint="eastAsia" w:ascii="宋体" w:hAnsi="宋体"/>
          <w:bCs/>
          <w:sz w:val="24"/>
        </w:rPr>
        <w:t>19</w:t>
      </w:r>
      <w:r>
        <w:rPr>
          <w:rFonts w:hint="eastAsia" w:ascii="宋体" w:hAnsi="宋体"/>
          <w:bCs/>
          <w:sz w:val="24"/>
          <w:lang w:val="zh-CN"/>
        </w:rPr>
        <w:t>.</w:t>
      </w:r>
      <w:r>
        <w:rPr>
          <w:rFonts w:hint="eastAsia" w:ascii="宋体" w:hAnsi="宋体"/>
          <w:bCs/>
          <w:sz w:val="24"/>
        </w:rPr>
        <w:t>2.</w:t>
      </w:r>
      <w:r>
        <w:rPr>
          <w:rFonts w:hint="eastAsia" w:ascii="宋体" w:hAnsi="宋体"/>
          <w:bCs/>
          <w:sz w:val="24"/>
          <w:lang w:val="zh-CN"/>
        </w:rPr>
        <w:t>3 在投标截止时间至招标文件中规定的投标有效期满之间的这段时间内，投标人不得撤回其投标。</w:t>
      </w:r>
      <w:bookmarkStart w:id="7" w:name="_Toc120614218"/>
      <w:bookmarkEnd w:id="7"/>
      <w:bookmarkStart w:id="8" w:name="_Toc16938545"/>
      <w:bookmarkEnd w:id="8"/>
      <w:bookmarkStart w:id="9" w:name="_Toc513029229"/>
      <w:bookmarkEnd w:id="9"/>
      <w:bookmarkStart w:id="10" w:name="_Toc20823301"/>
      <w:bookmarkEnd w:id="10"/>
    </w:p>
    <w:p w14:paraId="1EA32B65">
      <w:pPr>
        <w:spacing w:line="360" w:lineRule="auto"/>
        <w:ind w:firstLine="482"/>
        <w:rPr>
          <w:rFonts w:ascii="宋体" w:hAnsi="宋体"/>
          <w:bCs/>
          <w:sz w:val="24"/>
        </w:rPr>
      </w:pPr>
      <w:r>
        <w:rPr>
          <w:rFonts w:hint="eastAsia" w:ascii="宋体" w:hAnsi="宋体"/>
          <w:b/>
          <w:sz w:val="24"/>
        </w:rPr>
        <w:t>四、开标、评标与确定中标供应商</w:t>
      </w:r>
    </w:p>
    <w:p w14:paraId="7FAF6BCF">
      <w:pPr>
        <w:spacing w:line="360" w:lineRule="auto"/>
        <w:ind w:firstLine="482"/>
        <w:rPr>
          <w:rFonts w:ascii="宋体" w:hAnsi="宋体"/>
          <w:bCs/>
          <w:sz w:val="24"/>
        </w:rPr>
      </w:pPr>
      <w:r>
        <w:rPr>
          <w:rFonts w:hint="eastAsia" w:ascii="宋体" w:hAnsi="宋体"/>
          <w:b/>
          <w:sz w:val="24"/>
        </w:rPr>
        <w:t>20.开标</w:t>
      </w:r>
    </w:p>
    <w:p w14:paraId="1E4670F3">
      <w:pPr>
        <w:spacing w:line="360" w:lineRule="auto"/>
        <w:ind w:firstLine="480"/>
        <w:rPr>
          <w:rFonts w:ascii="宋体" w:hAnsi="宋体"/>
          <w:bCs/>
          <w:sz w:val="24"/>
        </w:rPr>
      </w:pPr>
      <w:r>
        <w:rPr>
          <w:rFonts w:hint="eastAsia" w:ascii="宋体" w:hAnsi="宋体"/>
          <w:bCs/>
          <w:sz w:val="24"/>
        </w:rPr>
        <w:t>20.1 代理机构将在招标文件确定的时间和地点进行公开开标。投标人按照《操作手册》规定参加开标活动，并在苏采云系统规定的时间内对投标文件进行解密。苏采云系统公布各投标人名称和投标价格。</w:t>
      </w:r>
    </w:p>
    <w:p w14:paraId="6982D943">
      <w:pPr>
        <w:spacing w:line="360" w:lineRule="auto"/>
        <w:ind w:firstLine="480"/>
        <w:rPr>
          <w:rFonts w:ascii="宋体" w:hAnsi="宋体"/>
          <w:bCs/>
          <w:sz w:val="24"/>
        </w:rPr>
      </w:pPr>
      <w:r>
        <w:rPr>
          <w:rFonts w:hint="eastAsia" w:ascii="宋体" w:hAnsi="宋体"/>
          <w:bCs/>
          <w:sz w:val="24"/>
        </w:rPr>
        <w:t>20.2 投标人在开标过程中涉及到的投标文件解密、开标结果确认等工作，应按照《操作手册》规定执行。</w:t>
      </w:r>
    </w:p>
    <w:p w14:paraId="61F543D8">
      <w:pPr>
        <w:spacing w:line="360" w:lineRule="auto"/>
        <w:ind w:firstLine="480"/>
        <w:rPr>
          <w:rFonts w:ascii="宋体" w:hAnsi="宋体"/>
          <w:bCs/>
          <w:sz w:val="24"/>
        </w:rPr>
      </w:pPr>
      <w:r>
        <w:rPr>
          <w:rFonts w:hint="eastAsia" w:ascii="宋体" w:hAnsi="宋体"/>
          <w:bCs/>
          <w:sz w:val="24"/>
        </w:rPr>
        <w:t>20.3 投标人如果对开标过程和开标结果有疑义，应当根据《操作手册》规定提出，苏采云系统中《开标记录表》公布后5分钟内未提出的，视同认可开标结果。</w:t>
      </w:r>
    </w:p>
    <w:p w14:paraId="6ECED76E">
      <w:pPr>
        <w:spacing w:line="360" w:lineRule="auto"/>
        <w:ind w:firstLine="420"/>
        <w:rPr>
          <w:rFonts w:ascii="宋体" w:hAnsi="宋体" w:cs="宋体"/>
          <w:b/>
          <w:bCs/>
          <w:sz w:val="24"/>
          <w:lang w:val="zh-CN"/>
        </w:rPr>
      </w:pPr>
      <w:r>
        <w:rPr>
          <w:rFonts w:hint="eastAsia" w:ascii="宋体" w:hAnsi="宋体" w:cs="宋体"/>
          <w:b/>
          <w:bCs/>
          <w:sz w:val="24"/>
          <w:lang w:val="zh-CN"/>
        </w:rPr>
        <w:t>21.评标</w:t>
      </w:r>
    </w:p>
    <w:p w14:paraId="6E203AA9">
      <w:pPr>
        <w:spacing w:line="360" w:lineRule="auto"/>
        <w:ind w:firstLine="482"/>
        <w:rPr>
          <w:rFonts w:ascii="宋体" w:hAnsi="宋体" w:cs="宋体"/>
          <w:b/>
          <w:bCs/>
          <w:sz w:val="24"/>
          <w:lang w:val="zh-CN"/>
        </w:rPr>
      </w:pPr>
      <w:r>
        <w:rPr>
          <w:rFonts w:hint="eastAsia" w:ascii="宋体" w:hAnsi="宋体" w:cs="宋体"/>
          <w:b/>
          <w:sz w:val="24"/>
          <w:lang w:val="zh-CN"/>
        </w:rPr>
        <w:t>21.1</w:t>
      </w:r>
      <w:r>
        <w:rPr>
          <w:rFonts w:hint="eastAsia" w:ascii="宋体" w:hAnsi="宋体" w:cs="宋体"/>
          <w:b/>
          <w:bCs/>
          <w:sz w:val="24"/>
          <w:lang w:val="zh-CN"/>
        </w:rPr>
        <w:t xml:space="preserve"> 评标组织</w:t>
      </w:r>
    </w:p>
    <w:p w14:paraId="4217CFE4">
      <w:pPr>
        <w:spacing w:line="360" w:lineRule="auto"/>
        <w:ind w:firstLine="480"/>
        <w:rPr>
          <w:rFonts w:ascii="宋体" w:hAnsi="宋体" w:cs="宋体"/>
          <w:sz w:val="24"/>
        </w:rPr>
      </w:pPr>
      <w:r>
        <w:rPr>
          <w:rFonts w:hint="eastAsia" w:ascii="宋体" w:hAnsi="宋体" w:cs="宋体"/>
          <w:sz w:val="24"/>
          <w:lang w:val="zh-CN"/>
        </w:rPr>
        <w:t>21.1.1评标工作由代理机构组织评标委员会（以下简称“评委会”）进行，具体评标事务由依法组建的评标委员会负责，并独立履行</w:t>
      </w:r>
      <w:r>
        <w:rPr>
          <w:rFonts w:hint="eastAsia" w:ascii="宋体" w:hAnsi="宋体" w:cs="宋体"/>
          <w:sz w:val="24"/>
        </w:rPr>
        <w:t>下列职责：</w:t>
      </w:r>
    </w:p>
    <w:p w14:paraId="1210FB40">
      <w:pPr>
        <w:spacing w:line="360" w:lineRule="auto"/>
        <w:ind w:firstLine="480"/>
        <w:rPr>
          <w:rFonts w:ascii="宋体" w:hAnsi="宋体" w:cs="宋体"/>
          <w:sz w:val="24"/>
        </w:rPr>
      </w:pPr>
      <w:r>
        <w:rPr>
          <w:rFonts w:hint="eastAsia" w:ascii="宋体" w:hAnsi="宋体" w:cs="宋体"/>
          <w:sz w:val="24"/>
        </w:rPr>
        <w:t>（1）审查、评价投标文件是否符合招标文件的商务、技术等实质性要求；</w:t>
      </w:r>
    </w:p>
    <w:p w14:paraId="471F4E35">
      <w:pPr>
        <w:spacing w:line="360" w:lineRule="auto"/>
        <w:ind w:firstLine="480"/>
        <w:rPr>
          <w:rFonts w:ascii="宋体" w:hAnsi="宋体" w:cs="宋体"/>
          <w:sz w:val="24"/>
        </w:rPr>
      </w:pPr>
      <w:r>
        <w:rPr>
          <w:rFonts w:hint="eastAsia" w:ascii="宋体" w:hAnsi="宋体" w:cs="宋体"/>
          <w:sz w:val="24"/>
        </w:rPr>
        <w:t>（2）要求供应商对投标文件有关事项作出澄清或者说明；</w:t>
      </w:r>
    </w:p>
    <w:p w14:paraId="374F0D52">
      <w:pPr>
        <w:spacing w:line="360" w:lineRule="auto"/>
        <w:ind w:firstLine="480"/>
        <w:rPr>
          <w:rFonts w:ascii="宋体" w:hAnsi="宋体" w:cs="宋体"/>
          <w:sz w:val="24"/>
        </w:rPr>
      </w:pPr>
      <w:r>
        <w:rPr>
          <w:rFonts w:hint="eastAsia" w:ascii="宋体" w:hAnsi="宋体" w:cs="宋体"/>
          <w:sz w:val="24"/>
        </w:rPr>
        <w:t>（3）对投标文件进行比较和评价；</w:t>
      </w:r>
    </w:p>
    <w:p w14:paraId="55157803">
      <w:pPr>
        <w:spacing w:line="360" w:lineRule="auto"/>
        <w:ind w:firstLine="480"/>
        <w:rPr>
          <w:rFonts w:ascii="宋体" w:hAnsi="宋体" w:cs="宋体"/>
          <w:sz w:val="24"/>
        </w:rPr>
      </w:pPr>
      <w:r>
        <w:rPr>
          <w:rFonts w:hint="eastAsia" w:ascii="宋体" w:hAnsi="宋体" w:cs="宋体"/>
          <w:sz w:val="24"/>
        </w:rPr>
        <w:t>（4）推荐中标候选人或根据采购人委托直接确定中标供应商；</w:t>
      </w:r>
    </w:p>
    <w:p w14:paraId="663E83A3">
      <w:pPr>
        <w:spacing w:line="360" w:lineRule="auto"/>
        <w:ind w:firstLine="480"/>
        <w:rPr>
          <w:rFonts w:ascii="宋体" w:hAnsi="宋体" w:cs="宋体"/>
          <w:sz w:val="24"/>
        </w:rPr>
      </w:pPr>
      <w:r>
        <w:rPr>
          <w:rFonts w:hint="eastAsia" w:ascii="宋体" w:hAnsi="宋体" w:cs="宋体"/>
          <w:sz w:val="24"/>
        </w:rPr>
        <w:t>（5）向采购人、财政部门报告评标中发现的违法行为。</w:t>
      </w:r>
    </w:p>
    <w:p w14:paraId="54F84A37">
      <w:pPr>
        <w:spacing w:line="360" w:lineRule="auto"/>
        <w:ind w:firstLine="420"/>
        <w:rPr>
          <w:rFonts w:ascii="宋体" w:hAnsi="宋体" w:cs="宋体"/>
          <w:sz w:val="24"/>
          <w:lang w:val="zh-CN"/>
        </w:rPr>
      </w:pPr>
      <w:r>
        <w:rPr>
          <w:rFonts w:hint="eastAsia" w:ascii="宋体" w:hAnsi="宋体" w:cs="宋体"/>
          <w:bCs/>
          <w:sz w:val="24"/>
          <w:lang w:val="zh-CN"/>
        </w:rPr>
        <w:t xml:space="preserve">21.1.2 </w:t>
      </w:r>
      <w:r>
        <w:rPr>
          <w:rFonts w:hint="eastAsia" w:ascii="宋体" w:hAnsi="宋体" w:cs="宋体"/>
          <w:sz w:val="24"/>
          <w:lang w:val="zh-CN"/>
        </w:rPr>
        <w:t>评标委员会由采购人代表和有关技术、经济等方面的专家组成，独立开展评审工作。</w:t>
      </w:r>
    </w:p>
    <w:p w14:paraId="7229BFE3">
      <w:pPr>
        <w:spacing w:line="360" w:lineRule="auto"/>
        <w:ind w:firstLine="420"/>
        <w:rPr>
          <w:rFonts w:ascii="宋体" w:hAnsi="宋体" w:cs="宋体"/>
          <w:b/>
          <w:bCs/>
          <w:sz w:val="24"/>
          <w:lang w:val="zh-CN"/>
        </w:rPr>
      </w:pPr>
      <w:r>
        <w:rPr>
          <w:rFonts w:hint="eastAsia" w:ascii="宋体" w:hAnsi="宋体" w:cs="宋体"/>
          <w:b/>
          <w:bCs/>
          <w:sz w:val="24"/>
          <w:lang w:val="zh-CN"/>
        </w:rPr>
        <w:t>21.2 评标程序</w:t>
      </w:r>
    </w:p>
    <w:p w14:paraId="01130CA0">
      <w:pPr>
        <w:spacing w:line="360" w:lineRule="auto"/>
        <w:ind w:firstLine="420"/>
        <w:rPr>
          <w:rFonts w:ascii="宋体" w:hAnsi="宋体" w:cs="宋体"/>
          <w:b/>
          <w:sz w:val="24"/>
          <w:lang w:val="zh-CN"/>
        </w:rPr>
      </w:pPr>
      <w:r>
        <w:rPr>
          <w:rFonts w:hint="eastAsia" w:ascii="宋体" w:hAnsi="宋体" w:cs="宋体"/>
          <w:b/>
          <w:sz w:val="24"/>
          <w:lang w:val="zh-CN"/>
        </w:rPr>
        <w:t>21.2.1 投标文件的资格审查</w:t>
      </w:r>
    </w:p>
    <w:p w14:paraId="1716291C">
      <w:pPr>
        <w:pStyle w:val="252"/>
        <w:spacing w:line="360" w:lineRule="auto"/>
        <w:rPr>
          <w:rFonts w:ascii="宋体" w:hAnsi="宋体" w:cs="宋体"/>
          <w:sz w:val="24"/>
          <w:szCs w:val="24"/>
          <w:lang w:val="zh-CN"/>
        </w:rPr>
      </w:pPr>
      <w:r>
        <w:rPr>
          <w:rFonts w:hint="eastAsia" w:ascii="宋体" w:hAnsi="宋体" w:cs="宋体"/>
          <w:sz w:val="24"/>
          <w:szCs w:val="24"/>
          <w:lang w:val="zh-CN"/>
        </w:rPr>
        <w:t>21.2.1.1采购人代表依法对供应商的资格进行审查。</w:t>
      </w:r>
    </w:p>
    <w:p w14:paraId="482EA078">
      <w:pPr>
        <w:pStyle w:val="252"/>
        <w:spacing w:line="360" w:lineRule="auto"/>
        <w:rPr>
          <w:rFonts w:ascii="宋体" w:hAnsi="宋体" w:cs="宋体"/>
          <w:sz w:val="24"/>
          <w:szCs w:val="24"/>
          <w:lang w:val="zh-CN"/>
        </w:rPr>
      </w:pPr>
      <w:r>
        <w:rPr>
          <w:rFonts w:hint="eastAsia" w:ascii="宋体" w:hAnsi="宋体" w:cs="宋体"/>
          <w:sz w:val="24"/>
          <w:szCs w:val="24"/>
          <w:lang w:val="zh-CN"/>
        </w:rPr>
        <w:t>21.2.1.2采购人代表依据法律法规和招标文件的规定，对投标文件中的资格证明文件、</w:t>
      </w:r>
      <w:r>
        <w:rPr>
          <w:rFonts w:hint="eastAsia" w:ascii="宋体" w:hAnsi="宋体" w:cs="宋体"/>
          <w:bCs/>
          <w:sz w:val="24"/>
          <w:szCs w:val="24"/>
          <w:lang w:val="zh-CN"/>
        </w:rPr>
        <w:t>南京市政府采购供应商信用记录表暨信用承诺书</w:t>
      </w:r>
      <w:r>
        <w:rPr>
          <w:rFonts w:hint="eastAsia" w:ascii="宋体" w:hAnsi="宋体" w:cs="宋体"/>
          <w:sz w:val="24"/>
          <w:szCs w:val="24"/>
          <w:lang w:val="zh-CN"/>
        </w:rPr>
        <w:t>等进行审查，以确定投标供应商是否具备投标资格。</w:t>
      </w:r>
    </w:p>
    <w:p w14:paraId="0B892F63">
      <w:pPr>
        <w:spacing w:line="360" w:lineRule="auto"/>
        <w:ind w:firstLine="480"/>
        <w:rPr>
          <w:rFonts w:ascii="宋体" w:hAnsi="宋体" w:cs="宋体"/>
          <w:sz w:val="24"/>
          <w:lang w:val="zh-CN"/>
        </w:rPr>
      </w:pPr>
      <w:r>
        <w:rPr>
          <w:rFonts w:hint="eastAsia" w:ascii="宋体" w:hAnsi="宋体" w:cs="宋体"/>
          <w:sz w:val="24"/>
          <w:lang w:val="zh-CN"/>
        </w:rPr>
        <w:t>21.2.1.3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p>
    <w:p w14:paraId="15E8ADE3">
      <w:pPr>
        <w:widowControl/>
        <w:spacing w:line="360" w:lineRule="auto"/>
        <w:ind w:firstLine="420"/>
        <w:rPr>
          <w:rFonts w:ascii="宋体" w:hAnsi="宋体" w:cs="宋体"/>
          <w:sz w:val="24"/>
          <w:lang w:val="zh-CN"/>
        </w:rPr>
      </w:pPr>
      <w:r>
        <w:rPr>
          <w:rFonts w:hint="eastAsia" w:ascii="宋体" w:hAnsi="宋体" w:cs="宋体"/>
          <w:b/>
          <w:sz w:val="24"/>
          <w:lang w:val="zh-CN"/>
        </w:rPr>
        <w:t>21.2.1.4</w:t>
      </w:r>
      <w:r>
        <w:rPr>
          <w:rFonts w:hint="eastAsia" w:ascii="宋体" w:hAnsi="宋体" w:cs="宋体"/>
          <w:sz w:val="24"/>
          <w:lang w:val="zh-CN"/>
        </w:rPr>
        <w:t xml:space="preserve"> </w:t>
      </w:r>
      <w:r>
        <w:rPr>
          <w:rFonts w:hint="eastAsia" w:ascii="宋体" w:hAnsi="宋体" w:cs="宋体"/>
          <w:b/>
          <w:sz w:val="24"/>
          <w:lang w:val="zh-CN"/>
        </w:rPr>
        <w:t>投标文件有下列情况之一的，在资格性审查时按照无效投标处理</w:t>
      </w:r>
    </w:p>
    <w:p w14:paraId="1D1EC71D">
      <w:pPr>
        <w:widowControl/>
        <w:spacing w:line="360" w:lineRule="auto"/>
        <w:ind w:firstLine="420"/>
        <w:jc w:val="left"/>
        <w:rPr>
          <w:rFonts w:ascii="宋体" w:hAnsi="宋体" w:cs="宋体"/>
          <w:sz w:val="24"/>
          <w:lang w:val="zh-CN"/>
        </w:rPr>
      </w:pPr>
      <w:r>
        <w:rPr>
          <w:rFonts w:hint="eastAsia" w:ascii="宋体" w:hAnsi="宋体" w:cs="宋体"/>
          <w:sz w:val="24"/>
          <w:lang w:val="zh-CN"/>
        </w:rPr>
        <w:t xml:space="preserve">（1）不具备招标文件规定资格条件的； </w:t>
      </w:r>
    </w:p>
    <w:p w14:paraId="2242797E">
      <w:pPr>
        <w:widowControl/>
        <w:spacing w:line="360" w:lineRule="auto"/>
        <w:ind w:firstLine="420"/>
        <w:jc w:val="left"/>
        <w:rPr>
          <w:rFonts w:ascii="宋体" w:hAnsi="宋体" w:cs="宋体"/>
          <w:sz w:val="24"/>
          <w:lang w:val="zh-CN"/>
        </w:rPr>
      </w:pPr>
      <w:r>
        <w:rPr>
          <w:rFonts w:hint="eastAsia" w:ascii="宋体" w:hAnsi="宋体" w:cs="宋体"/>
          <w:sz w:val="24"/>
          <w:lang w:val="zh-CN"/>
        </w:rPr>
        <w:t>（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11512568">
      <w:pPr>
        <w:spacing w:line="360" w:lineRule="auto"/>
        <w:ind w:firstLine="48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3</w:t>
      </w:r>
      <w:r>
        <w:rPr>
          <w:rFonts w:hint="eastAsia" w:ascii="宋体" w:hAnsi="宋体" w:cs="宋体"/>
          <w:bCs/>
          <w:sz w:val="24"/>
          <w:lang w:val="zh-CN"/>
        </w:rPr>
        <w:t>）未提供《南京市政府采购供应商信用记录表暨信用承诺书》。</w:t>
      </w:r>
    </w:p>
    <w:p w14:paraId="7EEB4D87">
      <w:pPr>
        <w:spacing w:line="360" w:lineRule="auto"/>
        <w:ind w:firstLine="482"/>
        <w:rPr>
          <w:rFonts w:ascii="宋体" w:hAnsi="宋体" w:cs="宋体"/>
          <w:b/>
          <w:sz w:val="24"/>
          <w:lang w:val="zh-CN"/>
        </w:rPr>
      </w:pPr>
      <w:r>
        <w:rPr>
          <w:rFonts w:hint="eastAsia" w:ascii="宋体" w:hAnsi="宋体" w:cs="宋体"/>
          <w:b/>
          <w:sz w:val="24"/>
          <w:lang w:val="zh-CN"/>
        </w:rPr>
        <w:t>21.2.2 投标文件的符合性审查</w:t>
      </w:r>
    </w:p>
    <w:p w14:paraId="5BB70351">
      <w:pPr>
        <w:spacing w:line="360" w:lineRule="auto"/>
        <w:ind w:firstLine="480"/>
        <w:rPr>
          <w:rFonts w:ascii="宋体" w:hAnsi="宋体" w:cs="宋体"/>
          <w:sz w:val="24"/>
          <w:lang w:val="zh-CN"/>
        </w:rPr>
      </w:pPr>
      <w:r>
        <w:rPr>
          <w:rFonts w:hint="eastAsia" w:ascii="宋体" w:hAnsi="宋体" w:cs="宋体"/>
          <w:sz w:val="24"/>
          <w:lang w:val="zh-CN"/>
        </w:rPr>
        <w:t>21.2.2.1评标委员会将依据法律法规和招标文件的规定，对投标文件的有效性、完整性和对招标文件的响应程度进行审查，以确定是否对招标文件的实质性要求作出响应。</w:t>
      </w:r>
    </w:p>
    <w:p w14:paraId="62B5EEE9">
      <w:pPr>
        <w:spacing w:line="360" w:lineRule="auto"/>
        <w:ind w:firstLine="480"/>
        <w:rPr>
          <w:rFonts w:ascii="宋体" w:hAnsi="宋体" w:cs="宋体"/>
          <w:sz w:val="24"/>
          <w:lang w:val="zh-CN"/>
        </w:rPr>
      </w:pPr>
      <w:r>
        <w:rPr>
          <w:rFonts w:hint="eastAsia" w:ascii="宋体" w:hAnsi="宋体" w:cs="宋体"/>
          <w:sz w:val="24"/>
          <w:lang w:val="zh-CN"/>
        </w:rPr>
        <w:t>21.2.2.2 实质性要求是指本招标文件中带“★”的商务和技术要求。</w:t>
      </w:r>
    </w:p>
    <w:p w14:paraId="51C728E4">
      <w:pPr>
        <w:spacing w:line="360" w:lineRule="auto"/>
        <w:ind w:firstLine="480"/>
        <w:rPr>
          <w:rFonts w:ascii="宋体" w:hAnsi="宋体" w:cs="宋体"/>
          <w:bCs/>
          <w:sz w:val="24"/>
        </w:rPr>
      </w:pPr>
      <w:r>
        <w:rPr>
          <w:rFonts w:hint="eastAsia" w:ascii="宋体" w:hAnsi="宋体" w:cs="宋体"/>
          <w:sz w:val="24"/>
          <w:lang w:val="zh-CN"/>
        </w:rPr>
        <w:t>21.2.2.3 如果投标文件实质上没有响应招标文件的要求，评标委员会将予以拒绝，</w:t>
      </w:r>
      <w:r>
        <w:rPr>
          <w:rFonts w:hint="eastAsia" w:ascii="宋体" w:hAnsi="宋体" w:cs="宋体"/>
          <w:bCs/>
          <w:sz w:val="24"/>
        </w:rPr>
        <w:t>供应商不得通过修改或撤销不合要求的偏离而使其投标成为实质性响应的投标。</w:t>
      </w:r>
    </w:p>
    <w:p w14:paraId="3F586D41">
      <w:pPr>
        <w:spacing w:line="360" w:lineRule="auto"/>
        <w:ind w:firstLine="482"/>
        <w:rPr>
          <w:rFonts w:ascii="宋体" w:hAnsi="宋体" w:cs="宋体"/>
          <w:b/>
          <w:sz w:val="24"/>
          <w:lang w:val="zh-CN"/>
        </w:rPr>
      </w:pPr>
      <w:r>
        <w:rPr>
          <w:rFonts w:hint="eastAsia" w:ascii="宋体" w:hAnsi="宋体" w:cs="宋体"/>
          <w:b/>
          <w:bCs/>
          <w:sz w:val="24"/>
        </w:rPr>
        <w:t xml:space="preserve">21.2.2.4 </w:t>
      </w:r>
      <w:r>
        <w:rPr>
          <w:rFonts w:hint="eastAsia" w:ascii="宋体" w:hAnsi="宋体" w:cs="宋体"/>
          <w:b/>
          <w:sz w:val="24"/>
          <w:lang w:val="zh-CN"/>
        </w:rPr>
        <w:t>投标文件有下列情况之一的，在符合性审查时按照无效投标处理</w:t>
      </w:r>
    </w:p>
    <w:p w14:paraId="0B849DCA">
      <w:pPr>
        <w:widowControl/>
        <w:spacing w:line="360" w:lineRule="auto"/>
        <w:ind w:firstLine="420"/>
        <w:rPr>
          <w:rFonts w:ascii="宋体" w:hAnsi="宋体" w:cs="宋体"/>
          <w:sz w:val="24"/>
          <w:lang w:val="zh-CN"/>
        </w:rPr>
      </w:pPr>
      <w:r>
        <w:rPr>
          <w:rFonts w:hint="eastAsia" w:ascii="宋体" w:hAnsi="宋体" w:cs="宋体"/>
          <w:sz w:val="24"/>
          <w:lang w:val="zh-CN"/>
        </w:rPr>
        <w:t>（1）未按招标文件规定签署、盖章的；</w:t>
      </w:r>
    </w:p>
    <w:p w14:paraId="315F8DB7">
      <w:pPr>
        <w:widowControl/>
        <w:spacing w:line="360" w:lineRule="auto"/>
        <w:ind w:firstLine="420"/>
        <w:rPr>
          <w:rFonts w:ascii="宋体" w:hAnsi="宋体" w:cs="宋体"/>
          <w:sz w:val="24"/>
          <w:lang w:val="zh-CN"/>
        </w:rPr>
      </w:pP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）投标总价超出采购预算金额或者最高限价的；</w:t>
      </w:r>
    </w:p>
    <w:p w14:paraId="7176430A">
      <w:pPr>
        <w:widowControl/>
        <w:spacing w:line="360" w:lineRule="auto"/>
        <w:ind w:firstLine="420"/>
        <w:rPr>
          <w:rFonts w:ascii="宋体" w:hAnsi="宋体" w:cs="宋体"/>
          <w:sz w:val="24"/>
          <w:lang w:val="zh-CN"/>
        </w:rPr>
      </w:pPr>
      <w:r>
        <w:rPr>
          <w:rFonts w:hint="eastAsia" w:ascii="宋体" w:hAnsi="宋体" w:cs="宋体"/>
          <w:sz w:val="24"/>
          <w:lang w:val="zh-CN"/>
        </w:rPr>
        <w:t>（</w:t>
      </w:r>
      <w:r>
        <w:rPr>
          <w:rFonts w:hint="eastAsia" w:ascii="宋体" w:hAnsi="宋体" w:cs="宋体"/>
          <w:sz w:val="24"/>
        </w:rPr>
        <w:t>3</w:t>
      </w:r>
      <w:r>
        <w:rPr>
          <w:rFonts w:hint="eastAsia" w:ascii="宋体" w:hAnsi="宋体" w:cs="宋体"/>
          <w:sz w:val="24"/>
          <w:lang w:val="zh-CN"/>
        </w:rPr>
        <w:t>）不同供应商的投标文件由同一单位或者个人编制；</w:t>
      </w:r>
    </w:p>
    <w:p w14:paraId="75105E35">
      <w:pPr>
        <w:widowControl/>
        <w:spacing w:line="360" w:lineRule="auto"/>
        <w:ind w:firstLine="420"/>
        <w:rPr>
          <w:rFonts w:ascii="宋体" w:hAnsi="宋体" w:cs="宋体"/>
          <w:sz w:val="24"/>
          <w:lang w:val="zh-CN"/>
        </w:rPr>
      </w:pPr>
      <w:r>
        <w:rPr>
          <w:rFonts w:hint="eastAsia" w:ascii="宋体" w:hAnsi="宋体" w:cs="宋体"/>
          <w:sz w:val="24"/>
          <w:lang w:val="zh-CN"/>
        </w:rPr>
        <w:t>（</w:t>
      </w:r>
      <w:r>
        <w:rPr>
          <w:rFonts w:hint="eastAsia" w:ascii="宋体" w:hAnsi="宋体" w:cs="宋体"/>
          <w:sz w:val="24"/>
        </w:rPr>
        <w:t>4</w:t>
      </w:r>
      <w:r>
        <w:rPr>
          <w:rFonts w:hint="eastAsia" w:ascii="宋体" w:hAnsi="宋体" w:cs="宋体"/>
          <w:sz w:val="24"/>
          <w:lang w:val="zh-CN"/>
        </w:rPr>
        <w:t>）不同供应商委托同一单位或者个人办理投标事宜；</w:t>
      </w:r>
    </w:p>
    <w:p w14:paraId="349C6D2A">
      <w:pPr>
        <w:widowControl/>
        <w:spacing w:line="360" w:lineRule="auto"/>
        <w:ind w:firstLine="420"/>
        <w:rPr>
          <w:rFonts w:ascii="宋体" w:hAnsi="宋体" w:cs="宋体"/>
          <w:sz w:val="24"/>
          <w:lang w:val="zh-CN"/>
        </w:rPr>
      </w:pPr>
      <w:r>
        <w:rPr>
          <w:rFonts w:hint="eastAsia" w:ascii="宋体" w:hAnsi="宋体" w:cs="宋体"/>
          <w:sz w:val="24"/>
          <w:lang w:val="zh-CN"/>
        </w:rPr>
        <w:t>（</w:t>
      </w:r>
      <w:r>
        <w:rPr>
          <w:rFonts w:hint="eastAsia" w:ascii="宋体" w:hAnsi="宋体" w:cs="宋体"/>
          <w:sz w:val="24"/>
        </w:rPr>
        <w:t>5</w:t>
      </w:r>
      <w:r>
        <w:rPr>
          <w:rFonts w:hint="eastAsia" w:ascii="宋体" w:hAnsi="宋体" w:cs="宋体"/>
          <w:sz w:val="24"/>
          <w:lang w:val="zh-CN"/>
        </w:rPr>
        <w:t>）不同供应商的投标文件载明的项目管理成员或者联系人员为同一人；</w:t>
      </w:r>
    </w:p>
    <w:p w14:paraId="18824B9E">
      <w:pPr>
        <w:widowControl/>
        <w:spacing w:line="360" w:lineRule="auto"/>
        <w:ind w:firstLine="420"/>
        <w:rPr>
          <w:rFonts w:ascii="宋体" w:hAnsi="宋体" w:cs="宋体"/>
          <w:sz w:val="24"/>
          <w:lang w:val="zh-CN"/>
        </w:rPr>
      </w:pPr>
      <w:r>
        <w:rPr>
          <w:rFonts w:hint="eastAsia" w:ascii="宋体" w:hAnsi="宋体" w:cs="宋体"/>
          <w:sz w:val="24"/>
          <w:lang w:val="zh-CN"/>
        </w:rPr>
        <w:t>（</w:t>
      </w:r>
      <w:r>
        <w:rPr>
          <w:rFonts w:hint="eastAsia" w:ascii="宋体" w:hAnsi="宋体" w:cs="宋体"/>
          <w:sz w:val="24"/>
        </w:rPr>
        <w:t>6</w:t>
      </w:r>
      <w:r>
        <w:rPr>
          <w:rFonts w:hint="eastAsia" w:ascii="宋体" w:hAnsi="宋体" w:cs="宋体"/>
          <w:sz w:val="24"/>
          <w:lang w:val="zh-CN"/>
        </w:rPr>
        <w:t>）不同供应商的投标文件异常一致或者投标报价呈规律性差异；</w:t>
      </w:r>
    </w:p>
    <w:p w14:paraId="43B5F3AC">
      <w:pPr>
        <w:widowControl/>
        <w:spacing w:line="360" w:lineRule="auto"/>
        <w:ind w:firstLine="420"/>
        <w:rPr>
          <w:rFonts w:ascii="宋体" w:hAnsi="宋体" w:cs="宋体"/>
          <w:sz w:val="24"/>
          <w:lang w:val="zh-CN"/>
        </w:rPr>
      </w:pPr>
      <w:r>
        <w:rPr>
          <w:rFonts w:hint="eastAsia" w:ascii="宋体" w:hAnsi="宋体" w:cs="宋体"/>
          <w:sz w:val="24"/>
          <w:lang w:val="zh-CN"/>
        </w:rPr>
        <w:t>（</w:t>
      </w:r>
      <w:r>
        <w:rPr>
          <w:rFonts w:hint="eastAsia" w:ascii="宋体" w:hAnsi="宋体" w:cs="宋体"/>
          <w:sz w:val="24"/>
        </w:rPr>
        <w:t>7</w:t>
      </w:r>
      <w:r>
        <w:rPr>
          <w:rFonts w:hint="eastAsia" w:ascii="宋体" w:hAnsi="宋体" w:cs="宋体"/>
          <w:sz w:val="24"/>
          <w:lang w:val="zh-CN"/>
        </w:rPr>
        <w:t>）不同供应商的投标文件相互混装；</w:t>
      </w:r>
    </w:p>
    <w:p w14:paraId="6A271D2F">
      <w:pPr>
        <w:widowControl/>
        <w:spacing w:line="360" w:lineRule="auto"/>
        <w:ind w:firstLine="420"/>
        <w:rPr>
          <w:rFonts w:ascii="宋体" w:hAnsi="宋体" w:cs="宋体"/>
          <w:sz w:val="24"/>
          <w:lang w:val="zh-CN"/>
        </w:rPr>
      </w:pPr>
      <w:r>
        <w:rPr>
          <w:rFonts w:hint="eastAsia" w:ascii="宋体" w:hAnsi="宋体" w:cs="宋体"/>
          <w:sz w:val="24"/>
          <w:lang w:val="zh-CN"/>
        </w:rPr>
        <w:t>（</w:t>
      </w:r>
      <w:r>
        <w:rPr>
          <w:rFonts w:hint="eastAsia" w:ascii="宋体" w:hAnsi="宋体" w:cs="宋体"/>
          <w:sz w:val="24"/>
        </w:rPr>
        <w:t>8</w:t>
      </w:r>
      <w:r>
        <w:rPr>
          <w:rFonts w:hint="eastAsia" w:ascii="宋体" w:hAnsi="宋体" w:cs="宋体"/>
          <w:sz w:val="24"/>
          <w:lang w:val="zh-CN"/>
        </w:rPr>
        <w:t>）不同供应商的法定代表人或委托代理人有夫妻、直系血亲关系的；</w:t>
      </w:r>
    </w:p>
    <w:p w14:paraId="3154D13D">
      <w:pPr>
        <w:widowControl/>
        <w:spacing w:line="360" w:lineRule="auto"/>
        <w:ind w:firstLine="420"/>
        <w:rPr>
          <w:rFonts w:ascii="宋体" w:hAnsi="宋体" w:cs="宋体"/>
          <w:sz w:val="24"/>
          <w:lang w:val="zh-CN"/>
        </w:rPr>
      </w:pPr>
      <w:r>
        <w:rPr>
          <w:rFonts w:hint="eastAsia" w:ascii="宋体" w:hAnsi="宋体" w:cs="宋体"/>
          <w:sz w:val="24"/>
          <w:lang w:val="zh-CN"/>
        </w:rPr>
        <w:t>（</w:t>
      </w:r>
      <w:r>
        <w:rPr>
          <w:rFonts w:hint="eastAsia" w:ascii="宋体" w:hAnsi="宋体" w:cs="宋体"/>
          <w:sz w:val="24"/>
        </w:rPr>
        <w:t>9</w:t>
      </w:r>
      <w:r>
        <w:rPr>
          <w:rFonts w:hint="eastAsia" w:ascii="宋体" w:hAnsi="宋体" w:cs="宋体"/>
          <w:sz w:val="24"/>
          <w:lang w:val="zh-CN"/>
        </w:rPr>
        <w:t>）不同供应商的负责人为同一人或者存在控股、管理关系的；</w:t>
      </w:r>
    </w:p>
    <w:p w14:paraId="229C899B">
      <w:pPr>
        <w:widowControl/>
        <w:spacing w:line="360" w:lineRule="auto"/>
        <w:ind w:firstLine="420"/>
        <w:rPr>
          <w:rFonts w:ascii="宋体" w:hAnsi="宋体" w:cs="宋体"/>
          <w:sz w:val="24"/>
          <w:lang w:val="zh-CN"/>
        </w:rPr>
      </w:pPr>
      <w:r>
        <w:rPr>
          <w:rFonts w:hint="eastAsia" w:ascii="宋体" w:hAnsi="宋体" w:cs="宋体"/>
          <w:sz w:val="24"/>
          <w:lang w:val="zh-CN"/>
        </w:rPr>
        <w:t>（1</w:t>
      </w:r>
      <w:r>
        <w:rPr>
          <w:rFonts w:hint="eastAsia" w:ascii="宋体" w:hAnsi="宋体" w:cs="宋体"/>
          <w:sz w:val="24"/>
        </w:rPr>
        <w:t>0</w:t>
      </w:r>
      <w:r>
        <w:rPr>
          <w:rFonts w:hint="eastAsia" w:ascii="宋体" w:hAnsi="宋体" w:cs="宋体"/>
          <w:sz w:val="24"/>
          <w:lang w:val="zh-CN"/>
        </w:rPr>
        <w:t>）不同供应商的委托代理人（或法定代表人、项目经理、项目总监、项目负责人等）在招标文件发布日上月至投标截止日当月在同一单位缴纳社会保险的；</w:t>
      </w:r>
    </w:p>
    <w:p w14:paraId="3A5C3F93">
      <w:pPr>
        <w:widowControl/>
        <w:spacing w:line="360" w:lineRule="auto"/>
        <w:ind w:firstLine="420"/>
        <w:rPr>
          <w:rFonts w:ascii="宋体" w:hAnsi="宋体" w:cs="宋体"/>
          <w:sz w:val="24"/>
          <w:lang w:val="zh-CN"/>
        </w:rPr>
      </w:pPr>
      <w:r>
        <w:rPr>
          <w:rFonts w:hint="eastAsia" w:ascii="宋体" w:hAnsi="宋体" w:cs="宋体"/>
          <w:sz w:val="24"/>
          <w:lang w:val="zh-CN"/>
        </w:rPr>
        <w:t>（</w:t>
      </w:r>
      <w:r>
        <w:rPr>
          <w:rFonts w:hint="eastAsia" w:ascii="宋体" w:hAnsi="宋体" w:cs="宋体"/>
          <w:sz w:val="24"/>
        </w:rPr>
        <w:t>11</w:t>
      </w:r>
      <w:r>
        <w:rPr>
          <w:rFonts w:hint="eastAsia" w:ascii="宋体" w:hAnsi="宋体" w:cs="宋体"/>
          <w:sz w:val="24"/>
          <w:lang w:val="zh-CN"/>
        </w:rPr>
        <w:t>）属于投标邀请中拒绝参加本次采购活动供应商的；</w:t>
      </w:r>
    </w:p>
    <w:p w14:paraId="67E49E5D">
      <w:pPr>
        <w:widowControl/>
        <w:spacing w:line="360" w:lineRule="auto"/>
        <w:ind w:firstLine="420"/>
        <w:rPr>
          <w:rFonts w:ascii="宋体" w:hAnsi="宋体" w:cs="宋体"/>
          <w:sz w:val="24"/>
          <w:lang w:val="zh-CN"/>
        </w:rPr>
      </w:pPr>
      <w:r>
        <w:rPr>
          <w:rFonts w:hint="eastAsia" w:ascii="宋体" w:hAnsi="宋体" w:cs="宋体"/>
          <w:sz w:val="24"/>
          <w:lang w:val="zh-CN"/>
        </w:rPr>
        <w:t>（1</w:t>
      </w:r>
      <w:r>
        <w:rPr>
          <w:rFonts w:hint="eastAsia" w:ascii="宋体" w:hAnsi="宋体" w:cs="宋体"/>
          <w:sz w:val="24"/>
        </w:rPr>
        <w:t>2</w:t>
      </w:r>
      <w:r>
        <w:rPr>
          <w:rFonts w:hint="eastAsia" w:ascii="宋体" w:hAnsi="宋体" w:cs="宋体"/>
          <w:sz w:val="24"/>
          <w:lang w:val="zh-CN"/>
        </w:rPr>
        <w:t>）投标文件含有采购人不能接受的附加条件的；</w:t>
      </w:r>
    </w:p>
    <w:p w14:paraId="0A8B9163">
      <w:pPr>
        <w:widowControl/>
        <w:spacing w:line="360" w:lineRule="auto"/>
        <w:ind w:firstLine="420"/>
        <w:rPr>
          <w:rFonts w:ascii="宋体" w:hAnsi="宋体" w:cs="宋体"/>
          <w:sz w:val="24"/>
          <w:lang w:val="zh-CN"/>
        </w:rPr>
      </w:pPr>
      <w:r>
        <w:rPr>
          <w:rFonts w:hint="eastAsia" w:ascii="宋体" w:hAnsi="宋体" w:cs="宋体"/>
          <w:sz w:val="24"/>
          <w:lang w:val="zh-CN"/>
        </w:rPr>
        <w:t>（1</w:t>
      </w:r>
      <w:r>
        <w:rPr>
          <w:rFonts w:hint="eastAsia" w:ascii="宋体" w:hAnsi="宋体" w:cs="宋体"/>
          <w:sz w:val="24"/>
        </w:rPr>
        <w:t>3</w:t>
      </w:r>
      <w:r>
        <w:rPr>
          <w:rFonts w:hint="eastAsia" w:ascii="宋体" w:hAnsi="宋体" w:cs="宋体"/>
          <w:sz w:val="24"/>
          <w:lang w:val="zh-CN"/>
        </w:rPr>
        <w:t>）评标委员会认为供应商的报价明显低于其他通过符合性审查供应商的报价，有可能影响服务质量或者不能诚信履约的，未在评标现场合理的时间内提供书面说明或相关证明材料，不能证明其报价合理的。</w:t>
      </w:r>
    </w:p>
    <w:p w14:paraId="0845DE71">
      <w:pPr>
        <w:widowControl/>
        <w:spacing w:line="360" w:lineRule="auto"/>
        <w:ind w:firstLine="420"/>
        <w:rPr>
          <w:rFonts w:ascii="宋体" w:hAnsi="宋体" w:cs="宋体"/>
          <w:bCs/>
          <w:sz w:val="24"/>
          <w:lang w:val="zh-CN"/>
        </w:rPr>
      </w:pPr>
      <w:r>
        <w:rPr>
          <w:rFonts w:hint="eastAsia" w:ascii="宋体" w:hAnsi="宋体" w:cs="宋体"/>
          <w:sz w:val="24"/>
          <w:lang w:val="zh-CN"/>
        </w:rPr>
        <w:t>（</w:t>
      </w:r>
      <w:r>
        <w:rPr>
          <w:rFonts w:hint="eastAsia" w:ascii="宋体" w:hAnsi="宋体" w:cs="宋体"/>
          <w:sz w:val="24"/>
        </w:rPr>
        <w:t>14</w:t>
      </w:r>
      <w:r>
        <w:rPr>
          <w:rFonts w:hint="eastAsia" w:ascii="宋体" w:hAnsi="宋体" w:cs="宋体"/>
          <w:sz w:val="24"/>
          <w:lang w:val="zh-CN"/>
        </w:rPr>
        <w:t>）</w:t>
      </w:r>
      <w:r>
        <w:rPr>
          <w:rFonts w:hint="eastAsia" w:ascii="宋体" w:hAnsi="宋体" w:cs="宋体"/>
          <w:bCs/>
          <w:sz w:val="24"/>
          <w:lang w:val="zh-CN"/>
        </w:rPr>
        <w:t>投标人在苏采云系统规定的时间内未成功解密电子投标文件。</w:t>
      </w:r>
    </w:p>
    <w:p w14:paraId="53DB2B8A">
      <w:pPr>
        <w:widowControl/>
        <w:spacing w:line="360" w:lineRule="auto"/>
        <w:ind w:firstLine="42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15</w:t>
      </w:r>
      <w:r>
        <w:rPr>
          <w:rFonts w:hint="eastAsia" w:ascii="宋体" w:hAnsi="宋体" w:cs="宋体"/>
          <w:bCs/>
          <w:sz w:val="24"/>
          <w:lang w:val="zh-CN"/>
        </w:rPr>
        <w:t>）投标人未按照招标文件要求上传电子投标文件。</w:t>
      </w:r>
    </w:p>
    <w:p w14:paraId="6472A5A0">
      <w:pPr>
        <w:widowControl/>
        <w:spacing w:line="360" w:lineRule="auto"/>
        <w:ind w:firstLine="42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16</w:t>
      </w:r>
      <w:r>
        <w:rPr>
          <w:rFonts w:hint="eastAsia" w:ascii="宋体" w:hAnsi="宋体" w:cs="宋体"/>
          <w:bCs/>
          <w:sz w:val="24"/>
          <w:lang w:val="zh-CN"/>
        </w:rPr>
        <w:t>）同一投标人提交两个（含两个）以上不同的投标报价。</w:t>
      </w:r>
    </w:p>
    <w:p w14:paraId="74C17D02">
      <w:pPr>
        <w:widowControl/>
        <w:spacing w:line="360" w:lineRule="auto"/>
        <w:ind w:firstLine="420"/>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17</w:t>
      </w:r>
      <w:r>
        <w:rPr>
          <w:rFonts w:hint="eastAsia" w:ascii="宋体" w:hAnsi="宋体" w:cs="宋体"/>
          <w:bCs/>
          <w:sz w:val="24"/>
          <w:lang w:val="zh-CN"/>
        </w:rPr>
        <w:t>）采购产品被财政部、国家发改委、生态环境部等列入“节能产品品目清单”强制采购范围，而投标人提供的产品不在强制采购范围内。</w:t>
      </w:r>
    </w:p>
    <w:p w14:paraId="171B55C6">
      <w:pPr>
        <w:widowControl/>
        <w:spacing w:line="360" w:lineRule="auto"/>
        <w:ind w:firstLine="420"/>
        <w:rPr>
          <w:rFonts w:ascii="宋体" w:hAnsi="宋体" w:cs="宋体"/>
          <w:sz w:val="24"/>
          <w:lang w:val="zh-CN"/>
        </w:rPr>
      </w:pPr>
      <w:r>
        <w:rPr>
          <w:rFonts w:hint="eastAsia" w:ascii="宋体" w:hAnsi="宋体" w:cs="宋体"/>
          <w:color w:val="000000"/>
          <w:sz w:val="24"/>
          <w:lang w:val="zh-CN"/>
        </w:rPr>
        <w:t>（1</w:t>
      </w:r>
      <w:r>
        <w:rPr>
          <w:rFonts w:hint="eastAsia" w:ascii="宋体" w:hAnsi="宋体" w:cs="宋体"/>
          <w:color w:val="000000"/>
          <w:sz w:val="24"/>
        </w:rPr>
        <w:t>8</w:t>
      </w:r>
      <w:r>
        <w:rPr>
          <w:rFonts w:hint="eastAsia" w:ascii="宋体" w:hAnsi="宋体" w:cs="宋体"/>
          <w:color w:val="000000"/>
          <w:sz w:val="24"/>
          <w:lang w:val="zh-CN"/>
        </w:rPr>
        <w:t>）不符合法律、法规和招标文件规定的其他无效情形。</w:t>
      </w:r>
    </w:p>
    <w:p w14:paraId="5D82CC32">
      <w:pPr>
        <w:widowControl/>
        <w:spacing w:line="360" w:lineRule="auto"/>
        <w:ind w:firstLine="420"/>
        <w:rPr>
          <w:rFonts w:ascii="宋体" w:hAnsi="宋体" w:cs="宋体"/>
          <w:sz w:val="24"/>
          <w:lang w:val="zh-CN"/>
        </w:rPr>
      </w:pPr>
      <w:r>
        <w:rPr>
          <w:rFonts w:hint="eastAsia" w:ascii="宋体" w:hAnsi="宋体" w:cs="宋体"/>
          <w:sz w:val="24"/>
          <w:lang w:val="zh-CN"/>
        </w:rPr>
        <w:t>未通过资格审查或符合性审查的投标人，</w:t>
      </w:r>
      <w:r>
        <w:rPr>
          <w:rFonts w:hint="eastAsia" w:ascii="宋体" w:hAnsi="宋体" w:cs="宋体"/>
          <w:sz w:val="24"/>
        </w:rPr>
        <w:t>代理机构</w:t>
      </w:r>
      <w:r>
        <w:rPr>
          <w:rFonts w:hint="eastAsia" w:ascii="宋体" w:hAnsi="宋体" w:cs="宋体"/>
          <w:sz w:val="24"/>
          <w:lang w:val="zh-CN"/>
        </w:rPr>
        <w:t>将通过苏采云系统告知其具体原因，评标结束后不再接受有关询问。</w:t>
      </w:r>
    </w:p>
    <w:p w14:paraId="3CC716DA">
      <w:pPr>
        <w:spacing w:line="360" w:lineRule="auto"/>
        <w:ind w:firstLine="482"/>
        <w:rPr>
          <w:rFonts w:ascii="宋体" w:hAnsi="宋体" w:cs="宋体"/>
          <w:b/>
          <w:sz w:val="24"/>
          <w:lang w:val="zh-CN"/>
        </w:rPr>
      </w:pPr>
      <w:r>
        <w:rPr>
          <w:rFonts w:hint="eastAsia" w:ascii="宋体" w:hAnsi="宋体" w:cs="宋体"/>
          <w:b/>
          <w:sz w:val="24"/>
          <w:lang w:val="zh-CN"/>
        </w:rPr>
        <w:t>21.2.</w:t>
      </w:r>
      <w:r>
        <w:rPr>
          <w:rFonts w:hint="eastAsia" w:ascii="宋体" w:hAnsi="宋体" w:cs="宋体"/>
          <w:b/>
          <w:sz w:val="24"/>
        </w:rPr>
        <w:t xml:space="preserve">2.5 </w:t>
      </w:r>
      <w:r>
        <w:rPr>
          <w:rFonts w:hint="eastAsia" w:ascii="宋体" w:hAnsi="宋体" w:cs="宋体"/>
          <w:b/>
          <w:sz w:val="24"/>
          <w:lang w:val="zh-CN"/>
        </w:rPr>
        <w:t>废标</w:t>
      </w:r>
    </w:p>
    <w:p w14:paraId="21281F17">
      <w:pPr>
        <w:spacing w:line="360" w:lineRule="auto"/>
        <w:ind w:firstLine="480"/>
        <w:rPr>
          <w:rFonts w:ascii="宋体" w:hAnsi="宋体" w:cs="宋体"/>
          <w:bCs/>
          <w:sz w:val="24"/>
          <w:lang w:val="zh-CN"/>
        </w:rPr>
      </w:pPr>
      <w:r>
        <w:rPr>
          <w:rFonts w:hint="eastAsia" w:ascii="宋体" w:hAnsi="宋体" w:cs="宋体"/>
          <w:bCs/>
          <w:sz w:val="24"/>
        </w:rPr>
        <w:t>21.2.2.5.</w:t>
      </w:r>
      <w:r>
        <w:rPr>
          <w:rFonts w:hint="eastAsia" w:ascii="宋体" w:hAnsi="宋体" w:cs="宋体"/>
          <w:bCs/>
          <w:sz w:val="24"/>
          <w:lang w:val="zh-CN"/>
        </w:rPr>
        <w:t>1 符合资格条件的供应商或者对招标文件作实质响应的供应商不足三家。</w:t>
      </w:r>
    </w:p>
    <w:p w14:paraId="1597B343">
      <w:pPr>
        <w:spacing w:line="360" w:lineRule="auto"/>
        <w:ind w:firstLine="480"/>
        <w:rPr>
          <w:rFonts w:ascii="宋体" w:hAnsi="宋体" w:cs="宋体"/>
          <w:bCs/>
          <w:sz w:val="24"/>
          <w:lang w:val="zh-CN"/>
        </w:rPr>
      </w:pPr>
      <w:r>
        <w:rPr>
          <w:rFonts w:hint="eastAsia" w:ascii="宋体" w:hAnsi="宋体" w:cs="宋体"/>
          <w:bCs/>
          <w:sz w:val="24"/>
        </w:rPr>
        <w:t>21.2.2.5.</w:t>
      </w:r>
      <w:r>
        <w:rPr>
          <w:rFonts w:hint="eastAsia" w:ascii="宋体" w:hAnsi="宋体" w:cs="宋体"/>
          <w:bCs/>
          <w:sz w:val="24"/>
          <w:lang w:val="zh-CN"/>
        </w:rPr>
        <w:t>2 出现影响采购公正的违法、违规行为。</w:t>
      </w:r>
    </w:p>
    <w:p w14:paraId="309F2BB6">
      <w:pPr>
        <w:spacing w:line="360" w:lineRule="auto"/>
        <w:ind w:firstLine="480"/>
        <w:rPr>
          <w:rFonts w:ascii="宋体" w:hAnsi="宋体" w:cs="宋体"/>
          <w:bCs/>
          <w:sz w:val="24"/>
          <w:lang w:val="zh-CN"/>
        </w:rPr>
      </w:pPr>
      <w:r>
        <w:rPr>
          <w:rFonts w:hint="eastAsia" w:ascii="宋体" w:hAnsi="宋体" w:cs="宋体"/>
          <w:bCs/>
          <w:sz w:val="24"/>
        </w:rPr>
        <w:t>21.2.2.5.</w:t>
      </w:r>
      <w:r>
        <w:rPr>
          <w:rFonts w:hint="eastAsia" w:ascii="宋体" w:hAnsi="宋体" w:cs="宋体"/>
          <w:bCs/>
          <w:sz w:val="24"/>
          <w:lang w:val="zh-CN"/>
        </w:rPr>
        <w:t>3 因重大变故采购任务取消。</w:t>
      </w:r>
    </w:p>
    <w:p w14:paraId="730EC5AC">
      <w:pPr>
        <w:spacing w:line="360" w:lineRule="auto"/>
        <w:ind w:firstLine="480"/>
        <w:rPr>
          <w:rFonts w:ascii="宋体" w:hAnsi="宋体" w:cs="宋体"/>
          <w:bCs/>
          <w:sz w:val="24"/>
          <w:lang w:val="zh-CN"/>
        </w:rPr>
      </w:pPr>
      <w:r>
        <w:rPr>
          <w:rFonts w:hint="eastAsia" w:ascii="宋体" w:hAnsi="宋体" w:cs="宋体"/>
          <w:bCs/>
          <w:sz w:val="24"/>
        </w:rPr>
        <w:t>21.2.2.5.</w:t>
      </w:r>
      <w:r>
        <w:rPr>
          <w:rFonts w:hint="eastAsia" w:ascii="宋体" w:hAnsi="宋体" w:cs="宋体"/>
          <w:bCs/>
          <w:sz w:val="24"/>
          <w:lang w:val="zh-CN"/>
        </w:rPr>
        <w:t>4 评委会认定招标文件存在歧义、重大缺陷导致评审工作无法进行。</w:t>
      </w:r>
    </w:p>
    <w:p w14:paraId="16E3EACF">
      <w:pPr>
        <w:spacing w:line="360" w:lineRule="auto"/>
        <w:ind w:firstLine="480"/>
        <w:rPr>
          <w:rFonts w:ascii="宋体" w:hAnsi="宋体" w:cs="宋体"/>
          <w:bCs/>
          <w:sz w:val="24"/>
          <w:lang w:val="zh-CN"/>
        </w:rPr>
      </w:pPr>
      <w:r>
        <w:rPr>
          <w:rFonts w:hint="eastAsia" w:ascii="宋体" w:hAnsi="宋体" w:cs="宋体"/>
          <w:bCs/>
          <w:sz w:val="24"/>
        </w:rPr>
        <w:t>21.2.2.5.</w:t>
      </w:r>
      <w:r>
        <w:rPr>
          <w:rFonts w:hint="eastAsia" w:ascii="宋体" w:hAnsi="宋体" w:cs="宋体"/>
          <w:bCs/>
          <w:sz w:val="24"/>
          <w:lang w:val="zh-CN"/>
        </w:rPr>
        <w:t>5</w:t>
      </w:r>
      <w:r>
        <w:rPr>
          <w:rFonts w:hint="eastAsia" w:ascii="宋体" w:hAnsi="宋体" w:cs="宋体"/>
          <w:bCs/>
          <w:sz w:val="24"/>
        </w:rPr>
        <w:t xml:space="preserve"> </w:t>
      </w:r>
      <w:r>
        <w:rPr>
          <w:rFonts w:hint="eastAsia" w:ascii="宋体" w:hAnsi="宋体" w:cs="宋体"/>
          <w:bCs/>
          <w:sz w:val="24"/>
          <w:lang w:val="zh-CN"/>
        </w:rPr>
        <w:t>预留份额的采购项目或采购包，通过发布公告方式邀请供应商后，符合资格条件的中小企业数量不足3家的。</w:t>
      </w:r>
    </w:p>
    <w:p w14:paraId="52B768B7">
      <w:pPr>
        <w:spacing w:line="360" w:lineRule="auto"/>
        <w:ind w:firstLine="480"/>
        <w:rPr>
          <w:rFonts w:ascii="宋体" w:hAnsi="宋体" w:cs="宋体"/>
          <w:bCs/>
          <w:sz w:val="24"/>
          <w:lang w:val="zh-CN"/>
        </w:rPr>
      </w:pPr>
      <w:r>
        <w:rPr>
          <w:rFonts w:hint="eastAsia" w:ascii="宋体" w:hAnsi="宋体" w:cs="宋体"/>
          <w:bCs/>
          <w:sz w:val="24"/>
        </w:rPr>
        <w:t xml:space="preserve">21.2.2.5.6 </w:t>
      </w:r>
      <w:r>
        <w:rPr>
          <w:rFonts w:hint="eastAsia" w:ascii="宋体" w:hAnsi="宋体" w:cs="宋体"/>
          <w:bCs/>
          <w:sz w:val="24"/>
          <w:lang w:val="zh-CN"/>
        </w:rPr>
        <w:t>因苏采云系统故障造成开标不成功。</w:t>
      </w:r>
    </w:p>
    <w:p w14:paraId="0E034D14">
      <w:pPr>
        <w:spacing w:line="360" w:lineRule="auto"/>
        <w:ind w:firstLine="482"/>
        <w:rPr>
          <w:rFonts w:ascii="宋体" w:hAnsi="宋体" w:cs="宋体"/>
          <w:b/>
          <w:sz w:val="24"/>
          <w:lang w:val="zh-CN"/>
        </w:rPr>
      </w:pPr>
      <w:r>
        <w:rPr>
          <w:rFonts w:hint="eastAsia" w:ascii="宋体" w:hAnsi="宋体" w:cs="宋体"/>
          <w:b/>
          <w:sz w:val="24"/>
          <w:lang w:val="zh-CN"/>
        </w:rPr>
        <w:t>21.2.3</w:t>
      </w:r>
      <w:r>
        <w:rPr>
          <w:rFonts w:hint="eastAsia" w:ascii="宋体" w:hAnsi="宋体" w:cs="宋体"/>
          <w:b/>
          <w:sz w:val="24"/>
        </w:rPr>
        <w:t xml:space="preserve"> </w:t>
      </w:r>
      <w:r>
        <w:rPr>
          <w:rFonts w:hint="eastAsia" w:ascii="宋体" w:hAnsi="宋体" w:cs="宋体"/>
          <w:b/>
          <w:sz w:val="24"/>
          <w:lang w:val="zh-CN"/>
        </w:rPr>
        <w:t>投标文件的进一步评审</w:t>
      </w:r>
    </w:p>
    <w:p w14:paraId="3D04F5DE">
      <w:pPr>
        <w:spacing w:line="360" w:lineRule="auto"/>
        <w:ind w:firstLine="480"/>
        <w:rPr>
          <w:rFonts w:ascii="宋体" w:hAnsi="宋体" w:cs="宋体"/>
          <w:bCs/>
          <w:sz w:val="24"/>
        </w:rPr>
      </w:pPr>
      <w:r>
        <w:rPr>
          <w:rFonts w:hint="eastAsia" w:ascii="宋体" w:hAnsi="宋体" w:cs="宋体"/>
          <w:sz w:val="24"/>
          <w:lang w:val="zh-CN"/>
        </w:rPr>
        <w:t>21.2.3.1</w:t>
      </w:r>
      <w:r>
        <w:rPr>
          <w:rFonts w:hint="eastAsia" w:ascii="宋体" w:hAnsi="宋体" w:cs="宋体"/>
          <w:bCs/>
          <w:sz w:val="24"/>
        </w:rPr>
        <w:t>评标委员会将对确定为实质性响应的投标文件进行进一步评审，看其是否有计算上或累加上的算术错误，修正错误的原则如下：</w:t>
      </w:r>
    </w:p>
    <w:p w14:paraId="612F1E46">
      <w:pPr>
        <w:spacing w:line="360" w:lineRule="auto"/>
        <w:ind w:firstLine="480"/>
        <w:rPr>
          <w:rFonts w:ascii="宋体" w:hAnsi="宋体" w:cs="宋体"/>
          <w:bCs/>
          <w:sz w:val="24"/>
        </w:rPr>
      </w:pPr>
      <w:r>
        <w:rPr>
          <w:rFonts w:hint="eastAsia" w:ascii="宋体" w:hAnsi="宋体" w:cs="宋体"/>
          <w:sz w:val="24"/>
          <w:lang w:val="zh-CN"/>
        </w:rPr>
        <w:t>（1）</w:t>
      </w:r>
      <w:r>
        <w:rPr>
          <w:rFonts w:hint="eastAsia" w:ascii="宋体" w:hAnsi="宋体" w:cs="宋体"/>
          <w:bCs/>
          <w:sz w:val="24"/>
        </w:rPr>
        <w:t>如果用数字表示的金额和用文字表示的金额不一致时，应以文字表示的金额为准进行修正；</w:t>
      </w:r>
    </w:p>
    <w:p w14:paraId="796C35D4">
      <w:pPr>
        <w:spacing w:line="360" w:lineRule="auto"/>
        <w:ind w:firstLine="480"/>
        <w:rPr>
          <w:rFonts w:ascii="宋体" w:hAnsi="宋体" w:cs="宋体"/>
          <w:bCs/>
          <w:sz w:val="24"/>
        </w:rPr>
      </w:pPr>
      <w:r>
        <w:rPr>
          <w:rFonts w:hint="eastAsia" w:ascii="宋体" w:hAnsi="宋体" w:cs="宋体"/>
          <w:sz w:val="24"/>
          <w:lang w:val="zh-CN"/>
        </w:rPr>
        <w:t>（2）</w:t>
      </w:r>
      <w:r>
        <w:rPr>
          <w:rFonts w:hint="eastAsia" w:ascii="宋体" w:hAnsi="宋体" w:cs="宋体"/>
          <w:bCs/>
          <w:sz w:val="24"/>
        </w:rPr>
        <w:t>当单价与数量的乘积和总价不一致时，以单价为准进行修正。只有在评标委员会认为单价有明显的小数点错误时，才能以标出的总价为准，并修改单价。</w:t>
      </w:r>
    </w:p>
    <w:p w14:paraId="21573AA3">
      <w:pPr>
        <w:spacing w:line="360" w:lineRule="auto"/>
        <w:ind w:firstLine="480"/>
        <w:rPr>
          <w:rFonts w:ascii="宋体" w:hAnsi="宋体" w:cs="宋体"/>
          <w:bCs/>
          <w:sz w:val="24"/>
        </w:rPr>
      </w:pPr>
      <w:r>
        <w:rPr>
          <w:rFonts w:hint="eastAsia" w:ascii="宋体" w:hAnsi="宋体" w:cs="宋体"/>
          <w:sz w:val="24"/>
        </w:rPr>
        <w:t>21.2.3.2</w:t>
      </w:r>
      <w:r>
        <w:rPr>
          <w:rFonts w:hint="eastAsia" w:ascii="宋体" w:hAnsi="宋体" w:cs="宋体"/>
          <w:bCs/>
          <w:sz w:val="24"/>
        </w:rPr>
        <w:t xml:space="preserve"> 评委会将按上述修正错误的方法调整投标文件中的投标报价，并通过苏采云系统告知投标人，调整后的价格对投标人具有约束力。如果投标人不接受修正后的价格，则其投标将被拒绝。</w:t>
      </w:r>
    </w:p>
    <w:p w14:paraId="388D36EE">
      <w:pPr>
        <w:spacing w:line="360" w:lineRule="auto"/>
        <w:ind w:firstLine="480"/>
        <w:rPr>
          <w:rFonts w:ascii="宋体" w:hAnsi="宋体" w:cs="宋体"/>
          <w:bCs/>
          <w:sz w:val="24"/>
        </w:rPr>
      </w:pPr>
      <w:r>
        <w:rPr>
          <w:rFonts w:hint="eastAsia" w:ascii="宋体" w:hAnsi="宋体" w:cs="宋体"/>
          <w:sz w:val="24"/>
        </w:rPr>
        <w:t xml:space="preserve">21.2.3.3 </w:t>
      </w:r>
      <w:r>
        <w:rPr>
          <w:rFonts w:hint="eastAsia" w:ascii="宋体" w:hAnsi="宋体" w:cs="宋体"/>
          <w:bCs/>
          <w:sz w:val="24"/>
        </w:rPr>
        <w:t>评标委员会将允许修正投标文件中不构成重大偏离的、微小的、非正规的、不一致的或不规则的地方，但这些修改不能影响任何供应商相应的名次排列。</w:t>
      </w:r>
    </w:p>
    <w:p w14:paraId="3A223263">
      <w:pPr>
        <w:widowControl/>
        <w:spacing w:line="360" w:lineRule="auto"/>
        <w:ind w:firstLine="420"/>
        <w:rPr>
          <w:rFonts w:ascii="宋体" w:hAnsi="宋体" w:cs="宋体"/>
          <w:sz w:val="24"/>
          <w:lang w:val="zh-CN"/>
        </w:rPr>
      </w:pPr>
      <w:r>
        <w:rPr>
          <w:rFonts w:hint="eastAsia" w:ascii="宋体" w:hAnsi="宋体" w:cs="宋体"/>
          <w:sz w:val="24"/>
          <w:lang w:val="zh-CN"/>
        </w:rPr>
        <w:t>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p>
    <w:p w14:paraId="3035084A">
      <w:pPr>
        <w:spacing w:line="360" w:lineRule="auto"/>
        <w:ind w:firstLine="480"/>
        <w:rPr>
          <w:rFonts w:ascii="宋体" w:hAnsi="宋体" w:cs="宋体"/>
          <w:sz w:val="24"/>
          <w:lang w:val="zh-CN"/>
        </w:rPr>
      </w:pPr>
      <w:r>
        <w:rPr>
          <w:rFonts w:hint="eastAsia" w:ascii="宋体" w:hAnsi="宋体" w:cs="宋体"/>
          <w:sz w:val="24"/>
          <w:lang w:val="zh-CN"/>
        </w:rPr>
        <w:t>21.2.3.5 比较与评价。按照招标文件中规定的评标方法和标准，对资格性检查和符合性检查合格的投标文件进行商务和技术评估，综合比较与评价。</w:t>
      </w:r>
    </w:p>
    <w:p w14:paraId="5CEA002F">
      <w:pPr>
        <w:spacing w:line="360" w:lineRule="auto"/>
        <w:ind w:firstLine="480"/>
        <w:rPr>
          <w:rFonts w:ascii="宋体" w:hAnsi="宋体" w:cs="宋体"/>
          <w:sz w:val="24"/>
          <w:lang w:val="zh-CN"/>
        </w:rPr>
      </w:pPr>
      <w:r>
        <w:rPr>
          <w:rFonts w:hint="eastAsia" w:ascii="宋体" w:hAnsi="宋体" w:cs="宋体"/>
          <w:sz w:val="24"/>
        </w:rPr>
        <w:t xml:space="preserve">21.2.3.6 </w:t>
      </w:r>
      <w:r>
        <w:rPr>
          <w:rFonts w:hint="eastAsia" w:ascii="宋体" w:hAnsi="宋体" w:cs="宋体"/>
          <w:sz w:val="24"/>
          <w:lang w:val="zh-CN"/>
        </w:rPr>
        <w:t>投标人在开、评标全过程中应保持通讯畅通，及时登录苏采云系统查阅、答复相关信息，并安排专人与</w:t>
      </w:r>
      <w:r>
        <w:rPr>
          <w:rFonts w:hint="eastAsia" w:ascii="宋体" w:hAnsi="宋体" w:cs="宋体"/>
          <w:sz w:val="24"/>
        </w:rPr>
        <w:t>代理机构</w:t>
      </w:r>
      <w:r>
        <w:rPr>
          <w:rFonts w:hint="eastAsia" w:ascii="宋体" w:hAnsi="宋体" w:cs="宋体"/>
          <w:sz w:val="24"/>
          <w:lang w:val="zh-CN"/>
        </w:rPr>
        <w:t>及评委会联系。</w:t>
      </w:r>
    </w:p>
    <w:p w14:paraId="60553EF0">
      <w:pPr>
        <w:spacing w:line="360" w:lineRule="auto"/>
        <w:ind w:firstLine="480"/>
        <w:rPr>
          <w:rFonts w:ascii="宋体" w:hAnsi="宋体" w:cs="宋体"/>
          <w:bCs/>
          <w:sz w:val="24"/>
          <w:lang w:val="zh-CN"/>
        </w:rPr>
      </w:pPr>
      <w:r>
        <w:rPr>
          <w:rFonts w:hint="eastAsia" w:ascii="宋体" w:hAnsi="宋体" w:cs="宋体"/>
          <w:bCs/>
          <w:sz w:val="24"/>
          <w:lang w:val="zh-CN"/>
        </w:rPr>
        <w:t>2</w:t>
      </w:r>
      <w:r>
        <w:rPr>
          <w:rFonts w:hint="eastAsia" w:ascii="宋体" w:hAnsi="宋体" w:cs="宋体"/>
          <w:bCs/>
          <w:sz w:val="24"/>
        </w:rPr>
        <w:t>1</w:t>
      </w:r>
      <w:r>
        <w:rPr>
          <w:rFonts w:hint="eastAsia" w:ascii="宋体" w:hAnsi="宋体" w:cs="宋体"/>
          <w:bCs/>
          <w:sz w:val="24"/>
          <w:lang w:val="zh-CN"/>
        </w:rPr>
        <w:t>.</w:t>
      </w:r>
      <w:r>
        <w:rPr>
          <w:rFonts w:hint="eastAsia" w:ascii="宋体" w:hAnsi="宋体" w:cs="宋体"/>
          <w:bCs/>
          <w:sz w:val="24"/>
        </w:rPr>
        <w:t>2.</w:t>
      </w:r>
      <w:r>
        <w:rPr>
          <w:rFonts w:hint="eastAsia" w:ascii="宋体" w:hAnsi="宋体" w:cs="宋体"/>
          <w:bCs/>
          <w:sz w:val="24"/>
          <w:lang w:val="zh-CN"/>
        </w:rPr>
        <w:t>3</w:t>
      </w:r>
      <w:r>
        <w:rPr>
          <w:rFonts w:hint="eastAsia" w:ascii="宋体" w:hAnsi="宋体" w:cs="宋体"/>
          <w:bCs/>
          <w:sz w:val="24"/>
        </w:rPr>
        <w:t>.7</w:t>
      </w:r>
      <w:r>
        <w:rPr>
          <w:rFonts w:hint="eastAsia" w:ascii="宋体" w:hAnsi="宋体" w:cs="宋体"/>
          <w:bCs/>
          <w:sz w:val="24"/>
          <w:lang w:val="zh-CN"/>
        </w:rPr>
        <w:t xml:space="preserve"> 如出现投标截止时间后参加投标的供应商或者对招标文件作出实质性响应的供应商不足三家的情况，按政府采购相关规定执行。</w:t>
      </w:r>
    </w:p>
    <w:p w14:paraId="62805AE4">
      <w:pPr>
        <w:spacing w:line="360" w:lineRule="auto"/>
        <w:ind w:firstLine="482"/>
        <w:rPr>
          <w:rFonts w:ascii="宋体" w:hAnsi="宋体"/>
          <w:bCs/>
          <w:sz w:val="24"/>
        </w:rPr>
      </w:pPr>
      <w:r>
        <w:rPr>
          <w:rFonts w:hint="eastAsia" w:ascii="宋体" w:hAnsi="宋体"/>
          <w:b/>
          <w:sz w:val="24"/>
        </w:rPr>
        <w:t>21.3 评标方法和标准</w:t>
      </w:r>
    </w:p>
    <w:p w14:paraId="14683A96">
      <w:pPr>
        <w:spacing w:line="360" w:lineRule="auto"/>
        <w:ind w:firstLine="480"/>
        <w:rPr>
          <w:rFonts w:ascii="宋体" w:hAnsi="宋体"/>
          <w:bCs/>
          <w:sz w:val="24"/>
        </w:rPr>
      </w:pPr>
      <w:r>
        <w:rPr>
          <w:rFonts w:hint="eastAsia" w:ascii="宋体" w:hAnsi="宋体"/>
          <w:bCs/>
          <w:sz w:val="24"/>
        </w:rPr>
        <w:t>21.3.1 采用综合评分法。是指投标文件满足招标文件全部实质性要求且按评审因素的量化指标评审得分最高的投标人为中标人的评审方法。综合评分相同时，按投标报价由低到高排序；投标报价也相同的，按服务方案得分由高到低排序；如果服务方案得分也相同的，评委投票确定投标人排序。</w:t>
      </w:r>
    </w:p>
    <w:p w14:paraId="578C5740">
      <w:pPr>
        <w:spacing w:line="360" w:lineRule="auto"/>
        <w:ind w:firstLine="480"/>
        <w:rPr>
          <w:rFonts w:ascii="宋体" w:hAnsi="宋体"/>
          <w:bCs/>
          <w:sz w:val="24"/>
          <w:highlight w:val="none"/>
        </w:rPr>
      </w:pPr>
      <w:r>
        <w:rPr>
          <w:rFonts w:hint="eastAsia" w:ascii="宋体" w:hAnsi="宋体"/>
          <w:bCs/>
          <w:sz w:val="24"/>
        </w:rPr>
        <w:t>21.3.2 综合评分的主要因</w:t>
      </w:r>
      <w:r>
        <w:rPr>
          <w:rFonts w:hint="eastAsia" w:ascii="宋体" w:hAnsi="宋体"/>
          <w:bCs/>
          <w:sz w:val="24"/>
          <w:highlight w:val="none"/>
        </w:rPr>
        <w:t>素详见文件第四章。</w:t>
      </w:r>
    </w:p>
    <w:p w14:paraId="64E6F059">
      <w:pPr>
        <w:spacing w:line="360" w:lineRule="auto"/>
        <w:ind w:firstLine="480"/>
        <w:rPr>
          <w:rFonts w:ascii="宋体" w:hAnsi="宋体"/>
          <w:bCs/>
          <w:sz w:val="24"/>
          <w:highlight w:val="none"/>
        </w:rPr>
      </w:pPr>
      <w:r>
        <w:rPr>
          <w:rFonts w:hint="eastAsia" w:ascii="宋体" w:hAnsi="宋体"/>
          <w:bCs/>
          <w:sz w:val="24"/>
          <w:highlight w:val="none"/>
        </w:rPr>
        <w:t>21.3.3评分标准详见文件第四章。</w:t>
      </w:r>
    </w:p>
    <w:p w14:paraId="0A15F4F0">
      <w:pPr>
        <w:spacing w:line="360" w:lineRule="auto"/>
        <w:ind w:firstLine="482"/>
        <w:rPr>
          <w:rFonts w:ascii="宋体" w:hAnsi="宋体"/>
          <w:bCs/>
          <w:sz w:val="24"/>
        </w:rPr>
      </w:pPr>
      <w:r>
        <w:rPr>
          <w:rFonts w:hint="eastAsia" w:ascii="宋体" w:hAnsi="宋体"/>
          <w:b/>
          <w:sz w:val="24"/>
        </w:rPr>
        <w:t>22.确定中标供应商</w:t>
      </w:r>
    </w:p>
    <w:p w14:paraId="7952FA03">
      <w:pPr>
        <w:spacing w:line="360" w:lineRule="auto"/>
        <w:ind w:firstLine="480"/>
        <w:rPr>
          <w:rFonts w:ascii="宋体" w:hAnsi="宋体"/>
          <w:bCs/>
          <w:sz w:val="24"/>
        </w:rPr>
      </w:pPr>
      <w:r>
        <w:rPr>
          <w:rFonts w:hint="eastAsia" w:ascii="宋体" w:hAnsi="宋体"/>
          <w:bCs/>
          <w:sz w:val="24"/>
        </w:rPr>
        <w:t>22.1 在综合比较与评价后按照得分由高到低顺序对供应商进行排序。</w:t>
      </w:r>
    </w:p>
    <w:p w14:paraId="4E8922CF">
      <w:pPr>
        <w:spacing w:line="360" w:lineRule="auto"/>
        <w:ind w:firstLine="480"/>
        <w:rPr>
          <w:rFonts w:ascii="宋体" w:hAnsi="宋体"/>
          <w:bCs/>
          <w:sz w:val="24"/>
        </w:rPr>
      </w:pPr>
      <w:r>
        <w:rPr>
          <w:rFonts w:hint="eastAsia" w:ascii="宋体" w:hAnsi="宋体"/>
          <w:bCs/>
          <w:sz w:val="24"/>
        </w:rPr>
        <w:t>22.2 中标供应商确定之日起两个工作日内，将在财政部门指定的政府采购信息发布媒体上公告。</w:t>
      </w:r>
    </w:p>
    <w:p w14:paraId="5F0D6AEF">
      <w:pPr>
        <w:spacing w:line="360" w:lineRule="auto"/>
        <w:ind w:firstLine="480"/>
        <w:rPr>
          <w:rFonts w:ascii="宋体" w:hAnsi="宋体"/>
          <w:bCs/>
          <w:sz w:val="24"/>
        </w:rPr>
      </w:pPr>
      <w:r>
        <w:rPr>
          <w:rFonts w:hint="eastAsia" w:ascii="宋体" w:hAnsi="宋体"/>
          <w:bCs/>
          <w:sz w:val="24"/>
        </w:rPr>
        <w:t>22.3《中标通知书》对采购人和中标供应商具有同等法律效力。</w:t>
      </w:r>
    </w:p>
    <w:p w14:paraId="359DBD3D">
      <w:pPr>
        <w:spacing w:line="360" w:lineRule="auto"/>
        <w:ind w:firstLine="480"/>
        <w:rPr>
          <w:rFonts w:ascii="宋体" w:hAnsi="宋体"/>
          <w:bCs/>
          <w:sz w:val="24"/>
        </w:rPr>
      </w:pPr>
      <w:r>
        <w:rPr>
          <w:rFonts w:hint="eastAsia" w:ascii="宋体" w:hAnsi="宋体"/>
          <w:bCs/>
          <w:sz w:val="24"/>
        </w:rPr>
        <w:t>22.4《中标通知书》发出后，中标供应商无正当理由不与采购人签订合同的，应当依法承担法律责任。</w:t>
      </w:r>
    </w:p>
    <w:p w14:paraId="24C59ECF">
      <w:pPr>
        <w:spacing w:line="360" w:lineRule="auto"/>
        <w:ind w:firstLine="480"/>
        <w:rPr>
          <w:rFonts w:ascii="宋体" w:hAnsi="宋体"/>
          <w:bCs/>
          <w:sz w:val="24"/>
        </w:rPr>
      </w:pPr>
      <w:r>
        <w:rPr>
          <w:rFonts w:hint="eastAsia" w:ascii="宋体" w:hAnsi="宋体"/>
          <w:bCs/>
          <w:sz w:val="24"/>
        </w:rPr>
        <w:t>22.5代理机构和评标委员会对未中标的供应商不作未中标原因的解释。</w:t>
      </w:r>
    </w:p>
    <w:p w14:paraId="430F6EF2">
      <w:pPr>
        <w:spacing w:line="360" w:lineRule="auto"/>
        <w:ind w:firstLine="482"/>
        <w:rPr>
          <w:rFonts w:ascii="宋体" w:hAnsi="宋体"/>
          <w:bCs/>
          <w:sz w:val="24"/>
        </w:rPr>
      </w:pPr>
      <w:r>
        <w:rPr>
          <w:rFonts w:hint="eastAsia" w:ascii="宋体" w:hAnsi="宋体"/>
          <w:b/>
          <w:sz w:val="24"/>
        </w:rPr>
        <w:t>23.编写评审报告</w:t>
      </w:r>
    </w:p>
    <w:p w14:paraId="4C7851ED">
      <w:pPr>
        <w:spacing w:line="360" w:lineRule="auto"/>
        <w:ind w:firstLine="480"/>
        <w:rPr>
          <w:rFonts w:ascii="宋体" w:hAnsi="宋体"/>
          <w:bCs/>
          <w:sz w:val="24"/>
        </w:rPr>
      </w:pPr>
      <w:r>
        <w:rPr>
          <w:rFonts w:hint="eastAsia" w:ascii="宋体" w:hAnsi="宋体"/>
          <w:bCs/>
          <w:sz w:val="24"/>
        </w:rPr>
        <w:t>评标委员会根据全体评标成员签字的原始评标记录和评标结果编写评审报告。</w:t>
      </w:r>
    </w:p>
    <w:p w14:paraId="79DA775D">
      <w:pPr>
        <w:spacing w:line="360" w:lineRule="auto"/>
        <w:ind w:firstLine="482"/>
        <w:rPr>
          <w:rFonts w:ascii="宋体" w:hAnsi="宋体"/>
          <w:bCs/>
          <w:sz w:val="24"/>
        </w:rPr>
      </w:pPr>
      <w:r>
        <w:rPr>
          <w:rFonts w:hint="eastAsia" w:ascii="宋体" w:hAnsi="宋体"/>
          <w:b/>
          <w:sz w:val="24"/>
        </w:rPr>
        <w:t>24.评标过程的保密</w:t>
      </w:r>
    </w:p>
    <w:p w14:paraId="67D1893D">
      <w:pPr>
        <w:spacing w:line="360" w:lineRule="auto"/>
        <w:ind w:firstLine="480"/>
        <w:rPr>
          <w:rFonts w:ascii="宋体" w:hAnsi="宋体"/>
          <w:bCs/>
          <w:sz w:val="24"/>
        </w:rPr>
      </w:pPr>
      <w:r>
        <w:rPr>
          <w:rFonts w:hint="eastAsia" w:ascii="宋体" w:hAnsi="宋体"/>
          <w:bCs/>
          <w:sz w:val="24"/>
        </w:rPr>
        <w:t>24.1 代理机构将采取必要措施，保证评标在严格保密的情况下进行。</w:t>
      </w:r>
    </w:p>
    <w:p w14:paraId="614D9B3F">
      <w:pPr>
        <w:spacing w:line="360" w:lineRule="auto"/>
        <w:ind w:firstLine="480"/>
        <w:rPr>
          <w:rFonts w:ascii="宋体" w:hAnsi="宋体"/>
          <w:bCs/>
          <w:sz w:val="24"/>
        </w:rPr>
      </w:pPr>
      <w:r>
        <w:rPr>
          <w:rFonts w:hint="eastAsia" w:ascii="宋体" w:hAnsi="宋体"/>
          <w:bCs/>
          <w:sz w:val="24"/>
        </w:rPr>
        <w:t>24.2 任何单位和个人不得非法干预、影响评标办法的确定，以及评标过程和结果。</w:t>
      </w:r>
    </w:p>
    <w:p w14:paraId="20DD526E">
      <w:pPr>
        <w:spacing w:line="360" w:lineRule="auto"/>
        <w:ind w:firstLine="480"/>
        <w:rPr>
          <w:rFonts w:ascii="宋体" w:hAnsi="宋体"/>
          <w:bCs/>
          <w:sz w:val="24"/>
        </w:rPr>
      </w:pPr>
      <w:r>
        <w:rPr>
          <w:rFonts w:hint="eastAsia" w:ascii="宋体" w:hAnsi="宋体"/>
          <w:bCs/>
          <w:sz w:val="24"/>
        </w:rPr>
        <w:t>24.3 凡是与审查、澄清、评价和比较投标的有关资料等，均不得向供应商及与评标无关的人员透露。</w:t>
      </w:r>
    </w:p>
    <w:p w14:paraId="0B63A91B">
      <w:pPr>
        <w:spacing w:line="360" w:lineRule="auto"/>
        <w:ind w:firstLine="482"/>
        <w:rPr>
          <w:rFonts w:ascii="宋体" w:hAnsi="宋体"/>
          <w:b/>
          <w:sz w:val="24"/>
        </w:rPr>
      </w:pPr>
      <w:r>
        <w:rPr>
          <w:rFonts w:hint="eastAsia" w:ascii="宋体" w:hAnsi="宋体"/>
          <w:b/>
          <w:sz w:val="24"/>
        </w:rPr>
        <w:t>五、签订合同</w:t>
      </w:r>
    </w:p>
    <w:p w14:paraId="61C38BDD">
      <w:pPr>
        <w:spacing w:line="360" w:lineRule="auto"/>
        <w:ind w:firstLine="482"/>
        <w:rPr>
          <w:rFonts w:ascii="宋体" w:hAnsi="宋体"/>
          <w:b/>
          <w:sz w:val="24"/>
        </w:rPr>
      </w:pPr>
      <w:r>
        <w:rPr>
          <w:rFonts w:hint="eastAsia" w:ascii="宋体" w:hAnsi="宋体"/>
          <w:b/>
          <w:sz w:val="24"/>
        </w:rPr>
        <w:t>25.签订合同</w:t>
      </w:r>
    </w:p>
    <w:p w14:paraId="65E24265">
      <w:pPr>
        <w:spacing w:line="360" w:lineRule="auto"/>
        <w:ind w:firstLine="480"/>
        <w:rPr>
          <w:rFonts w:ascii="宋体" w:hAnsi="宋体"/>
          <w:bCs/>
          <w:sz w:val="24"/>
        </w:rPr>
      </w:pPr>
      <w:r>
        <w:rPr>
          <w:rFonts w:hint="eastAsia" w:ascii="宋体" w:hAnsi="宋体"/>
          <w:bCs/>
          <w:sz w:val="24"/>
        </w:rPr>
        <w:t>25.1 采购人应当自《中标通知书》发出之日起三十日内，按照招标文件和中标供应商投标文件与中标供应商签订书面合同。所签订的合同不得对招标文件确定事项和中标供应商投标文件作实质性修改。</w:t>
      </w:r>
    </w:p>
    <w:p w14:paraId="38DE88EA">
      <w:pPr>
        <w:spacing w:line="360" w:lineRule="auto"/>
        <w:ind w:firstLine="480"/>
        <w:rPr>
          <w:rFonts w:ascii="宋体" w:hAnsi="宋体"/>
          <w:bCs/>
          <w:sz w:val="24"/>
        </w:rPr>
      </w:pPr>
      <w:r>
        <w:rPr>
          <w:rFonts w:hint="eastAsia" w:ascii="宋体" w:hAnsi="宋体"/>
          <w:bCs/>
          <w:sz w:val="24"/>
        </w:rPr>
        <w:t>25.2 采购人不得向中标供应商提出任何不合理的要求作为签订合同的条件，不得与中标供应商私下订立背离合同实质性内容的协议。</w:t>
      </w:r>
    </w:p>
    <w:p w14:paraId="3FC524D5">
      <w:pPr>
        <w:spacing w:line="360" w:lineRule="auto"/>
        <w:ind w:firstLine="480"/>
        <w:rPr>
          <w:rFonts w:ascii="宋体" w:hAnsi="宋体"/>
          <w:bCs/>
          <w:sz w:val="24"/>
        </w:rPr>
      </w:pPr>
      <w:r>
        <w:rPr>
          <w:rFonts w:hint="eastAsia" w:ascii="宋体" w:hAnsi="宋体"/>
          <w:bCs/>
          <w:sz w:val="24"/>
        </w:rPr>
        <w:t>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p>
    <w:p w14:paraId="0B8908A4">
      <w:pPr>
        <w:spacing w:line="360" w:lineRule="auto"/>
        <w:ind w:firstLine="480"/>
        <w:rPr>
          <w:rFonts w:ascii="宋体" w:hAnsi="宋体"/>
          <w:bCs/>
          <w:sz w:val="24"/>
        </w:rPr>
      </w:pPr>
      <w:r>
        <w:rPr>
          <w:rFonts w:hint="eastAsia" w:ascii="宋体" w:hAnsi="宋体"/>
          <w:bCs/>
          <w:sz w:val="24"/>
        </w:rPr>
        <w:t>25.4 采购合同履行中，采购人需追加与合同标的相同货物的，在不改变合同其他条款的前提下，可以与供应商协商签订补充合同，但所有补充合同的采购金额不得超过原合同采购金额的百分之十。</w:t>
      </w:r>
    </w:p>
    <w:p w14:paraId="6AEBFB75">
      <w:pPr>
        <w:spacing w:line="360" w:lineRule="auto"/>
        <w:ind w:firstLine="482"/>
        <w:rPr>
          <w:rFonts w:ascii="宋体" w:hAnsi="宋体"/>
          <w:b/>
          <w:sz w:val="24"/>
        </w:rPr>
      </w:pPr>
      <w:r>
        <w:rPr>
          <w:rFonts w:hint="eastAsia" w:ascii="宋体" w:hAnsi="宋体"/>
          <w:b/>
          <w:sz w:val="24"/>
        </w:rPr>
        <w:t>六、询问、质疑、投诉和诚实信用</w:t>
      </w:r>
    </w:p>
    <w:p w14:paraId="6D6A1D98">
      <w:pPr>
        <w:spacing w:line="360" w:lineRule="auto"/>
        <w:ind w:firstLine="482"/>
        <w:rPr>
          <w:rFonts w:ascii="宋体" w:hAnsi="宋体"/>
          <w:bCs/>
          <w:sz w:val="24"/>
        </w:rPr>
      </w:pPr>
      <w:r>
        <w:rPr>
          <w:rFonts w:hint="eastAsia" w:ascii="宋体" w:hAnsi="宋体"/>
          <w:b/>
          <w:sz w:val="24"/>
        </w:rPr>
        <w:t>26.询问</w:t>
      </w:r>
    </w:p>
    <w:p w14:paraId="3466F839">
      <w:pPr>
        <w:spacing w:line="360" w:lineRule="auto"/>
        <w:ind w:firstLine="480"/>
        <w:rPr>
          <w:rFonts w:ascii="宋体" w:hAnsi="宋体"/>
          <w:bCs/>
          <w:sz w:val="24"/>
        </w:rPr>
      </w:pPr>
      <w:r>
        <w:rPr>
          <w:rFonts w:hint="eastAsia" w:ascii="宋体" w:hAnsi="宋体"/>
          <w:bCs/>
          <w:sz w:val="24"/>
        </w:rPr>
        <w:t>供应商对招标活动事项有疑问的，可以向代理机构或采购人提出询问，代理机构或采购人将在两个工作日内作出答复，但答复的内容不涉及商业秘密。</w:t>
      </w:r>
    </w:p>
    <w:p w14:paraId="38B66561">
      <w:pPr>
        <w:spacing w:line="360" w:lineRule="auto"/>
        <w:ind w:firstLine="482"/>
        <w:rPr>
          <w:rFonts w:ascii="宋体" w:hAnsi="宋体"/>
          <w:bCs/>
          <w:sz w:val="24"/>
        </w:rPr>
      </w:pPr>
      <w:r>
        <w:rPr>
          <w:rFonts w:hint="eastAsia" w:ascii="宋体" w:hAnsi="宋体"/>
          <w:b/>
          <w:sz w:val="24"/>
        </w:rPr>
        <w:t>27.质疑</w:t>
      </w:r>
    </w:p>
    <w:p w14:paraId="4406FB04">
      <w:pPr>
        <w:spacing w:line="360" w:lineRule="auto"/>
        <w:ind w:firstLine="480"/>
        <w:rPr>
          <w:rFonts w:ascii="宋体" w:hAnsi="宋体"/>
          <w:color w:val="000000"/>
          <w:sz w:val="24"/>
          <w:lang w:val="zh-CN"/>
        </w:rPr>
      </w:pPr>
      <w:r>
        <w:rPr>
          <w:rFonts w:ascii="宋体" w:hAnsi="宋体"/>
          <w:color w:val="000000"/>
          <w:sz w:val="24"/>
          <w:lang w:val="zh-CN"/>
        </w:rPr>
        <w:t>2</w:t>
      </w:r>
      <w:r>
        <w:rPr>
          <w:rFonts w:hint="eastAsia" w:ascii="宋体" w:hAnsi="宋体"/>
          <w:color w:val="000000"/>
          <w:sz w:val="24"/>
          <w:lang w:val="zh-CN"/>
        </w:rPr>
        <w:t>7</w:t>
      </w:r>
      <w:r>
        <w:rPr>
          <w:rFonts w:ascii="宋体" w:hAnsi="宋体"/>
          <w:color w:val="000000"/>
          <w:sz w:val="24"/>
          <w:lang w:val="zh-CN"/>
        </w:rPr>
        <w:t>.</w:t>
      </w:r>
      <w:r>
        <w:rPr>
          <w:rFonts w:hint="eastAsia" w:ascii="宋体" w:hAnsi="宋体"/>
          <w:color w:val="000000"/>
          <w:sz w:val="24"/>
          <w:lang w:val="zh-CN"/>
        </w:rPr>
        <w:t>1 供应商认为采购文件、采购过程和中标结果使自己的合法权益受到损害的，可以在知道或者应当知道其权益受到损害之日起七个工作日内，将质疑文件原件以书面形式送达招标代理处。</w:t>
      </w:r>
    </w:p>
    <w:p w14:paraId="6E73E123">
      <w:pPr>
        <w:spacing w:line="360" w:lineRule="auto"/>
        <w:ind w:firstLine="480"/>
        <w:rPr>
          <w:rFonts w:ascii="宋体" w:hAnsi="宋体"/>
          <w:color w:val="000000"/>
          <w:sz w:val="24"/>
          <w:lang w:val="zh-CN"/>
        </w:rPr>
      </w:pPr>
      <w:r>
        <w:rPr>
          <w:rFonts w:hint="eastAsia" w:ascii="宋体" w:hAnsi="宋体"/>
          <w:color w:val="000000"/>
          <w:sz w:val="24"/>
          <w:lang w:val="zh-CN"/>
        </w:rPr>
        <w:t xml:space="preserve">27.2 </w:t>
      </w:r>
      <w:r>
        <w:rPr>
          <w:rFonts w:ascii="宋体" w:hAnsi="宋体"/>
          <w:color w:val="000000"/>
          <w:sz w:val="24"/>
          <w:lang w:val="zh-CN"/>
        </w:rPr>
        <w:t>质疑供应商是指直接参加本次投标活动的供应商</w:t>
      </w:r>
      <w:r>
        <w:rPr>
          <w:rFonts w:hint="eastAsia" w:ascii="宋体" w:hAnsi="宋体"/>
          <w:color w:val="000000"/>
          <w:sz w:val="24"/>
          <w:lang w:val="zh-CN"/>
        </w:rPr>
        <w:t>，未参加投标活动的供应商或在投标活动中自身权益未受到损害的供应商所提出的质疑不予受理。</w:t>
      </w:r>
    </w:p>
    <w:p w14:paraId="7C9BF026">
      <w:pPr>
        <w:spacing w:line="360" w:lineRule="auto"/>
        <w:ind w:firstLine="480"/>
        <w:rPr>
          <w:rFonts w:ascii="宋体" w:hAnsi="宋体"/>
          <w:color w:val="000000"/>
          <w:sz w:val="24"/>
          <w:lang w:val="zh-CN"/>
        </w:rPr>
      </w:pPr>
      <w:r>
        <w:rPr>
          <w:rFonts w:hint="eastAsia" w:ascii="宋体" w:hAnsi="宋体"/>
          <w:color w:val="000000"/>
          <w:sz w:val="24"/>
          <w:lang w:val="zh-CN"/>
        </w:rPr>
        <w:t>27.3 质疑必须以参加投标供应商法定代表人或授权代表（投标文件中所确定的）原件送达的方式提交，否则，招标代理有权不予受理。</w:t>
      </w:r>
    </w:p>
    <w:p w14:paraId="4956B08C">
      <w:pPr>
        <w:spacing w:line="360" w:lineRule="auto"/>
        <w:ind w:firstLine="480"/>
        <w:rPr>
          <w:rFonts w:ascii="宋体" w:hAnsi="宋体"/>
          <w:color w:val="000000"/>
          <w:sz w:val="24"/>
          <w:lang w:val="zh-CN"/>
        </w:rPr>
      </w:pPr>
      <w:r>
        <w:rPr>
          <w:rFonts w:hint="eastAsia" w:ascii="宋体" w:hAnsi="宋体"/>
          <w:color w:val="000000"/>
          <w:sz w:val="24"/>
          <w:lang w:val="zh-CN"/>
        </w:rPr>
        <w:t>27.4</w:t>
      </w:r>
      <w:r>
        <w:rPr>
          <w:rFonts w:hint="eastAsia" w:ascii="宋体" w:hAnsi="宋体"/>
          <w:color w:val="000000"/>
          <w:sz w:val="24"/>
        </w:rPr>
        <w:t xml:space="preserve"> </w:t>
      </w:r>
      <w:r>
        <w:rPr>
          <w:rFonts w:hint="eastAsia" w:ascii="宋体" w:hAnsi="宋体"/>
          <w:color w:val="000000"/>
          <w:sz w:val="24"/>
          <w:lang w:val="zh-CN"/>
        </w:rPr>
        <w:t>上述应知其权益受到损害之日是指：</w:t>
      </w:r>
    </w:p>
    <w:p w14:paraId="5F8FFFB5">
      <w:pPr>
        <w:spacing w:line="360" w:lineRule="auto"/>
        <w:ind w:firstLine="480"/>
        <w:rPr>
          <w:rFonts w:ascii="宋体" w:hAnsi="宋体"/>
          <w:color w:val="000000"/>
          <w:sz w:val="24"/>
          <w:lang w:val="zh-CN"/>
        </w:rPr>
      </w:pPr>
      <w:r>
        <w:rPr>
          <w:rFonts w:hint="eastAsia" w:ascii="宋体" w:hAnsi="宋体"/>
          <w:color w:val="000000"/>
          <w:sz w:val="24"/>
          <w:lang w:val="zh-CN"/>
        </w:rPr>
        <w:t>（1）</w:t>
      </w:r>
      <w:r>
        <w:rPr>
          <w:rFonts w:ascii="宋体" w:hAnsi="宋体"/>
          <w:color w:val="000000"/>
          <w:sz w:val="24"/>
          <w:lang w:val="zh-CN"/>
        </w:rPr>
        <w:t>对</w:t>
      </w:r>
      <w:r>
        <w:rPr>
          <w:rFonts w:hint="eastAsia" w:ascii="宋体" w:hAnsi="宋体"/>
          <w:color w:val="000000"/>
          <w:sz w:val="24"/>
          <w:lang w:val="zh-CN"/>
        </w:rPr>
        <w:t>投标</w:t>
      </w:r>
      <w:r>
        <w:rPr>
          <w:rFonts w:ascii="宋体" w:hAnsi="宋体"/>
          <w:color w:val="000000"/>
          <w:sz w:val="24"/>
          <w:lang w:val="zh-CN"/>
        </w:rPr>
        <w:t>文件提出质疑的，为</w:t>
      </w:r>
      <w:r>
        <w:rPr>
          <w:rFonts w:hint="eastAsia" w:ascii="宋体" w:hAnsi="宋体"/>
          <w:color w:val="000000"/>
          <w:sz w:val="24"/>
          <w:lang w:val="zh-CN"/>
        </w:rPr>
        <w:t>投标</w:t>
      </w:r>
      <w:r>
        <w:rPr>
          <w:rFonts w:ascii="宋体" w:hAnsi="宋体"/>
          <w:color w:val="000000"/>
          <w:sz w:val="24"/>
          <w:lang w:val="zh-CN"/>
        </w:rPr>
        <w:t>文件公告期限届满之日起计算；</w:t>
      </w:r>
    </w:p>
    <w:p w14:paraId="315F5B0D">
      <w:pPr>
        <w:spacing w:line="360" w:lineRule="auto"/>
        <w:ind w:firstLine="480"/>
        <w:rPr>
          <w:rFonts w:ascii="宋体" w:hAnsi="宋体"/>
          <w:color w:val="000000"/>
          <w:sz w:val="24"/>
          <w:lang w:val="zh-CN"/>
        </w:rPr>
      </w:pPr>
      <w:r>
        <w:rPr>
          <w:rFonts w:hint="eastAsia" w:ascii="宋体" w:hAnsi="宋体"/>
          <w:color w:val="000000"/>
          <w:sz w:val="24"/>
          <w:lang w:val="zh-CN"/>
        </w:rPr>
        <w:t>（2）</w:t>
      </w:r>
      <w:r>
        <w:rPr>
          <w:rFonts w:ascii="宋体" w:hAnsi="宋体"/>
          <w:color w:val="000000"/>
          <w:sz w:val="24"/>
          <w:lang w:val="zh-CN"/>
        </w:rPr>
        <w:t>对采购过程提出质疑的，自采购程序环节结束之日起计算；</w:t>
      </w:r>
    </w:p>
    <w:p w14:paraId="7C64A55A">
      <w:pPr>
        <w:spacing w:line="360" w:lineRule="auto"/>
        <w:ind w:firstLine="480"/>
        <w:rPr>
          <w:rFonts w:ascii="宋体" w:hAnsi="宋体"/>
          <w:color w:val="000000"/>
          <w:sz w:val="24"/>
          <w:lang w:val="zh-CN"/>
        </w:rPr>
      </w:pPr>
      <w:r>
        <w:rPr>
          <w:rFonts w:hint="eastAsia" w:ascii="宋体" w:hAnsi="宋体"/>
          <w:color w:val="000000"/>
          <w:sz w:val="24"/>
          <w:lang w:val="zh-CN"/>
        </w:rPr>
        <w:t>（3）</w:t>
      </w:r>
      <w:r>
        <w:rPr>
          <w:rFonts w:ascii="宋体" w:hAnsi="宋体"/>
          <w:color w:val="000000"/>
          <w:sz w:val="24"/>
          <w:lang w:val="zh-CN"/>
        </w:rPr>
        <w:t>对中标结果提出质疑的，自中标结果公告期限届满之日起计算。</w:t>
      </w:r>
    </w:p>
    <w:p w14:paraId="2FC553C8">
      <w:pPr>
        <w:spacing w:line="360" w:lineRule="auto"/>
        <w:ind w:firstLine="480"/>
        <w:rPr>
          <w:rFonts w:ascii="宋体" w:hAnsi="宋体"/>
          <w:color w:val="000000"/>
          <w:sz w:val="24"/>
          <w:lang w:val="zh-CN"/>
        </w:rPr>
      </w:pPr>
      <w:r>
        <w:rPr>
          <w:rFonts w:hint="eastAsia" w:ascii="宋体" w:hAnsi="宋体"/>
          <w:color w:val="000000"/>
          <w:sz w:val="24"/>
          <w:lang w:val="zh-CN"/>
        </w:rPr>
        <w:t>27.5 质疑文件应包括以下主要内容，并按照</w:t>
      </w:r>
      <w:r>
        <w:rPr>
          <w:rFonts w:ascii="宋体" w:hAnsi="宋体"/>
          <w:color w:val="000000"/>
          <w:sz w:val="24"/>
          <w:lang w:val="zh-CN"/>
        </w:rPr>
        <w:t>“</w:t>
      </w:r>
      <w:r>
        <w:rPr>
          <w:rFonts w:hint="eastAsia" w:ascii="宋体" w:hAnsi="宋体"/>
          <w:color w:val="000000"/>
          <w:sz w:val="24"/>
          <w:lang w:val="zh-CN"/>
        </w:rPr>
        <w:t>谁主张、谁举证</w:t>
      </w:r>
      <w:r>
        <w:rPr>
          <w:rFonts w:ascii="宋体" w:hAnsi="宋体"/>
          <w:color w:val="000000"/>
          <w:sz w:val="24"/>
          <w:lang w:val="zh-CN"/>
        </w:rPr>
        <w:t>”</w:t>
      </w:r>
      <w:r>
        <w:rPr>
          <w:rFonts w:hint="eastAsia" w:ascii="宋体" w:hAnsi="宋体"/>
          <w:color w:val="000000"/>
          <w:sz w:val="24"/>
          <w:lang w:val="zh-CN"/>
        </w:rPr>
        <w:t>的原则，附上相关证明材料。否则，招标代理或采购人不予受理：</w:t>
      </w:r>
    </w:p>
    <w:p w14:paraId="39644274">
      <w:pPr>
        <w:spacing w:line="360" w:lineRule="auto"/>
        <w:rPr>
          <w:rFonts w:ascii="宋体" w:hAnsi="宋体"/>
          <w:color w:val="000000"/>
          <w:sz w:val="24"/>
          <w:lang w:val="zh-CN"/>
        </w:rPr>
      </w:pPr>
      <w:r>
        <w:rPr>
          <w:rFonts w:hint="eastAsia" w:ascii="宋体" w:hAnsi="宋体"/>
          <w:color w:val="000000"/>
          <w:sz w:val="24"/>
        </w:rPr>
        <w:t xml:space="preserve">    </w:t>
      </w:r>
      <w:r>
        <w:rPr>
          <w:rFonts w:hint="eastAsia" w:ascii="宋体" w:hAnsi="宋体"/>
          <w:color w:val="000000"/>
          <w:sz w:val="24"/>
          <w:lang w:val="zh-CN"/>
        </w:rPr>
        <w:t>（</w:t>
      </w:r>
      <w:r>
        <w:rPr>
          <w:rFonts w:hint="eastAsia" w:ascii="宋体" w:hAnsi="宋体"/>
          <w:color w:val="000000"/>
          <w:sz w:val="24"/>
        </w:rPr>
        <w:t>1</w:t>
      </w:r>
      <w:r>
        <w:rPr>
          <w:rFonts w:hint="eastAsia" w:ascii="宋体" w:hAnsi="宋体"/>
          <w:color w:val="000000"/>
          <w:sz w:val="24"/>
          <w:lang w:val="zh-CN"/>
        </w:rPr>
        <w:t>）质疑项目名称、项目编号、包号、招标公告发布时间、开标时间；</w:t>
      </w:r>
    </w:p>
    <w:p w14:paraId="2F95C165">
      <w:pPr>
        <w:spacing w:line="360" w:lineRule="auto"/>
        <w:ind w:firstLine="480"/>
        <w:rPr>
          <w:rFonts w:ascii="宋体" w:hAnsi="宋体"/>
          <w:color w:val="000000"/>
          <w:sz w:val="24"/>
          <w:lang w:val="zh-CN"/>
        </w:rPr>
      </w:pPr>
      <w:r>
        <w:rPr>
          <w:rFonts w:hint="eastAsia" w:ascii="宋体" w:hAnsi="宋体"/>
          <w:color w:val="000000"/>
          <w:sz w:val="24"/>
          <w:lang w:val="zh-CN"/>
        </w:rPr>
        <w:t>（2）提起质疑的日期、具体的质疑事项及事实根据（具体条款）；</w:t>
      </w:r>
    </w:p>
    <w:p w14:paraId="57D75572">
      <w:pPr>
        <w:spacing w:line="360" w:lineRule="auto"/>
        <w:ind w:firstLine="480"/>
        <w:rPr>
          <w:rFonts w:ascii="宋体" w:hAnsi="宋体"/>
          <w:color w:val="000000"/>
          <w:sz w:val="24"/>
          <w:lang w:val="zh-CN"/>
        </w:rPr>
      </w:pPr>
      <w:r>
        <w:rPr>
          <w:rFonts w:hint="eastAsia" w:ascii="宋体" w:hAnsi="宋体"/>
          <w:color w:val="000000"/>
          <w:sz w:val="24"/>
          <w:lang w:val="zh-CN"/>
        </w:rPr>
        <w:t>（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p>
    <w:p w14:paraId="57B1EED2">
      <w:pPr>
        <w:spacing w:line="360" w:lineRule="auto"/>
        <w:ind w:firstLine="480"/>
        <w:rPr>
          <w:rFonts w:ascii="宋体" w:hAnsi="宋体"/>
          <w:color w:val="000000"/>
          <w:sz w:val="24"/>
          <w:lang w:val="zh-CN"/>
        </w:rPr>
      </w:pPr>
      <w:r>
        <w:rPr>
          <w:rFonts w:hint="eastAsia" w:ascii="宋体" w:hAnsi="宋体"/>
          <w:color w:val="000000"/>
          <w:sz w:val="24"/>
          <w:lang w:val="zh-CN"/>
        </w:rPr>
        <w:t>（4）质疑供应商名称、地址、邮编、联系人、联系电话（包括座机、手机、传真号码等）；</w:t>
      </w:r>
    </w:p>
    <w:p w14:paraId="2D678EC8">
      <w:pPr>
        <w:spacing w:line="360" w:lineRule="auto"/>
        <w:ind w:firstLine="480"/>
        <w:rPr>
          <w:rFonts w:ascii="宋体" w:hAnsi="宋体"/>
          <w:color w:val="000000"/>
          <w:sz w:val="24"/>
          <w:lang w:val="zh-CN"/>
        </w:rPr>
      </w:pPr>
      <w:r>
        <w:rPr>
          <w:rFonts w:hint="eastAsia" w:ascii="宋体" w:hAnsi="宋体"/>
          <w:color w:val="000000"/>
          <w:sz w:val="24"/>
          <w:lang w:val="zh-CN"/>
        </w:rPr>
        <w:t>（5）质疑文件应当署名，质疑人为自然人的，应当由本人签字并附有效身份证明；质疑人为法人或其他组织的，应当由法定代表人签字并加盖单位公章,并附加盖单位公章的营业执照副本或事业单位法人登记证书或组织机构代码证的复印件。</w:t>
      </w:r>
    </w:p>
    <w:p w14:paraId="51C4481F">
      <w:pPr>
        <w:spacing w:line="360" w:lineRule="auto"/>
        <w:ind w:firstLine="480"/>
        <w:rPr>
          <w:rFonts w:ascii="宋体" w:hAnsi="宋体"/>
          <w:color w:val="000000"/>
          <w:sz w:val="24"/>
          <w:lang w:val="zh-CN"/>
        </w:rPr>
      </w:pPr>
      <w:r>
        <w:rPr>
          <w:rFonts w:hint="eastAsia" w:ascii="宋体" w:hAnsi="宋体"/>
          <w:color w:val="000000"/>
          <w:sz w:val="24"/>
          <w:lang w:val="zh-CN"/>
        </w:rPr>
        <w:t>（6）供应商委托代理质疑的，应当向被质疑人提交授权委托书，并载明委托代理的具体权限和事项。</w:t>
      </w:r>
    </w:p>
    <w:p w14:paraId="37400142">
      <w:pPr>
        <w:spacing w:line="360" w:lineRule="auto"/>
        <w:ind w:firstLine="480"/>
        <w:rPr>
          <w:rFonts w:ascii="宋体" w:hAnsi="宋体"/>
          <w:bCs/>
          <w:sz w:val="24"/>
        </w:rPr>
      </w:pPr>
      <w:r>
        <w:rPr>
          <w:rFonts w:hint="eastAsia" w:ascii="宋体" w:hAnsi="宋体"/>
          <w:color w:val="000000"/>
          <w:sz w:val="24"/>
          <w:lang w:val="zh-CN"/>
        </w:rPr>
        <w:t>27.6 招标代理在收到供应商的书面质疑后将及时组织调查核实，在七个工作日内作出答复，并以书面或在网站公告形式通知质疑供应商和其他有关供应商，答复的内容不涉及商业秘密。招标代理遵循“谁</w:t>
      </w:r>
      <w:r>
        <w:rPr>
          <w:rFonts w:ascii="宋体" w:hAnsi="宋体"/>
          <w:color w:val="000000"/>
          <w:sz w:val="24"/>
          <w:lang w:val="zh-CN"/>
        </w:rPr>
        <w:t>过错</w:t>
      </w:r>
      <w:r>
        <w:rPr>
          <w:rFonts w:hint="eastAsia" w:ascii="宋体" w:hAnsi="宋体"/>
          <w:color w:val="000000"/>
          <w:sz w:val="24"/>
          <w:lang w:val="zh-CN"/>
        </w:rPr>
        <w:t>谁负担”的</w:t>
      </w:r>
      <w:r>
        <w:rPr>
          <w:rFonts w:ascii="宋体" w:hAnsi="宋体"/>
          <w:color w:val="000000"/>
          <w:sz w:val="24"/>
          <w:lang w:val="zh-CN"/>
        </w:rPr>
        <w:t>原则</w:t>
      </w:r>
      <w:r>
        <w:rPr>
          <w:rFonts w:hint="eastAsia" w:ascii="宋体" w:hAnsi="宋体"/>
          <w:color w:val="000000"/>
          <w:sz w:val="24"/>
          <w:lang w:val="zh-CN"/>
        </w:rPr>
        <w:t>，有过错的一方承担调查论证费用</w:t>
      </w:r>
      <w:r>
        <w:rPr>
          <w:rFonts w:hint="eastAsia" w:ascii="宋体" w:hAnsi="宋体"/>
          <w:bCs/>
          <w:sz w:val="24"/>
        </w:rPr>
        <w:t>。</w:t>
      </w:r>
    </w:p>
    <w:p w14:paraId="7D7F966F">
      <w:pPr>
        <w:spacing w:line="360" w:lineRule="auto"/>
        <w:ind w:firstLine="482"/>
        <w:rPr>
          <w:rFonts w:ascii="宋体" w:hAnsi="宋体"/>
          <w:bCs/>
          <w:sz w:val="24"/>
        </w:rPr>
      </w:pPr>
      <w:r>
        <w:rPr>
          <w:rFonts w:hint="eastAsia" w:ascii="宋体" w:hAnsi="宋体"/>
          <w:b/>
          <w:sz w:val="24"/>
        </w:rPr>
        <w:t>28.投诉</w:t>
      </w:r>
    </w:p>
    <w:p w14:paraId="36E215F6">
      <w:pPr>
        <w:spacing w:line="360" w:lineRule="auto"/>
        <w:ind w:firstLine="480"/>
        <w:rPr>
          <w:rFonts w:ascii="宋体" w:hAnsi="宋体"/>
          <w:bCs/>
          <w:sz w:val="24"/>
        </w:rPr>
      </w:pPr>
      <w:r>
        <w:rPr>
          <w:rFonts w:hint="eastAsia" w:ascii="宋体" w:hAnsi="宋体"/>
          <w:bCs/>
          <w:sz w:val="24"/>
        </w:rPr>
        <w:t>质疑供应商对代理机构的答复不满意，或代理机构未在规定的时间内作出答复的，可以在答复期满后十五个工作日内向采购项目同级财政部门投诉。</w:t>
      </w:r>
    </w:p>
    <w:p w14:paraId="04B268DF">
      <w:pPr>
        <w:spacing w:line="360" w:lineRule="auto"/>
        <w:ind w:firstLine="482"/>
        <w:rPr>
          <w:rFonts w:ascii="宋体" w:hAnsi="宋体"/>
          <w:bCs/>
          <w:sz w:val="24"/>
        </w:rPr>
      </w:pPr>
      <w:r>
        <w:rPr>
          <w:rFonts w:hint="eastAsia" w:ascii="宋体" w:hAnsi="宋体"/>
          <w:b/>
          <w:sz w:val="24"/>
        </w:rPr>
        <w:t>29.诚实信用</w:t>
      </w:r>
    </w:p>
    <w:p w14:paraId="6C5BD8E2">
      <w:pPr>
        <w:spacing w:line="360" w:lineRule="auto"/>
        <w:ind w:firstLine="480"/>
        <w:rPr>
          <w:rFonts w:ascii="宋体" w:hAnsi="宋体"/>
          <w:bCs/>
          <w:sz w:val="24"/>
        </w:rPr>
      </w:pPr>
      <w:r>
        <w:rPr>
          <w:rFonts w:hint="eastAsia" w:ascii="宋体" w:hAnsi="宋体"/>
          <w:bCs/>
          <w:sz w:val="24"/>
        </w:rPr>
        <w:t>29.1 供应商之间不得相互串通投标报价，不得妨碍其他供应商的公平竞争，不得损害采购人和其他供应商的合法权益。</w:t>
      </w:r>
    </w:p>
    <w:p w14:paraId="6E251739">
      <w:pPr>
        <w:spacing w:line="360" w:lineRule="auto"/>
        <w:ind w:firstLine="480"/>
        <w:rPr>
          <w:rFonts w:ascii="宋体" w:hAnsi="宋体"/>
          <w:bCs/>
          <w:sz w:val="24"/>
        </w:rPr>
      </w:pPr>
      <w:r>
        <w:rPr>
          <w:rFonts w:hint="eastAsia" w:ascii="宋体" w:hAnsi="宋体"/>
          <w:bCs/>
          <w:sz w:val="24"/>
        </w:rPr>
        <w:t>29.2 供应商不得以向代理机构工作人员、评标委员会成员行贿或者采取其他不正当手段谋取中标。经查实供应商有此行为的，政府采购管理部门将供应商列入不良行为记录名单，按照《政府采购法》有关规定处理。</w:t>
      </w:r>
    </w:p>
    <w:p w14:paraId="36BA0F2A">
      <w:pPr>
        <w:spacing w:line="360" w:lineRule="auto"/>
        <w:ind w:firstLine="480"/>
        <w:rPr>
          <w:rFonts w:ascii="宋体" w:hAnsi="宋体"/>
          <w:bCs/>
          <w:sz w:val="24"/>
        </w:rPr>
      </w:pPr>
      <w:r>
        <w:rPr>
          <w:rFonts w:hint="eastAsia" w:ascii="宋体" w:hAnsi="宋体"/>
          <w:bCs/>
          <w:sz w:val="24"/>
        </w:rPr>
        <w:t>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p>
    <w:p w14:paraId="227627CB">
      <w:pPr>
        <w:spacing w:line="360" w:lineRule="auto"/>
        <w:ind w:firstLine="480"/>
        <w:rPr>
          <w:rFonts w:ascii="宋体" w:hAnsi="宋体"/>
          <w:bCs/>
          <w:sz w:val="24"/>
        </w:rPr>
      </w:pPr>
      <w:r>
        <w:rPr>
          <w:rFonts w:hint="eastAsia" w:ascii="宋体" w:hAnsi="宋体"/>
          <w:bCs/>
          <w:sz w:val="24"/>
        </w:rPr>
        <w:t>29.4 供应商不得虚假承诺，否则，按照提供虚假材料谋取中标处理。</w:t>
      </w:r>
    </w:p>
    <w:p w14:paraId="37427FF2">
      <w:pPr>
        <w:spacing w:line="360" w:lineRule="auto"/>
        <w:ind w:firstLine="480"/>
        <w:rPr>
          <w:rFonts w:ascii="宋体" w:hAnsi="宋体" w:cs="宋体"/>
          <w:color w:val="000000"/>
          <w:sz w:val="24"/>
        </w:rPr>
      </w:pPr>
      <w:r>
        <w:rPr>
          <w:rFonts w:hint="eastAsia" w:ascii="宋体" w:hAnsi="宋体"/>
          <w:bCs/>
          <w:sz w:val="24"/>
        </w:rPr>
        <w:t>29.5 供应商应自觉遵守开标、评标纪律，扰乱开标评标现场秩序的，属于失信行为，根据《江苏省政府采购供应商监督管理暂行办法》，失信行为将被记入供应商诚信档案</w:t>
      </w:r>
      <w:r>
        <w:rPr>
          <w:rFonts w:hint="eastAsia" w:ascii="宋体" w:hAnsi="宋体" w:cs="宋体"/>
          <w:sz w:val="24"/>
          <w:lang w:val="zh-CN"/>
        </w:rPr>
        <w:t>。</w:t>
      </w:r>
    </w:p>
    <w:p w14:paraId="27EFD7BC">
      <w:pPr>
        <w:spacing w:line="358" w:lineRule="auto"/>
        <w:ind w:firstLine="420"/>
        <w:rPr>
          <w:rFonts w:ascii="宋体" w:hAnsi="宋体" w:cs="宋体"/>
          <w:color w:val="000000"/>
          <w:sz w:val="24"/>
        </w:rPr>
      </w:pPr>
    </w:p>
    <w:p w14:paraId="56734348">
      <w:pPr>
        <w:spacing w:line="358" w:lineRule="auto"/>
        <w:ind w:firstLine="420"/>
        <w:rPr>
          <w:rFonts w:ascii="宋体" w:hAnsi="宋体" w:cs="宋体"/>
          <w:color w:val="000000"/>
          <w:sz w:val="24"/>
        </w:rPr>
      </w:pPr>
    </w:p>
    <w:p w14:paraId="0975A3B2">
      <w:pPr>
        <w:spacing w:before="340" w:after="340" w:line="480" w:lineRule="auto"/>
        <w:jc w:val="center"/>
        <w:rPr>
          <w:rFonts w:hint="eastAsia"/>
          <w:b/>
          <w:color w:val="000000"/>
          <w:sz w:val="36"/>
          <w:szCs w:val="36"/>
          <w:highlight w:val="none"/>
        </w:rPr>
      </w:pPr>
      <w:r>
        <w:rPr>
          <w:color w:val="000000"/>
        </w:rPr>
        <w:br w:type="page" w:clear="all"/>
      </w:r>
      <w:bookmarkStart w:id="11" w:name="_Toc29292_WPSOffice_Level1"/>
      <w:bookmarkStart w:id="12" w:name="_Toc479586162"/>
      <w:r>
        <w:rPr>
          <w:rFonts w:hint="eastAsia"/>
          <w:b/>
          <w:color w:val="000000"/>
          <w:sz w:val="36"/>
          <w:szCs w:val="36"/>
          <w:highlight w:val="none"/>
        </w:rPr>
        <w:t>第三章 项目采购需求</w:t>
      </w:r>
    </w:p>
    <w:p w14:paraId="4FAC5024">
      <w:pPr>
        <w:spacing w:line="360" w:lineRule="auto"/>
        <w:rPr>
          <w:rFonts w:hint="eastAsia" w:ascii="宋体" w:hAnsi="宋体"/>
          <w:b/>
          <w:color w:val="000000"/>
          <w:sz w:val="24"/>
          <w:highlight w:val="none"/>
        </w:rPr>
      </w:pPr>
      <w:r>
        <w:rPr>
          <w:rFonts w:hint="eastAsia" w:ascii="宋体" w:hAnsi="宋体"/>
          <w:b/>
          <w:color w:val="000000"/>
          <w:sz w:val="24"/>
          <w:highlight w:val="none"/>
        </w:rPr>
        <w:t>一、项目概述</w:t>
      </w:r>
    </w:p>
    <w:p w14:paraId="14B9C1E9">
      <w:pPr>
        <w:spacing w:line="360" w:lineRule="auto"/>
        <w:rPr>
          <w:rFonts w:hint="eastAsia" w:ascii="宋体" w:hAnsi="宋体"/>
          <w:color w:val="000000"/>
          <w:sz w:val="24"/>
          <w:highlight w:val="none"/>
        </w:rPr>
      </w:pPr>
      <w:r>
        <w:rPr>
          <w:rFonts w:hint="eastAsia" w:ascii="宋体" w:hAnsi="宋体"/>
          <w:color w:val="000000"/>
          <w:sz w:val="24"/>
          <w:highlight w:val="none"/>
        </w:rPr>
        <w:t>1.项目名称：紫金山松材线虫病无疫情成果巩固服务项目</w:t>
      </w:r>
    </w:p>
    <w:p w14:paraId="1F10320A">
      <w:pPr>
        <w:spacing w:line="360" w:lineRule="auto"/>
        <w:rPr>
          <w:rFonts w:hint="eastAsia" w:ascii="宋体" w:hAnsi="宋体"/>
          <w:color w:val="000000"/>
          <w:sz w:val="24"/>
          <w:highlight w:val="none"/>
        </w:rPr>
      </w:pPr>
      <w:r>
        <w:rPr>
          <w:rFonts w:hint="eastAsia" w:ascii="宋体" w:hAnsi="宋体"/>
          <w:color w:val="000000"/>
          <w:sz w:val="24"/>
          <w:highlight w:val="none"/>
        </w:rPr>
        <w:t>2.项目预算：人民币贰佰伍拾肆万元整（¥254</w:t>
      </w:r>
      <w:r>
        <w:rPr>
          <w:rFonts w:hint="eastAsia" w:ascii="宋体" w:hAnsi="宋体"/>
          <w:color w:val="000000"/>
          <w:sz w:val="24"/>
          <w:highlight w:val="none"/>
          <w:lang w:val="en-US" w:eastAsia="zh-CN"/>
        </w:rPr>
        <w:t>00</w:t>
      </w:r>
      <w:r>
        <w:rPr>
          <w:rFonts w:hint="eastAsia" w:ascii="宋体" w:hAnsi="宋体"/>
          <w:color w:val="000000"/>
          <w:sz w:val="24"/>
          <w:highlight w:val="none"/>
        </w:rPr>
        <w:t>00.00），此为两年服务期的总预算上限。</w:t>
      </w:r>
    </w:p>
    <w:p w14:paraId="5BAFDD46">
      <w:pPr>
        <w:spacing w:line="360" w:lineRule="auto"/>
        <w:rPr>
          <w:rFonts w:hint="eastAsia" w:ascii="宋体" w:hAnsi="宋体"/>
          <w:color w:val="000000"/>
          <w:sz w:val="24"/>
          <w:highlight w:val="none"/>
        </w:rPr>
      </w:pPr>
      <w:r>
        <w:rPr>
          <w:rFonts w:hint="eastAsia" w:ascii="宋体" w:hAnsi="宋体"/>
          <w:color w:val="000000"/>
          <w:sz w:val="24"/>
          <w:highlight w:val="none"/>
        </w:rPr>
        <w:t>3.服务期限：合同签订之日起至2028年2月29日。</w:t>
      </w:r>
    </w:p>
    <w:p w14:paraId="5FA7F351">
      <w:pPr>
        <w:spacing w:line="360" w:lineRule="auto"/>
        <w:rPr>
          <w:rFonts w:hint="eastAsia" w:ascii="宋体" w:hAnsi="宋体"/>
          <w:color w:val="000000"/>
          <w:sz w:val="24"/>
          <w:highlight w:val="none"/>
        </w:rPr>
      </w:pPr>
      <w:r>
        <w:rPr>
          <w:rFonts w:hint="eastAsia" w:ascii="宋体" w:hAnsi="宋体"/>
          <w:color w:val="000000"/>
          <w:sz w:val="24"/>
          <w:highlight w:val="none"/>
        </w:rPr>
        <w:t>4.项目背景与目标：为巩固紫金山松材线虫病疫点拔除成果，本项目拟对紫金山全域松林（约0.64万亩）开展为期两年的综合防治服务。旨在通过专业化、系统化的防控措施，确保全域松林健康，持续维持无疫情状态，巩固生态建设成果。所有工作须严格遵守国家相关管理办法与技术方案。</w:t>
      </w:r>
    </w:p>
    <w:p w14:paraId="31EBCB1B">
      <w:pPr>
        <w:spacing w:line="360" w:lineRule="auto"/>
        <w:rPr>
          <w:rFonts w:hint="eastAsia" w:ascii="宋体" w:hAnsi="宋体"/>
          <w:b/>
          <w:color w:val="000000"/>
          <w:sz w:val="24"/>
          <w:highlight w:val="none"/>
        </w:rPr>
      </w:pPr>
      <w:r>
        <w:rPr>
          <w:rFonts w:hint="eastAsia" w:ascii="宋体" w:hAnsi="宋体"/>
          <w:b/>
          <w:color w:val="000000"/>
          <w:sz w:val="24"/>
          <w:highlight w:val="none"/>
        </w:rPr>
        <w:t>二、服务内容与技术规范</w:t>
      </w:r>
    </w:p>
    <w:p w14:paraId="78902A68">
      <w:pPr>
        <w:spacing w:line="360" w:lineRule="auto"/>
        <w:rPr>
          <w:rFonts w:hint="eastAsia" w:ascii="宋体" w:hAnsi="宋体"/>
          <w:color w:val="000000"/>
          <w:sz w:val="24"/>
          <w:highlight w:val="none"/>
        </w:rPr>
      </w:pPr>
      <w:r>
        <w:rPr>
          <w:rFonts w:hint="eastAsia" w:ascii="宋体" w:hAnsi="宋体"/>
          <w:color w:val="000000"/>
          <w:sz w:val="24"/>
          <w:highlight w:val="none"/>
        </w:rPr>
        <w:t>中标供应商（以下简称“供应商”）须全面、优质地完成以下工作，并承担所有相关费用，包括但不限于专家论证、招标、审计、验收等配套组织工作的费用。</w:t>
      </w:r>
    </w:p>
    <w:p w14:paraId="644B785E">
      <w:pPr>
        <w:spacing w:line="360" w:lineRule="auto"/>
        <w:rPr>
          <w:rFonts w:hint="eastAsia" w:ascii="宋体" w:hAnsi="宋体"/>
          <w:b/>
          <w:color w:val="000000"/>
          <w:sz w:val="24"/>
          <w:highlight w:val="none"/>
        </w:rPr>
      </w:pPr>
      <w:r>
        <w:rPr>
          <w:rFonts w:hint="eastAsia" w:ascii="宋体" w:hAnsi="宋体"/>
          <w:b/>
          <w:color w:val="000000"/>
          <w:sz w:val="24"/>
          <w:highlight w:val="none"/>
        </w:rPr>
        <w:t>（一）实施方案编制与论证</w:t>
      </w:r>
    </w:p>
    <w:p w14:paraId="620BE513">
      <w:pPr>
        <w:spacing w:line="360" w:lineRule="auto"/>
        <w:rPr>
          <w:rFonts w:hint="eastAsia" w:ascii="宋体" w:hAnsi="宋体"/>
          <w:color w:val="000000"/>
          <w:sz w:val="24"/>
          <w:highlight w:val="none"/>
        </w:rPr>
      </w:pPr>
      <w:r>
        <w:rPr>
          <w:rFonts w:hint="eastAsia" w:ascii="宋体" w:hAnsi="宋体"/>
          <w:color w:val="000000"/>
          <w:sz w:val="24"/>
          <w:highlight w:val="none"/>
        </w:rPr>
        <w:t>在项目开始前，供应商须与采购人（甲方）及监理单位共同编制《紫金山松材线虫病无疫情巩固实施方案》，组织林业领域专家进行方案论证。供应商应根据专家论证意见对方案进行修改完善，形成最终稿，作为项目实施和验收的核心依据。供应商需承担方案编制、专家咨询与评审论证所产生的全部费用。</w:t>
      </w:r>
    </w:p>
    <w:p w14:paraId="7219C2A4">
      <w:pPr>
        <w:spacing w:line="360" w:lineRule="auto"/>
        <w:rPr>
          <w:rFonts w:hint="eastAsia" w:ascii="宋体" w:hAnsi="宋体"/>
          <w:b/>
          <w:color w:val="000000"/>
          <w:sz w:val="24"/>
          <w:highlight w:val="none"/>
        </w:rPr>
      </w:pPr>
      <w:r>
        <w:rPr>
          <w:rFonts w:hint="eastAsia" w:ascii="宋体" w:hAnsi="宋体"/>
          <w:b/>
          <w:color w:val="000000"/>
          <w:sz w:val="24"/>
          <w:highlight w:val="none"/>
        </w:rPr>
        <w:t>（二）疫情监测与普查</w:t>
      </w:r>
    </w:p>
    <w:p w14:paraId="6A402ACE">
      <w:pPr>
        <w:spacing w:line="360" w:lineRule="auto"/>
        <w:rPr>
          <w:rFonts w:hint="eastAsia" w:ascii="宋体" w:hAnsi="宋体"/>
          <w:color w:val="000000"/>
          <w:sz w:val="24"/>
          <w:highlight w:val="none"/>
        </w:rPr>
      </w:pPr>
      <w:r>
        <w:rPr>
          <w:rFonts w:hint="eastAsia" w:ascii="宋体" w:hAnsi="宋体"/>
          <w:color w:val="000000"/>
          <w:sz w:val="24"/>
          <w:highlight w:val="none"/>
        </w:rPr>
        <w:t>1.日常监测：建立常态化巡查机制。对紫金山全域松林小班每月完成一次全覆盖巡查；对景区、主要道路、缆车沿线等核心区域和关键点位，每月增加至两次巡查。综合运用人工地面调查、高倍望远镜观测及无人机航拍等技术手段，确保疫情监测覆盖率达到100%，并建立巡查日志。</w:t>
      </w:r>
    </w:p>
    <w:p w14:paraId="3E3CFE24">
      <w:pPr>
        <w:spacing w:line="360" w:lineRule="auto"/>
        <w:rPr>
          <w:rFonts w:hint="eastAsia" w:ascii="宋体" w:hAnsi="宋体"/>
          <w:color w:val="000000"/>
          <w:sz w:val="24"/>
          <w:highlight w:val="none"/>
        </w:rPr>
      </w:pPr>
      <w:r>
        <w:rPr>
          <w:rFonts w:hint="eastAsia" w:ascii="宋体" w:hAnsi="宋体"/>
          <w:color w:val="000000"/>
          <w:sz w:val="24"/>
          <w:highlight w:val="none"/>
        </w:rPr>
        <w:t>2.专项普查：每年秋季组织开展一次松材线虫病专项普查。采用无人机航测与人工地面详查相结合的方式，确保“监测全覆盖，普查无盲区”。普查结束后，须提交完整的普查台账、调查轨迹图、无人机飞行航线图、现场工作照片及包含数据分析的普查报告。</w:t>
      </w:r>
    </w:p>
    <w:p w14:paraId="0CD42E76">
      <w:pPr>
        <w:spacing w:line="360" w:lineRule="auto"/>
        <w:rPr>
          <w:rFonts w:hint="eastAsia" w:ascii="宋体" w:hAnsi="宋体"/>
          <w:color w:val="000000"/>
          <w:sz w:val="24"/>
          <w:highlight w:val="none"/>
        </w:rPr>
      </w:pPr>
      <w:r>
        <w:rPr>
          <w:rFonts w:hint="eastAsia" w:ascii="宋体" w:hAnsi="宋体"/>
          <w:color w:val="000000"/>
          <w:sz w:val="24"/>
          <w:highlight w:val="none"/>
        </w:rPr>
        <w:t>3.诱捕监测：在松墨天牛羽化期（一般为每年4月下旬至10月下旬），于全域科学布设50座固定诱捕器进行动态监测。每周定时采集一次诱捕昆虫，每两个月更换一次诱芯，全年共计完成不少于24轮监测。详细记录诱捕数据，统计分析媒介昆虫种群动态及虫口密度，为防控效果评价提供数据支撑。</w:t>
      </w:r>
    </w:p>
    <w:p w14:paraId="450FA253">
      <w:pPr>
        <w:spacing w:line="360" w:lineRule="auto"/>
        <w:rPr>
          <w:rFonts w:hint="eastAsia" w:ascii="宋体" w:hAnsi="宋体"/>
          <w:color w:val="000000"/>
          <w:sz w:val="24"/>
          <w:highlight w:val="none"/>
        </w:rPr>
      </w:pPr>
      <w:r>
        <w:rPr>
          <w:rFonts w:hint="eastAsia" w:ascii="宋体" w:hAnsi="宋体"/>
          <w:color w:val="000000"/>
          <w:sz w:val="24"/>
          <w:highlight w:val="none"/>
        </w:rPr>
        <w:t>4.取样送检：根据甲方要求，定期采集松科植物及其制品样品。每年送至省级林业主管部门或其指定的具有资质的鉴定机构进行检测的样本数量不得低于40份，并获取正式的检测报告。</w:t>
      </w:r>
    </w:p>
    <w:p w14:paraId="09C8726C">
      <w:pPr>
        <w:spacing w:line="360" w:lineRule="auto"/>
        <w:rPr>
          <w:rFonts w:hint="eastAsia" w:ascii="宋体" w:hAnsi="宋体"/>
          <w:b/>
          <w:color w:val="000000"/>
          <w:sz w:val="24"/>
          <w:highlight w:val="none"/>
        </w:rPr>
      </w:pPr>
      <w:r>
        <w:rPr>
          <w:rFonts w:hint="eastAsia" w:ascii="宋体" w:hAnsi="宋体"/>
          <w:b/>
          <w:color w:val="000000"/>
          <w:sz w:val="24"/>
          <w:highlight w:val="none"/>
        </w:rPr>
        <w:t>（三）无疫情巩固防控措施</w:t>
      </w:r>
    </w:p>
    <w:p w14:paraId="2585D205">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1.死亡松树除治（疫木处理）</w:t>
      </w:r>
    </w:p>
    <w:p w14:paraId="6ADADAC6">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清理要求：对监测发现的死亡松树和异常松树，严格执行“及时发现、及时清理”原则。除治过程须严格遵守《松材线虫病防治技术方案》的“510”清理由来的技术要求（即：发现死树5日内完成清理，伐桩高度不得超过5厘米，1厘米以上枝桠全部清理）。</w:t>
      </w:r>
    </w:p>
    <w:p w14:paraId="079E7D03">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无害化处理：对清理出的疫木及直径1厘米以上的枝桠，须采用粉碎（粉碎物粒径不超过1厘米）等方式进行就地或就近无害化处理。处理过程须全程监管，严禁疫木流失。</w:t>
      </w:r>
    </w:p>
    <w:p w14:paraId="1BA43042">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伐桩处理：对伐桩进行去皮、药物处理等，以杀灭残留线虫和媒介昆虫。</w:t>
      </w:r>
    </w:p>
    <w:p w14:paraId="6760A2DA">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台账与信息化管理：建立“一树一档”的除治台账，详细记录地理位置、发现时间、除治过程、处理方式等信息。同时，须利用“松材线虫病疫情防控监管平台”或甲方指定的系统，对除治全过程进行实时数据上传和“留痕”管理。</w:t>
      </w:r>
    </w:p>
    <w:p w14:paraId="303403E5">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2.健康松树注干保护</w:t>
      </w:r>
    </w:p>
    <w:p w14:paraId="79B8B513">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保护对象：对紫金山全域健康松树进行保护，保护范围原则上包括除雪松、盆景植物及胸径小于10厘米幼树外的所有健康松树，总数约3.4万株，其中包含重点名木古松。</w:t>
      </w:r>
    </w:p>
    <w:p w14:paraId="3FB75CE4">
      <w:pPr>
        <w:spacing w:line="360" w:lineRule="auto"/>
        <w:rPr>
          <w:rFonts w:hint="eastAsia" w:ascii="宋体" w:hAnsi="宋体"/>
          <w:color w:val="000000"/>
          <w:sz w:val="24"/>
          <w:highlight w:val="none"/>
        </w:rPr>
      </w:pPr>
      <w:r>
        <w:rPr>
          <w:rFonts w:hint="eastAsia" w:ascii="宋体" w:hAnsi="宋体"/>
          <w:color w:val="000000"/>
          <w:sz w:val="24"/>
          <w:highlight w:val="none"/>
        </w:rPr>
        <w:t>药剂与剂量：选用有效期在2-3年的高效、低毒、环境友好型杀线剂。根据每株树的胸径、树高等生长指标科学计算用药量，确保防治效果。</w:t>
      </w:r>
    </w:p>
    <w:p w14:paraId="71998B0D">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施工规范：注射操作须规范标准，避免对树木造成二次伤害。注药完成后，应在树干显著位置悬挂或钉挂统一规格的标记牌，清晰标注编号、药剂名称、用药剂量、施工日期及施工单位等信息。施工结束后，须提交详细的注药记录，并回收所有药瓶等废弃物，集中进行无害化处理。</w:t>
      </w:r>
    </w:p>
    <w:p w14:paraId="41CF2581">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3.生物防治</w:t>
      </w:r>
    </w:p>
    <w:p w14:paraId="5E9FC1D7">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防治目标：通过释放天敌昆虫，持续控制松墨天牛等媒介昆虫的种群密度。</w:t>
      </w:r>
    </w:p>
    <w:p w14:paraId="797A040A">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释放要求：每年7月至10月为天敌释放期。根据虫情监测数据，科学投放花绒寄甲、肿腿蜂等天敌昆虫。其中，花绒寄甲卵的储藏时间自生产之日起不得超过1个月，以确保其活性。每年释放花绒寄甲的数量不得低于2000管（或等效单位）。</w:t>
      </w:r>
    </w:p>
    <w:p w14:paraId="448D245D">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4.药剂防治（飞防）</w:t>
      </w:r>
    </w:p>
    <w:p w14:paraId="09CA2B7B">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防治时机：根据当年松墨天牛羽化期监测数据，精准确定防治窗口期，一般为每年5月下旬至8月上旬。</w:t>
      </w:r>
    </w:p>
    <w:p w14:paraId="391D0385">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作业要求：采用无人机进行精准喷洒作业，每年防治作业面积累计不低于2500亩。防治前，须编制详细的飞防作业方案，报甲方批准，并向社会公示，确保作业安全。</w:t>
      </w:r>
    </w:p>
    <w:p w14:paraId="63FAA693">
      <w:pPr>
        <w:spacing w:line="360" w:lineRule="auto"/>
        <w:rPr>
          <w:rFonts w:hint="eastAsia" w:ascii="宋体" w:hAnsi="宋体"/>
          <w:color w:val="000000"/>
          <w:sz w:val="24"/>
          <w:highlight w:val="none"/>
        </w:rPr>
      </w:pPr>
      <w:r>
        <w:rPr>
          <w:rFonts w:hint="eastAsia" w:ascii="宋体" w:hAnsi="宋体"/>
          <w:color w:val="000000"/>
          <w:sz w:val="24"/>
          <w:highlight w:val="none"/>
        </w:rPr>
        <w:t>药剂选用：必须选用高效、低毒、对环境友好的药剂，并避开水源地、居民区等生态敏感区域，严防次生灾害发生。</w:t>
      </w:r>
    </w:p>
    <w:p w14:paraId="0EA9A368">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（四）综合管理与保障</w:t>
      </w:r>
    </w:p>
    <w:p w14:paraId="141F5261">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过程监督：供应商须指派专人，对疫木除治、注干保护、飞防作业等所有关键施工环节进行全过程旁站监督，重点检查技术规范性、用药量准确性、标识设置规范性、废弃物合规处理以及数据及时上报等情况，并做好监督记录。</w:t>
      </w:r>
    </w:p>
    <w:p w14:paraId="707FE84F">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2.宣传教育：配合甲方开展松材线虫病防控宣传教育工作。包括但不限于在重点区域设立和更新宣传牌、除治标识，利用公共媒体平台（如公众号、官网等）发布科普信息，提高公众生态保护意识，降低社会舆论风险。</w:t>
      </w:r>
    </w:p>
    <w:p w14:paraId="7AEFC425">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3.档案管理：建立健全项目管理档案，包括但不限于实施方案及论证意见、各项监测与普查原始记录及报告、防控措施施工记录（含影像资料）、物资采购与使用台账、工作总结报告、验收资料汇编等，确保项目全过程可追溯。</w:t>
      </w:r>
    </w:p>
    <w:p w14:paraId="0A95FF3D">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三、质量标准与依据</w:t>
      </w:r>
    </w:p>
    <w:p w14:paraId="470B6166">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供应商提供的全部服务及成果，其技术与质量标准须符合或优于下列文件要求：</w:t>
      </w:r>
    </w:p>
    <w:p w14:paraId="07548B04">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 国家林业和草原局《松材线虫病疫区和疫木管理办法》（2023年版）</w:t>
      </w:r>
    </w:p>
    <w:p w14:paraId="1F092EEB">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2.国家林业和草原局《松材线虫病防治技术方案》（2024年版）</w:t>
      </w:r>
    </w:p>
    <w:p w14:paraId="6074702A">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3. 经专家论证并最终确认的《紫金山松材线虫病无疫情巩固实施方案》</w:t>
      </w:r>
    </w:p>
    <w:p w14:paraId="72014532">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4.本项目采购文件（含招标文件、澄清文件等）中规定的所有技术规范与质量要求。</w:t>
      </w:r>
    </w:p>
    <w:p w14:paraId="7C0C85F4">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四、考核与验收</w:t>
      </w:r>
    </w:p>
    <w:p w14:paraId="207B85E5">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1.验收方式：项目验收采取年度检查和终期验收相结合的方式。验收工作将依靠科技和管理专家，组成验收小组，通过听取汇报、查阅资料、实地考察、质询讨论等方式进行，确保验收结果公正、合理。</w:t>
      </w:r>
    </w:p>
    <w:p w14:paraId="1E298520">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2.年度检查：每个服务年度结束后进行。重点检查本年度各项任务指标完成情况、项目进度与质量、组织管理、技术路线的执行、各类数据记录和档案资料的完整性。</w:t>
      </w:r>
    </w:p>
    <w:p w14:paraId="085E82F0">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3.终期验收：服务期满后进行。在年度检查的基础上，对项目总体目标的完成情况、组织管理的有效性、技术路线的科学性、所有台账和总结报告的完备性、防控成效的可持续性等进行全面评价。</w:t>
      </w:r>
    </w:p>
    <w:p w14:paraId="3DADF23D">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4.验收依据与评分：验收结果将依据本合同约定的质量标准、经批准的实施方案以及相关管理办法进行评定。验收评分采用百分制，结果将作为项目款项支付的直接依据，并纳入项目档案妥善保存。</w:t>
      </w:r>
    </w:p>
    <w:p w14:paraId="786B9B9D">
      <w:pPr>
        <w:spacing w:line="360" w:lineRule="auto"/>
        <w:ind w:firstLine="482"/>
        <w:rPr>
          <w:rFonts w:ascii="宋体" w:hAnsi="宋体"/>
          <w:b/>
          <w:color w:val="000000"/>
          <w:sz w:val="24"/>
          <w:highlight w:val="none"/>
        </w:rPr>
      </w:pPr>
      <w:r>
        <w:rPr>
          <w:rFonts w:hint="eastAsia" w:ascii="宋体" w:hAnsi="宋体"/>
          <w:b/>
          <w:color w:val="000000"/>
          <w:sz w:val="24"/>
          <w:highlight w:val="none"/>
        </w:rPr>
        <w:t>五、商务要求</w:t>
      </w:r>
    </w:p>
    <w:p w14:paraId="29FEB054">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（一）合同价款</w:t>
      </w:r>
    </w:p>
    <w:p w14:paraId="077996E7">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1.合同类型：本项目合同为单价合同。各项服务的单价以中标供应商的报价文件（或分项报价清单）为准，并在合同期内固定不变，不因任何市场、政策等因素的变化而调整。</w:t>
      </w:r>
    </w:p>
    <w:p w14:paraId="05206224">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2.结算方式：最终结算总价 = 各项服务的中标单价 × 经甲方及监理方共同签字确认的实际完成工作量。</w:t>
      </w:r>
    </w:p>
    <w:p w14:paraId="765F8106">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3.费用包含：投标报价为人民币报价，应视为已包括供应商为完成本项目招标文件规定的工作所涉及到的一切费用——即包括但不限于人工费（工资、福利、社保、培训、加班费）、材料费、机械设备使用费、运输费、保险费、管理费、利润、税金及所有风险、责任等完成项目不可或缺的所有费用。对于本需求未列明，但供应商认为完成项目所必需的费用，也应一并计入报价，结算时不予追加。</w:t>
      </w:r>
    </w:p>
    <w:p w14:paraId="39FFC44D">
      <w:pPr>
        <w:spacing w:line="360" w:lineRule="auto"/>
        <w:ind w:firstLine="482"/>
        <w:rPr>
          <w:rFonts w:hint="eastAsia" w:ascii="宋体" w:hAnsi="宋体"/>
          <w:b/>
          <w:sz w:val="24"/>
        </w:rPr>
      </w:pPr>
      <w:r>
        <w:rPr>
          <w:rFonts w:hint="eastAsia" w:ascii="宋体" w:hAnsi="宋体"/>
          <w:b/>
          <w:sz w:val="24"/>
        </w:rPr>
        <w:t xml:space="preserve">（二）支付方式  </w:t>
      </w:r>
    </w:p>
    <w:p w14:paraId="6C940791">
      <w:pPr>
        <w:spacing w:line="360" w:lineRule="auto"/>
        <w:ind w:firstLine="480"/>
        <w:rPr>
          <w:rFonts w:hint="eastAsia" w:ascii="宋体" w:hAnsi="宋体"/>
          <w:sz w:val="24"/>
        </w:rPr>
      </w:pPr>
      <w:r>
        <w:rPr>
          <w:rFonts w:hint="eastAsia" w:ascii="宋体" w:hAnsi="宋体"/>
          <w:sz w:val="24"/>
        </w:rPr>
        <w:t xml:space="preserve">本项目费用按服务年度及考核节点分五次支付，具体安排如下：  </w:t>
      </w:r>
    </w:p>
    <w:p w14:paraId="1E11C75F">
      <w:pPr>
        <w:spacing w:line="360" w:lineRule="auto"/>
        <w:ind w:firstLine="480"/>
        <w:rPr>
          <w:rFonts w:hint="eastAsia" w:ascii="宋体" w:hAnsi="宋体"/>
          <w:color w:val="000000"/>
          <w:sz w:val="24"/>
          <w:highlight w:val="none"/>
        </w:rPr>
      </w:pPr>
      <w:r>
        <w:rPr>
          <w:rFonts w:hint="eastAsia" w:ascii="宋体" w:hAnsi="宋体"/>
          <w:sz w:val="24"/>
        </w:rPr>
        <w:t>1. 第一次付款（2026年上半年进度款）：2026年7月10日前，甲方及监理方对2026年上半年工作量评估验收合格后，乙方向甲方开具</w:t>
      </w:r>
      <w:r>
        <w:rPr>
          <w:rFonts w:hint="eastAsia" w:ascii="宋体" w:hAnsi="宋体"/>
          <w:color w:val="000000"/>
          <w:sz w:val="24"/>
          <w:highlight w:val="none"/>
        </w:rPr>
        <w:t xml:space="preserve">等额有效的增值税专用发票，甲方在收到发票后15个工作日内，支付上半年已完工作量价款的70%。  </w:t>
      </w:r>
    </w:p>
    <w:p w14:paraId="17E28C42">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 xml:space="preserve">2. 第二次付款（2026年下半年进度款）：2026年12月10日前，甲方及监理方对2026年全年工作量评估验收合格后，乙方向甲方开具等额有效的增值税专用发票，甲方在收到发票后15个工作日内，支付下半年已完工作量价款的70%。  </w:t>
      </w:r>
    </w:p>
    <w:p w14:paraId="52450BE3">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 xml:space="preserve">3. 第三次付款（2027年上半年进度款+2026年结算款）：2027年7月10日前，甲方及监理方对2027年上半年工作量评估，同时对2026年绩效进行考评，验收合格后，乙方向甲方开具等额有效的增值税专用发票，甲方在收到发票后15个工作日内，支付2027年上半年已完工作量价款的70%，以及2026年上半年、下半年已完工作量价款的20%（即2026年累计支付至90%）。  </w:t>
      </w:r>
    </w:p>
    <w:p w14:paraId="5F4650AD">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 xml:space="preserve">4. 第四次付款（2027年下半年进度款）：2027年12月10日前，甲方及监理方对2027年全年工作量评估验收合格后，乙方向甲方开具等额有效的增值税专用发票，甲方在收到发票后15个工作日内，支付下半年已完工作量价款的70%。  </w:t>
      </w:r>
    </w:p>
    <w:p w14:paraId="596E08D9">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5. 第五次付款（终验结算款）：2028年7月10日前，项目整体通过终期验收及绩效考评合格后，乙方向甲方开具等额有效的增值税专用发票，甲方在收到发票后15个工作日内，一次性付清2026年和2027年两年剩余的全部费用（即结算至已完成工作量的100%）。</w:t>
      </w:r>
    </w:p>
    <w:p w14:paraId="5D33150C">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（三）绩效考核与费用核算</w:t>
      </w:r>
    </w:p>
    <w:p w14:paraId="0B76C60D">
      <w:pPr>
        <w:spacing w:line="360" w:lineRule="auto"/>
        <w:rPr>
          <w:rFonts w:hint="eastAsia" w:ascii="宋体" w:hAnsi="宋体"/>
          <w:color w:val="000000"/>
          <w:sz w:val="24"/>
          <w:highlight w:val="none"/>
        </w:rPr>
      </w:pPr>
      <w:r>
        <w:rPr>
          <w:rFonts w:hint="eastAsia" w:ascii="宋体" w:hAnsi="宋体"/>
          <w:color w:val="000000"/>
          <w:sz w:val="24"/>
          <w:highlight w:val="none"/>
        </w:rPr>
        <w:t>每年支付的合同款项，将根据该年度的最终绩效考核得分进行核算，具体标准如下：</w:t>
      </w:r>
    </w:p>
    <w:p w14:paraId="1ACB9CBE">
      <w:pPr>
        <w:spacing w:line="360" w:lineRule="auto"/>
        <w:rPr>
          <w:rFonts w:hint="eastAsia" w:ascii="宋体" w:hAnsi="宋体"/>
          <w:color w:val="000000"/>
          <w:sz w:val="24"/>
          <w:highlight w:val="none"/>
        </w:rPr>
      </w:pPr>
      <w:r>
        <w:rPr>
          <w:rFonts w:hint="eastAsia" w:ascii="宋体" w:hAnsi="宋体"/>
          <w:color w:val="000000"/>
          <w:sz w:val="24"/>
          <w:highlight w:val="none"/>
        </w:rPr>
        <w:t>得分90-100分：支付当年应付款项的100%；</w:t>
      </w:r>
    </w:p>
    <w:p w14:paraId="79DC72A0">
      <w:pPr>
        <w:spacing w:line="360" w:lineRule="auto"/>
        <w:rPr>
          <w:rFonts w:hint="eastAsia" w:ascii="宋体" w:hAnsi="宋体"/>
          <w:color w:val="000000"/>
          <w:sz w:val="24"/>
          <w:highlight w:val="none"/>
        </w:rPr>
      </w:pPr>
      <w:r>
        <w:rPr>
          <w:rFonts w:hint="eastAsia" w:ascii="宋体" w:hAnsi="宋体"/>
          <w:color w:val="000000"/>
          <w:sz w:val="24"/>
          <w:highlight w:val="none"/>
        </w:rPr>
        <w:t>得分80-89分：支付当年应付款项的90%；</w:t>
      </w:r>
    </w:p>
    <w:p w14:paraId="08C1541D">
      <w:pPr>
        <w:spacing w:line="360" w:lineRule="auto"/>
        <w:rPr>
          <w:rFonts w:hint="eastAsia" w:ascii="宋体" w:hAnsi="宋体"/>
          <w:color w:val="000000"/>
          <w:sz w:val="24"/>
          <w:highlight w:val="none"/>
        </w:rPr>
      </w:pPr>
      <w:r>
        <w:rPr>
          <w:rFonts w:hint="eastAsia" w:ascii="宋体" w:hAnsi="宋体"/>
          <w:color w:val="000000"/>
          <w:sz w:val="24"/>
          <w:highlight w:val="none"/>
        </w:rPr>
        <w:t>得分70-79分：支付当年应付款项的70%；</w:t>
      </w:r>
    </w:p>
    <w:p w14:paraId="66F22686">
      <w:pPr>
        <w:spacing w:line="360" w:lineRule="auto"/>
        <w:rPr>
          <w:rFonts w:hint="eastAsia" w:ascii="宋体" w:hAnsi="宋体"/>
          <w:color w:val="000000"/>
          <w:sz w:val="24"/>
          <w:highlight w:val="none"/>
        </w:rPr>
      </w:pPr>
      <w:r>
        <w:rPr>
          <w:rFonts w:hint="eastAsia" w:ascii="宋体" w:hAnsi="宋体"/>
          <w:color w:val="000000"/>
          <w:sz w:val="24"/>
          <w:highlight w:val="none"/>
        </w:rPr>
        <w:t>得分60-69分：支付当年应付款项的60%；</w:t>
      </w:r>
    </w:p>
    <w:p w14:paraId="06601C52">
      <w:pPr>
        <w:spacing w:line="360" w:lineRule="auto"/>
        <w:rPr>
          <w:rFonts w:hint="eastAsia" w:ascii="宋体" w:hAnsi="宋体"/>
          <w:color w:val="000000"/>
          <w:sz w:val="24"/>
          <w:highlight w:val="none"/>
        </w:rPr>
      </w:pPr>
      <w:r>
        <w:rPr>
          <w:rFonts w:hint="eastAsia" w:ascii="宋体" w:hAnsi="宋体"/>
          <w:color w:val="000000"/>
          <w:sz w:val="24"/>
          <w:highlight w:val="none"/>
        </w:rPr>
        <w:t>得分59分及以下：支付当年应付款项的50%。</w:t>
      </w:r>
    </w:p>
    <w:p w14:paraId="01B25081">
      <w:pPr>
        <w:spacing w:line="360" w:lineRule="auto"/>
        <w:rPr>
          <w:rFonts w:hint="eastAsia" w:ascii="宋体" w:hAnsi="宋体"/>
          <w:color w:val="000000"/>
          <w:sz w:val="24"/>
          <w:highlight w:val="none"/>
        </w:rPr>
      </w:pPr>
      <w:r>
        <w:rPr>
          <w:rFonts w:hint="eastAsia" w:ascii="宋体" w:hAnsi="宋体"/>
          <w:color w:val="000000"/>
          <w:sz w:val="24"/>
          <w:highlight w:val="none"/>
        </w:rPr>
        <w:t>注：绩效考核的具体指标与评分细则，以经甲方、监理方和供应商三方共同签字确认的年度实施方案为准。</w:t>
      </w:r>
    </w:p>
    <w:p w14:paraId="17398097">
      <w:pPr>
        <w:spacing w:line="360" w:lineRule="auto"/>
        <w:ind w:firstLine="482"/>
        <w:rPr>
          <w:rFonts w:ascii="宋体" w:hAnsi="宋体"/>
          <w:b/>
          <w:color w:val="000000"/>
          <w:sz w:val="24"/>
          <w:highlight w:val="none"/>
        </w:rPr>
      </w:pPr>
      <w:r>
        <w:rPr>
          <w:rFonts w:hint="eastAsia" w:ascii="宋体" w:hAnsi="宋体"/>
          <w:b/>
          <w:color w:val="000000"/>
          <w:sz w:val="24"/>
          <w:highlight w:val="none"/>
        </w:rPr>
        <w:t>六、报价说明</w:t>
      </w:r>
    </w:p>
    <w:p w14:paraId="10F0A09A">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1.供应商的投标报价应是为完成本项目采购需求所确定范围内的全部服务内容所需的一切费用，除根据合同约定因实际工作量变化进行的结算调整外，</w:t>
      </w:r>
      <w:r>
        <w:rPr>
          <w:rFonts w:hint="eastAsia" w:ascii="宋体" w:hAnsi="宋体"/>
          <w:b/>
          <w:color w:val="000000"/>
          <w:sz w:val="24"/>
          <w:highlight w:val="none"/>
        </w:rPr>
        <w:t>总价在合同期内包死不变。</w:t>
      </w:r>
    </w:p>
    <w:p w14:paraId="1EA9BB2D">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2.供应商应充分理解并考虑所有可能影响报价的市场风险、政策风险、作业风险等因素。一旦中标，在合同实施期间，供应商不得以任何理由提出价格调整。</w:t>
      </w:r>
    </w:p>
    <w:p w14:paraId="611B948F">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3.如发生漏报、少报项目，均将被视为中标供应商为获取项目而做出的让利行为，结算时将不予追加。</w:t>
      </w:r>
    </w:p>
    <w:p w14:paraId="73A90FD8">
      <w:pPr>
        <w:rPr>
          <w:rFonts w:hint="eastAsia"/>
          <w:szCs w:val="32"/>
        </w:rPr>
      </w:pPr>
    </w:p>
    <w:p w14:paraId="1B7BEA18">
      <w:pPr>
        <w:rPr>
          <w:rFonts w:hint="eastAsia"/>
          <w:szCs w:val="32"/>
        </w:rPr>
      </w:pPr>
    </w:p>
    <w:tbl>
      <w:tblPr>
        <w:tblStyle w:val="28"/>
        <w:tblW w:w="9677" w:type="dxa"/>
        <w:tblInd w:w="-142" w:type="dxa"/>
        <w:tblLayout w:type="autofit"/>
        <w:tblCellMar>
          <w:top w:w="0" w:type="dxa"/>
          <w:left w:w="108" w:type="dxa"/>
          <w:bottom w:w="0" w:type="dxa"/>
          <w:right w:w="108" w:type="dxa"/>
        </w:tblCellMar>
      </w:tblPr>
      <w:tblGrid>
        <w:gridCol w:w="687"/>
        <w:gridCol w:w="1180"/>
        <w:gridCol w:w="1760"/>
        <w:gridCol w:w="980"/>
        <w:gridCol w:w="740"/>
        <w:gridCol w:w="1000"/>
        <w:gridCol w:w="741"/>
        <w:gridCol w:w="1649"/>
        <w:gridCol w:w="940"/>
      </w:tblGrid>
      <w:tr w14:paraId="1C51CCDA">
        <w:tblPrEx>
          <w:tblCellMar>
            <w:top w:w="0" w:type="dxa"/>
            <w:left w:w="108" w:type="dxa"/>
            <w:bottom w:w="0" w:type="dxa"/>
            <w:right w:w="108" w:type="dxa"/>
          </w:tblCellMar>
        </w:tblPrEx>
        <w:trPr>
          <w:trHeight w:val="340" w:hRule="atLeast"/>
        </w:trPr>
        <w:tc>
          <w:tcPr>
            <w:tcW w:w="687" w:type="dxa"/>
            <w:vMerge w:val="restart"/>
            <w:tcBorders>
              <w:top w:val="single" w:color="000000" w:sz="4" w:space="0"/>
              <w:left w:val="single" w:color="000000" w:sz="4" w:space="0"/>
              <w:bottom w:val="single" w:color="000000" w:sz="4" w:space="0"/>
              <w:right w:val="single" w:color="000000" w:sz="4" w:space="0"/>
            </w:tcBorders>
            <w:noWrap/>
            <w:vAlign w:val="center"/>
          </w:tcPr>
          <w:p w14:paraId="62214C5B">
            <w:pPr>
              <w:widowControl/>
              <w:spacing w:line="280" w:lineRule="exact"/>
              <w:jc w:val="center"/>
              <w:rPr>
                <w:rFonts w:ascii="宋体" w:hAnsi="宋体" w:cs="宋体"/>
                <w:color w:val="000000"/>
                <w:szCs w:val="21"/>
              </w:rPr>
            </w:pPr>
            <w:r>
              <w:rPr>
                <w:rFonts w:hint="eastAsia" w:ascii="宋体" w:hAnsi="宋体" w:cs="宋体"/>
                <w:color w:val="000000"/>
                <w:szCs w:val="21"/>
              </w:rPr>
              <w:t>序号</w:t>
            </w:r>
          </w:p>
        </w:tc>
        <w:tc>
          <w:tcPr>
            <w:tcW w:w="1180" w:type="dxa"/>
            <w:vMerge w:val="restart"/>
            <w:tcBorders>
              <w:top w:val="single" w:color="000000" w:sz="4" w:space="0"/>
              <w:left w:val="single" w:color="000000" w:sz="4" w:space="0"/>
              <w:bottom w:val="single" w:color="000000" w:sz="4" w:space="0"/>
              <w:right w:val="single" w:color="000000" w:sz="4" w:space="0"/>
            </w:tcBorders>
            <w:noWrap/>
            <w:vAlign w:val="center"/>
          </w:tcPr>
          <w:p w14:paraId="17776FE5">
            <w:pPr>
              <w:widowControl/>
              <w:spacing w:line="280" w:lineRule="exact"/>
              <w:jc w:val="center"/>
              <w:rPr>
                <w:rFonts w:ascii="宋体" w:hAnsi="宋体" w:cs="宋体"/>
                <w:b/>
                <w:bCs/>
                <w:color w:val="000000"/>
                <w:szCs w:val="21"/>
              </w:rPr>
            </w:pPr>
            <w:r>
              <w:rPr>
                <w:rFonts w:hint="eastAsia" w:ascii="宋体" w:hAnsi="宋体" w:cs="宋体"/>
                <w:b/>
                <w:bCs/>
                <w:color w:val="000000"/>
                <w:szCs w:val="21"/>
              </w:rPr>
              <w:t>项目名称</w:t>
            </w:r>
          </w:p>
        </w:tc>
        <w:tc>
          <w:tcPr>
            <w:tcW w:w="1760" w:type="dxa"/>
            <w:vMerge w:val="restart"/>
            <w:tcBorders>
              <w:top w:val="single" w:color="000000" w:sz="4" w:space="0"/>
              <w:left w:val="single" w:color="000000" w:sz="4" w:space="0"/>
              <w:bottom w:val="single" w:color="000000" w:sz="4" w:space="0"/>
              <w:right w:val="single" w:color="000000" w:sz="4" w:space="0"/>
            </w:tcBorders>
            <w:noWrap w:val="0"/>
            <w:vAlign w:val="center"/>
          </w:tcPr>
          <w:p w14:paraId="7B589944">
            <w:pPr>
              <w:widowControl/>
              <w:spacing w:line="280" w:lineRule="exact"/>
              <w:jc w:val="center"/>
              <w:rPr>
                <w:rFonts w:ascii="宋体" w:hAnsi="宋体" w:cs="宋体"/>
                <w:b/>
                <w:bCs/>
                <w:color w:val="000000"/>
                <w:szCs w:val="21"/>
              </w:rPr>
            </w:pPr>
            <w:r>
              <w:rPr>
                <w:rFonts w:hint="eastAsia" w:ascii="宋体" w:hAnsi="宋体" w:cs="宋体"/>
                <w:b/>
                <w:bCs/>
                <w:color w:val="000000"/>
                <w:szCs w:val="21"/>
              </w:rPr>
              <w:t>具体措施</w:t>
            </w:r>
          </w:p>
        </w:tc>
        <w:tc>
          <w:tcPr>
            <w:tcW w:w="980" w:type="dxa"/>
            <w:vMerge w:val="restart"/>
            <w:tcBorders>
              <w:top w:val="single" w:color="000000" w:sz="4" w:space="0"/>
              <w:left w:val="single" w:color="000000" w:sz="4" w:space="0"/>
              <w:bottom w:val="single" w:color="000000" w:sz="4" w:space="0"/>
              <w:right w:val="single" w:color="000000" w:sz="4" w:space="0"/>
            </w:tcBorders>
            <w:noWrap/>
            <w:vAlign w:val="center"/>
          </w:tcPr>
          <w:p w14:paraId="3641F347">
            <w:pPr>
              <w:widowControl/>
              <w:spacing w:line="280" w:lineRule="exact"/>
              <w:jc w:val="center"/>
              <w:rPr>
                <w:rFonts w:ascii="宋体" w:hAnsi="宋体" w:cs="宋体"/>
                <w:b/>
                <w:bCs/>
                <w:color w:val="000000"/>
                <w:szCs w:val="21"/>
              </w:rPr>
            </w:pPr>
            <w:r>
              <w:rPr>
                <w:rFonts w:hint="eastAsia" w:ascii="宋体" w:hAnsi="宋体" w:cs="宋体"/>
                <w:b/>
                <w:bCs/>
                <w:color w:val="000000"/>
                <w:szCs w:val="21"/>
              </w:rPr>
              <w:t>频次</w:t>
            </w:r>
          </w:p>
        </w:tc>
        <w:tc>
          <w:tcPr>
            <w:tcW w:w="740" w:type="dxa"/>
            <w:vMerge w:val="restart"/>
            <w:tcBorders>
              <w:top w:val="single" w:color="000000" w:sz="4" w:space="0"/>
              <w:left w:val="single" w:color="000000" w:sz="4" w:space="0"/>
              <w:bottom w:val="single" w:color="000000" w:sz="4" w:space="0"/>
              <w:right w:val="single" w:color="000000" w:sz="4" w:space="0"/>
            </w:tcBorders>
            <w:noWrap/>
            <w:vAlign w:val="center"/>
          </w:tcPr>
          <w:p w14:paraId="57768C8C">
            <w:pPr>
              <w:widowControl/>
              <w:spacing w:line="280" w:lineRule="exact"/>
              <w:jc w:val="center"/>
              <w:rPr>
                <w:rFonts w:ascii="宋体" w:hAnsi="宋体" w:cs="宋体"/>
                <w:b/>
                <w:bCs/>
                <w:color w:val="000000"/>
                <w:szCs w:val="21"/>
              </w:rPr>
            </w:pPr>
            <w:r>
              <w:rPr>
                <w:rFonts w:hint="eastAsia" w:ascii="宋体" w:hAnsi="宋体" w:cs="宋体"/>
                <w:b/>
                <w:bCs/>
                <w:color w:val="000000"/>
                <w:szCs w:val="21"/>
              </w:rPr>
              <w:t>单位</w:t>
            </w:r>
          </w:p>
        </w:tc>
        <w:tc>
          <w:tcPr>
            <w:tcW w:w="1000" w:type="dxa"/>
            <w:tcBorders>
              <w:top w:val="single" w:color="000000" w:sz="4" w:space="0"/>
              <w:left w:val="nil"/>
              <w:bottom w:val="single" w:color="000000" w:sz="4" w:space="0"/>
              <w:right w:val="single" w:color="000000" w:sz="4" w:space="0"/>
            </w:tcBorders>
            <w:noWrap/>
            <w:vAlign w:val="center"/>
          </w:tcPr>
          <w:p w14:paraId="42B40295">
            <w:pPr>
              <w:widowControl/>
              <w:spacing w:line="280" w:lineRule="exact"/>
              <w:jc w:val="center"/>
              <w:rPr>
                <w:rFonts w:ascii="宋体" w:hAnsi="宋体" w:cs="宋体"/>
                <w:b/>
                <w:bCs/>
                <w:color w:val="000000"/>
                <w:szCs w:val="21"/>
              </w:rPr>
            </w:pPr>
            <w:r>
              <w:rPr>
                <w:rFonts w:hint="eastAsia" w:ascii="宋体" w:hAnsi="宋体" w:cs="宋体"/>
                <w:b/>
                <w:bCs/>
                <w:color w:val="000000"/>
                <w:szCs w:val="21"/>
              </w:rPr>
              <w:t>单价</w:t>
            </w:r>
          </w:p>
        </w:tc>
        <w:tc>
          <w:tcPr>
            <w:tcW w:w="2390" w:type="dxa"/>
            <w:gridSpan w:val="2"/>
            <w:tcBorders>
              <w:top w:val="single" w:color="000000" w:sz="4" w:space="0"/>
              <w:left w:val="nil"/>
              <w:bottom w:val="single" w:color="000000" w:sz="4" w:space="0"/>
              <w:right w:val="single" w:color="000000" w:sz="4" w:space="0"/>
            </w:tcBorders>
            <w:noWrap/>
            <w:vAlign w:val="center"/>
          </w:tcPr>
          <w:p w14:paraId="2C1D32A5">
            <w:pPr>
              <w:widowControl/>
              <w:spacing w:line="280" w:lineRule="exact"/>
              <w:jc w:val="center"/>
              <w:rPr>
                <w:rFonts w:ascii="宋体" w:hAnsi="宋体" w:cs="宋体"/>
                <w:color w:val="000000"/>
                <w:szCs w:val="21"/>
              </w:rPr>
            </w:pPr>
            <w:r>
              <w:rPr>
                <w:rFonts w:hint="eastAsia" w:ascii="宋体" w:hAnsi="宋体" w:cs="宋体"/>
                <w:color w:val="000000"/>
                <w:szCs w:val="21"/>
              </w:rPr>
              <w:t>合计</w:t>
            </w:r>
          </w:p>
        </w:tc>
        <w:tc>
          <w:tcPr>
            <w:tcW w:w="940" w:type="dxa"/>
            <w:tcBorders>
              <w:top w:val="single" w:color="000000" w:sz="4" w:space="0"/>
              <w:left w:val="nil"/>
              <w:bottom w:val="single" w:color="000000" w:sz="4" w:space="0"/>
              <w:right w:val="single" w:color="000000" w:sz="4" w:space="0"/>
            </w:tcBorders>
            <w:noWrap/>
            <w:vAlign w:val="center"/>
          </w:tcPr>
          <w:p w14:paraId="4FD8D608">
            <w:pPr>
              <w:widowControl/>
              <w:spacing w:line="280" w:lineRule="exact"/>
              <w:jc w:val="center"/>
              <w:rPr>
                <w:rFonts w:ascii="宋体" w:hAnsi="宋体" w:cs="宋体"/>
                <w:color w:val="000000"/>
                <w:szCs w:val="21"/>
              </w:rPr>
            </w:pPr>
            <w:r>
              <w:rPr>
                <w:rFonts w:hint="eastAsia" w:ascii="宋体" w:hAnsi="宋体" w:cs="宋体"/>
                <w:color w:val="000000"/>
                <w:szCs w:val="21"/>
              </w:rPr>
              <w:t>备注</w:t>
            </w:r>
          </w:p>
        </w:tc>
      </w:tr>
      <w:tr w14:paraId="4C3765F5">
        <w:tblPrEx>
          <w:tblCellMar>
            <w:top w:w="0" w:type="dxa"/>
            <w:left w:w="108" w:type="dxa"/>
            <w:bottom w:w="0" w:type="dxa"/>
            <w:right w:w="108" w:type="dxa"/>
          </w:tblCellMar>
        </w:tblPrEx>
        <w:trPr>
          <w:trHeight w:val="340" w:hRule="atLeast"/>
        </w:trPr>
        <w:tc>
          <w:tcPr>
            <w:tcW w:w="6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2CD12E">
            <w:pPr>
              <w:widowControl/>
              <w:spacing w:line="280" w:lineRule="exact"/>
              <w:jc w:val="left"/>
              <w:rPr>
                <w:rFonts w:ascii="宋体" w:hAnsi="宋体" w:cs="宋体"/>
                <w:color w:val="000000"/>
                <w:szCs w:val="21"/>
              </w:rPr>
            </w:pPr>
          </w:p>
        </w:tc>
        <w:tc>
          <w:tcPr>
            <w:tcW w:w="11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4DD43E">
            <w:pPr>
              <w:widowControl/>
              <w:spacing w:line="280" w:lineRule="exact"/>
              <w:jc w:val="left"/>
              <w:rPr>
                <w:rFonts w:ascii="宋体" w:hAnsi="宋体" w:cs="宋体"/>
                <w:b/>
                <w:bCs/>
                <w:color w:val="000000"/>
                <w:szCs w:val="21"/>
              </w:rPr>
            </w:pPr>
          </w:p>
        </w:tc>
        <w:tc>
          <w:tcPr>
            <w:tcW w:w="17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CD0778">
            <w:pPr>
              <w:widowControl/>
              <w:spacing w:line="280" w:lineRule="exact"/>
              <w:jc w:val="left"/>
              <w:rPr>
                <w:rFonts w:ascii="宋体" w:hAnsi="宋体" w:cs="宋体"/>
                <w:b/>
                <w:bCs/>
                <w:color w:val="000000"/>
                <w:szCs w:val="21"/>
              </w:rPr>
            </w:pPr>
          </w:p>
        </w:tc>
        <w:tc>
          <w:tcPr>
            <w:tcW w:w="9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0CB4F6">
            <w:pPr>
              <w:widowControl/>
              <w:spacing w:line="280" w:lineRule="exact"/>
              <w:jc w:val="left"/>
              <w:rPr>
                <w:rFonts w:ascii="宋体" w:hAnsi="宋体" w:cs="宋体"/>
                <w:b/>
                <w:bCs/>
                <w:color w:val="000000"/>
                <w:szCs w:val="21"/>
              </w:rPr>
            </w:pPr>
          </w:p>
        </w:tc>
        <w:tc>
          <w:tcPr>
            <w:tcW w:w="7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699CD7">
            <w:pPr>
              <w:widowControl/>
              <w:spacing w:line="280" w:lineRule="exact"/>
              <w:jc w:val="left"/>
              <w:rPr>
                <w:rFonts w:ascii="宋体" w:hAnsi="宋体" w:cs="宋体"/>
                <w:b/>
                <w:bCs/>
                <w:color w:val="000000"/>
                <w:szCs w:val="21"/>
              </w:rPr>
            </w:pPr>
          </w:p>
        </w:tc>
        <w:tc>
          <w:tcPr>
            <w:tcW w:w="1000" w:type="dxa"/>
            <w:tcBorders>
              <w:top w:val="nil"/>
              <w:left w:val="nil"/>
              <w:bottom w:val="single" w:color="000000" w:sz="4" w:space="0"/>
              <w:right w:val="single" w:color="000000" w:sz="4" w:space="0"/>
            </w:tcBorders>
            <w:noWrap/>
            <w:vAlign w:val="center"/>
          </w:tcPr>
          <w:p w14:paraId="5AC6E27C">
            <w:pPr>
              <w:widowControl/>
              <w:spacing w:line="280" w:lineRule="exact"/>
              <w:jc w:val="center"/>
              <w:rPr>
                <w:rFonts w:ascii="宋体" w:hAnsi="宋体" w:cs="宋体"/>
                <w:b/>
                <w:bCs/>
                <w:color w:val="000000"/>
                <w:szCs w:val="21"/>
              </w:rPr>
            </w:pPr>
            <w:r>
              <w:rPr>
                <w:rFonts w:hint="eastAsia" w:ascii="宋体" w:hAnsi="宋体" w:cs="宋体"/>
                <w:b/>
                <w:bCs/>
                <w:color w:val="000000"/>
                <w:szCs w:val="21"/>
              </w:rPr>
              <w:t>（万元）</w:t>
            </w:r>
          </w:p>
        </w:tc>
        <w:tc>
          <w:tcPr>
            <w:tcW w:w="741" w:type="dxa"/>
            <w:tcBorders>
              <w:top w:val="nil"/>
              <w:left w:val="nil"/>
              <w:bottom w:val="single" w:color="000000" w:sz="4" w:space="0"/>
              <w:right w:val="single" w:color="000000" w:sz="4" w:space="0"/>
            </w:tcBorders>
            <w:noWrap/>
            <w:vAlign w:val="center"/>
          </w:tcPr>
          <w:p w14:paraId="49EB59F9">
            <w:pPr>
              <w:widowControl/>
              <w:spacing w:line="280" w:lineRule="exact"/>
              <w:jc w:val="center"/>
              <w:rPr>
                <w:rFonts w:ascii="宋体" w:hAnsi="宋体" w:cs="宋体"/>
                <w:color w:val="000000"/>
                <w:szCs w:val="21"/>
              </w:rPr>
            </w:pPr>
            <w:r>
              <w:rPr>
                <w:rFonts w:hint="eastAsia" w:ascii="宋体" w:hAnsi="宋体" w:cs="宋体"/>
                <w:color w:val="000000"/>
                <w:szCs w:val="21"/>
              </w:rPr>
              <w:t>数量</w:t>
            </w:r>
          </w:p>
        </w:tc>
        <w:tc>
          <w:tcPr>
            <w:tcW w:w="1649" w:type="dxa"/>
            <w:tcBorders>
              <w:top w:val="nil"/>
              <w:left w:val="nil"/>
              <w:bottom w:val="single" w:color="000000" w:sz="4" w:space="0"/>
              <w:right w:val="single" w:color="000000" w:sz="4" w:space="0"/>
            </w:tcBorders>
            <w:noWrap/>
            <w:vAlign w:val="center"/>
          </w:tcPr>
          <w:p w14:paraId="567D0CDF">
            <w:pPr>
              <w:widowControl/>
              <w:spacing w:line="280" w:lineRule="exact"/>
              <w:jc w:val="center"/>
              <w:rPr>
                <w:rFonts w:ascii="宋体" w:hAnsi="宋体" w:cs="宋体"/>
                <w:color w:val="000000"/>
                <w:szCs w:val="21"/>
              </w:rPr>
            </w:pPr>
            <w:r>
              <w:rPr>
                <w:rFonts w:hint="eastAsia" w:ascii="宋体" w:hAnsi="宋体" w:cs="宋体"/>
                <w:color w:val="000000"/>
                <w:szCs w:val="21"/>
              </w:rPr>
              <w:t>费用（万元）</w:t>
            </w:r>
          </w:p>
        </w:tc>
        <w:tc>
          <w:tcPr>
            <w:tcW w:w="940" w:type="dxa"/>
            <w:tcBorders>
              <w:top w:val="nil"/>
              <w:left w:val="nil"/>
              <w:bottom w:val="single" w:color="000000" w:sz="4" w:space="0"/>
              <w:right w:val="single" w:color="000000" w:sz="4" w:space="0"/>
            </w:tcBorders>
            <w:noWrap/>
            <w:vAlign w:val="center"/>
          </w:tcPr>
          <w:p w14:paraId="126E7641">
            <w:pPr>
              <w:widowControl/>
              <w:spacing w:line="280" w:lineRule="exact"/>
              <w:jc w:val="center"/>
              <w:rPr>
                <w:rFonts w:ascii="宋体" w:hAnsi="宋体" w:cs="宋体"/>
                <w:color w:val="000000"/>
                <w:szCs w:val="21"/>
              </w:rPr>
            </w:pPr>
            <w:r>
              <w:rPr>
                <w:rFonts w:hint="eastAsia" w:ascii="宋体" w:hAnsi="宋体" w:cs="宋体"/>
                <w:color w:val="000000"/>
                <w:szCs w:val="21"/>
              </w:rPr>
              <w:t>　</w:t>
            </w:r>
          </w:p>
        </w:tc>
      </w:tr>
      <w:tr w14:paraId="697C7428">
        <w:tblPrEx>
          <w:tblCellMar>
            <w:top w:w="0" w:type="dxa"/>
            <w:left w:w="108" w:type="dxa"/>
            <w:bottom w:w="0" w:type="dxa"/>
            <w:right w:w="108" w:type="dxa"/>
          </w:tblCellMar>
        </w:tblPrEx>
        <w:trPr>
          <w:trHeight w:val="340" w:hRule="atLeast"/>
        </w:trPr>
        <w:tc>
          <w:tcPr>
            <w:tcW w:w="687" w:type="dxa"/>
            <w:tcBorders>
              <w:top w:val="nil"/>
              <w:left w:val="single" w:color="000000" w:sz="4" w:space="0"/>
              <w:bottom w:val="single" w:color="000000" w:sz="4" w:space="0"/>
              <w:right w:val="single" w:color="000000" w:sz="4" w:space="0"/>
            </w:tcBorders>
            <w:noWrap/>
            <w:vAlign w:val="center"/>
          </w:tcPr>
          <w:p w14:paraId="30B4E1C6">
            <w:pPr>
              <w:widowControl/>
              <w:spacing w:line="280" w:lineRule="exact"/>
              <w:jc w:val="center"/>
              <w:rPr>
                <w:rFonts w:ascii="宋体" w:hAnsi="宋体" w:cs="宋体"/>
                <w:color w:val="000000"/>
                <w:szCs w:val="21"/>
              </w:rPr>
            </w:pPr>
            <w:r>
              <w:rPr>
                <w:rFonts w:hint="eastAsia" w:ascii="宋体" w:hAnsi="宋体" w:cs="宋体"/>
                <w:color w:val="000000"/>
                <w:szCs w:val="21"/>
              </w:rPr>
              <w:t>1</w:t>
            </w:r>
          </w:p>
        </w:tc>
        <w:tc>
          <w:tcPr>
            <w:tcW w:w="1180" w:type="dxa"/>
            <w:tcBorders>
              <w:top w:val="nil"/>
              <w:left w:val="nil"/>
              <w:bottom w:val="single" w:color="000000" w:sz="4" w:space="0"/>
              <w:right w:val="single" w:color="000000" w:sz="4" w:space="0"/>
            </w:tcBorders>
            <w:noWrap/>
            <w:vAlign w:val="center"/>
          </w:tcPr>
          <w:p w14:paraId="13EF48FE">
            <w:pPr>
              <w:widowControl/>
              <w:spacing w:line="280" w:lineRule="exact"/>
              <w:jc w:val="center"/>
              <w:rPr>
                <w:rFonts w:ascii="宋体" w:hAnsi="宋体" w:cs="宋体"/>
                <w:color w:val="000000"/>
                <w:szCs w:val="21"/>
              </w:rPr>
            </w:pPr>
            <w:r>
              <w:rPr>
                <w:rFonts w:hint="eastAsia" w:ascii="宋体" w:hAnsi="宋体" w:cs="宋体"/>
                <w:color w:val="000000"/>
                <w:szCs w:val="21"/>
              </w:rPr>
              <w:t>方案编制</w:t>
            </w:r>
          </w:p>
        </w:tc>
        <w:tc>
          <w:tcPr>
            <w:tcW w:w="1760" w:type="dxa"/>
            <w:tcBorders>
              <w:top w:val="nil"/>
              <w:left w:val="nil"/>
              <w:bottom w:val="single" w:color="000000" w:sz="4" w:space="0"/>
              <w:right w:val="single" w:color="000000" w:sz="4" w:space="0"/>
            </w:tcBorders>
            <w:noWrap w:val="0"/>
            <w:vAlign w:val="center"/>
          </w:tcPr>
          <w:p w14:paraId="2843FB93">
            <w:pPr>
              <w:widowControl/>
              <w:spacing w:line="280" w:lineRule="exact"/>
              <w:jc w:val="center"/>
              <w:rPr>
                <w:rFonts w:ascii="宋体" w:hAnsi="宋体" w:cs="宋体"/>
                <w:color w:val="000000"/>
                <w:szCs w:val="21"/>
              </w:rPr>
            </w:pPr>
            <w:r>
              <w:rPr>
                <w:rFonts w:hint="eastAsia" w:ascii="宋体" w:hAnsi="宋体" w:cs="宋体"/>
                <w:color w:val="000000"/>
                <w:szCs w:val="21"/>
              </w:rPr>
              <w:t>方案制定及指导</w:t>
            </w:r>
          </w:p>
        </w:tc>
        <w:tc>
          <w:tcPr>
            <w:tcW w:w="980" w:type="dxa"/>
            <w:tcBorders>
              <w:top w:val="nil"/>
              <w:left w:val="nil"/>
              <w:bottom w:val="single" w:color="000000" w:sz="4" w:space="0"/>
              <w:right w:val="single" w:color="000000" w:sz="4" w:space="0"/>
            </w:tcBorders>
            <w:noWrap/>
            <w:vAlign w:val="center"/>
          </w:tcPr>
          <w:p w14:paraId="4C85C8FB">
            <w:pPr>
              <w:widowControl/>
              <w:spacing w:line="280" w:lineRule="exact"/>
              <w:jc w:val="center"/>
              <w:rPr>
                <w:rFonts w:ascii="宋体" w:hAnsi="宋体" w:cs="宋体"/>
                <w:color w:val="000000"/>
                <w:szCs w:val="21"/>
              </w:rPr>
            </w:pPr>
            <w:r>
              <w:rPr>
                <w:rFonts w:hint="eastAsia" w:ascii="宋体" w:hAnsi="宋体" w:cs="宋体"/>
                <w:color w:val="000000"/>
                <w:szCs w:val="21"/>
              </w:rPr>
              <w:t>1次/年</w:t>
            </w:r>
          </w:p>
        </w:tc>
        <w:tc>
          <w:tcPr>
            <w:tcW w:w="740" w:type="dxa"/>
            <w:tcBorders>
              <w:top w:val="nil"/>
              <w:left w:val="nil"/>
              <w:bottom w:val="single" w:color="000000" w:sz="4" w:space="0"/>
              <w:right w:val="single" w:color="000000" w:sz="4" w:space="0"/>
            </w:tcBorders>
            <w:noWrap/>
            <w:vAlign w:val="center"/>
          </w:tcPr>
          <w:p w14:paraId="46351D2E">
            <w:pPr>
              <w:widowControl/>
              <w:spacing w:line="280" w:lineRule="exact"/>
              <w:jc w:val="center"/>
              <w:rPr>
                <w:rFonts w:ascii="宋体" w:hAnsi="宋体" w:cs="宋体"/>
                <w:color w:val="000000"/>
                <w:szCs w:val="21"/>
              </w:rPr>
            </w:pPr>
            <w:r>
              <w:rPr>
                <w:rFonts w:hint="eastAsia" w:ascii="宋体" w:hAnsi="宋体" w:cs="宋体"/>
                <w:color w:val="000000"/>
                <w:szCs w:val="21"/>
              </w:rPr>
              <w:t>次</w:t>
            </w:r>
          </w:p>
        </w:tc>
        <w:tc>
          <w:tcPr>
            <w:tcW w:w="1000" w:type="dxa"/>
            <w:tcBorders>
              <w:top w:val="nil"/>
              <w:left w:val="nil"/>
              <w:bottom w:val="single" w:color="000000" w:sz="4" w:space="0"/>
              <w:right w:val="single" w:color="000000" w:sz="4" w:space="0"/>
            </w:tcBorders>
            <w:noWrap/>
            <w:vAlign w:val="center"/>
          </w:tcPr>
          <w:p w14:paraId="34EA5A74">
            <w:pPr>
              <w:widowControl/>
              <w:spacing w:line="280" w:lineRule="exact"/>
              <w:jc w:val="center"/>
              <w:rPr>
                <w:rFonts w:ascii="宋体" w:hAnsi="宋体" w:cs="宋体"/>
                <w:color w:val="000000"/>
                <w:szCs w:val="21"/>
              </w:rPr>
            </w:pPr>
            <w:r>
              <w:rPr>
                <w:rFonts w:hint="eastAsia" w:ascii="宋体" w:hAnsi="宋体" w:cs="宋体"/>
                <w:color w:val="000000"/>
                <w:szCs w:val="21"/>
              </w:rPr>
              <w:t>2</w:t>
            </w:r>
          </w:p>
        </w:tc>
        <w:tc>
          <w:tcPr>
            <w:tcW w:w="741" w:type="dxa"/>
            <w:tcBorders>
              <w:top w:val="nil"/>
              <w:left w:val="nil"/>
              <w:bottom w:val="single" w:color="000000" w:sz="4" w:space="0"/>
              <w:right w:val="single" w:color="000000" w:sz="4" w:space="0"/>
            </w:tcBorders>
            <w:noWrap/>
            <w:vAlign w:val="center"/>
          </w:tcPr>
          <w:p w14:paraId="709AA1FD">
            <w:pPr>
              <w:widowControl/>
              <w:spacing w:line="280" w:lineRule="exact"/>
              <w:jc w:val="center"/>
              <w:rPr>
                <w:rFonts w:ascii="宋体" w:hAnsi="宋体" w:cs="宋体"/>
                <w:color w:val="000000"/>
                <w:szCs w:val="21"/>
              </w:rPr>
            </w:pPr>
            <w:r>
              <w:rPr>
                <w:rFonts w:hint="eastAsia" w:ascii="宋体" w:hAnsi="宋体" w:cs="宋体"/>
                <w:color w:val="000000"/>
                <w:szCs w:val="21"/>
              </w:rPr>
              <w:t>2</w:t>
            </w:r>
          </w:p>
        </w:tc>
        <w:tc>
          <w:tcPr>
            <w:tcW w:w="1649" w:type="dxa"/>
            <w:tcBorders>
              <w:top w:val="nil"/>
              <w:left w:val="nil"/>
              <w:bottom w:val="single" w:color="000000" w:sz="4" w:space="0"/>
              <w:right w:val="single" w:color="000000" w:sz="4" w:space="0"/>
            </w:tcBorders>
            <w:noWrap/>
            <w:vAlign w:val="center"/>
          </w:tcPr>
          <w:p w14:paraId="3AC501A4">
            <w:pPr>
              <w:widowControl/>
              <w:spacing w:line="280" w:lineRule="exact"/>
              <w:jc w:val="center"/>
              <w:rPr>
                <w:rFonts w:ascii="宋体" w:hAnsi="宋体" w:cs="宋体"/>
                <w:color w:val="000000"/>
                <w:szCs w:val="21"/>
              </w:rPr>
            </w:pPr>
            <w:r>
              <w:rPr>
                <w:rFonts w:hint="eastAsia" w:ascii="宋体" w:hAnsi="宋体" w:cs="宋体"/>
                <w:color w:val="000000"/>
                <w:szCs w:val="21"/>
              </w:rPr>
              <w:t>4</w:t>
            </w:r>
          </w:p>
        </w:tc>
        <w:tc>
          <w:tcPr>
            <w:tcW w:w="940" w:type="dxa"/>
            <w:tcBorders>
              <w:top w:val="nil"/>
              <w:left w:val="nil"/>
              <w:bottom w:val="single" w:color="000000" w:sz="4" w:space="0"/>
              <w:right w:val="single" w:color="000000" w:sz="4" w:space="0"/>
            </w:tcBorders>
            <w:noWrap/>
            <w:vAlign w:val="center"/>
          </w:tcPr>
          <w:p w14:paraId="467CABB8">
            <w:pPr>
              <w:widowControl/>
              <w:spacing w:line="280" w:lineRule="exact"/>
              <w:jc w:val="center"/>
              <w:rPr>
                <w:rFonts w:ascii="宋体" w:hAnsi="宋体" w:cs="宋体"/>
                <w:color w:val="000000"/>
                <w:szCs w:val="21"/>
              </w:rPr>
            </w:pPr>
            <w:r>
              <w:rPr>
                <w:rFonts w:hint="eastAsia" w:ascii="宋体" w:hAnsi="宋体" w:cs="宋体"/>
                <w:color w:val="000000"/>
                <w:szCs w:val="21"/>
              </w:rPr>
              <w:t>　</w:t>
            </w:r>
          </w:p>
        </w:tc>
      </w:tr>
      <w:tr w14:paraId="775AF7E3">
        <w:tblPrEx>
          <w:tblCellMar>
            <w:top w:w="0" w:type="dxa"/>
            <w:left w:w="108" w:type="dxa"/>
            <w:bottom w:w="0" w:type="dxa"/>
            <w:right w:w="108" w:type="dxa"/>
          </w:tblCellMar>
        </w:tblPrEx>
        <w:trPr>
          <w:trHeight w:val="340" w:hRule="atLeast"/>
        </w:trPr>
        <w:tc>
          <w:tcPr>
            <w:tcW w:w="687" w:type="dxa"/>
            <w:tcBorders>
              <w:top w:val="nil"/>
              <w:left w:val="single" w:color="000000" w:sz="4" w:space="0"/>
              <w:bottom w:val="single" w:color="000000" w:sz="4" w:space="0"/>
              <w:right w:val="single" w:color="000000" w:sz="4" w:space="0"/>
            </w:tcBorders>
            <w:noWrap/>
            <w:vAlign w:val="center"/>
          </w:tcPr>
          <w:p w14:paraId="5666A061">
            <w:pPr>
              <w:widowControl/>
              <w:spacing w:line="280" w:lineRule="exact"/>
              <w:jc w:val="center"/>
              <w:rPr>
                <w:rFonts w:ascii="宋体" w:hAnsi="宋体" w:cs="宋体"/>
                <w:color w:val="000000"/>
                <w:szCs w:val="21"/>
              </w:rPr>
            </w:pPr>
            <w:r>
              <w:rPr>
                <w:rFonts w:hint="eastAsia" w:ascii="宋体" w:hAnsi="宋体" w:cs="宋体"/>
                <w:color w:val="000000"/>
                <w:szCs w:val="21"/>
              </w:rPr>
              <w:t>2</w:t>
            </w:r>
          </w:p>
        </w:tc>
        <w:tc>
          <w:tcPr>
            <w:tcW w:w="1180" w:type="dxa"/>
            <w:vMerge w:val="restart"/>
            <w:tcBorders>
              <w:top w:val="nil"/>
              <w:left w:val="single" w:color="000000" w:sz="4" w:space="0"/>
              <w:bottom w:val="single" w:color="000000" w:sz="4" w:space="0"/>
              <w:right w:val="single" w:color="000000" w:sz="4" w:space="0"/>
            </w:tcBorders>
            <w:noWrap/>
            <w:vAlign w:val="center"/>
          </w:tcPr>
          <w:p w14:paraId="4617DB0F">
            <w:pPr>
              <w:widowControl/>
              <w:spacing w:line="280" w:lineRule="exact"/>
              <w:jc w:val="center"/>
              <w:rPr>
                <w:rFonts w:ascii="宋体" w:hAnsi="宋体" w:cs="宋体"/>
                <w:color w:val="000000"/>
                <w:szCs w:val="21"/>
              </w:rPr>
            </w:pPr>
            <w:r>
              <w:rPr>
                <w:rFonts w:hint="eastAsia" w:ascii="宋体" w:hAnsi="宋体" w:cs="宋体"/>
                <w:color w:val="000000"/>
                <w:szCs w:val="21"/>
              </w:rPr>
              <w:t>普查监测</w:t>
            </w:r>
          </w:p>
        </w:tc>
        <w:tc>
          <w:tcPr>
            <w:tcW w:w="1760" w:type="dxa"/>
            <w:tcBorders>
              <w:top w:val="nil"/>
              <w:left w:val="nil"/>
              <w:bottom w:val="single" w:color="000000" w:sz="4" w:space="0"/>
              <w:right w:val="single" w:color="000000" w:sz="4" w:space="0"/>
            </w:tcBorders>
            <w:noWrap w:val="0"/>
            <w:vAlign w:val="center"/>
          </w:tcPr>
          <w:p w14:paraId="25350E25">
            <w:pPr>
              <w:widowControl/>
              <w:spacing w:line="280" w:lineRule="exact"/>
              <w:jc w:val="center"/>
              <w:rPr>
                <w:rFonts w:ascii="宋体" w:hAnsi="宋体" w:cs="宋体"/>
                <w:color w:val="000000"/>
                <w:szCs w:val="21"/>
              </w:rPr>
            </w:pPr>
            <w:r>
              <w:rPr>
                <w:rFonts w:hint="eastAsia" w:ascii="宋体" w:hAnsi="宋体" w:cs="宋体"/>
                <w:color w:val="000000"/>
                <w:szCs w:val="21"/>
              </w:rPr>
              <w:t>日常监测</w:t>
            </w:r>
          </w:p>
        </w:tc>
        <w:tc>
          <w:tcPr>
            <w:tcW w:w="980" w:type="dxa"/>
            <w:tcBorders>
              <w:top w:val="nil"/>
              <w:left w:val="nil"/>
              <w:bottom w:val="single" w:color="000000" w:sz="4" w:space="0"/>
              <w:right w:val="single" w:color="000000" w:sz="4" w:space="0"/>
            </w:tcBorders>
            <w:noWrap/>
            <w:vAlign w:val="center"/>
          </w:tcPr>
          <w:p w14:paraId="1366B7CD">
            <w:pPr>
              <w:widowControl/>
              <w:spacing w:line="280" w:lineRule="exact"/>
              <w:jc w:val="center"/>
              <w:rPr>
                <w:rFonts w:ascii="宋体" w:hAnsi="宋体"/>
                <w:color w:val="000000"/>
                <w:szCs w:val="21"/>
              </w:rPr>
            </w:pPr>
            <w:r>
              <w:rPr>
                <w:rFonts w:ascii="宋体" w:hAnsi="宋体"/>
                <w:color w:val="000000"/>
                <w:szCs w:val="21"/>
              </w:rPr>
              <w:t>1</w:t>
            </w:r>
            <w:r>
              <w:rPr>
                <w:rFonts w:hint="eastAsia" w:ascii="宋体" w:hAnsi="宋体"/>
                <w:color w:val="000000"/>
                <w:szCs w:val="21"/>
              </w:rPr>
              <w:t>次</w:t>
            </w:r>
            <w:r>
              <w:rPr>
                <w:rFonts w:ascii="宋体" w:hAnsi="宋体"/>
                <w:color w:val="000000"/>
                <w:szCs w:val="21"/>
              </w:rPr>
              <w:t>/</w:t>
            </w:r>
            <w:r>
              <w:rPr>
                <w:rFonts w:hint="eastAsia" w:ascii="宋体" w:hAnsi="宋体"/>
                <w:color w:val="000000"/>
                <w:szCs w:val="21"/>
              </w:rPr>
              <w:t>月</w:t>
            </w:r>
          </w:p>
        </w:tc>
        <w:tc>
          <w:tcPr>
            <w:tcW w:w="740" w:type="dxa"/>
            <w:tcBorders>
              <w:top w:val="nil"/>
              <w:left w:val="nil"/>
              <w:bottom w:val="single" w:color="000000" w:sz="4" w:space="0"/>
              <w:right w:val="single" w:color="000000" w:sz="4" w:space="0"/>
            </w:tcBorders>
            <w:noWrap/>
            <w:vAlign w:val="center"/>
          </w:tcPr>
          <w:p w14:paraId="0A183F13">
            <w:pPr>
              <w:widowControl/>
              <w:spacing w:line="280" w:lineRule="exact"/>
              <w:jc w:val="center"/>
              <w:rPr>
                <w:rFonts w:ascii="宋体" w:hAnsi="宋体" w:cs="宋体"/>
                <w:color w:val="000000"/>
                <w:szCs w:val="21"/>
              </w:rPr>
            </w:pPr>
            <w:r>
              <w:rPr>
                <w:rFonts w:hint="eastAsia" w:ascii="宋体" w:hAnsi="宋体" w:cs="宋体"/>
                <w:color w:val="000000"/>
                <w:szCs w:val="21"/>
              </w:rPr>
              <w:t>次</w:t>
            </w:r>
          </w:p>
        </w:tc>
        <w:tc>
          <w:tcPr>
            <w:tcW w:w="1000" w:type="dxa"/>
            <w:tcBorders>
              <w:top w:val="nil"/>
              <w:left w:val="nil"/>
              <w:bottom w:val="single" w:color="000000" w:sz="4" w:space="0"/>
              <w:right w:val="single" w:color="000000" w:sz="4" w:space="0"/>
            </w:tcBorders>
            <w:noWrap/>
            <w:vAlign w:val="center"/>
          </w:tcPr>
          <w:p w14:paraId="4D25DBBF">
            <w:pPr>
              <w:widowControl/>
              <w:spacing w:line="280" w:lineRule="exact"/>
              <w:jc w:val="center"/>
              <w:rPr>
                <w:rFonts w:ascii="宋体" w:hAnsi="宋体" w:cs="宋体"/>
                <w:color w:val="000000"/>
                <w:szCs w:val="21"/>
              </w:rPr>
            </w:pPr>
            <w:r>
              <w:rPr>
                <w:rFonts w:hint="eastAsia" w:ascii="宋体" w:hAnsi="宋体" w:cs="宋体"/>
                <w:color w:val="000000"/>
                <w:szCs w:val="21"/>
              </w:rPr>
              <w:t>0.375</w:t>
            </w:r>
          </w:p>
        </w:tc>
        <w:tc>
          <w:tcPr>
            <w:tcW w:w="741" w:type="dxa"/>
            <w:tcBorders>
              <w:top w:val="nil"/>
              <w:left w:val="nil"/>
              <w:bottom w:val="single" w:color="000000" w:sz="4" w:space="0"/>
              <w:right w:val="single" w:color="000000" w:sz="4" w:space="0"/>
            </w:tcBorders>
            <w:noWrap/>
            <w:vAlign w:val="center"/>
          </w:tcPr>
          <w:p w14:paraId="4F4528DD">
            <w:pPr>
              <w:widowControl/>
              <w:spacing w:line="280" w:lineRule="exact"/>
              <w:jc w:val="center"/>
              <w:rPr>
                <w:rFonts w:ascii="宋体" w:hAnsi="宋体" w:cs="宋体"/>
                <w:color w:val="000000"/>
                <w:szCs w:val="21"/>
              </w:rPr>
            </w:pPr>
            <w:r>
              <w:rPr>
                <w:rFonts w:hint="eastAsia" w:ascii="宋体" w:hAnsi="宋体" w:cs="宋体"/>
                <w:color w:val="000000"/>
                <w:szCs w:val="21"/>
              </w:rPr>
              <w:t>22</w:t>
            </w:r>
          </w:p>
        </w:tc>
        <w:tc>
          <w:tcPr>
            <w:tcW w:w="1649" w:type="dxa"/>
            <w:tcBorders>
              <w:top w:val="nil"/>
              <w:left w:val="nil"/>
              <w:bottom w:val="single" w:color="000000" w:sz="4" w:space="0"/>
              <w:right w:val="single" w:color="000000" w:sz="4" w:space="0"/>
            </w:tcBorders>
            <w:noWrap/>
            <w:vAlign w:val="center"/>
          </w:tcPr>
          <w:p w14:paraId="322BF924">
            <w:pPr>
              <w:widowControl/>
              <w:spacing w:line="280" w:lineRule="exact"/>
              <w:jc w:val="center"/>
              <w:rPr>
                <w:rFonts w:ascii="宋体" w:hAnsi="宋体" w:cs="宋体"/>
                <w:color w:val="000000"/>
                <w:szCs w:val="21"/>
              </w:rPr>
            </w:pPr>
            <w:r>
              <w:rPr>
                <w:rFonts w:hint="eastAsia" w:ascii="宋体" w:hAnsi="宋体" w:cs="宋体"/>
                <w:color w:val="000000"/>
                <w:szCs w:val="21"/>
              </w:rPr>
              <w:t>8.25</w:t>
            </w:r>
          </w:p>
        </w:tc>
        <w:tc>
          <w:tcPr>
            <w:tcW w:w="940" w:type="dxa"/>
            <w:tcBorders>
              <w:top w:val="nil"/>
              <w:left w:val="nil"/>
              <w:bottom w:val="single" w:color="000000" w:sz="4" w:space="0"/>
              <w:right w:val="single" w:color="000000" w:sz="4" w:space="0"/>
            </w:tcBorders>
            <w:noWrap/>
            <w:vAlign w:val="center"/>
          </w:tcPr>
          <w:p w14:paraId="455792BC">
            <w:pPr>
              <w:widowControl/>
              <w:spacing w:line="280" w:lineRule="exact"/>
              <w:jc w:val="center"/>
              <w:rPr>
                <w:rFonts w:ascii="宋体" w:hAnsi="宋体" w:cs="宋体"/>
                <w:color w:val="000000"/>
                <w:szCs w:val="21"/>
              </w:rPr>
            </w:pPr>
            <w:r>
              <w:rPr>
                <w:rFonts w:hint="eastAsia" w:ascii="宋体" w:hAnsi="宋体" w:cs="宋体"/>
                <w:color w:val="000000"/>
                <w:szCs w:val="21"/>
              </w:rPr>
              <w:t>　</w:t>
            </w:r>
          </w:p>
        </w:tc>
      </w:tr>
      <w:tr w14:paraId="1B407F4A">
        <w:tblPrEx>
          <w:tblCellMar>
            <w:top w:w="0" w:type="dxa"/>
            <w:left w:w="108" w:type="dxa"/>
            <w:bottom w:w="0" w:type="dxa"/>
            <w:right w:w="108" w:type="dxa"/>
          </w:tblCellMar>
        </w:tblPrEx>
        <w:trPr>
          <w:trHeight w:val="340" w:hRule="atLeast"/>
        </w:trPr>
        <w:tc>
          <w:tcPr>
            <w:tcW w:w="687" w:type="dxa"/>
            <w:tcBorders>
              <w:top w:val="nil"/>
              <w:left w:val="single" w:color="000000" w:sz="4" w:space="0"/>
              <w:bottom w:val="single" w:color="000000" w:sz="4" w:space="0"/>
              <w:right w:val="single" w:color="000000" w:sz="4" w:space="0"/>
            </w:tcBorders>
            <w:noWrap/>
            <w:vAlign w:val="center"/>
          </w:tcPr>
          <w:p w14:paraId="6EF85744">
            <w:pPr>
              <w:widowControl/>
              <w:spacing w:line="280" w:lineRule="exact"/>
              <w:jc w:val="center"/>
              <w:rPr>
                <w:rFonts w:ascii="宋体" w:hAnsi="宋体" w:cs="宋体"/>
                <w:color w:val="000000"/>
                <w:szCs w:val="21"/>
              </w:rPr>
            </w:pPr>
            <w:r>
              <w:rPr>
                <w:rFonts w:hint="eastAsia" w:ascii="宋体" w:hAnsi="宋体" w:cs="宋体"/>
                <w:color w:val="000000"/>
                <w:szCs w:val="21"/>
              </w:rPr>
              <w:t>3</w:t>
            </w:r>
          </w:p>
        </w:tc>
        <w:tc>
          <w:tcPr>
            <w:tcW w:w="1180" w:type="dxa"/>
            <w:vMerge w:val="continue"/>
            <w:tcBorders>
              <w:top w:val="nil"/>
              <w:left w:val="single" w:color="000000" w:sz="4" w:space="0"/>
              <w:bottom w:val="single" w:color="000000" w:sz="4" w:space="0"/>
              <w:right w:val="single" w:color="000000" w:sz="4" w:space="0"/>
            </w:tcBorders>
            <w:noWrap w:val="0"/>
            <w:vAlign w:val="center"/>
          </w:tcPr>
          <w:p w14:paraId="2A3B5626">
            <w:pPr>
              <w:widowControl/>
              <w:spacing w:line="280" w:lineRule="exact"/>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0"/>
            <w:vAlign w:val="center"/>
          </w:tcPr>
          <w:p w14:paraId="31EEB767">
            <w:pPr>
              <w:widowControl/>
              <w:spacing w:line="280" w:lineRule="exact"/>
              <w:jc w:val="center"/>
              <w:rPr>
                <w:rFonts w:ascii="宋体" w:hAnsi="宋体" w:cs="宋体"/>
                <w:color w:val="000000"/>
                <w:szCs w:val="21"/>
              </w:rPr>
            </w:pPr>
            <w:r>
              <w:rPr>
                <w:rFonts w:hint="eastAsia" w:ascii="宋体" w:hAnsi="宋体" w:cs="宋体"/>
                <w:color w:val="000000"/>
                <w:szCs w:val="21"/>
              </w:rPr>
              <w:t>专项普查</w:t>
            </w:r>
          </w:p>
        </w:tc>
        <w:tc>
          <w:tcPr>
            <w:tcW w:w="980" w:type="dxa"/>
            <w:tcBorders>
              <w:top w:val="nil"/>
              <w:left w:val="nil"/>
              <w:bottom w:val="single" w:color="000000" w:sz="4" w:space="0"/>
              <w:right w:val="single" w:color="000000" w:sz="4" w:space="0"/>
            </w:tcBorders>
            <w:noWrap/>
            <w:vAlign w:val="center"/>
          </w:tcPr>
          <w:p w14:paraId="10496ADE">
            <w:pPr>
              <w:widowControl/>
              <w:spacing w:line="280" w:lineRule="exact"/>
              <w:jc w:val="center"/>
              <w:rPr>
                <w:rFonts w:ascii="宋体" w:hAnsi="宋体"/>
                <w:color w:val="000000"/>
                <w:szCs w:val="21"/>
              </w:rPr>
            </w:pPr>
            <w:r>
              <w:rPr>
                <w:rFonts w:ascii="宋体" w:hAnsi="宋体"/>
                <w:color w:val="000000"/>
                <w:szCs w:val="21"/>
              </w:rPr>
              <w:t>1</w:t>
            </w:r>
            <w:r>
              <w:rPr>
                <w:rFonts w:hint="eastAsia" w:ascii="宋体" w:hAnsi="宋体"/>
                <w:color w:val="000000"/>
                <w:szCs w:val="21"/>
              </w:rPr>
              <w:t>次</w:t>
            </w:r>
            <w:r>
              <w:rPr>
                <w:rFonts w:ascii="宋体" w:hAnsi="宋体"/>
                <w:color w:val="000000"/>
                <w:szCs w:val="21"/>
              </w:rPr>
              <w:t>/</w:t>
            </w:r>
            <w:r>
              <w:rPr>
                <w:rFonts w:hint="eastAsia" w:ascii="宋体" w:hAnsi="宋体"/>
                <w:color w:val="000000"/>
                <w:szCs w:val="21"/>
              </w:rPr>
              <w:t>年</w:t>
            </w:r>
          </w:p>
        </w:tc>
        <w:tc>
          <w:tcPr>
            <w:tcW w:w="740" w:type="dxa"/>
            <w:tcBorders>
              <w:top w:val="nil"/>
              <w:left w:val="nil"/>
              <w:bottom w:val="single" w:color="000000" w:sz="4" w:space="0"/>
              <w:right w:val="single" w:color="000000" w:sz="4" w:space="0"/>
            </w:tcBorders>
            <w:noWrap/>
            <w:vAlign w:val="center"/>
          </w:tcPr>
          <w:p w14:paraId="518171E6">
            <w:pPr>
              <w:widowControl/>
              <w:spacing w:line="280" w:lineRule="exact"/>
              <w:jc w:val="center"/>
              <w:rPr>
                <w:rFonts w:ascii="宋体" w:hAnsi="宋体" w:cs="宋体"/>
                <w:color w:val="000000"/>
                <w:szCs w:val="21"/>
              </w:rPr>
            </w:pPr>
            <w:r>
              <w:rPr>
                <w:rFonts w:hint="eastAsia" w:ascii="宋体" w:hAnsi="宋体" w:cs="宋体"/>
                <w:color w:val="000000"/>
                <w:szCs w:val="21"/>
              </w:rPr>
              <w:t>次</w:t>
            </w:r>
          </w:p>
        </w:tc>
        <w:tc>
          <w:tcPr>
            <w:tcW w:w="1000" w:type="dxa"/>
            <w:tcBorders>
              <w:top w:val="nil"/>
              <w:left w:val="nil"/>
              <w:bottom w:val="single" w:color="000000" w:sz="4" w:space="0"/>
              <w:right w:val="single" w:color="000000" w:sz="4" w:space="0"/>
            </w:tcBorders>
            <w:noWrap/>
            <w:vAlign w:val="center"/>
          </w:tcPr>
          <w:p w14:paraId="60C0A494">
            <w:pPr>
              <w:widowControl/>
              <w:spacing w:line="280" w:lineRule="exact"/>
              <w:jc w:val="center"/>
              <w:rPr>
                <w:rFonts w:ascii="宋体" w:hAnsi="宋体" w:cs="宋体"/>
                <w:color w:val="000000"/>
                <w:szCs w:val="21"/>
              </w:rPr>
            </w:pPr>
            <w:r>
              <w:rPr>
                <w:rFonts w:hint="eastAsia" w:ascii="宋体" w:hAnsi="宋体" w:cs="宋体"/>
                <w:color w:val="000000"/>
                <w:szCs w:val="21"/>
              </w:rPr>
              <w:t>　</w:t>
            </w:r>
          </w:p>
        </w:tc>
        <w:tc>
          <w:tcPr>
            <w:tcW w:w="741" w:type="dxa"/>
            <w:tcBorders>
              <w:top w:val="nil"/>
              <w:left w:val="nil"/>
              <w:bottom w:val="single" w:color="000000" w:sz="4" w:space="0"/>
              <w:right w:val="single" w:color="000000" w:sz="4" w:space="0"/>
            </w:tcBorders>
            <w:noWrap/>
            <w:vAlign w:val="center"/>
          </w:tcPr>
          <w:p w14:paraId="3234A38B">
            <w:pPr>
              <w:widowControl/>
              <w:spacing w:line="280" w:lineRule="exact"/>
              <w:jc w:val="center"/>
              <w:rPr>
                <w:rFonts w:ascii="宋体" w:hAnsi="宋体" w:cs="宋体"/>
                <w:color w:val="000000"/>
                <w:szCs w:val="21"/>
              </w:rPr>
            </w:pPr>
            <w:r>
              <w:rPr>
                <w:rFonts w:hint="eastAsia" w:ascii="宋体" w:hAnsi="宋体" w:cs="宋体"/>
                <w:color w:val="000000"/>
                <w:szCs w:val="21"/>
              </w:rPr>
              <w:t>2</w:t>
            </w:r>
          </w:p>
        </w:tc>
        <w:tc>
          <w:tcPr>
            <w:tcW w:w="1649" w:type="dxa"/>
            <w:tcBorders>
              <w:top w:val="nil"/>
              <w:left w:val="nil"/>
              <w:bottom w:val="single" w:color="000000" w:sz="4" w:space="0"/>
              <w:right w:val="single" w:color="000000" w:sz="4" w:space="0"/>
            </w:tcBorders>
            <w:noWrap/>
            <w:vAlign w:val="center"/>
          </w:tcPr>
          <w:p w14:paraId="2F9664A7">
            <w:pPr>
              <w:widowControl/>
              <w:spacing w:line="280" w:lineRule="exact"/>
              <w:jc w:val="center"/>
              <w:rPr>
                <w:rFonts w:ascii="宋体" w:hAnsi="宋体" w:cs="宋体"/>
                <w:color w:val="000000"/>
                <w:szCs w:val="21"/>
              </w:rPr>
            </w:pPr>
            <w:r>
              <w:rPr>
                <w:rFonts w:hint="eastAsia" w:ascii="宋体" w:hAnsi="宋体" w:cs="宋体"/>
                <w:color w:val="000000"/>
                <w:szCs w:val="21"/>
              </w:rPr>
              <w:t>10</w:t>
            </w:r>
          </w:p>
        </w:tc>
        <w:tc>
          <w:tcPr>
            <w:tcW w:w="940" w:type="dxa"/>
            <w:tcBorders>
              <w:top w:val="nil"/>
              <w:left w:val="nil"/>
              <w:bottom w:val="single" w:color="000000" w:sz="4" w:space="0"/>
              <w:right w:val="single" w:color="000000" w:sz="4" w:space="0"/>
            </w:tcBorders>
            <w:noWrap/>
            <w:vAlign w:val="center"/>
          </w:tcPr>
          <w:p w14:paraId="068C6D2C">
            <w:pPr>
              <w:widowControl/>
              <w:spacing w:line="280" w:lineRule="exact"/>
              <w:jc w:val="center"/>
              <w:rPr>
                <w:rFonts w:ascii="宋体" w:hAnsi="宋体" w:cs="宋体"/>
                <w:color w:val="000000"/>
                <w:szCs w:val="21"/>
              </w:rPr>
            </w:pPr>
            <w:r>
              <w:rPr>
                <w:rFonts w:hint="eastAsia" w:ascii="宋体" w:hAnsi="宋体" w:cs="宋体"/>
                <w:color w:val="000000"/>
                <w:szCs w:val="21"/>
              </w:rPr>
              <w:t>　</w:t>
            </w:r>
          </w:p>
        </w:tc>
      </w:tr>
      <w:tr w14:paraId="6FF4952B">
        <w:tblPrEx>
          <w:tblCellMar>
            <w:top w:w="0" w:type="dxa"/>
            <w:left w:w="108" w:type="dxa"/>
            <w:bottom w:w="0" w:type="dxa"/>
            <w:right w:w="108" w:type="dxa"/>
          </w:tblCellMar>
        </w:tblPrEx>
        <w:trPr>
          <w:trHeight w:val="340" w:hRule="atLeast"/>
        </w:trPr>
        <w:tc>
          <w:tcPr>
            <w:tcW w:w="687" w:type="dxa"/>
            <w:tcBorders>
              <w:top w:val="nil"/>
              <w:left w:val="single" w:color="000000" w:sz="4" w:space="0"/>
              <w:bottom w:val="single" w:color="000000" w:sz="4" w:space="0"/>
              <w:right w:val="single" w:color="000000" w:sz="4" w:space="0"/>
            </w:tcBorders>
            <w:noWrap/>
            <w:vAlign w:val="center"/>
          </w:tcPr>
          <w:p w14:paraId="2CB47C6E">
            <w:pPr>
              <w:widowControl/>
              <w:spacing w:line="280" w:lineRule="exact"/>
              <w:jc w:val="center"/>
              <w:rPr>
                <w:rFonts w:ascii="宋体" w:hAnsi="宋体" w:cs="宋体"/>
                <w:color w:val="000000"/>
                <w:szCs w:val="21"/>
              </w:rPr>
            </w:pPr>
            <w:r>
              <w:rPr>
                <w:rFonts w:hint="eastAsia" w:ascii="宋体" w:hAnsi="宋体" w:cs="宋体"/>
                <w:color w:val="000000"/>
                <w:szCs w:val="21"/>
              </w:rPr>
              <w:t>4</w:t>
            </w:r>
          </w:p>
        </w:tc>
        <w:tc>
          <w:tcPr>
            <w:tcW w:w="1180" w:type="dxa"/>
            <w:vMerge w:val="continue"/>
            <w:tcBorders>
              <w:top w:val="nil"/>
              <w:left w:val="single" w:color="000000" w:sz="4" w:space="0"/>
              <w:bottom w:val="single" w:color="000000" w:sz="4" w:space="0"/>
              <w:right w:val="single" w:color="000000" w:sz="4" w:space="0"/>
            </w:tcBorders>
            <w:noWrap w:val="0"/>
            <w:vAlign w:val="center"/>
          </w:tcPr>
          <w:p w14:paraId="3DCD7244">
            <w:pPr>
              <w:widowControl/>
              <w:spacing w:line="280" w:lineRule="exact"/>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0"/>
            <w:vAlign w:val="center"/>
          </w:tcPr>
          <w:p w14:paraId="35144EBE">
            <w:pPr>
              <w:widowControl/>
              <w:spacing w:line="280" w:lineRule="exact"/>
              <w:jc w:val="center"/>
              <w:rPr>
                <w:rFonts w:ascii="宋体" w:hAnsi="宋体" w:cs="宋体"/>
                <w:color w:val="000000"/>
                <w:szCs w:val="21"/>
              </w:rPr>
            </w:pPr>
            <w:r>
              <w:rPr>
                <w:rFonts w:hint="eastAsia" w:ascii="宋体" w:hAnsi="宋体" w:cs="宋体"/>
                <w:color w:val="000000"/>
                <w:szCs w:val="21"/>
              </w:rPr>
              <w:t>天牛诱捕</w:t>
            </w:r>
          </w:p>
        </w:tc>
        <w:tc>
          <w:tcPr>
            <w:tcW w:w="980" w:type="dxa"/>
            <w:tcBorders>
              <w:top w:val="nil"/>
              <w:left w:val="nil"/>
              <w:bottom w:val="single" w:color="000000" w:sz="4" w:space="0"/>
              <w:right w:val="single" w:color="000000" w:sz="4" w:space="0"/>
            </w:tcBorders>
            <w:noWrap/>
            <w:vAlign w:val="center"/>
          </w:tcPr>
          <w:p w14:paraId="55D71928">
            <w:pPr>
              <w:widowControl/>
              <w:spacing w:line="280" w:lineRule="exact"/>
              <w:jc w:val="center"/>
              <w:rPr>
                <w:rFonts w:ascii="宋体" w:hAnsi="宋体"/>
                <w:color w:val="000000"/>
                <w:szCs w:val="21"/>
              </w:rPr>
            </w:pPr>
            <w:r>
              <w:rPr>
                <w:rFonts w:ascii="宋体" w:hAnsi="宋体"/>
                <w:color w:val="000000"/>
                <w:szCs w:val="21"/>
              </w:rPr>
              <w:t>24</w:t>
            </w:r>
            <w:r>
              <w:rPr>
                <w:rFonts w:hint="eastAsia" w:ascii="宋体" w:hAnsi="宋体"/>
                <w:color w:val="000000"/>
                <w:szCs w:val="21"/>
              </w:rPr>
              <w:t>次</w:t>
            </w:r>
            <w:r>
              <w:rPr>
                <w:rFonts w:ascii="宋体" w:hAnsi="宋体"/>
                <w:color w:val="000000"/>
                <w:szCs w:val="21"/>
              </w:rPr>
              <w:t>/</w:t>
            </w:r>
            <w:r>
              <w:rPr>
                <w:rFonts w:hint="eastAsia" w:ascii="宋体" w:hAnsi="宋体"/>
                <w:color w:val="000000"/>
                <w:szCs w:val="21"/>
              </w:rPr>
              <w:t>年</w:t>
            </w:r>
          </w:p>
        </w:tc>
        <w:tc>
          <w:tcPr>
            <w:tcW w:w="740" w:type="dxa"/>
            <w:tcBorders>
              <w:top w:val="nil"/>
              <w:left w:val="nil"/>
              <w:bottom w:val="single" w:color="000000" w:sz="4" w:space="0"/>
              <w:right w:val="single" w:color="000000" w:sz="4" w:space="0"/>
            </w:tcBorders>
            <w:noWrap/>
            <w:vAlign w:val="center"/>
          </w:tcPr>
          <w:p w14:paraId="613A9321">
            <w:pPr>
              <w:widowControl/>
              <w:spacing w:line="280" w:lineRule="exact"/>
              <w:jc w:val="center"/>
              <w:rPr>
                <w:rFonts w:ascii="宋体" w:hAnsi="宋体" w:cs="宋体"/>
                <w:color w:val="000000"/>
                <w:szCs w:val="21"/>
              </w:rPr>
            </w:pPr>
            <w:r>
              <w:rPr>
                <w:rFonts w:hint="eastAsia" w:ascii="宋体" w:hAnsi="宋体" w:cs="宋体"/>
                <w:color w:val="000000"/>
                <w:szCs w:val="21"/>
              </w:rPr>
              <w:t>个</w:t>
            </w:r>
          </w:p>
        </w:tc>
        <w:tc>
          <w:tcPr>
            <w:tcW w:w="1000" w:type="dxa"/>
            <w:tcBorders>
              <w:top w:val="nil"/>
              <w:left w:val="nil"/>
              <w:bottom w:val="single" w:color="000000" w:sz="4" w:space="0"/>
              <w:right w:val="single" w:color="000000" w:sz="4" w:space="0"/>
            </w:tcBorders>
            <w:noWrap/>
            <w:vAlign w:val="center"/>
          </w:tcPr>
          <w:p w14:paraId="60629ABA">
            <w:pPr>
              <w:widowControl/>
              <w:spacing w:line="280" w:lineRule="exact"/>
              <w:jc w:val="center"/>
              <w:rPr>
                <w:rFonts w:ascii="宋体" w:hAnsi="宋体" w:cs="宋体"/>
                <w:color w:val="000000"/>
                <w:szCs w:val="21"/>
              </w:rPr>
            </w:pPr>
            <w:r>
              <w:rPr>
                <w:rFonts w:hint="eastAsia" w:ascii="宋体" w:hAnsi="宋体" w:cs="宋体"/>
                <w:color w:val="000000"/>
                <w:szCs w:val="21"/>
              </w:rPr>
              <w:t>0.18</w:t>
            </w:r>
          </w:p>
        </w:tc>
        <w:tc>
          <w:tcPr>
            <w:tcW w:w="741" w:type="dxa"/>
            <w:tcBorders>
              <w:top w:val="nil"/>
              <w:left w:val="nil"/>
              <w:bottom w:val="single" w:color="000000" w:sz="4" w:space="0"/>
              <w:right w:val="single" w:color="000000" w:sz="4" w:space="0"/>
            </w:tcBorders>
            <w:noWrap/>
            <w:vAlign w:val="center"/>
          </w:tcPr>
          <w:p w14:paraId="5C4F8ED4">
            <w:pPr>
              <w:widowControl/>
              <w:spacing w:line="280" w:lineRule="exact"/>
              <w:jc w:val="center"/>
              <w:rPr>
                <w:rFonts w:ascii="宋体" w:hAnsi="宋体" w:cs="宋体"/>
                <w:color w:val="000000"/>
                <w:szCs w:val="21"/>
              </w:rPr>
            </w:pPr>
            <w:r>
              <w:rPr>
                <w:rFonts w:hint="eastAsia" w:ascii="宋体" w:hAnsi="宋体" w:cs="宋体"/>
                <w:color w:val="000000"/>
                <w:szCs w:val="21"/>
              </w:rPr>
              <w:t>100</w:t>
            </w:r>
          </w:p>
        </w:tc>
        <w:tc>
          <w:tcPr>
            <w:tcW w:w="1649" w:type="dxa"/>
            <w:tcBorders>
              <w:top w:val="nil"/>
              <w:left w:val="nil"/>
              <w:bottom w:val="single" w:color="000000" w:sz="4" w:space="0"/>
              <w:right w:val="single" w:color="000000" w:sz="4" w:space="0"/>
            </w:tcBorders>
            <w:noWrap/>
            <w:vAlign w:val="center"/>
          </w:tcPr>
          <w:p w14:paraId="014C7034">
            <w:pPr>
              <w:widowControl/>
              <w:spacing w:line="280" w:lineRule="exact"/>
              <w:jc w:val="center"/>
              <w:rPr>
                <w:rFonts w:ascii="宋体" w:hAnsi="宋体" w:cs="宋体"/>
                <w:color w:val="000000"/>
                <w:szCs w:val="21"/>
              </w:rPr>
            </w:pPr>
            <w:r>
              <w:rPr>
                <w:rFonts w:hint="eastAsia" w:ascii="宋体" w:hAnsi="宋体" w:cs="宋体"/>
                <w:color w:val="000000"/>
                <w:szCs w:val="21"/>
              </w:rPr>
              <w:t>18</w:t>
            </w:r>
          </w:p>
        </w:tc>
        <w:tc>
          <w:tcPr>
            <w:tcW w:w="940" w:type="dxa"/>
            <w:tcBorders>
              <w:top w:val="nil"/>
              <w:left w:val="nil"/>
              <w:bottom w:val="single" w:color="000000" w:sz="4" w:space="0"/>
              <w:right w:val="single" w:color="000000" w:sz="4" w:space="0"/>
            </w:tcBorders>
            <w:noWrap/>
            <w:vAlign w:val="center"/>
          </w:tcPr>
          <w:p w14:paraId="616DCA0D">
            <w:pPr>
              <w:widowControl/>
              <w:spacing w:line="280" w:lineRule="exact"/>
              <w:jc w:val="center"/>
              <w:rPr>
                <w:rFonts w:ascii="宋体" w:hAnsi="宋体" w:cs="宋体"/>
                <w:color w:val="000000"/>
                <w:szCs w:val="21"/>
              </w:rPr>
            </w:pPr>
            <w:r>
              <w:rPr>
                <w:rFonts w:hint="eastAsia" w:ascii="宋体" w:hAnsi="宋体" w:cs="宋体"/>
                <w:color w:val="000000"/>
                <w:szCs w:val="21"/>
              </w:rPr>
              <w:t>　</w:t>
            </w:r>
          </w:p>
        </w:tc>
      </w:tr>
      <w:tr w14:paraId="40FB22F1">
        <w:tblPrEx>
          <w:tblCellMar>
            <w:top w:w="0" w:type="dxa"/>
            <w:left w:w="108" w:type="dxa"/>
            <w:bottom w:w="0" w:type="dxa"/>
            <w:right w:w="108" w:type="dxa"/>
          </w:tblCellMar>
        </w:tblPrEx>
        <w:trPr>
          <w:trHeight w:val="340" w:hRule="atLeast"/>
        </w:trPr>
        <w:tc>
          <w:tcPr>
            <w:tcW w:w="687" w:type="dxa"/>
            <w:tcBorders>
              <w:top w:val="nil"/>
              <w:left w:val="single" w:color="000000" w:sz="4" w:space="0"/>
              <w:bottom w:val="single" w:color="000000" w:sz="4" w:space="0"/>
              <w:right w:val="single" w:color="000000" w:sz="4" w:space="0"/>
            </w:tcBorders>
            <w:noWrap/>
            <w:vAlign w:val="center"/>
          </w:tcPr>
          <w:p w14:paraId="66DC6D8B">
            <w:pPr>
              <w:widowControl/>
              <w:spacing w:line="280" w:lineRule="exact"/>
              <w:jc w:val="center"/>
              <w:rPr>
                <w:rFonts w:ascii="宋体" w:hAnsi="宋体" w:cs="宋体"/>
                <w:color w:val="000000"/>
                <w:szCs w:val="21"/>
              </w:rPr>
            </w:pPr>
            <w:r>
              <w:rPr>
                <w:rFonts w:hint="eastAsia" w:ascii="宋体" w:hAnsi="宋体" w:cs="宋体"/>
                <w:color w:val="000000"/>
                <w:szCs w:val="21"/>
              </w:rPr>
              <w:t>5</w:t>
            </w:r>
          </w:p>
        </w:tc>
        <w:tc>
          <w:tcPr>
            <w:tcW w:w="1180" w:type="dxa"/>
            <w:vMerge w:val="continue"/>
            <w:tcBorders>
              <w:top w:val="nil"/>
              <w:left w:val="single" w:color="000000" w:sz="4" w:space="0"/>
              <w:bottom w:val="single" w:color="000000" w:sz="4" w:space="0"/>
              <w:right w:val="single" w:color="000000" w:sz="4" w:space="0"/>
            </w:tcBorders>
            <w:noWrap w:val="0"/>
            <w:vAlign w:val="center"/>
          </w:tcPr>
          <w:p w14:paraId="24F3ADA5">
            <w:pPr>
              <w:widowControl/>
              <w:spacing w:line="280" w:lineRule="exact"/>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0"/>
            <w:vAlign w:val="center"/>
          </w:tcPr>
          <w:p w14:paraId="5D15E413">
            <w:pPr>
              <w:widowControl/>
              <w:spacing w:line="280" w:lineRule="exact"/>
              <w:jc w:val="center"/>
              <w:rPr>
                <w:rFonts w:ascii="宋体" w:hAnsi="宋体" w:cs="宋体"/>
                <w:color w:val="000000"/>
                <w:szCs w:val="21"/>
              </w:rPr>
            </w:pPr>
            <w:r>
              <w:rPr>
                <w:rFonts w:hint="eastAsia" w:ascii="宋体" w:hAnsi="宋体" w:cs="宋体"/>
                <w:color w:val="000000"/>
                <w:szCs w:val="21"/>
              </w:rPr>
              <w:t>取样及疫情鉴定</w:t>
            </w:r>
          </w:p>
        </w:tc>
        <w:tc>
          <w:tcPr>
            <w:tcW w:w="980" w:type="dxa"/>
            <w:tcBorders>
              <w:top w:val="nil"/>
              <w:left w:val="nil"/>
              <w:bottom w:val="single" w:color="000000" w:sz="4" w:space="0"/>
              <w:right w:val="single" w:color="000000" w:sz="4" w:space="0"/>
            </w:tcBorders>
            <w:noWrap/>
            <w:vAlign w:val="center"/>
          </w:tcPr>
          <w:p w14:paraId="50F1B5C1">
            <w:pPr>
              <w:widowControl/>
              <w:spacing w:line="280" w:lineRule="exact"/>
              <w:jc w:val="center"/>
              <w:rPr>
                <w:rFonts w:ascii="宋体" w:hAnsi="宋体"/>
                <w:color w:val="000000"/>
                <w:szCs w:val="21"/>
              </w:rPr>
            </w:pPr>
            <w:r>
              <w:rPr>
                <w:rFonts w:ascii="宋体" w:hAnsi="宋体"/>
                <w:color w:val="000000"/>
                <w:szCs w:val="21"/>
              </w:rPr>
              <w:t>　</w:t>
            </w:r>
          </w:p>
        </w:tc>
        <w:tc>
          <w:tcPr>
            <w:tcW w:w="740" w:type="dxa"/>
            <w:tcBorders>
              <w:top w:val="nil"/>
              <w:left w:val="nil"/>
              <w:bottom w:val="single" w:color="000000" w:sz="4" w:space="0"/>
              <w:right w:val="single" w:color="000000" w:sz="4" w:space="0"/>
            </w:tcBorders>
            <w:noWrap/>
            <w:vAlign w:val="center"/>
          </w:tcPr>
          <w:p w14:paraId="26AC8CE8">
            <w:pPr>
              <w:widowControl/>
              <w:spacing w:line="280" w:lineRule="exact"/>
              <w:jc w:val="center"/>
              <w:rPr>
                <w:rFonts w:ascii="宋体" w:hAnsi="宋体" w:cs="宋体"/>
                <w:color w:val="000000"/>
                <w:szCs w:val="21"/>
              </w:rPr>
            </w:pPr>
            <w:r>
              <w:rPr>
                <w:rFonts w:hint="eastAsia" w:ascii="宋体" w:hAnsi="宋体" w:cs="宋体"/>
                <w:color w:val="000000"/>
                <w:szCs w:val="21"/>
              </w:rPr>
              <w:t>　</w:t>
            </w:r>
          </w:p>
        </w:tc>
        <w:tc>
          <w:tcPr>
            <w:tcW w:w="1000" w:type="dxa"/>
            <w:tcBorders>
              <w:top w:val="nil"/>
              <w:left w:val="nil"/>
              <w:bottom w:val="single" w:color="000000" w:sz="4" w:space="0"/>
              <w:right w:val="single" w:color="000000" w:sz="4" w:space="0"/>
            </w:tcBorders>
            <w:noWrap/>
            <w:vAlign w:val="center"/>
          </w:tcPr>
          <w:p w14:paraId="3E02B8C9">
            <w:pPr>
              <w:widowControl/>
              <w:spacing w:line="280" w:lineRule="exact"/>
              <w:jc w:val="center"/>
              <w:rPr>
                <w:rFonts w:ascii="宋体" w:hAnsi="宋体" w:cs="宋体"/>
                <w:color w:val="000000"/>
                <w:szCs w:val="21"/>
              </w:rPr>
            </w:pPr>
            <w:r>
              <w:rPr>
                <w:rFonts w:hint="eastAsia" w:ascii="宋体" w:hAnsi="宋体" w:cs="宋体"/>
                <w:color w:val="000000"/>
                <w:szCs w:val="21"/>
              </w:rPr>
              <w:t>　</w:t>
            </w:r>
          </w:p>
        </w:tc>
        <w:tc>
          <w:tcPr>
            <w:tcW w:w="741" w:type="dxa"/>
            <w:tcBorders>
              <w:top w:val="nil"/>
              <w:left w:val="nil"/>
              <w:bottom w:val="single" w:color="000000" w:sz="4" w:space="0"/>
              <w:right w:val="single" w:color="000000" w:sz="4" w:space="0"/>
            </w:tcBorders>
            <w:noWrap/>
            <w:vAlign w:val="center"/>
          </w:tcPr>
          <w:p w14:paraId="04159663">
            <w:pPr>
              <w:widowControl/>
              <w:spacing w:line="280" w:lineRule="exact"/>
              <w:jc w:val="center"/>
              <w:rPr>
                <w:rFonts w:ascii="宋体" w:hAnsi="宋体" w:cs="宋体"/>
                <w:color w:val="000000"/>
                <w:szCs w:val="21"/>
              </w:rPr>
            </w:pPr>
            <w:r>
              <w:rPr>
                <w:rFonts w:hint="eastAsia" w:ascii="宋体" w:hAnsi="宋体" w:cs="宋体"/>
                <w:color w:val="000000"/>
                <w:szCs w:val="21"/>
              </w:rPr>
              <w:t>　</w:t>
            </w:r>
          </w:p>
        </w:tc>
        <w:tc>
          <w:tcPr>
            <w:tcW w:w="1649" w:type="dxa"/>
            <w:tcBorders>
              <w:top w:val="nil"/>
              <w:left w:val="nil"/>
              <w:bottom w:val="single" w:color="000000" w:sz="4" w:space="0"/>
              <w:right w:val="single" w:color="000000" w:sz="4" w:space="0"/>
            </w:tcBorders>
            <w:noWrap/>
            <w:vAlign w:val="center"/>
          </w:tcPr>
          <w:p w14:paraId="55B0F71A">
            <w:pPr>
              <w:widowControl/>
              <w:spacing w:line="280" w:lineRule="exact"/>
              <w:jc w:val="center"/>
              <w:rPr>
                <w:rFonts w:ascii="宋体" w:hAnsi="宋体" w:cs="宋体"/>
                <w:color w:val="000000"/>
                <w:szCs w:val="21"/>
              </w:rPr>
            </w:pPr>
            <w:r>
              <w:rPr>
                <w:rFonts w:hint="eastAsia" w:ascii="宋体" w:hAnsi="宋体" w:cs="宋体"/>
                <w:color w:val="000000"/>
                <w:szCs w:val="21"/>
              </w:rPr>
              <w:t>4</w:t>
            </w:r>
          </w:p>
        </w:tc>
        <w:tc>
          <w:tcPr>
            <w:tcW w:w="940" w:type="dxa"/>
            <w:tcBorders>
              <w:top w:val="nil"/>
              <w:left w:val="nil"/>
              <w:bottom w:val="single" w:color="000000" w:sz="4" w:space="0"/>
              <w:right w:val="single" w:color="000000" w:sz="4" w:space="0"/>
            </w:tcBorders>
            <w:noWrap/>
            <w:vAlign w:val="center"/>
          </w:tcPr>
          <w:p w14:paraId="404BB176">
            <w:pPr>
              <w:widowControl/>
              <w:spacing w:line="280" w:lineRule="exact"/>
              <w:jc w:val="center"/>
              <w:rPr>
                <w:rFonts w:ascii="宋体" w:hAnsi="宋体" w:cs="宋体"/>
                <w:color w:val="000000"/>
                <w:szCs w:val="21"/>
              </w:rPr>
            </w:pPr>
            <w:r>
              <w:rPr>
                <w:rFonts w:hint="eastAsia" w:ascii="宋体" w:hAnsi="宋体" w:cs="宋体"/>
                <w:color w:val="000000"/>
                <w:szCs w:val="21"/>
              </w:rPr>
              <w:t>　</w:t>
            </w:r>
          </w:p>
        </w:tc>
      </w:tr>
      <w:tr w14:paraId="6ABC57AD">
        <w:tblPrEx>
          <w:tblCellMar>
            <w:top w:w="0" w:type="dxa"/>
            <w:left w:w="108" w:type="dxa"/>
            <w:bottom w:w="0" w:type="dxa"/>
            <w:right w:w="108" w:type="dxa"/>
          </w:tblCellMar>
        </w:tblPrEx>
        <w:trPr>
          <w:trHeight w:val="340" w:hRule="atLeast"/>
        </w:trPr>
        <w:tc>
          <w:tcPr>
            <w:tcW w:w="687" w:type="dxa"/>
            <w:tcBorders>
              <w:top w:val="nil"/>
              <w:left w:val="single" w:color="000000" w:sz="4" w:space="0"/>
              <w:bottom w:val="single" w:color="000000" w:sz="4" w:space="0"/>
              <w:right w:val="single" w:color="000000" w:sz="4" w:space="0"/>
            </w:tcBorders>
            <w:noWrap/>
            <w:vAlign w:val="center"/>
          </w:tcPr>
          <w:p w14:paraId="507E0C0F">
            <w:pPr>
              <w:widowControl/>
              <w:spacing w:line="280" w:lineRule="exact"/>
              <w:jc w:val="center"/>
              <w:rPr>
                <w:rFonts w:ascii="宋体" w:hAnsi="宋体" w:cs="宋体"/>
                <w:color w:val="000000"/>
                <w:szCs w:val="21"/>
              </w:rPr>
            </w:pPr>
            <w:r>
              <w:rPr>
                <w:rFonts w:hint="eastAsia" w:ascii="宋体" w:hAnsi="宋体" w:cs="宋体"/>
                <w:color w:val="000000"/>
                <w:szCs w:val="21"/>
              </w:rPr>
              <w:t>6</w:t>
            </w:r>
          </w:p>
        </w:tc>
        <w:tc>
          <w:tcPr>
            <w:tcW w:w="1180" w:type="dxa"/>
            <w:vMerge w:val="restart"/>
            <w:tcBorders>
              <w:top w:val="nil"/>
              <w:left w:val="single" w:color="000000" w:sz="4" w:space="0"/>
              <w:bottom w:val="nil"/>
              <w:right w:val="single" w:color="000000" w:sz="4" w:space="0"/>
            </w:tcBorders>
            <w:noWrap w:val="0"/>
            <w:vAlign w:val="center"/>
          </w:tcPr>
          <w:p w14:paraId="4B9CD61D">
            <w:pPr>
              <w:widowControl/>
              <w:spacing w:line="280" w:lineRule="exact"/>
              <w:jc w:val="center"/>
              <w:rPr>
                <w:rFonts w:ascii="宋体" w:hAnsi="宋体" w:cs="宋体"/>
                <w:color w:val="000000"/>
                <w:szCs w:val="21"/>
              </w:rPr>
            </w:pPr>
            <w:r>
              <w:rPr>
                <w:rFonts w:hint="eastAsia" w:ascii="宋体" w:hAnsi="宋体" w:cs="宋体"/>
                <w:color w:val="000000"/>
                <w:szCs w:val="21"/>
              </w:rPr>
              <w:t>疫情防控</w:t>
            </w:r>
          </w:p>
        </w:tc>
        <w:tc>
          <w:tcPr>
            <w:tcW w:w="1760" w:type="dxa"/>
            <w:tcBorders>
              <w:top w:val="nil"/>
              <w:left w:val="nil"/>
              <w:bottom w:val="single" w:color="000000" w:sz="4" w:space="0"/>
              <w:right w:val="single" w:color="000000" w:sz="4" w:space="0"/>
            </w:tcBorders>
            <w:noWrap w:val="0"/>
            <w:vAlign w:val="center"/>
          </w:tcPr>
          <w:p w14:paraId="434E5675">
            <w:pPr>
              <w:widowControl/>
              <w:spacing w:line="280" w:lineRule="exact"/>
              <w:jc w:val="center"/>
              <w:rPr>
                <w:rFonts w:ascii="宋体" w:hAnsi="宋体" w:cs="宋体"/>
                <w:color w:val="000000"/>
                <w:szCs w:val="21"/>
              </w:rPr>
            </w:pPr>
            <w:r>
              <w:rPr>
                <w:rFonts w:hint="eastAsia" w:ascii="宋体" w:hAnsi="宋体" w:cs="宋体"/>
                <w:color w:val="000000"/>
                <w:szCs w:val="21"/>
              </w:rPr>
              <w:t>疫木除治</w:t>
            </w:r>
          </w:p>
        </w:tc>
        <w:tc>
          <w:tcPr>
            <w:tcW w:w="980" w:type="dxa"/>
            <w:tcBorders>
              <w:top w:val="nil"/>
              <w:left w:val="nil"/>
              <w:bottom w:val="single" w:color="000000" w:sz="4" w:space="0"/>
              <w:right w:val="single" w:color="000000" w:sz="4" w:space="0"/>
            </w:tcBorders>
            <w:noWrap/>
            <w:vAlign w:val="center"/>
          </w:tcPr>
          <w:p w14:paraId="68C26504">
            <w:pPr>
              <w:widowControl/>
              <w:spacing w:line="280" w:lineRule="exact"/>
              <w:jc w:val="center"/>
              <w:rPr>
                <w:rFonts w:ascii="宋体" w:hAnsi="宋体"/>
                <w:color w:val="000000"/>
                <w:szCs w:val="21"/>
              </w:rPr>
            </w:pPr>
            <w:r>
              <w:rPr>
                <w:rFonts w:ascii="宋体" w:hAnsi="宋体"/>
                <w:color w:val="000000"/>
                <w:szCs w:val="21"/>
              </w:rPr>
              <w:t>　</w:t>
            </w:r>
          </w:p>
        </w:tc>
        <w:tc>
          <w:tcPr>
            <w:tcW w:w="740" w:type="dxa"/>
            <w:tcBorders>
              <w:top w:val="nil"/>
              <w:left w:val="nil"/>
              <w:bottom w:val="single" w:color="000000" w:sz="4" w:space="0"/>
              <w:right w:val="single" w:color="000000" w:sz="4" w:space="0"/>
            </w:tcBorders>
            <w:noWrap/>
            <w:vAlign w:val="center"/>
          </w:tcPr>
          <w:p w14:paraId="4C931FD2">
            <w:pPr>
              <w:widowControl/>
              <w:spacing w:line="280" w:lineRule="exact"/>
              <w:jc w:val="center"/>
              <w:rPr>
                <w:rFonts w:ascii="宋体" w:hAnsi="宋体" w:cs="宋体"/>
                <w:color w:val="000000"/>
                <w:szCs w:val="21"/>
              </w:rPr>
            </w:pPr>
            <w:r>
              <w:rPr>
                <w:rFonts w:hint="eastAsia" w:ascii="宋体" w:hAnsi="宋体" w:cs="宋体"/>
                <w:color w:val="000000"/>
                <w:szCs w:val="21"/>
              </w:rPr>
              <w:t>株</w:t>
            </w:r>
          </w:p>
        </w:tc>
        <w:tc>
          <w:tcPr>
            <w:tcW w:w="1000" w:type="dxa"/>
            <w:tcBorders>
              <w:top w:val="nil"/>
              <w:left w:val="nil"/>
              <w:bottom w:val="single" w:color="000000" w:sz="4" w:space="0"/>
              <w:right w:val="single" w:color="000000" w:sz="4" w:space="0"/>
            </w:tcBorders>
            <w:noWrap/>
            <w:vAlign w:val="center"/>
          </w:tcPr>
          <w:p w14:paraId="17BC3CB5">
            <w:pPr>
              <w:widowControl/>
              <w:spacing w:line="280" w:lineRule="exact"/>
              <w:jc w:val="center"/>
              <w:rPr>
                <w:rFonts w:ascii="宋体" w:hAnsi="宋体" w:cs="宋体"/>
                <w:color w:val="000000"/>
                <w:szCs w:val="21"/>
              </w:rPr>
            </w:pPr>
            <w:r>
              <w:rPr>
                <w:rFonts w:hint="eastAsia" w:ascii="宋体" w:hAnsi="宋体" w:cs="宋体"/>
                <w:color w:val="000000"/>
                <w:szCs w:val="21"/>
              </w:rPr>
              <w:t>0.045</w:t>
            </w:r>
          </w:p>
        </w:tc>
        <w:tc>
          <w:tcPr>
            <w:tcW w:w="741" w:type="dxa"/>
            <w:tcBorders>
              <w:top w:val="nil"/>
              <w:left w:val="nil"/>
              <w:bottom w:val="single" w:color="000000" w:sz="4" w:space="0"/>
              <w:right w:val="single" w:color="000000" w:sz="4" w:space="0"/>
            </w:tcBorders>
            <w:noWrap/>
            <w:vAlign w:val="center"/>
          </w:tcPr>
          <w:p w14:paraId="2691D1D5">
            <w:pPr>
              <w:widowControl/>
              <w:spacing w:line="280" w:lineRule="exact"/>
              <w:jc w:val="center"/>
              <w:rPr>
                <w:rFonts w:ascii="宋体" w:hAnsi="宋体" w:cs="宋体"/>
                <w:color w:val="000000"/>
                <w:szCs w:val="21"/>
              </w:rPr>
            </w:pPr>
            <w:r>
              <w:rPr>
                <w:rFonts w:hint="eastAsia" w:ascii="宋体" w:hAnsi="宋体" w:cs="宋体"/>
                <w:color w:val="000000"/>
                <w:szCs w:val="21"/>
              </w:rPr>
              <w:t>600</w:t>
            </w:r>
          </w:p>
        </w:tc>
        <w:tc>
          <w:tcPr>
            <w:tcW w:w="1649" w:type="dxa"/>
            <w:tcBorders>
              <w:top w:val="nil"/>
              <w:left w:val="nil"/>
              <w:bottom w:val="single" w:color="000000" w:sz="4" w:space="0"/>
              <w:right w:val="single" w:color="000000" w:sz="4" w:space="0"/>
            </w:tcBorders>
            <w:noWrap/>
            <w:vAlign w:val="center"/>
          </w:tcPr>
          <w:p w14:paraId="2F9B75E6">
            <w:pPr>
              <w:widowControl/>
              <w:spacing w:line="280" w:lineRule="exact"/>
              <w:jc w:val="center"/>
              <w:rPr>
                <w:rFonts w:ascii="宋体" w:hAnsi="宋体" w:cs="宋体"/>
                <w:color w:val="000000"/>
                <w:szCs w:val="21"/>
              </w:rPr>
            </w:pPr>
            <w:r>
              <w:rPr>
                <w:rFonts w:hint="eastAsia" w:ascii="宋体" w:hAnsi="宋体" w:cs="宋体"/>
                <w:color w:val="000000"/>
                <w:szCs w:val="21"/>
              </w:rPr>
              <w:t>27</w:t>
            </w:r>
          </w:p>
        </w:tc>
        <w:tc>
          <w:tcPr>
            <w:tcW w:w="940" w:type="dxa"/>
            <w:tcBorders>
              <w:top w:val="nil"/>
              <w:left w:val="nil"/>
              <w:bottom w:val="single" w:color="000000" w:sz="4" w:space="0"/>
              <w:right w:val="single" w:color="000000" w:sz="4" w:space="0"/>
            </w:tcBorders>
            <w:noWrap/>
            <w:vAlign w:val="center"/>
          </w:tcPr>
          <w:p w14:paraId="151A62C4">
            <w:pPr>
              <w:widowControl/>
              <w:spacing w:line="280" w:lineRule="exact"/>
              <w:jc w:val="center"/>
              <w:rPr>
                <w:rFonts w:ascii="宋体" w:hAnsi="宋体" w:cs="宋体"/>
                <w:color w:val="000000"/>
                <w:szCs w:val="21"/>
              </w:rPr>
            </w:pPr>
            <w:r>
              <w:rPr>
                <w:rFonts w:hint="eastAsia" w:ascii="宋体" w:hAnsi="宋体" w:cs="宋体"/>
                <w:color w:val="000000"/>
                <w:szCs w:val="21"/>
              </w:rPr>
              <w:t>　</w:t>
            </w:r>
          </w:p>
        </w:tc>
      </w:tr>
      <w:tr w14:paraId="7C379654">
        <w:tblPrEx>
          <w:tblCellMar>
            <w:top w:w="0" w:type="dxa"/>
            <w:left w:w="108" w:type="dxa"/>
            <w:bottom w:w="0" w:type="dxa"/>
            <w:right w:w="108" w:type="dxa"/>
          </w:tblCellMar>
        </w:tblPrEx>
        <w:trPr>
          <w:trHeight w:val="340" w:hRule="atLeast"/>
        </w:trPr>
        <w:tc>
          <w:tcPr>
            <w:tcW w:w="687" w:type="dxa"/>
            <w:tcBorders>
              <w:top w:val="nil"/>
              <w:left w:val="single" w:color="000000" w:sz="4" w:space="0"/>
              <w:bottom w:val="single" w:color="000000" w:sz="4" w:space="0"/>
              <w:right w:val="single" w:color="000000" w:sz="4" w:space="0"/>
            </w:tcBorders>
            <w:noWrap/>
            <w:vAlign w:val="center"/>
          </w:tcPr>
          <w:p w14:paraId="446F72C8">
            <w:pPr>
              <w:widowControl/>
              <w:spacing w:line="280" w:lineRule="exact"/>
              <w:jc w:val="center"/>
              <w:rPr>
                <w:rFonts w:ascii="宋体" w:hAnsi="宋体" w:cs="宋体"/>
                <w:color w:val="000000"/>
                <w:szCs w:val="21"/>
              </w:rPr>
            </w:pPr>
            <w:r>
              <w:rPr>
                <w:rFonts w:hint="eastAsia" w:ascii="宋体" w:hAnsi="宋体" w:cs="宋体"/>
                <w:color w:val="000000"/>
                <w:szCs w:val="21"/>
              </w:rPr>
              <w:t>7</w:t>
            </w:r>
          </w:p>
        </w:tc>
        <w:tc>
          <w:tcPr>
            <w:tcW w:w="1180" w:type="dxa"/>
            <w:vMerge w:val="continue"/>
            <w:tcBorders>
              <w:top w:val="nil"/>
              <w:left w:val="single" w:color="000000" w:sz="4" w:space="0"/>
              <w:bottom w:val="nil"/>
              <w:right w:val="single" w:color="000000" w:sz="4" w:space="0"/>
            </w:tcBorders>
            <w:noWrap w:val="0"/>
            <w:vAlign w:val="center"/>
          </w:tcPr>
          <w:p w14:paraId="66665289">
            <w:pPr>
              <w:widowControl/>
              <w:spacing w:line="280" w:lineRule="exact"/>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0"/>
            <w:vAlign w:val="center"/>
          </w:tcPr>
          <w:p w14:paraId="571AC316">
            <w:pPr>
              <w:widowControl/>
              <w:spacing w:line="280" w:lineRule="exact"/>
              <w:jc w:val="center"/>
              <w:rPr>
                <w:rFonts w:ascii="宋体" w:hAnsi="宋体" w:cs="宋体"/>
                <w:color w:val="000000"/>
                <w:szCs w:val="21"/>
              </w:rPr>
            </w:pPr>
            <w:r>
              <w:rPr>
                <w:rFonts w:hint="eastAsia" w:ascii="宋体" w:hAnsi="宋体" w:cs="宋体"/>
                <w:color w:val="000000"/>
                <w:szCs w:val="21"/>
              </w:rPr>
              <w:t>打孔注药</w:t>
            </w:r>
          </w:p>
        </w:tc>
        <w:tc>
          <w:tcPr>
            <w:tcW w:w="980" w:type="dxa"/>
            <w:tcBorders>
              <w:top w:val="nil"/>
              <w:left w:val="nil"/>
              <w:bottom w:val="single" w:color="000000" w:sz="4" w:space="0"/>
              <w:right w:val="single" w:color="000000" w:sz="4" w:space="0"/>
            </w:tcBorders>
            <w:noWrap/>
            <w:vAlign w:val="center"/>
          </w:tcPr>
          <w:p w14:paraId="11049167">
            <w:pPr>
              <w:widowControl/>
              <w:spacing w:line="280" w:lineRule="exact"/>
              <w:jc w:val="center"/>
              <w:rPr>
                <w:rFonts w:ascii="宋体" w:hAnsi="宋体"/>
                <w:color w:val="000000"/>
                <w:szCs w:val="21"/>
              </w:rPr>
            </w:pPr>
            <w:r>
              <w:rPr>
                <w:rFonts w:ascii="宋体" w:hAnsi="宋体"/>
                <w:color w:val="000000"/>
                <w:szCs w:val="21"/>
              </w:rPr>
              <w:t>1</w:t>
            </w:r>
            <w:r>
              <w:rPr>
                <w:rFonts w:hint="eastAsia" w:ascii="宋体" w:hAnsi="宋体"/>
                <w:color w:val="000000"/>
                <w:szCs w:val="21"/>
              </w:rPr>
              <w:t>次</w:t>
            </w:r>
          </w:p>
        </w:tc>
        <w:tc>
          <w:tcPr>
            <w:tcW w:w="740" w:type="dxa"/>
            <w:tcBorders>
              <w:top w:val="nil"/>
              <w:left w:val="nil"/>
              <w:bottom w:val="single" w:color="000000" w:sz="4" w:space="0"/>
              <w:right w:val="single" w:color="000000" w:sz="4" w:space="0"/>
            </w:tcBorders>
            <w:noWrap/>
            <w:vAlign w:val="center"/>
          </w:tcPr>
          <w:p w14:paraId="06B21FD1">
            <w:pPr>
              <w:widowControl/>
              <w:spacing w:line="280" w:lineRule="exact"/>
              <w:jc w:val="center"/>
              <w:rPr>
                <w:rFonts w:ascii="宋体" w:hAnsi="宋体" w:cs="宋体"/>
                <w:color w:val="000000"/>
                <w:szCs w:val="21"/>
              </w:rPr>
            </w:pPr>
            <w:r>
              <w:rPr>
                <w:rFonts w:hint="eastAsia" w:ascii="宋体" w:hAnsi="宋体" w:cs="宋体"/>
                <w:color w:val="000000"/>
                <w:szCs w:val="21"/>
              </w:rPr>
              <w:t>株</w:t>
            </w:r>
          </w:p>
        </w:tc>
        <w:tc>
          <w:tcPr>
            <w:tcW w:w="1000" w:type="dxa"/>
            <w:tcBorders>
              <w:top w:val="nil"/>
              <w:left w:val="nil"/>
              <w:bottom w:val="single" w:color="000000" w:sz="4" w:space="0"/>
              <w:right w:val="single" w:color="000000" w:sz="4" w:space="0"/>
            </w:tcBorders>
            <w:noWrap/>
            <w:vAlign w:val="center"/>
          </w:tcPr>
          <w:p w14:paraId="484B5050">
            <w:pPr>
              <w:widowControl/>
              <w:spacing w:line="280" w:lineRule="exact"/>
              <w:jc w:val="center"/>
              <w:rPr>
                <w:rFonts w:ascii="宋体" w:hAnsi="宋体" w:cs="宋体"/>
                <w:color w:val="000000"/>
                <w:szCs w:val="21"/>
              </w:rPr>
            </w:pPr>
            <w:r>
              <w:rPr>
                <w:rFonts w:hint="eastAsia" w:ascii="宋体" w:hAnsi="宋体" w:cs="宋体"/>
                <w:color w:val="000000"/>
                <w:szCs w:val="21"/>
              </w:rPr>
              <w:t>0.004</w:t>
            </w:r>
          </w:p>
        </w:tc>
        <w:tc>
          <w:tcPr>
            <w:tcW w:w="741" w:type="dxa"/>
            <w:tcBorders>
              <w:top w:val="nil"/>
              <w:left w:val="nil"/>
              <w:bottom w:val="single" w:color="000000" w:sz="4" w:space="0"/>
              <w:right w:val="single" w:color="000000" w:sz="4" w:space="0"/>
            </w:tcBorders>
            <w:noWrap/>
            <w:vAlign w:val="center"/>
          </w:tcPr>
          <w:p w14:paraId="49251436">
            <w:pPr>
              <w:widowControl/>
              <w:spacing w:line="280" w:lineRule="exact"/>
              <w:jc w:val="center"/>
              <w:rPr>
                <w:rFonts w:ascii="宋体" w:hAnsi="宋体" w:cs="宋体"/>
                <w:color w:val="000000"/>
                <w:szCs w:val="21"/>
              </w:rPr>
            </w:pPr>
            <w:r>
              <w:rPr>
                <w:rFonts w:hint="eastAsia" w:ascii="宋体" w:hAnsi="宋体" w:cs="宋体"/>
                <w:color w:val="000000"/>
                <w:szCs w:val="21"/>
              </w:rPr>
              <w:t>34000</w:t>
            </w:r>
          </w:p>
        </w:tc>
        <w:tc>
          <w:tcPr>
            <w:tcW w:w="1649" w:type="dxa"/>
            <w:tcBorders>
              <w:top w:val="nil"/>
              <w:left w:val="nil"/>
              <w:bottom w:val="single" w:color="000000" w:sz="4" w:space="0"/>
              <w:right w:val="single" w:color="000000" w:sz="4" w:space="0"/>
            </w:tcBorders>
            <w:noWrap/>
            <w:vAlign w:val="center"/>
          </w:tcPr>
          <w:p w14:paraId="097C3A72">
            <w:pPr>
              <w:widowControl/>
              <w:spacing w:line="280" w:lineRule="exact"/>
              <w:jc w:val="center"/>
              <w:rPr>
                <w:rFonts w:ascii="宋体" w:hAnsi="宋体" w:cs="宋体"/>
                <w:color w:val="000000"/>
                <w:szCs w:val="21"/>
              </w:rPr>
            </w:pPr>
            <w:r>
              <w:rPr>
                <w:rFonts w:hint="eastAsia" w:ascii="宋体" w:hAnsi="宋体" w:cs="宋体"/>
                <w:color w:val="000000"/>
                <w:szCs w:val="21"/>
              </w:rPr>
              <w:t>136</w:t>
            </w:r>
          </w:p>
        </w:tc>
        <w:tc>
          <w:tcPr>
            <w:tcW w:w="940" w:type="dxa"/>
            <w:tcBorders>
              <w:top w:val="nil"/>
              <w:left w:val="nil"/>
              <w:bottom w:val="single" w:color="000000" w:sz="4" w:space="0"/>
              <w:right w:val="single" w:color="000000" w:sz="4" w:space="0"/>
            </w:tcBorders>
            <w:noWrap/>
            <w:vAlign w:val="center"/>
          </w:tcPr>
          <w:p w14:paraId="65DBCCAA">
            <w:pPr>
              <w:widowControl/>
              <w:spacing w:line="280" w:lineRule="exact"/>
              <w:jc w:val="center"/>
              <w:rPr>
                <w:rFonts w:ascii="宋体" w:hAnsi="宋体" w:cs="宋体"/>
                <w:color w:val="000000"/>
                <w:szCs w:val="21"/>
              </w:rPr>
            </w:pPr>
            <w:r>
              <w:rPr>
                <w:rFonts w:hint="eastAsia" w:ascii="宋体" w:hAnsi="宋体" w:cs="宋体"/>
                <w:color w:val="000000"/>
                <w:szCs w:val="21"/>
              </w:rPr>
              <w:t>　</w:t>
            </w:r>
          </w:p>
        </w:tc>
      </w:tr>
      <w:tr w14:paraId="4F2B3648">
        <w:tblPrEx>
          <w:tblCellMar>
            <w:top w:w="0" w:type="dxa"/>
            <w:left w:w="108" w:type="dxa"/>
            <w:bottom w:w="0" w:type="dxa"/>
            <w:right w:w="108" w:type="dxa"/>
          </w:tblCellMar>
        </w:tblPrEx>
        <w:trPr>
          <w:trHeight w:val="340" w:hRule="atLeast"/>
        </w:trPr>
        <w:tc>
          <w:tcPr>
            <w:tcW w:w="687" w:type="dxa"/>
            <w:tcBorders>
              <w:top w:val="nil"/>
              <w:left w:val="single" w:color="000000" w:sz="4" w:space="0"/>
              <w:bottom w:val="single" w:color="000000" w:sz="4" w:space="0"/>
              <w:right w:val="single" w:color="000000" w:sz="4" w:space="0"/>
            </w:tcBorders>
            <w:noWrap/>
            <w:vAlign w:val="center"/>
          </w:tcPr>
          <w:p w14:paraId="5CE07C56">
            <w:pPr>
              <w:widowControl/>
              <w:spacing w:line="280" w:lineRule="exact"/>
              <w:jc w:val="center"/>
              <w:rPr>
                <w:rFonts w:ascii="宋体" w:hAnsi="宋体" w:cs="宋体"/>
                <w:color w:val="000000"/>
                <w:szCs w:val="21"/>
              </w:rPr>
            </w:pPr>
            <w:r>
              <w:rPr>
                <w:rFonts w:hint="eastAsia" w:ascii="宋体" w:hAnsi="宋体" w:cs="宋体"/>
                <w:color w:val="000000"/>
                <w:szCs w:val="21"/>
              </w:rPr>
              <w:t>8</w:t>
            </w:r>
          </w:p>
        </w:tc>
        <w:tc>
          <w:tcPr>
            <w:tcW w:w="1180" w:type="dxa"/>
            <w:vMerge w:val="continue"/>
            <w:tcBorders>
              <w:top w:val="nil"/>
              <w:left w:val="single" w:color="000000" w:sz="4" w:space="0"/>
              <w:bottom w:val="nil"/>
              <w:right w:val="single" w:color="000000" w:sz="4" w:space="0"/>
            </w:tcBorders>
            <w:noWrap w:val="0"/>
            <w:vAlign w:val="center"/>
          </w:tcPr>
          <w:p w14:paraId="701E2F02">
            <w:pPr>
              <w:widowControl/>
              <w:spacing w:line="280" w:lineRule="exact"/>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0"/>
            <w:vAlign w:val="center"/>
          </w:tcPr>
          <w:p w14:paraId="0BA704E4">
            <w:pPr>
              <w:widowControl/>
              <w:spacing w:line="280" w:lineRule="exact"/>
              <w:jc w:val="center"/>
              <w:rPr>
                <w:rFonts w:ascii="宋体" w:hAnsi="宋体" w:cs="宋体"/>
                <w:color w:val="000000"/>
                <w:szCs w:val="21"/>
              </w:rPr>
            </w:pPr>
            <w:r>
              <w:rPr>
                <w:rFonts w:hint="eastAsia" w:ascii="宋体" w:hAnsi="宋体" w:cs="宋体"/>
                <w:color w:val="000000"/>
                <w:szCs w:val="21"/>
              </w:rPr>
              <w:t>生物防治</w:t>
            </w:r>
          </w:p>
        </w:tc>
        <w:tc>
          <w:tcPr>
            <w:tcW w:w="980" w:type="dxa"/>
            <w:tcBorders>
              <w:top w:val="nil"/>
              <w:left w:val="nil"/>
              <w:bottom w:val="single" w:color="000000" w:sz="4" w:space="0"/>
              <w:right w:val="single" w:color="000000" w:sz="4" w:space="0"/>
            </w:tcBorders>
            <w:noWrap/>
            <w:vAlign w:val="center"/>
          </w:tcPr>
          <w:p w14:paraId="3FF76851">
            <w:pPr>
              <w:widowControl/>
              <w:spacing w:line="280" w:lineRule="exact"/>
              <w:jc w:val="center"/>
              <w:rPr>
                <w:rFonts w:ascii="宋体" w:hAnsi="宋体"/>
                <w:color w:val="000000"/>
                <w:szCs w:val="21"/>
              </w:rPr>
            </w:pPr>
            <w:r>
              <w:rPr>
                <w:rFonts w:ascii="宋体" w:hAnsi="宋体"/>
                <w:color w:val="000000"/>
                <w:szCs w:val="21"/>
              </w:rPr>
              <w:t>1</w:t>
            </w:r>
            <w:r>
              <w:rPr>
                <w:rFonts w:hint="eastAsia" w:ascii="宋体" w:hAnsi="宋体"/>
                <w:color w:val="000000"/>
                <w:szCs w:val="21"/>
              </w:rPr>
              <w:t>次</w:t>
            </w:r>
            <w:r>
              <w:rPr>
                <w:rFonts w:ascii="宋体" w:hAnsi="宋体"/>
                <w:color w:val="000000"/>
                <w:szCs w:val="21"/>
              </w:rPr>
              <w:t>/</w:t>
            </w:r>
            <w:r>
              <w:rPr>
                <w:rFonts w:hint="eastAsia" w:ascii="宋体" w:hAnsi="宋体"/>
                <w:color w:val="000000"/>
                <w:szCs w:val="21"/>
              </w:rPr>
              <w:t>年</w:t>
            </w:r>
          </w:p>
        </w:tc>
        <w:tc>
          <w:tcPr>
            <w:tcW w:w="740" w:type="dxa"/>
            <w:tcBorders>
              <w:top w:val="nil"/>
              <w:left w:val="nil"/>
              <w:bottom w:val="single" w:color="000000" w:sz="4" w:space="0"/>
              <w:right w:val="single" w:color="000000" w:sz="4" w:space="0"/>
            </w:tcBorders>
            <w:noWrap/>
            <w:vAlign w:val="center"/>
          </w:tcPr>
          <w:p w14:paraId="33CDB487">
            <w:pPr>
              <w:widowControl/>
              <w:spacing w:line="280" w:lineRule="exact"/>
              <w:jc w:val="center"/>
              <w:rPr>
                <w:rFonts w:ascii="宋体" w:hAnsi="宋体" w:cs="宋体"/>
                <w:color w:val="000000"/>
                <w:szCs w:val="21"/>
              </w:rPr>
            </w:pPr>
            <w:r>
              <w:rPr>
                <w:rFonts w:hint="eastAsia" w:ascii="宋体" w:hAnsi="宋体" w:cs="宋体"/>
                <w:color w:val="000000"/>
                <w:szCs w:val="21"/>
              </w:rPr>
              <w:t>亩次</w:t>
            </w:r>
          </w:p>
        </w:tc>
        <w:tc>
          <w:tcPr>
            <w:tcW w:w="1000" w:type="dxa"/>
            <w:tcBorders>
              <w:top w:val="nil"/>
              <w:left w:val="nil"/>
              <w:bottom w:val="single" w:color="000000" w:sz="4" w:space="0"/>
              <w:right w:val="single" w:color="000000" w:sz="4" w:space="0"/>
            </w:tcBorders>
            <w:noWrap/>
            <w:vAlign w:val="center"/>
          </w:tcPr>
          <w:p w14:paraId="7E53A9D9">
            <w:pPr>
              <w:widowControl/>
              <w:spacing w:line="280" w:lineRule="exact"/>
              <w:jc w:val="center"/>
              <w:rPr>
                <w:rFonts w:ascii="宋体" w:hAnsi="宋体" w:cs="宋体"/>
                <w:color w:val="000000"/>
                <w:szCs w:val="21"/>
              </w:rPr>
            </w:pPr>
            <w:r>
              <w:rPr>
                <w:rFonts w:hint="eastAsia" w:ascii="宋体" w:hAnsi="宋体" w:cs="宋体"/>
                <w:color w:val="000000"/>
                <w:szCs w:val="21"/>
              </w:rPr>
              <w:t>0.001</w:t>
            </w:r>
          </w:p>
        </w:tc>
        <w:tc>
          <w:tcPr>
            <w:tcW w:w="741" w:type="dxa"/>
            <w:tcBorders>
              <w:top w:val="nil"/>
              <w:left w:val="nil"/>
              <w:bottom w:val="single" w:color="000000" w:sz="4" w:space="0"/>
              <w:right w:val="single" w:color="000000" w:sz="4" w:space="0"/>
            </w:tcBorders>
            <w:noWrap/>
            <w:vAlign w:val="center"/>
          </w:tcPr>
          <w:p w14:paraId="3FEFE33B">
            <w:pPr>
              <w:widowControl/>
              <w:spacing w:line="280" w:lineRule="exact"/>
              <w:jc w:val="center"/>
              <w:rPr>
                <w:rFonts w:ascii="宋体" w:hAnsi="宋体" w:cs="宋体"/>
                <w:color w:val="000000"/>
                <w:szCs w:val="21"/>
              </w:rPr>
            </w:pPr>
            <w:r>
              <w:rPr>
                <w:rFonts w:hint="eastAsia" w:ascii="宋体" w:hAnsi="宋体" w:cs="宋体"/>
                <w:color w:val="000000"/>
                <w:szCs w:val="21"/>
              </w:rPr>
              <w:t>4000</w:t>
            </w:r>
          </w:p>
        </w:tc>
        <w:tc>
          <w:tcPr>
            <w:tcW w:w="1649" w:type="dxa"/>
            <w:tcBorders>
              <w:top w:val="nil"/>
              <w:left w:val="nil"/>
              <w:bottom w:val="single" w:color="000000" w:sz="4" w:space="0"/>
              <w:right w:val="single" w:color="000000" w:sz="4" w:space="0"/>
            </w:tcBorders>
            <w:noWrap/>
            <w:vAlign w:val="center"/>
          </w:tcPr>
          <w:p w14:paraId="296ADDFE">
            <w:pPr>
              <w:widowControl/>
              <w:spacing w:line="280" w:lineRule="exact"/>
              <w:jc w:val="center"/>
              <w:rPr>
                <w:rFonts w:ascii="宋体" w:hAnsi="宋体" w:cs="宋体"/>
                <w:color w:val="000000"/>
                <w:szCs w:val="21"/>
              </w:rPr>
            </w:pPr>
            <w:r>
              <w:rPr>
                <w:rFonts w:hint="eastAsia" w:ascii="宋体" w:hAnsi="宋体" w:cs="宋体"/>
                <w:color w:val="000000"/>
                <w:szCs w:val="21"/>
              </w:rPr>
              <w:t>4</w:t>
            </w:r>
          </w:p>
        </w:tc>
        <w:tc>
          <w:tcPr>
            <w:tcW w:w="940" w:type="dxa"/>
            <w:tcBorders>
              <w:top w:val="nil"/>
              <w:left w:val="nil"/>
              <w:bottom w:val="single" w:color="000000" w:sz="4" w:space="0"/>
              <w:right w:val="single" w:color="000000" w:sz="4" w:space="0"/>
            </w:tcBorders>
            <w:noWrap/>
            <w:vAlign w:val="center"/>
          </w:tcPr>
          <w:p w14:paraId="6446191F">
            <w:pPr>
              <w:widowControl/>
              <w:spacing w:line="280" w:lineRule="exact"/>
              <w:jc w:val="center"/>
              <w:rPr>
                <w:rFonts w:ascii="宋体" w:hAnsi="宋体" w:cs="宋体"/>
                <w:color w:val="000000"/>
                <w:szCs w:val="21"/>
              </w:rPr>
            </w:pPr>
            <w:r>
              <w:rPr>
                <w:rFonts w:hint="eastAsia" w:ascii="宋体" w:hAnsi="宋体" w:cs="宋体"/>
                <w:color w:val="000000"/>
                <w:szCs w:val="21"/>
              </w:rPr>
              <w:t>　</w:t>
            </w:r>
          </w:p>
        </w:tc>
      </w:tr>
      <w:tr w14:paraId="7E97FFFB">
        <w:tblPrEx>
          <w:tblCellMar>
            <w:top w:w="0" w:type="dxa"/>
            <w:left w:w="108" w:type="dxa"/>
            <w:bottom w:w="0" w:type="dxa"/>
            <w:right w:w="108" w:type="dxa"/>
          </w:tblCellMar>
        </w:tblPrEx>
        <w:trPr>
          <w:trHeight w:val="340" w:hRule="atLeast"/>
        </w:trPr>
        <w:tc>
          <w:tcPr>
            <w:tcW w:w="687" w:type="dxa"/>
            <w:tcBorders>
              <w:top w:val="nil"/>
              <w:left w:val="single" w:color="000000" w:sz="4" w:space="0"/>
              <w:bottom w:val="single" w:color="000000" w:sz="4" w:space="0"/>
              <w:right w:val="single" w:color="000000" w:sz="4" w:space="0"/>
            </w:tcBorders>
            <w:noWrap/>
            <w:vAlign w:val="center"/>
          </w:tcPr>
          <w:p w14:paraId="75C88477">
            <w:pPr>
              <w:widowControl/>
              <w:spacing w:line="280" w:lineRule="exact"/>
              <w:jc w:val="center"/>
              <w:rPr>
                <w:rFonts w:ascii="宋体" w:hAnsi="宋体" w:cs="宋体"/>
                <w:color w:val="000000"/>
                <w:szCs w:val="21"/>
              </w:rPr>
            </w:pPr>
            <w:r>
              <w:rPr>
                <w:rFonts w:hint="eastAsia" w:ascii="宋体" w:hAnsi="宋体" w:cs="宋体"/>
                <w:color w:val="000000"/>
                <w:szCs w:val="21"/>
              </w:rPr>
              <w:t>9</w:t>
            </w:r>
          </w:p>
        </w:tc>
        <w:tc>
          <w:tcPr>
            <w:tcW w:w="1180" w:type="dxa"/>
            <w:vMerge w:val="continue"/>
            <w:tcBorders>
              <w:top w:val="nil"/>
              <w:left w:val="single" w:color="000000" w:sz="4" w:space="0"/>
              <w:bottom w:val="nil"/>
              <w:right w:val="single" w:color="000000" w:sz="4" w:space="0"/>
            </w:tcBorders>
            <w:noWrap w:val="0"/>
            <w:vAlign w:val="center"/>
          </w:tcPr>
          <w:p w14:paraId="72F71B52">
            <w:pPr>
              <w:widowControl/>
              <w:spacing w:line="280" w:lineRule="exact"/>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0"/>
            <w:vAlign w:val="center"/>
          </w:tcPr>
          <w:p w14:paraId="32003B23">
            <w:pPr>
              <w:widowControl/>
              <w:spacing w:line="280" w:lineRule="exact"/>
              <w:jc w:val="center"/>
              <w:rPr>
                <w:rFonts w:ascii="宋体" w:hAnsi="宋体" w:cs="宋体"/>
                <w:color w:val="000000"/>
                <w:szCs w:val="21"/>
              </w:rPr>
            </w:pPr>
            <w:r>
              <w:rPr>
                <w:rFonts w:hint="eastAsia" w:ascii="宋体" w:hAnsi="宋体" w:cs="宋体"/>
                <w:color w:val="000000"/>
                <w:szCs w:val="21"/>
              </w:rPr>
              <w:t>药剂防治</w:t>
            </w:r>
          </w:p>
        </w:tc>
        <w:tc>
          <w:tcPr>
            <w:tcW w:w="980" w:type="dxa"/>
            <w:tcBorders>
              <w:top w:val="nil"/>
              <w:left w:val="nil"/>
              <w:bottom w:val="single" w:color="000000" w:sz="4" w:space="0"/>
              <w:right w:val="single" w:color="000000" w:sz="4" w:space="0"/>
            </w:tcBorders>
            <w:noWrap/>
            <w:vAlign w:val="center"/>
          </w:tcPr>
          <w:p w14:paraId="2286CA4F">
            <w:pPr>
              <w:widowControl/>
              <w:spacing w:line="280" w:lineRule="exact"/>
              <w:jc w:val="center"/>
              <w:rPr>
                <w:rFonts w:ascii="宋体" w:hAnsi="宋体"/>
                <w:color w:val="000000"/>
                <w:szCs w:val="21"/>
              </w:rPr>
            </w:pPr>
            <w:r>
              <w:rPr>
                <w:rFonts w:ascii="宋体" w:hAnsi="宋体"/>
                <w:color w:val="000000"/>
                <w:szCs w:val="21"/>
              </w:rPr>
              <w:t>2</w:t>
            </w:r>
            <w:r>
              <w:rPr>
                <w:rFonts w:hint="eastAsia" w:ascii="宋体" w:hAnsi="宋体"/>
                <w:color w:val="000000"/>
                <w:szCs w:val="21"/>
              </w:rPr>
              <w:t>次</w:t>
            </w:r>
            <w:r>
              <w:rPr>
                <w:rFonts w:ascii="宋体" w:hAnsi="宋体"/>
                <w:color w:val="000000"/>
                <w:szCs w:val="21"/>
              </w:rPr>
              <w:t>/</w:t>
            </w:r>
            <w:r>
              <w:rPr>
                <w:rFonts w:hint="eastAsia" w:ascii="宋体" w:hAnsi="宋体"/>
                <w:color w:val="000000"/>
                <w:szCs w:val="21"/>
              </w:rPr>
              <w:t>年</w:t>
            </w:r>
          </w:p>
        </w:tc>
        <w:tc>
          <w:tcPr>
            <w:tcW w:w="740" w:type="dxa"/>
            <w:tcBorders>
              <w:top w:val="nil"/>
              <w:left w:val="nil"/>
              <w:bottom w:val="single" w:color="000000" w:sz="4" w:space="0"/>
              <w:right w:val="single" w:color="000000" w:sz="4" w:space="0"/>
            </w:tcBorders>
            <w:noWrap/>
            <w:vAlign w:val="center"/>
          </w:tcPr>
          <w:p w14:paraId="2AC64D66">
            <w:pPr>
              <w:widowControl/>
              <w:spacing w:line="280" w:lineRule="exact"/>
              <w:jc w:val="center"/>
              <w:rPr>
                <w:rFonts w:ascii="宋体" w:hAnsi="宋体" w:cs="宋体"/>
                <w:color w:val="000000"/>
                <w:szCs w:val="21"/>
              </w:rPr>
            </w:pPr>
            <w:r>
              <w:rPr>
                <w:rFonts w:hint="eastAsia" w:ascii="宋体" w:hAnsi="宋体" w:cs="宋体"/>
                <w:color w:val="000000"/>
                <w:szCs w:val="21"/>
              </w:rPr>
              <w:t>亩次</w:t>
            </w:r>
          </w:p>
        </w:tc>
        <w:tc>
          <w:tcPr>
            <w:tcW w:w="1000" w:type="dxa"/>
            <w:tcBorders>
              <w:top w:val="nil"/>
              <w:left w:val="nil"/>
              <w:bottom w:val="single" w:color="000000" w:sz="4" w:space="0"/>
              <w:right w:val="single" w:color="000000" w:sz="4" w:space="0"/>
            </w:tcBorders>
            <w:noWrap/>
            <w:vAlign w:val="center"/>
          </w:tcPr>
          <w:p w14:paraId="0AED62D9">
            <w:pPr>
              <w:widowControl/>
              <w:spacing w:line="280" w:lineRule="exact"/>
              <w:jc w:val="center"/>
              <w:rPr>
                <w:rFonts w:ascii="宋体" w:hAnsi="宋体" w:cs="宋体"/>
                <w:color w:val="000000"/>
                <w:szCs w:val="21"/>
              </w:rPr>
            </w:pPr>
            <w:r>
              <w:rPr>
                <w:rFonts w:hint="eastAsia" w:ascii="宋体" w:hAnsi="宋体" w:cs="宋体"/>
                <w:color w:val="000000"/>
                <w:szCs w:val="21"/>
              </w:rPr>
              <w:t>0.005</w:t>
            </w:r>
          </w:p>
        </w:tc>
        <w:tc>
          <w:tcPr>
            <w:tcW w:w="741" w:type="dxa"/>
            <w:tcBorders>
              <w:top w:val="nil"/>
              <w:left w:val="nil"/>
              <w:bottom w:val="single" w:color="000000" w:sz="4" w:space="0"/>
              <w:right w:val="single" w:color="000000" w:sz="4" w:space="0"/>
            </w:tcBorders>
            <w:noWrap/>
            <w:vAlign w:val="center"/>
          </w:tcPr>
          <w:p w14:paraId="61F3FE3A">
            <w:pPr>
              <w:widowControl/>
              <w:spacing w:line="280" w:lineRule="exact"/>
              <w:jc w:val="center"/>
              <w:rPr>
                <w:rFonts w:ascii="宋体" w:hAnsi="宋体" w:cs="宋体"/>
                <w:color w:val="000000"/>
                <w:szCs w:val="21"/>
              </w:rPr>
            </w:pPr>
            <w:r>
              <w:rPr>
                <w:rFonts w:hint="eastAsia" w:ascii="宋体" w:hAnsi="宋体" w:cs="宋体"/>
                <w:color w:val="000000"/>
                <w:szCs w:val="21"/>
              </w:rPr>
              <w:t>5000</w:t>
            </w:r>
          </w:p>
        </w:tc>
        <w:tc>
          <w:tcPr>
            <w:tcW w:w="1649" w:type="dxa"/>
            <w:tcBorders>
              <w:top w:val="nil"/>
              <w:left w:val="nil"/>
              <w:bottom w:val="single" w:color="000000" w:sz="4" w:space="0"/>
              <w:right w:val="single" w:color="000000" w:sz="4" w:space="0"/>
            </w:tcBorders>
            <w:noWrap/>
            <w:vAlign w:val="center"/>
          </w:tcPr>
          <w:p w14:paraId="3DB9FB74">
            <w:pPr>
              <w:widowControl/>
              <w:spacing w:line="280" w:lineRule="exact"/>
              <w:jc w:val="center"/>
              <w:rPr>
                <w:rFonts w:ascii="宋体" w:hAnsi="宋体" w:cs="宋体"/>
                <w:color w:val="000000"/>
                <w:szCs w:val="21"/>
              </w:rPr>
            </w:pPr>
            <w:r>
              <w:rPr>
                <w:rFonts w:hint="eastAsia" w:ascii="宋体" w:hAnsi="宋体" w:cs="宋体"/>
                <w:color w:val="000000"/>
                <w:szCs w:val="21"/>
              </w:rPr>
              <w:t>25</w:t>
            </w:r>
          </w:p>
        </w:tc>
        <w:tc>
          <w:tcPr>
            <w:tcW w:w="940" w:type="dxa"/>
            <w:tcBorders>
              <w:top w:val="nil"/>
              <w:left w:val="nil"/>
              <w:bottom w:val="single" w:color="000000" w:sz="4" w:space="0"/>
              <w:right w:val="single" w:color="000000" w:sz="4" w:space="0"/>
            </w:tcBorders>
            <w:noWrap/>
            <w:vAlign w:val="center"/>
          </w:tcPr>
          <w:p w14:paraId="77998D2C">
            <w:pPr>
              <w:widowControl/>
              <w:spacing w:line="280" w:lineRule="exact"/>
              <w:jc w:val="center"/>
              <w:rPr>
                <w:rFonts w:ascii="宋体" w:hAnsi="宋体" w:cs="宋体"/>
                <w:color w:val="000000"/>
                <w:szCs w:val="21"/>
              </w:rPr>
            </w:pPr>
            <w:r>
              <w:rPr>
                <w:rFonts w:hint="eastAsia" w:ascii="宋体" w:hAnsi="宋体" w:cs="宋体"/>
                <w:color w:val="000000"/>
                <w:szCs w:val="21"/>
              </w:rPr>
              <w:t>　</w:t>
            </w:r>
          </w:p>
        </w:tc>
      </w:tr>
      <w:tr w14:paraId="5A0A0EE5">
        <w:tblPrEx>
          <w:tblCellMar>
            <w:top w:w="0" w:type="dxa"/>
            <w:left w:w="108" w:type="dxa"/>
            <w:bottom w:w="0" w:type="dxa"/>
            <w:right w:w="108" w:type="dxa"/>
          </w:tblCellMar>
        </w:tblPrEx>
        <w:trPr>
          <w:trHeight w:val="340" w:hRule="atLeast"/>
        </w:trPr>
        <w:tc>
          <w:tcPr>
            <w:tcW w:w="687" w:type="dxa"/>
            <w:tcBorders>
              <w:top w:val="nil"/>
              <w:left w:val="single" w:color="000000" w:sz="4" w:space="0"/>
              <w:bottom w:val="single" w:color="000000" w:sz="4" w:space="0"/>
              <w:right w:val="single" w:color="000000" w:sz="4" w:space="0"/>
            </w:tcBorders>
            <w:noWrap/>
            <w:vAlign w:val="center"/>
          </w:tcPr>
          <w:p w14:paraId="65659664">
            <w:pPr>
              <w:widowControl/>
              <w:spacing w:line="280" w:lineRule="exact"/>
              <w:jc w:val="center"/>
              <w:rPr>
                <w:rFonts w:ascii="宋体" w:hAnsi="宋体" w:cs="宋体"/>
                <w:color w:val="000000"/>
                <w:szCs w:val="21"/>
              </w:rPr>
            </w:pPr>
            <w:r>
              <w:rPr>
                <w:rFonts w:hint="eastAsia" w:ascii="宋体" w:hAnsi="宋体" w:cs="宋体"/>
                <w:color w:val="000000"/>
                <w:szCs w:val="21"/>
              </w:rPr>
              <w:t>10</w:t>
            </w:r>
          </w:p>
        </w:tc>
        <w:tc>
          <w:tcPr>
            <w:tcW w:w="1180" w:type="dxa"/>
            <w:vMerge w:val="restart"/>
            <w:tcBorders>
              <w:top w:val="single" w:color="000000" w:sz="4" w:space="0"/>
              <w:left w:val="single" w:color="000000" w:sz="4" w:space="0"/>
              <w:bottom w:val="single" w:color="000000" w:sz="4" w:space="0"/>
              <w:right w:val="single" w:color="000000" w:sz="4" w:space="0"/>
            </w:tcBorders>
            <w:noWrap/>
            <w:vAlign w:val="center"/>
          </w:tcPr>
          <w:p w14:paraId="18451878">
            <w:pPr>
              <w:widowControl/>
              <w:spacing w:line="280" w:lineRule="exact"/>
              <w:jc w:val="center"/>
              <w:rPr>
                <w:rFonts w:ascii="宋体" w:hAnsi="宋体" w:cs="宋体"/>
                <w:color w:val="000000"/>
                <w:szCs w:val="21"/>
              </w:rPr>
            </w:pPr>
            <w:r>
              <w:rPr>
                <w:rFonts w:hint="eastAsia" w:ascii="宋体" w:hAnsi="宋体" w:cs="宋体"/>
                <w:color w:val="000000"/>
                <w:szCs w:val="21"/>
              </w:rPr>
              <w:t>综合管理</w:t>
            </w:r>
          </w:p>
        </w:tc>
        <w:tc>
          <w:tcPr>
            <w:tcW w:w="1760" w:type="dxa"/>
            <w:tcBorders>
              <w:top w:val="nil"/>
              <w:left w:val="nil"/>
              <w:bottom w:val="single" w:color="000000" w:sz="4" w:space="0"/>
              <w:right w:val="single" w:color="000000" w:sz="4" w:space="0"/>
            </w:tcBorders>
            <w:noWrap w:val="0"/>
            <w:vAlign w:val="center"/>
          </w:tcPr>
          <w:p w14:paraId="3EAE059D">
            <w:pPr>
              <w:widowControl/>
              <w:spacing w:line="280" w:lineRule="exact"/>
              <w:jc w:val="center"/>
              <w:rPr>
                <w:rFonts w:ascii="宋体" w:hAnsi="宋体" w:cs="宋体"/>
                <w:color w:val="000000"/>
                <w:szCs w:val="21"/>
              </w:rPr>
            </w:pPr>
            <w:r>
              <w:rPr>
                <w:rFonts w:hint="eastAsia" w:ascii="宋体" w:hAnsi="宋体" w:cs="宋体"/>
                <w:color w:val="000000"/>
                <w:szCs w:val="21"/>
              </w:rPr>
              <w:t>除治标识制作</w:t>
            </w:r>
          </w:p>
        </w:tc>
        <w:tc>
          <w:tcPr>
            <w:tcW w:w="980" w:type="dxa"/>
            <w:tcBorders>
              <w:top w:val="nil"/>
              <w:left w:val="nil"/>
              <w:bottom w:val="single" w:color="000000" w:sz="4" w:space="0"/>
              <w:right w:val="single" w:color="000000" w:sz="4" w:space="0"/>
            </w:tcBorders>
            <w:noWrap/>
            <w:vAlign w:val="center"/>
          </w:tcPr>
          <w:p w14:paraId="09A135AB">
            <w:pPr>
              <w:widowControl/>
              <w:spacing w:line="280" w:lineRule="exact"/>
              <w:jc w:val="center"/>
              <w:rPr>
                <w:rFonts w:ascii="宋体" w:hAnsi="宋体"/>
                <w:color w:val="000000"/>
                <w:szCs w:val="21"/>
              </w:rPr>
            </w:pPr>
            <w:r>
              <w:rPr>
                <w:rFonts w:ascii="宋体" w:hAnsi="宋体"/>
                <w:color w:val="000000"/>
                <w:szCs w:val="21"/>
              </w:rPr>
              <w:t>　</w:t>
            </w:r>
          </w:p>
        </w:tc>
        <w:tc>
          <w:tcPr>
            <w:tcW w:w="740" w:type="dxa"/>
            <w:tcBorders>
              <w:top w:val="nil"/>
              <w:left w:val="nil"/>
              <w:bottom w:val="single" w:color="000000" w:sz="4" w:space="0"/>
              <w:right w:val="single" w:color="000000" w:sz="4" w:space="0"/>
            </w:tcBorders>
            <w:noWrap/>
            <w:vAlign w:val="center"/>
          </w:tcPr>
          <w:p w14:paraId="67320EE9">
            <w:pPr>
              <w:widowControl/>
              <w:spacing w:line="280" w:lineRule="exact"/>
              <w:jc w:val="center"/>
              <w:rPr>
                <w:rFonts w:ascii="宋体" w:hAnsi="宋体" w:cs="宋体"/>
                <w:color w:val="000000"/>
                <w:szCs w:val="21"/>
              </w:rPr>
            </w:pPr>
            <w:r>
              <w:rPr>
                <w:rFonts w:hint="eastAsia" w:ascii="宋体" w:hAnsi="宋体" w:cs="宋体"/>
                <w:color w:val="000000"/>
                <w:szCs w:val="21"/>
              </w:rPr>
              <w:t>　</w:t>
            </w:r>
          </w:p>
        </w:tc>
        <w:tc>
          <w:tcPr>
            <w:tcW w:w="1000" w:type="dxa"/>
            <w:tcBorders>
              <w:top w:val="nil"/>
              <w:left w:val="nil"/>
              <w:bottom w:val="single" w:color="000000" w:sz="4" w:space="0"/>
              <w:right w:val="single" w:color="000000" w:sz="4" w:space="0"/>
            </w:tcBorders>
            <w:noWrap/>
            <w:vAlign w:val="center"/>
          </w:tcPr>
          <w:p w14:paraId="53FBEACD">
            <w:pPr>
              <w:widowControl/>
              <w:spacing w:line="280" w:lineRule="exact"/>
              <w:jc w:val="center"/>
              <w:rPr>
                <w:rFonts w:ascii="宋体" w:hAnsi="宋体" w:cs="宋体"/>
                <w:color w:val="000000"/>
                <w:szCs w:val="21"/>
              </w:rPr>
            </w:pPr>
            <w:r>
              <w:rPr>
                <w:rFonts w:hint="eastAsia" w:ascii="宋体" w:hAnsi="宋体" w:cs="宋体"/>
                <w:color w:val="000000"/>
                <w:szCs w:val="21"/>
              </w:rPr>
              <w:t>　</w:t>
            </w:r>
          </w:p>
        </w:tc>
        <w:tc>
          <w:tcPr>
            <w:tcW w:w="741" w:type="dxa"/>
            <w:tcBorders>
              <w:top w:val="nil"/>
              <w:left w:val="nil"/>
              <w:bottom w:val="single" w:color="000000" w:sz="4" w:space="0"/>
              <w:right w:val="single" w:color="000000" w:sz="4" w:space="0"/>
            </w:tcBorders>
            <w:noWrap/>
            <w:vAlign w:val="center"/>
          </w:tcPr>
          <w:p w14:paraId="08B40E7A">
            <w:pPr>
              <w:widowControl/>
              <w:spacing w:line="280" w:lineRule="exact"/>
              <w:jc w:val="center"/>
              <w:rPr>
                <w:rFonts w:ascii="宋体" w:hAnsi="宋体" w:cs="宋体"/>
                <w:color w:val="000000"/>
                <w:szCs w:val="21"/>
              </w:rPr>
            </w:pPr>
            <w:r>
              <w:rPr>
                <w:rFonts w:hint="eastAsia" w:ascii="宋体" w:hAnsi="宋体" w:cs="宋体"/>
                <w:color w:val="000000"/>
                <w:szCs w:val="21"/>
              </w:rPr>
              <w:t>　</w:t>
            </w:r>
          </w:p>
        </w:tc>
        <w:tc>
          <w:tcPr>
            <w:tcW w:w="1649" w:type="dxa"/>
            <w:tcBorders>
              <w:top w:val="nil"/>
              <w:left w:val="nil"/>
              <w:bottom w:val="single" w:color="000000" w:sz="4" w:space="0"/>
              <w:right w:val="single" w:color="000000" w:sz="4" w:space="0"/>
            </w:tcBorders>
            <w:noWrap/>
            <w:vAlign w:val="center"/>
          </w:tcPr>
          <w:p w14:paraId="5A4848FF">
            <w:pPr>
              <w:widowControl/>
              <w:spacing w:line="280" w:lineRule="exact"/>
              <w:jc w:val="center"/>
              <w:rPr>
                <w:rFonts w:ascii="宋体" w:hAnsi="宋体" w:cs="宋体"/>
                <w:color w:val="000000"/>
                <w:szCs w:val="21"/>
              </w:rPr>
            </w:pPr>
            <w:r>
              <w:rPr>
                <w:rFonts w:hint="eastAsia" w:ascii="宋体" w:hAnsi="宋体" w:cs="宋体"/>
                <w:color w:val="000000"/>
                <w:szCs w:val="21"/>
              </w:rPr>
              <w:t>4</w:t>
            </w:r>
          </w:p>
        </w:tc>
        <w:tc>
          <w:tcPr>
            <w:tcW w:w="940" w:type="dxa"/>
            <w:tcBorders>
              <w:top w:val="nil"/>
              <w:left w:val="nil"/>
              <w:bottom w:val="single" w:color="000000" w:sz="4" w:space="0"/>
              <w:right w:val="single" w:color="000000" w:sz="4" w:space="0"/>
            </w:tcBorders>
            <w:noWrap/>
            <w:vAlign w:val="center"/>
          </w:tcPr>
          <w:p w14:paraId="4CCA4228">
            <w:pPr>
              <w:widowControl/>
              <w:spacing w:line="280" w:lineRule="exact"/>
              <w:jc w:val="center"/>
              <w:rPr>
                <w:rFonts w:ascii="宋体" w:hAnsi="宋体" w:cs="宋体"/>
                <w:color w:val="000000"/>
                <w:szCs w:val="21"/>
              </w:rPr>
            </w:pPr>
            <w:r>
              <w:rPr>
                <w:rFonts w:hint="eastAsia" w:ascii="宋体" w:hAnsi="宋体" w:cs="宋体"/>
                <w:color w:val="000000"/>
                <w:szCs w:val="21"/>
              </w:rPr>
              <w:t>　</w:t>
            </w:r>
          </w:p>
        </w:tc>
      </w:tr>
      <w:tr w14:paraId="388DB1B9">
        <w:tblPrEx>
          <w:tblCellMar>
            <w:top w:w="0" w:type="dxa"/>
            <w:left w:w="108" w:type="dxa"/>
            <w:bottom w:w="0" w:type="dxa"/>
            <w:right w:w="108" w:type="dxa"/>
          </w:tblCellMar>
        </w:tblPrEx>
        <w:trPr>
          <w:trHeight w:val="340" w:hRule="atLeast"/>
        </w:trPr>
        <w:tc>
          <w:tcPr>
            <w:tcW w:w="687" w:type="dxa"/>
            <w:tcBorders>
              <w:top w:val="nil"/>
              <w:left w:val="single" w:color="000000" w:sz="4" w:space="0"/>
              <w:bottom w:val="single" w:color="000000" w:sz="4" w:space="0"/>
              <w:right w:val="single" w:color="000000" w:sz="4" w:space="0"/>
            </w:tcBorders>
            <w:noWrap/>
            <w:vAlign w:val="center"/>
          </w:tcPr>
          <w:p w14:paraId="19D139FE">
            <w:pPr>
              <w:widowControl/>
              <w:spacing w:line="280" w:lineRule="exact"/>
              <w:jc w:val="center"/>
              <w:rPr>
                <w:rFonts w:ascii="宋体" w:hAnsi="宋体" w:cs="宋体"/>
                <w:color w:val="000000"/>
                <w:szCs w:val="21"/>
              </w:rPr>
            </w:pPr>
            <w:r>
              <w:rPr>
                <w:rFonts w:hint="eastAsia" w:ascii="宋体" w:hAnsi="宋体" w:cs="宋体"/>
                <w:color w:val="000000"/>
                <w:szCs w:val="21"/>
              </w:rPr>
              <w:t>11</w:t>
            </w:r>
          </w:p>
        </w:tc>
        <w:tc>
          <w:tcPr>
            <w:tcW w:w="11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AB1F9D">
            <w:pPr>
              <w:widowControl/>
              <w:spacing w:line="280" w:lineRule="exact"/>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ign w:val="center"/>
          </w:tcPr>
          <w:p w14:paraId="1D702B26">
            <w:pPr>
              <w:widowControl/>
              <w:spacing w:line="280" w:lineRule="exact"/>
              <w:jc w:val="center"/>
              <w:rPr>
                <w:rFonts w:ascii="宋体" w:hAnsi="宋体" w:cs="宋体"/>
                <w:color w:val="000000"/>
                <w:szCs w:val="21"/>
              </w:rPr>
            </w:pPr>
            <w:r>
              <w:rPr>
                <w:rFonts w:hint="eastAsia" w:ascii="宋体" w:hAnsi="宋体" w:cs="宋体"/>
                <w:color w:val="000000"/>
                <w:szCs w:val="21"/>
              </w:rPr>
              <w:t>项目招标</w:t>
            </w:r>
          </w:p>
        </w:tc>
        <w:tc>
          <w:tcPr>
            <w:tcW w:w="980" w:type="dxa"/>
            <w:tcBorders>
              <w:top w:val="nil"/>
              <w:left w:val="nil"/>
              <w:bottom w:val="single" w:color="000000" w:sz="4" w:space="0"/>
              <w:right w:val="single" w:color="000000" w:sz="4" w:space="0"/>
            </w:tcBorders>
            <w:noWrap/>
            <w:vAlign w:val="center"/>
          </w:tcPr>
          <w:p w14:paraId="1F18684E">
            <w:pPr>
              <w:widowControl/>
              <w:spacing w:line="280" w:lineRule="exact"/>
              <w:jc w:val="center"/>
              <w:rPr>
                <w:rFonts w:ascii="宋体" w:hAnsi="宋体"/>
                <w:color w:val="000000"/>
                <w:szCs w:val="21"/>
              </w:rPr>
            </w:pPr>
            <w:r>
              <w:rPr>
                <w:rFonts w:ascii="宋体" w:hAnsi="宋体"/>
                <w:color w:val="000000"/>
                <w:szCs w:val="21"/>
              </w:rPr>
              <w:t>1</w:t>
            </w:r>
            <w:r>
              <w:rPr>
                <w:rFonts w:hint="eastAsia" w:ascii="宋体" w:hAnsi="宋体"/>
                <w:color w:val="000000"/>
                <w:szCs w:val="21"/>
              </w:rPr>
              <w:t>次</w:t>
            </w:r>
            <w:r>
              <w:rPr>
                <w:rFonts w:ascii="宋体" w:hAnsi="宋体"/>
                <w:color w:val="000000"/>
                <w:szCs w:val="21"/>
              </w:rPr>
              <w:t>/2</w:t>
            </w:r>
            <w:r>
              <w:rPr>
                <w:rFonts w:hint="eastAsia" w:ascii="宋体" w:hAnsi="宋体"/>
                <w:color w:val="000000"/>
                <w:szCs w:val="21"/>
              </w:rPr>
              <w:t>年</w:t>
            </w:r>
          </w:p>
        </w:tc>
        <w:tc>
          <w:tcPr>
            <w:tcW w:w="740" w:type="dxa"/>
            <w:tcBorders>
              <w:top w:val="nil"/>
              <w:left w:val="nil"/>
              <w:bottom w:val="single" w:color="000000" w:sz="4" w:space="0"/>
              <w:right w:val="single" w:color="000000" w:sz="4" w:space="0"/>
            </w:tcBorders>
            <w:noWrap/>
            <w:vAlign w:val="center"/>
          </w:tcPr>
          <w:p w14:paraId="6A028725">
            <w:pPr>
              <w:widowControl/>
              <w:spacing w:line="280" w:lineRule="exact"/>
              <w:jc w:val="center"/>
              <w:rPr>
                <w:rFonts w:ascii="宋体" w:hAnsi="宋体" w:cs="宋体"/>
                <w:color w:val="000000"/>
                <w:szCs w:val="21"/>
              </w:rPr>
            </w:pPr>
            <w:r>
              <w:rPr>
                <w:rFonts w:hint="eastAsia" w:ascii="宋体" w:hAnsi="宋体" w:cs="宋体"/>
                <w:color w:val="000000"/>
                <w:szCs w:val="21"/>
              </w:rPr>
              <w:t>次</w:t>
            </w:r>
          </w:p>
        </w:tc>
        <w:tc>
          <w:tcPr>
            <w:tcW w:w="1000" w:type="dxa"/>
            <w:tcBorders>
              <w:top w:val="nil"/>
              <w:left w:val="nil"/>
              <w:bottom w:val="single" w:color="000000" w:sz="4" w:space="0"/>
              <w:right w:val="single" w:color="000000" w:sz="4" w:space="0"/>
            </w:tcBorders>
            <w:noWrap/>
            <w:vAlign w:val="center"/>
          </w:tcPr>
          <w:p w14:paraId="1AC8FEEF">
            <w:pPr>
              <w:widowControl/>
              <w:spacing w:line="280" w:lineRule="exact"/>
              <w:jc w:val="center"/>
              <w:rPr>
                <w:rFonts w:ascii="宋体" w:hAnsi="宋体" w:cs="宋体"/>
                <w:color w:val="000000"/>
                <w:szCs w:val="21"/>
              </w:rPr>
            </w:pPr>
            <w:r>
              <w:rPr>
                <w:rFonts w:hint="eastAsia" w:ascii="宋体" w:hAnsi="宋体" w:cs="宋体"/>
                <w:color w:val="000000"/>
                <w:szCs w:val="21"/>
              </w:rPr>
              <w:t>1</w:t>
            </w:r>
          </w:p>
        </w:tc>
        <w:tc>
          <w:tcPr>
            <w:tcW w:w="741" w:type="dxa"/>
            <w:tcBorders>
              <w:top w:val="nil"/>
              <w:left w:val="nil"/>
              <w:bottom w:val="single" w:color="000000" w:sz="4" w:space="0"/>
              <w:right w:val="single" w:color="000000" w:sz="4" w:space="0"/>
            </w:tcBorders>
            <w:noWrap/>
            <w:vAlign w:val="center"/>
          </w:tcPr>
          <w:p w14:paraId="33278726">
            <w:pPr>
              <w:widowControl/>
              <w:spacing w:line="280" w:lineRule="exact"/>
              <w:jc w:val="center"/>
              <w:rPr>
                <w:rFonts w:ascii="宋体" w:hAnsi="宋体" w:cs="宋体"/>
                <w:color w:val="000000"/>
                <w:szCs w:val="21"/>
              </w:rPr>
            </w:pPr>
            <w:r>
              <w:rPr>
                <w:rFonts w:hint="eastAsia" w:ascii="宋体" w:hAnsi="宋体" w:cs="宋体"/>
                <w:color w:val="000000"/>
                <w:szCs w:val="21"/>
              </w:rPr>
              <w:t>1</w:t>
            </w:r>
          </w:p>
        </w:tc>
        <w:tc>
          <w:tcPr>
            <w:tcW w:w="1649" w:type="dxa"/>
            <w:tcBorders>
              <w:top w:val="nil"/>
              <w:left w:val="nil"/>
              <w:bottom w:val="single" w:color="000000" w:sz="4" w:space="0"/>
              <w:right w:val="single" w:color="000000" w:sz="4" w:space="0"/>
            </w:tcBorders>
            <w:noWrap/>
            <w:vAlign w:val="center"/>
          </w:tcPr>
          <w:p w14:paraId="5293BD7C">
            <w:pPr>
              <w:widowControl/>
              <w:spacing w:line="280" w:lineRule="exact"/>
              <w:jc w:val="center"/>
              <w:rPr>
                <w:rFonts w:ascii="宋体" w:hAnsi="宋体" w:cs="宋体"/>
                <w:color w:val="000000"/>
                <w:szCs w:val="21"/>
              </w:rPr>
            </w:pPr>
            <w:r>
              <w:rPr>
                <w:rFonts w:hint="eastAsia" w:ascii="宋体" w:hAnsi="宋体" w:cs="宋体"/>
                <w:color w:val="000000"/>
                <w:szCs w:val="21"/>
              </w:rPr>
              <w:t>1</w:t>
            </w:r>
          </w:p>
        </w:tc>
        <w:tc>
          <w:tcPr>
            <w:tcW w:w="940" w:type="dxa"/>
            <w:tcBorders>
              <w:top w:val="nil"/>
              <w:left w:val="nil"/>
              <w:bottom w:val="single" w:color="000000" w:sz="4" w:space="0"/>
              <w:right w:val="single" w:color="000000" w:sz="4" w:space="0"/>
            </w:tcBorders>
            <w:noWrap/>
            <w:vAlign w:val="center"/>
          </w:tcPr>
          <w:p w14:paraId="5B8CC47F">
            <w:pPr>
              <w:widowControl/>
              <w:spacing w:line="280" w:lineRule="exact"/>
              <w:jc w:val="center"/>
              <w:rPr>
                <w:rFonts w:ascii="宋体" w:hAnsi="宋体" w:cs="宋体"/>
                <w:color w:val="000000"/>
                <w:szCs w:val="21"/>
              </w:rPr>
            </w:pPr>
            <w:r>
              <w:rPr>
                <w:rFonts w:hint="eastAsia" w:ascii="宋体" w:hAnsi="宋体" w:cs="宋体"/>
                <w:color w:val="000000"/>
                <w:szCs w:val="21"/>
              </w:rPr>
              <w:t>　</w:t>
            </w:r>
          </w:p>
        </w:tc>
      </w:tr>
      <w:tr w14:paraId="7F0AFE5C">
        <w:tblPrEx>
          <w:tblCellMar>
            <w:top w:w="0" w:type="dxa"/>
            <w:left w:w="108" w:type="dxa"/>
            <w:bottom w:w="0" w:type="dxa"/>
            <w:right w:w="108" w:type="dxa"/>
          </w:tblCellMar>
        </w:tblPrEx>
        <w:trPr>
          <w:trHeight w:val="340" w:hRule="atLeast"/>
        </w:trPr>
        <w:tc>
          <w:tcPr>
            <w:tcW w:w="687" w:type="dxa"/>
            <w:tcBorders>
              <w:top w:val="nil"/>
              <w:left w:val="single" w:color="000000" w:sz="4" w:space="0"/>
              <w:bottom w:val="single" w:color="000000" w:sz="4" w:space="0"/>
              <w:right w:val="single" w:color="000000" w:sz="4" w:space="0"/>
            </w:tcBorders>
            <w:noWrap/>
            <w:vAlign w:val="center"/>
          </w:tcPr>
          <w:p w14:paraId="59E4527C">
            <w:pPr>
              <w:widowControl/>
              <w:spacing w:line="280" w:lineRule="exact"/>
              <w:jc w:val="center"/>
              <w:rPr>
                <w:rFonts w:ascii="宋体" w:hAnsi="宋体" w:cs="宋体"/>
                <w:color w:val="000000"/>
                <w:szCs w:val="21"/>
              </w:rPr>
            </w:pPr>
            <w:r>
              <w:rPr>
                <w:rFonts w:hint="eastAsia" w:ascii="宋体" w:hAnsi="宋体" w:cs="宋体"/>
                <w:color w:val="000000"/>
                <w:szCs w:val="21"/>
              </w:rPr>
              <w:t>12</w:t>
            </w:r>
          </w:p>
        </w:tc>
        <w:tc>
          <w:tcPr>
            <w:tcW w:w="11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D5B2D7">
            <w:pPr>
              <w:widowControl/>
              <w:spacing w:line="280" w:lineRule="exact"/>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ign w:val="center"/>
          </w:tcPr>
          <w:p w14:paraId="52802022">
            <w:pPr>
              <w:widowControl/>
              <w:spacing w:line="280" w:lineRule="exact"/>
              <w:jc w:val="center"/>
              <w:rPr>
                <w:rFonts w:ascii="宋体" w:hAnsi="宋体" w:cs="宋体"/>
                <w:color w:val="000000"/>
                <w:szCs w:val="21"/>
              </w:rPr>
            </w:pPr>
            <w:r>
              <w:rPr>
                <w:rFonts w:hint="eastAsia" w:ascii="宋体" w:hAnsi="宋体" w:cs="宋体"/>
                <w:color w:val="000000"/>
                <w:szCs w:val="21"/>
              </w:rPr>
              <w:t>项目审计</w:t>
            </w:r>
          </w:p>
        </w:tc>
        <w:tc>
          <w:tcPr>
            <w:tcW w:w="980" w:type="dxa"/>
            <w:tcBorders>
              <w:top w:val="nil"/>
              <w:left w:val="nil"/>
              <w:bottom w:val="single" w:color="000000" w:sz="4" w:space="0"/>
              <w:right w:val="single" w:color="000000" w:sz="4" w:space="0"/>
            </w:tcBorders>
            <w:noWrap/>
            <w:vAlign w:val="center"/>
          </w:tcPr>
          <w:p w14:paraId="2466AA85">
            <w:pPr>
              <w:widowControl/>
              <w:spacing w:line="280" w:lineRule="exact"/>
              <w:jc w:val="center"/>
              <w:rPr>
                <w:rFonts w:ascii="宋体" w:hAnsi="宋体"/>
                <w:color w:val="000000"/>
                <w:szCs w:val="21"/>
              </w:rPr>
            </w:pPr>
            <w:r>
              <w:rPr>
                <w:rFonts w:ascii="宋体" w:hAnsi="宋体"/>
                <w:color w:val="000000"/>
                <w:szCs w:val="21"/>
              </w:rPr>
              <w:t>1</w:t>
            </w:r>
            <w:r>
              <w:rPr>
                <w:rFonts w:hint="eastAsia" w:ascii="宋体" w:hAnsi="宋体"/>
                <w:color w:val="000000"/>
                <w:szCs w:val="21"/>
              </w:rPr>
              <w:t>次</w:t>
            </w:r>
            <w:r>
              <w:rPr>
                <w:rFonts w:ascii="宋体" w:hAnsi="宋体"/>
                <w:color w:val="000000"/>
                <w:szCs w:val="21"/>
              </w:rPr>
              <w:t>/</w:t>
            </w:r>
            <w:r>
              <w:rPr>
                <w:rFonts w:hint="eastAsia" w:ascii="宋体" w:hAnsi="宋体"/>
                <w:color w:val="000000"/>
                <w:szCs w:val="21"/>
              </w:rPr>
              <w:t>年</w:t>
            </w:r>
          </w:p>
        </w:tc>
        <w:tc>
          <w:tcPr>
            <w:tcW w:w="740" w:type="dxa"/>
            <w:tcBorders>
              <w:top w:val="nil"/>
              <w:left w:val="nil"/>
              <w:bottom w:val="single" w:color="000000" w:sz="4" w:space="0"/>
              <w:right w:val="single" w:color="000000" w:sz="4" w:space="0"/>
            </w:tcBorders>
            <w:noWrap/>
            <w:vAlign w:val="center"/>
          </w:tcPr>
          <w:p w14:paraId="6BF13551">
            <w:pPr>
              <w:widowControl/>
              <w:spacing w:line="280" w:lineRule="exact"/>
              <w:jc w:val="center"/>
              <w:rPr>
                <w:rFonts w:ascii="宋体" w:hAnsi="宋体" w:cs="宋体"/>
                <w:color w:val="000000"/>
                <w:szCs w:val="21"/>
              </w:rPr>
            </w:pPr>
            <w:r>
              <w:rPr>
                <w:rFonts w:hint="eastAsia" w:ascii="宋体" w:hAnsi="宋体" w:cs="宋体"/>
                <w:color w:val="000000"/>
                <w:szCs w:val="21"/>
              </w:rPr>
              <w:t>次</w:t>
            </w:r>
          </w:p>
        </w:tc>
        <w:tc>
          <w:tcPr>
            <w:tcW w:w="1000" w:type="dxa"/>
            <w:tcBorders>
              <w:top w:val="nil"/>
              <w:left w:val="nil"/>
              <w:bottom w:val="single" w:color="000000" w:sz="4" w:space="0"/>
              <w:right w:val="single" w:color="000000" w:sz="4" w:space="0"/>
            </w:tcBorders>
            <w:noWrap/>
            <w:vAlign w:val="center"/>
          </w:tcPr>
          <w:p w14:paraId="55D2B15E">
            <w:pPr>
              <w:widowControl/>
              <w:spacing w:line="280" w:lineRule="exact"/>
              <w:jc w:val="center"/>
              <w:rPr>
                <w:rFonts w:ascii="宋体" w:hAnsi="宋体" w:cs="宋体"/>
                <w:color w:val="000000"/>
                <w:szCs w:val="21"/>
              </w:rPr>
            </w:pPr>
            <w:r>
              <w:rPr>
                <w:rFonts w:hint="eastAsia" w:ascii="宋体" w:hAnsi="宋体" w:cs="宋体"/>
                <w:color w:val="000000"/>
                <w:szCs w:val="21"/>
              </w:rPr>
              <w:t>1.5</w:t>
            </w:r>
          </w:p>
        </w:tc>
        <w:tc>
          <w:tcPr>
            <w:tcW w:w="741" w:type="dxa"/>
            <w:tcBorders>
              <w:top w:val="nil"/>
              <w:left w:val="nil"/>
              <w:bottom w:val="single" w:color="000000" w:sz="4" w:space="0"/>
              <w:right w:val="single" w:color="000000" w:sz="4" w:space="0"/>
            </w:tcBorders>
            <w:noWrap/>
            <w:vAlign w:val="center"/>
          </w:tcPr>
          <w:p w14:paraId="1544287F">
            <w:pPr>
              <w:widowControl/>
              <w:spacing w:line="280" w:lineRule="exact"/>
              <w:jc w:val="center"/>
              <w:rPr>
                <w:rFonts w:ascii="宋体" w:hAnsi="宋体" w:cs="宋体"/>
                <w:color w:val="000000"/>
                <w:szCs w:val="21"/>
              </w:rPr>
            </w:pPr>
            <w:r>
              <w:rPr>
                <w:rFonts w:hint="eastAsia" w:ascii="宋体" w:hAnsi="宋体" w:cs="宋体"/>
                <w:color w:val="000000"/>
                <w:szCs w:val="21"/>
              </w:rPr>
              <w:t>2</w:t>
            </w:r>
          </w:p>
        </w:tc>
        <w:tc>
          <w:tcPr>
            <w:tcW w:w="1649" w:type="dxa"/>
            <w:tcBorders>
              <w:top w:val="nil"/>
              <w:left w:val="nil"/>
              <w:bottom w:val="single" w:color="000000" w:sz="4" w:space="0"/>
              <w:right w:val="single" w:color="000000" w:sz="4" w:space="0"/>
            </w:tcBorders>
            <w:noWrap/>
            <w:vAlign w:val="center"/>
          </w:tcPr>
          <w:p w14:paraId="76905494">
            <w:pPr>
              <w:widowControl/>
              <w:spacing w:line="280" w:lineRule="exact"/>
              <w:jc w:val="center"/>
              <w:rPr>
                <w:rFonts w:ascii="宋体" w:hAnsi="宋体" w:cs="宋体"/>
                <w:color w:val="000000"/>
                <w:szCs w:val="21"/>
              </w:rPr>
            </w:pPr>
            <w:r>
              <w:rPr>
                <w:rFonts w:hint="eastAsia" w:ascii="宋体" w:hAnsi="宋体" w:cs="宋体"/>
                <w:color w:val="000000"/>
                <w:szCs w:val="21"/>
              </w:rPr>
              <w:t>3</w:t>
            </w:r>
          </w:p>
        </w:tc>
        <w:tc>
          <w:tcPr>
            <w:tcW w:w="940" w:type="dxa"/>
            <w:tcBorders>
              <w:top w:val="nil"/>
              <w:left w:val="nil"/>
              <w:bottom w:val="single" w:color="000000" w:sz="4" w:space="0"/>
              <w:right w:val="single" w:color="000000" w:sz="4" w:space="0"/>
            </w:tcBorders>
            <w:noWrap/>
            <w:vAlign w:val="center"/>
          </w:tcPr>
          <w:p w14:paraId="64E4CA7C">
            <w:pPr>
              <w:widowControl/>
              <w:spacing w:line="280" w:lineRule="exact"/>
              <w:jc w:val="center"/>
              <w:rPr>
                <w:rFonts w:ascii="宋体" w:hAnsi="宋体" w:cs="宋体"/>
                <w:color w:val="000000"/>
                <w:szCs w:val="21"/>
              </w:rPr>
            </w:pPr>
            <w:r>
              <w:rPr>
                <w:rFonts w:hint="eastAsia" w:ascii="宋体" w:hAnsi="宋体" w:cs="宋体"/>
                <w:color w:val="000000"/>
                <w:szCs w:val="21"/>
              </w:rPr>
              <w:t>　</w:t>
            </w:r>
          </w:p>
        </w:tc>
      </w:tr>
      <w:tr w14:paraId="5C803BC2">
        <w:tblPrEx>
          <w:tblCellMar>
            <w:top w:w="0" w:type="dxa"/>
            <w:left w:w="108" w:type="dxa"/>
            <w:bottom w:w="0" w:type="dxa"/>
            <w:right w:w="108" w:type="dxa"/>
          </w:tblCellMar>
        </w:tblPrEx>
        <w:trPr>
          <w:trHeight w:val="340" w:hRule="atLeast"/>
        </w:trPr>
        <w:tc>
          <w:tcPr>
            <w:tcW w:w="687" w:type="dxa"/>
            <w:tcBorders>
              <w:top w:val="nil"/>
              <w:left w:val="single" w:color="000000" w:sz="4" w:space="0"/>
              <w:bottom w:val="single" w:color="000000" w:sz="4" w:space="0"/>
              <w:right w:val="single" w:color="000000" w:sz="4" w:space="0"/>
            </w:tcBorders>
            <w:noWrap/>
            <w:vAlign w:val="center"/>
          </w:tcPr>
          <w:p w14:paraId="29EDC9D3">
            <w:pPr>
              <w:widowControl/>
              <w:spacing w:line="280" w:lineRule="exact"/>
              <w:jc w:val="center"/>
              <w:rPr>
                <w:rFonts w:ascii="宋体" w:hAnsi="宋体" w:cs="宋体"/>
                <w:color w:val="000000"/>
                <w:szCs w:val="21"/>
              </w:rPr>
            </w:pPr>
            <w:r>
              <w:rPr>
                <w:rFonts w:hint="eastAsia" w:ascii="宋体" w:hAnsi="宋体" w:cs="宋体"/>
                <w:color w:val="000000"/>
                <w:szCs w:val="21"/>
              </w:rPr>
              <w:t>13</w:t>
            </w:r>
          </w:p>
        </w:tc>
        <w:tc>
          <w:tcPr>
            <w:tcW w:w="11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995B6D">
            <w:pPr>
              <w:widowControl/>
              <w:spacing w:line="280" w:lineRule="exact"/>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ign w:val="center"/>
          </w:tcPr>
          <w:p w14:paraId="51D4436C">
            <w:pPr>
              <w:widowControl/>
              <w:spacing w:line="280" w:lineRule="exact"/>
              <w:jc w:val="center"/>
              <w:rPr>
                <w:rFonts w:ascii="宋体" w:hAnsi="宋体" w:cs="宋体"/>
                <w:color w:val="000000"/>
                <w:szCs w:val="21"/>
              </w:rPr>
            </w:pPr>
            <w:r>
              <w:rPr>
                <w:rFonts w:hint="eastAsia" w:ascii="宋体" w:hAnsi="宋体" w:cs="宋体"/>
                <w:color w:val="000000"/>
                <w:szCs w:val="21"/>
              </w:rPr>
              <w:t>项目验收</w:t>
            </w:r>
          </w:p>
        </w:tc>
        <w:tc>
          <w:tcPr>
            <w:tcW w:w="980" w:type="dxa"/>
            <w:tcBorders>
              <w:top w:val="nil"/>
              <w:left w:val="nil"/>
              <w:bottom w:val="single" w:color="000000" w:sz="4" w:space="0"/>
              <w:right w:val="single" w:color="000000" w:sz="4" w:space="0"/>
            </w:tcBorders>
            <w:noWrap/>
            <w:vAlign w:val="center"/>
          </w:tcPr>
          <w:p w14:paraId="34E7ADE9">
            <w:pPr>
              <w:widowControl/>
              <w:spacing w:line="280" w:lineRule="exact"/>
              <w:jc w:val="center"/>
              <w:rPr>
                <w:rFonts w:ascii="宋体" w:hAnsi="宋体"/>
                <w:color w:val="000000"/>
                <w:szCs w:val="21"/>
              </w:rPr>
            </w:pPr>
            <w:r>
              <w:rPr>
                <w:rFonts w:ascii="宋体" w:hAnsi="宋体"/>
                <w:color w:val="000000"/>
                <w:szCs w:val="21"/>
              </w:rPr>
              <w:t>1</w:t>
            </w:r>
            <w:r>
              <w:rPr>
                <w:rFonts w:hint="eastAsia" w:ascii="宋体" w:hAnsi="宋体"/>
                <w:color w:val="000000"/>
                <w:szCs w:val="21"/>
              </w:rPr>
              <w:t>次</w:t>
            </w:r>
            <w:r>
              <w:rPr>
                <w:rFonts w:ascii="宋体" w:hAnsi="宋体"/>
                <w:color w:val="000000"/>
                <w:szCs w:val="21"/>
              </w:rPr>
              <w:t>/</w:t>
            </w:r>
            <w:r>
              <w:rPr>
                <w:rFonts w:hint="eastAsia" w:ascii="宋体" w:hAnsi="宋体"/>
                <w:color w:val="000000"/>
                <w:szCs w:val="21"/>
              </w:rPr>
              <w:t>年</w:t>
            </w:r>
          </w:p>
        </w:tc>
        <w:tc>
          <w:tcPr>
            <w:tcW w:w="740" w:type="dxa"/>
            <w:tcBorders>
              <w:top w:val="nil"/>
              <w:left w:val="nil"/>
              <w:bottom w:val="single" w:color="000000" w:sz="4" w:space="0"/>
              <w:right w:val="single" w:color="000000" w:sz="4" w:space="0"/>
            </w:tcBorders>
            <w:noWrap/>
            <w:vAlign w:val="center"/>
          </w:tcPr>
          <w:p w14:paraId="1E1357FB">
            <w:pPr>
              <w:widowControl/>
              <w:spacing w:line="280" w:lineRule="exact"/>
              <w:jc w:val="center"/>
              <w:rPr>
                <w:rFonts w:ascii="宋体" w:hAnsi="宋体" w:cs="宋体"/>
                <w:color w:val="000000"/>
                <w:szCs w:val="21"/>
              </w:rPr>
            </w:pPr>
            <w:r>
              <w:rPr>
                <w:rFonts w:hint="eastAsia" w:ascii="宋体" w:hAnsi="宋体" w:cs="宋体"/>
                <w:color w:val="000000"/>
                <w:szCs w:val="21"/>
              </w:rPr>
              <w:t>次</w:t>
            </w:r>
          </w:p>
        </w:tc>
        <w:tc>
          <w:tcPr>
            <w:tcW w:w="1000" w:type="dxa"/>
            <w:tcBorders>
              <w:top w:val="nil"/>
              <w:left w:val="nil"/>
              <w:bottom w:val="single" w:color="000000" w:sz="4" w:space="0"/>
              <w:right w:val="single" w:color="000000" w:sz="4" w:space="0"/>
            </w:tcBorders>
            <w:noWrap/>
            <w:vAlign w:val="center"/>
          </w:tcPr>
          <w:p w14:paraId="2E7932E6">
            <w:pPr>
              <w:widowControl/>
              <w:spacing w:line="280" w:lineRule="exact"/>
              <w:jc w:val="center"/>
              <w:rPr>
                <w:rFonts w:ascii="宋体" w:hAnsi="宋体" w:cs="宋体"/>
                <w:color w:val="000000"/>
                <w:szCs w:val="21"/>
              </w:rPr>
            </w:pPr>
            <w:r>
              <w:rPr>
                <w:rFonts w:hint="eastAsia" w:ascii="宋体" w:hAnsi="宋体" w:cs="宋体"/>
                <w:color w:val="000000"/>
                <w:szCs w:val="21"/>
              </w:rPr>
              <w:t>2</w:t>
            </w:r>
          </w:p>
        </w:tc>
        <w:tc>
          <w:tcPr>
            <w:tcW w:w="741" w:type="dxa"/>
            <w:tcBorders>
              <w:top w:val="nil"/>
              <w:left w:val="nil"/>
              <w:bottom w:val="single" w:color="000000" w:sz="4" w:space="0"/>
              <w:right w:val="single" w:color="000000" w:sz="4" w:space="0"/>
            </w:tcBorders>
            <w:noWrap/>
            <w:vAlign w:val="center"/>
          </w:tcPr>
          <w:p w14:paraId="743EE5BF">
            <w:pPr>
              <w:widowControl/>
              <w:spacing w:line="280" w:lineRule="exact"/>
              <w:jc w:val="center"/>
              <w:rPr>
                <w:rFonts w:ascii="宋体" w:hAnsi="宋体" w:cs="宋体"/>
                <w:color w:val="000000"/>
                <w:szCs w:val="21"/>
              </w:rPr>
            </w:pPr>
            <w:r>
              <w:rPr>
                <w:rFonts w:hint="eastAsia" w:ascii="宋体" w:hAnsi="宋体" w:cs="宋体"/>
                <w:color w:val="000000"/>
                <w:szCs w:val="21"/>
              </w:rPr>
              <w:t>2</w:t>
            </w:r>
          </w:p>
        </w:tc>
        <w:tc>
          <w:tcPr>
            <w:tcW w:w="1649" w:type="dxa"/>
            <w:tcBorders>
              <w:top w:val="nil"/>
              <w:left w:val="nil"/>
              <w:bottom w:val="single" w:color="000000" w:sz="4" w:space="0"/>
              <w:right w:val="single" w:color="000000" w:sz="4" w:space="0"/>
            </w:tcBorders>
            <w:noWrap/>
            <w:vAlign w:val="center"/>
          </w:tcPr>
          <w:p w14:paraId="154276DE">
            <w:pPr>
              <w:widowControl/>
              <w:spacing w:line="280" w:lineRule="exact"/>
              <w:jc w:val="center"/>
              <w:rPr>
                <w:rFonts w:ascii="宋体" w:hAnsi="宋体" w:cs="宋体"/>
                <w:color w:val="000000"/>
                <w:szCs w:val="21"/>
              </w:rPr>
            </w:pPr>
            <w:r>
              <w:rPr>
                <w:rFonts w:hint="eastAsia" w:ascii="宋体" w:hAnsi="宋体" w:cs="宋体"/>
                <w:color w:val="000000"/>
                <w:szCs w:val="21"/>
              </w:rPr>
              <w:t>4</w:t>
            </w:r>
          </w:p>
        </w:tc>
        <w:tc>
          <w:tcPr>
            <w:tcW w:w="940" w:type="dxa"/>
            <w:tcBorders>
              <w:top w:val="nil"/>
              <w:left w:val="nil"/>
              <w:bottom w:val="single" w:color="000000" w:sz="4" w:space="0"/>
              <w:right w:val="single" w:color="000000" w:sz="4" w:space="0"/>
            </w:tcBorders>
            <w:noWrap/>
            <w:vAlign w:val="center"/>
          </w:tcPr>
          <w:p w14:paraId="64E4969A">
            <w:pPr>
              <w:widowControl/>
              <w:spacing w:line="280" w:lineRule="exact"/>
              <w:jc w:val="center"/>
              <w:rPr>
                <w:rFonts w:ascii="宋体" w:hAnsi="宋体" w:cs="宋体"/>
                <w:color w:val="000000"/>
                <w:szCs w:val="21"/>
              </w:rPr>
            </w:pPr>
            <w:r>
              <w:rPr>
                <w:rFonts w:hint="eastAsia" w:ascii="宋体" w:hAnsi="宋体" w:cs="宋体"/>
                <w:color w:val="000000"/>
                <w:szCs w:val="21"/>
              </w:rPr>
              <w:t>　</w:t>
            </w:r>
          </w:p>
        </w:tc>
      </w:tr>
      <w:tr w14:paraId="58EDFA85">
        <w:tblPrEx>
          <w:tblCellMar>
            <w:top w:w="0" w:type="dxa"/>
            <w:left w:w="108" w:type="dxa"/>
            <w:bottom w:w="0" w:type="dxa"/>
            <w:right w:w="108" w:type="dxa"/>
          </w:tblCellMar>
        </w:tblPrEx>
        <w:trPr>
          <w:trHeight w:val="340" w:hRule="atLeast"/>
        </w:trPr>
        <w:tc>
          <w:tcPr>
            <w:tcW w:w="687" w:type="dxa"/>
            <w:tcBorders>
              <w:top w:val="nil"/>
              <w:left w:val="single" w:color="000000" w:sz="4" w:space="0"/>
              <w:bottom w:val="single" w:color="000000" w:sz="4" w:space="0"/>
              <w:right w:val="single" w:color="000000" w:sz="4" w:space="0"/>
            </w:tcBorders>
            <w:noWrap/>
            <w:vAlign w:val="center"/>
          </w:tcPr>
          <w:p w14:paraId="1EA2AC65">
            <w:pPr>
              <w:widowControl/>
              <w:spacing w:line="280" w:lineRule="exact"/>
              <w:jc w:val="center"/>
              <w:rPr>
                <w:rFonts w:ascii="宋体" w:hAnsi="宋体" w:cs="宋体"/>
                <w:color w:val="000000"/>
                <w:szCs w:val="21"/>
              </w:rPr>
            </w:pPr>
            <w:r>
              <w:rPr>
                <w:rFonts w:hint="eastAsia" w:ascii="宋体" w:hAnsi="宋体" w:cs="宋体"/>
                <w:color w:val="000000"/>
                <w:szCs w:val="21"/>
              </w:rPr>
              <w:t>14</w:t>
            </w:r>
          </w:p>
        </w:tc>
        <w:tc>
          <w:tcPr>
            <w:tcW w:w="11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D2B77C">
            <w:pPr>
              <w:widowControl/>
              <w:spacing w:line="280" w:lineRule="exact"/>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ign w:val="center"/>
          </w:tcPr>
          <w:p w14:paraId="1A813E76">
            <w:pPr>
              <w:widowControl/>
              <w:spacing w:line="280" w:lineRule="exact"/>
              <w:jc w:val="center"/>
              <w:rPr>
                <w:rFonts w:ascii="宋体" w:hAnsi="宋体" w:cs="宋体"/>
                <w:color w:val="000000"/>
                <w:szCs w:val="21"/>
              </w:rPr>
            </w:pPr>
            <w:r>
              <w:rPr>
                <w:rFonts w:hint="eastAsia" w:ascii="宋体" w:hAnsi="宋体" w:cs="宋体"/>
                <w:color w:val="000000"/>
                <w:szCs w:val="21"/>
              </w:rPr>
              <w:t>其他</w:t>
            </w:r>
          </w:p>
        </w:tc>
        <w:tc>
          <w:tcPr>
            <w:tcW w:w="980" w:type="dxa"/>
            <w:tcBorders>
              <w:top w:val="nil"/>
              <w:left w:val="nil"/>
              <w:bottom w:val="single" w:color="000000" w:sz="4" w:space="0"/>
              <w:right w:val="single" w:color="000000" w:sz="4" w:space="0"/>
            </w:tcBorders>
            <w:noWrap/>
            <w:vAlign w:val="center"/>
          </w:tcPr>
          <w:p w14:paraId="0E8965CD">
            <w:pPr>
              <w:widowControl/>
              <w:spacing w:line="280" w:lineRule="exact"/>
              <w:jc w:val="center"/>
              <w:rPr>
                <w:rFonts w:ascii="宋体" w:hAnsi="宋体" w:cs="宋体"/>
                <w:color w:val="000000"/>
                <w:szCs w:val="21"/>
              </w:rPr>
            </w:pPr>
            <w:r>
              <w:rPr>
                <w:rFonts w:hint="eastAsia" w:ascii="宋体" w:hAnsi="宋体" w:cs="宋体"/>
                <w:color w:val="000000"/>
                <w:szCs w:val="21"/>
              </w:rPr>
              <w:t>　</w:t>
            </w:r>
          </w:p>
        </w:tc>
        <w:tc>
          <w:tcPr>
            <w:tcW w:w="740" w:type="dxa"/>
            <w:tcBorders>
              <w:top w:val="nil"/>
              <w:left w:val="nil"/>
              <w:bottom w:val="single" w:color="000000" w:sz="4" w:space="0"/>
              <w:right w:val="single" w:color="000000" w:sz="4" w:space="0"/>
            </w:tcBorders>
            <w:noWrap/>
            <w:vAlign w:val="center"/>
          </w:tcPr>
          <w:p w14:paraId="5008C9AE">
            <w:pPr>
              <w:widowControl/>
              <w:spacing w:line="280" w:lineRule="exact"/>
              <w:jc w:val="center"/>
              <w:rPr>
                <w:rFonts w:ascii="宋体" w:hAnsi="宋体" w:cs="宋体"/>
                <w:color w:val="000000"/>
                <w:szCs w:val="21"/>
              </w:rPr>
            </w:pPr>
            <w:r>
              <w:rPr>
                <w:rFonts w:hint="eastAsia" w:ascii="宋体" w:hAnsi="宋体" w:cs="宋体"/>
                <w:color w:val="000000"/>
                <w:szCs w:val="21"/>
              </w:rPr>
              <w:t>　</w:t>
            </w:r>
          </w:p>
        </w:tc>
        <w:tc>
          <w:tcPr>
            <w:tcW w:w="1000" w:type="dxa"/>
            <w:tcBorders>
              <w:top w:val="nil"/>
              <w:left w:val="nil"/>
              <w:bottom w:val="single" w:color="000000" w:sz="4" w:space="0"/>
              <w:right w:val="single" w:color="000000" w:sz="4" w:space="0"/>
            </w:tcBorders>
            <w:noWrap/>
            <w:vAlign w:val="center"/>
          </w:tcPr>
          <w:p w14:paraId="7C0A2EC0">
            <w:pPr>
              <w:widowControl/>
              <w:spacing w:line="280" w:lineRule="exact"/>
              <w:jc w:val="center"/>
              <w:rPr>
                <w:rFonts w:ascii="宋体" w:hAnsi="宋体" w:cs="宋体"/>
                <w:color w:val="000000"/>
                <w:szCs w:val="21"/>
              </w:rPr>
            </w:pPr>
            <w:r>
              <w:rPr>
                <w:rFonts w:hint="eastAsia" w:ascii="宋体" w:hAnsi="宋体" w:cs="宋体"/>
                <w:color w:val="000000"/>
                <w:szCs w:val="21"/>
              </w:rPr>
              <w:t>　</w:t>
            </w:r>
          </w:p>
        </w:tc>
        <w:tc>
          <w:tcPr>
            <w:tcW w:w="741" w:type="dxa"/>
            <w:tcBorders>
              <w:top w:val="nil"/>
              <w:left w:val="nil"/>
              <w:bottom w:val="single" w:color="000000" w:sz="4" w:space="0"/>
              <w:right w:val="single" w:color="000000" w:sz="4" w:space="0"/>
            </w:tcBorders>
            <w:noWrap/>
            <w:vAlign w:val="center"/>
          </w:tcPr>
          <w:p w14:paraId="72D7B1B7">
            <w:pPr>
              <w:widowControl/>
              <w:spacing w:line="280" w:lineRule="exact"/>
              <w:jc w:val="center"/>
              <w:rPr>
                <w:rFonts w:ascii="宋体" w:hAnsi="宋体" w:cs="宋体"/>
                <w:color w:val="000000"/>
                <w:szCs w:val="21"/>
              </w:rPr>
            </w:pPr>
            <w:r>
              <w:rPr>
                <w:rFonts w:hint="eastAsia" w:ascii="宋体" w:hAnsi="宋体" w:cs="宋体"/>
                <w:color w:val="000000"/>
                <w:szCs w:val="21"/>
              </w:rPr>
              <w:t>　</w:t>
            </w:r>
          </w:p>
        </w:tc>
        <w:tc>
          <w:tcPr>
            <w:tcW w:w="1649" w:type="dxa"/>
            <w:tcBorders>
              <w:top w:val="nil"/>
              <w:left w:val="nil"/>
              <w:bottom w:val="single" w:color="000000" w:sz="4" w:space="0"/>
              <w:right w:val="single" w:color="000000" w:sz="4" w:space="0"/>
            </w:tcBorders>
            <w:noWrap/>
            <w:vAlign w:val="center"/>
          </w:tcPr>
          <w:p w14:paraId="14621E66">
            <w:pPr>
              <w:widowControl/>
              <w:spacing w:line="280" w:lineRule="exact"/>
              <w:jc w:val="center"/>
              <w:rPr>
                <w:rFonts w:ascii="宋体" w:hAnsi="宋体" w:cs="宋体"/>
                <w:color w:val="000000"/>
                <w:szCs w:val="21"/>
              </w:rPr>
            </w:pPr>
            <w:r>
              <w:rPr>
                <w:rFonts w:hint="eastAsia" w:ascii="宋体" w:hAnsi="宋体" w:cs="宋体"/>
                <w:color w:val="000000"/>
                <w:szCs w:val="21"/>
              </w:rPr>
              <w:t>6</w:t>
            </w:r>
          </w:p>
        </w:tc>
        <w:tc>
          <w:tcPr>
            <w:tcW w:w="940" w:type="dxa"/>
            <w:tcBorders>
              <w:top w:val="nil"/>
              <w:left w:val="nil"/>
              <w:bottom w:val="single" w:color="000000" w:sz="4" w:space="0"/>
              <w:right w:val="single" w:color="000000" w:sz="4" w:space="0"/>
            </w:tcBorders>
            <w:noWrap/>
            <w:vAlign w:val="center"/>
          </w:tcPr>
          <w:p w14:paraId="2C351FB0">
            <w:pPr>
              <w:widowControl/>
              <w:spacing w:line="280" w:lineRule="exact"/>
              <w:jc w:val="center"/>
              <w:rPr>
                <w:rFonts w:ascii="宋体" w:hAnsi="宋体" w:cs="宋体"/>
                <w:color w:val="000000"/>
                <w:szCs w:val="21"/>
              </w:rPr>
            </w:pPr>
            <w:r>
              <w:rPr>
                <w:rFonts w:hint="eastAsia" w:ascii="宋体" w:hAnsi="宋体" w:cs="宋体"/>
                <w:color w:val="000000"/>
                <w:szCs w:val="21"/>
              </w:rPr>
              <w:t>　</w:t>
            </w:r>
          </w:p>
        </w:tc>
      </w:tr>
      <w:tr w14:paraId="42891F39">
        <w:tblPrEx>
          <w:tblCellMar>
            <w:top w:w="0" w:type="dxa"/>
            <w:left w:w="108" w:type="dxa"/>
            <w:bottom w:w="0" w:type="dxa"/>
            <w:right w:w="108" w:type="dxa"/>
          </w:tblCellMar>
        </w:tblPrEx>
        <w:trPr>
          <w:trHeight w:val="340" w:hRule="atLeast"/>
        </w:trPr>
        <w:tc>
          <w:tcPr>
            <w:tcW w:w="687" w:type="dxa"/>
            <w:tcBorders>
              <w:top w:val="nil"/>
              <w:left w:val="single" w:color="000000" w:sz="4" w:space="0"/>
              <w:bottom w:val="single" w:color="000000" w:sz="4" w:space="0"/>
              <w:right w:val="single" w:color="000000" w:sz="4" w:space="0"/>
            </w:tcBorders>
            <w:noWrap/>
            <w:vAlign w:val="center"/>
          </w:tcPr>
          <w:p w14:paraId="273154F0">
            <w:pPr>
              <w:widowControl/>
              <w:spacing w:line="280" w:lineRule="exact"/>
              <w:jc w:val="center"/>
              <w:rPr>
                <w:rFonts w:ascii="宋体" w:hAnsi="宋体" w:cs="宋体"/>
                <w:color w:val="000000"/>
                <w:szCs w:val="21"/>
              </w:rPr>
            </w:pPr>
            <w:r>
              <w:rPr>
                <w:rFonts w:hint="eastAsia" w:ascii="宋体" w:hAnsi="宋体" w:cs="宋体"/>
                <w:color w:val="000000"/>
                <w:szCs w:val="21"/>
              </w:rPr>
              <w:t>　</w:t>
            </w:r>
          </w:p>
        </w:tc>
        <w:tc>
          <w:tcPr>
            <w:tcW w:w="1180" w:type="dxa"/>
            <w:tcBorders>
              <w:top w:val="nil"/>
              <w:left w:val="nil"/>
              <w:bottom w:val="single" w:color="000000" w:sz="4" w:space="0"/>
              <w:right w:val="single" w:color="000000" w:sz="4" w:space="0"/>
            </w:tcBorders>
            <w:noWrap/>
            <w:vAlign w:val="center"/>
          </w:tcPr>
          <w:p w14:paraId="4A7F041B">
            <w:pPr>
              <w:widowControl/>
              <w:spacing w:line="280" w:lineRule="exact"/>
              <w:jc w:val="center"/>
              <w:rPr>
                <w:rFonts w:ascii="宋体" w:hAnsi="宋体" w:cs="宋体"/>
                <w:color w:val="000000"/>
                <w:szCs w:val="21"/>
              </w:rPr>
            </w:pPr>
            <w:r>
              <w:rPr>
                <w:rFonts w:hint="eastAsia" w:ascii="宋体" w:hAnsi="宋体" w:cs="宋体"/>
                <w:color w:val="000000"/>
                <w:szCs w:val="21"/>
              </w:rPr>
              <w:t>合计</w:t>
            </w:r>
            <w:r>
              <w:rPr>
                <w:rFonts w:ascii="宋体" w:hAnsi="宋体" w:eastAsia="宋体" w:cs="宋体"/>
                <w:color w:val="000000"/>
                <w:sz w:val="21"/>
              </w:rPr>
              <w:t>（两年）</w:t>
            </w:r>
          </w:p>
        </w:tc>
        <w:tc>
          <w:tcPr>
            <w:tcW w:w="1760" w:type="dxa"/>
            <w:tcBorders>
              <w:top w:val="nil"/>
              <w:left w:val="nil"/>
              <w:bottom w:val="single" w:color="000000" w:sz="4" w:space="0"/>
              <w:right w:val="single" w:color="000000" w:sz="4" w:space="0"/>
            </w:tcBorders>
            <w:noWrap/>
            <w:vAlign w:val="center"/>
          </w:tcPr>
          <w:p w14:paraId="6EA8417F">
            <w:pPr>
              <w:widowControl/>
              <w:spacing w:line="280" w:lineRule="exact"/>
              <w:jc w:val="center"/>
              <w:rPr>
                <w:rFonts w:ascii="宋体" w:hAnsi="宋体" w:cs="宋体"/>
                <w:color w:val="000000"/>
                <w:szCs w:val="21"/>
              </w:rPr>
            </w:pPr>
            <w:r>
              <w:rPr>
                <w:rFonts w:hint="eastAsia" w:ascii="宋体" w:hAnsi="宋体" w:cs="宋体"/>
                <w:color w:val="000000"/>
                <w:szCs w:val="21"/>
              </w:rPr>
              <w:t>　</w:t>
            </w:r>
          </w:p>
        </w:tc>
        <w:tc>
          <w:tcPr>
            <w:tcW w:w="980" w:type="dxa"/>
            <w:tcBorders>
              <w:top w:val="nil"/>
              <w:left w:val="nil"/>
              <w:bottom w:val="single" w:color="000000" w:sz="4" w:space="0"/>
              <w:right w:val="single" w:color="000000" w:sz="4" w:space="0"/>
            </w:tcBorders>
            <w:noWrap/>
            <w:vAlign w:val="center"/>
          </w:tcPr>
          <w:p w14:paraId="349D3343">
            <w:pPr>
              <w:widowControl/>
              <w:spacing w:line="280" w:lineRule="exact"/>
              <w:jc w:val="center"/>
              <w:rPr>
                <w:rFonts w:ascii="宋体" w:hAnsi="宋体" w:cs="宋体"/>
                <w:color w:val="000000"/>
                <w:szCs w:val="21"/>
              </w:rPr>
            </w:pPr>
            <w:r>
              <w:rPr>
                <w:rFonts w:hint="eastAsia" w:ascii="宋体" w:hAnsi="宋体" w:cs="宋体"/>
                <w:color w:val="000000"/>
                <w:szCs w:val="21"/>
              </w:rPr>
              <w:t>　</w:t>
            </w:r>
          </w:p>
        </w:tc>
        <w:tc>
          <w:tcPr>
            <w:tcW w:w="740" w:type="dxa"/>
            <w:tcBorders>
              <w:top w:val="nil"/>
              <w:left w:val="nil"/>
              <w:bottom w:val="single" w:color="000000" w:sz="4" w:space="0"/>
              <w:right w:val="single" w:color="000000" w:sz="4" w:space="0"/>
            </w:tcBorders>
            <w:noWrap/>
            <w:vAlign w:val="center"/>
          </w:tcPr>
          <w:p w14:paraId="54677BE2">
            <w:pPr>
              <w:widowControl/>
              <w:spacing w:line="280" w:lineRule="exact"/>
              <w:jc w:val="center"/>
              <w:rPr>
                <w:rFonts w:ascii="宋体" w:hAnsi="宋体" w:cs="宋体"/>
                <w:color w:val="000000"/>
                <w:szCs w:val="21"/>
              </w:rPr>
            </w:pPr>
            <w:r>
              <w:rPr>
                <w:rFonts w:hint="eastAsia" w:ascii="宋体" w:hAnsi="宋体" w:cs="宋体"/>
                <w:color w:val="000000"/>
                <w:szCs w:val="21"/>
              </w:rPr>
              <w:t>　</w:t>
            </w:r>
          </w:p>
        </w:tc>
        <w:tc>
          <w:tcPr>
            <w:tcW w:w="1000" w:type="dxa"/>
            <w:tcBorders>
              <w:top w:val="nil"/>
              <w:left w:val="nil"/>
              <w:bottom w:val="single" w:color="000000" w:sz="4" w:space="0"/>
              <w:right w:val="single" w:color="000000" w:sz="4" w:space="0"/>
            </w:tcBorders>
            <w:noWrap/>
            <w:vAlign w:val="center"/>
          </w:tcPr>
          <w:p w14:paraId="70F25D1A">
            <w:pPr>
              <w:widowControl/>
              <w:spacing w:line="280" w:lineRule="exact"/>
              <w:jc w:val="center"/>
              <w:rPr>
                <w:rFonts w:ascii="宋体" w:hAnsi="宋体" w:cs="宋体"/>
                <w:color w:val="000000"/>
                <w:szCs w:val="21"/>
              </w:rPr>
            </w:pPr>
            <w:r>
              <w:rPr>
                <w:rFonts w:hint="eastAsia" w:ascii="宋体" w:hAnsi="宋体" w:cs="宋体"/>
                <w:color w:val="000000"/>
                <w:szCs w:val="21"/>
              </w:rPr>
              <w:t>　</w:t>
            </w:r>
          </w:p>
        </w:tc>
        <w:tc>
          <w:tcPr>
            <w:tcW w:w="741" w:type="dxa"/>
            <w:tcBorders>
              <w:top w:val="nil"/>
              <w:left w:val="nil"/>
              <w:bottom w:val="single" w:color="000000" w:sz="4" w:space="0"/>
              <w:right w:val="single" w:color="000000" w:sz="4" w:space="0"/>
            </w:tcBorders>
            <w:noWrap/>
            <w:vAlign w:val="center"/>
          </w:tcPr>
          <w:p w14:paraId="72B6CA22">
            <w:pPr>
              <w:widowControl/>
              <w:spacing w:line="280" w:lineRule="exact"/>
              <w:jc w:val="center"/>
              <w:rPr>
                <w:rFonts w:ascii="宋体" w:hAnsi="宋体" w:cs="宋体"/>
                <w:color w:val="000000"/>
                <w:szCs w:val="21"/>
              </w:rPr>
            </w:pPr>
            <w:r>
              <w:rPr>
                <w:rFonts w:hint="eastAsia" w:ascii="宋体" w:hAnsi="宋体" w:cs="宋体"/>
                <w:color w:val="000000"/>
                <w:szCs w:val="21"/>
              </w:rPr>
              <w:t>　</w:t>
            </w:r>
          </w:p>
        </w:tc>
        <w:tc>
          <w:tcPr>
            <w:tcW w:w="1649" w:type="dxa"/>
            <w:tcBorders>
              <w:top w:val="nil"/>
              <w:left w:val="nil"/>
              <w:bottom w:val="single" w:color="000000" w:sz="4" w:space="0"/>
              <w:right w:val="single" w:color="000000" w:sz="4" w:space="0"/>
            </w:tcBorders>
            <w:noWrap/>
            <w:vAlign w:val="center"/>
          </w:tcPr>
          <w:p w14:paraId="3C8CBD1F">
            <w:pPr>
              <w:widowControl/>
              <w:spacing w:line="280" w:lineRule="exact"/>
              <w:jc w:val="center"/>
              <w:rPr>
                <w:rFonts w:ascii="宋体" w:hAnsi="宋体" w:cs="宋体"/>
                <w:color w:val="000000"/>
                <w:szCs w:val="21"/>
              </w:rPr>
            </w:pPr>
            <w:r>
              <w:rPr>
                <w:rFonts w:hint="eastAsia" w:ascii="宋体" w:hAnsi="宋体" w:cs="宋体"/>
                <w:color w:val="000000"/>
                <w:szCs w:val="21"/>
              </w:rPr>
              <w:t>254.25</w:t>
            </w:r>
          </w:p>
        </w:tc>
        <w:tc>
          <w:tcPr>
            <w:tcW w:w="940" w:type="dxa"/>
            <w:tcBorders>
              <w:top w:val="nil"/>
              <w:left w:val="nil"/>
              <w:bottom w:val="single" w:color="000000" w:sz="4" w:space="0"/>
              <w:right w:val="single" w:color="000000" w:sz="4" w:space="0"/>
            </w:tcBorders>
            <w:noWrap/>
            <w:vAlign w:val="center"/>
          </w:tcPr>
          <w:p w14:paraId="709FCDFD">
            <w:pPr>
              <w:widowControl/>
              <w:spacing w:line="280" w:lineRule="exact"/>
              <w:jc w:val="center"/>
              <w:rPr>
                <w:rFonts w:ascii="宋体" w:hAnsi="宋体" w:cs="宋体"/>
                <w:color w:val="000000"/>
                <w:szCs w:val="21"/>
              </w:rPr>
            </w:pPr>
            <w:r>
              <w:rPr>
                <w:rFonts w:hint="eastAsia" w:ascii="宋体" w:hAnsi="宋体" w:cs="宋体"/>
                <w:color w:val="000000"/>
                <w:szCs w:val="21"/>
              </w:rPr>
              <w:t>　</w:t>
            </w:r>
          </w:p>
        </w:tc>
      </w:tr>
    </w:tbl>
    <w:p w14:paraId="0CC6EEEA">
      <w:pPr>
        <w:rPr>
          <w:szCs w:val="32"/>
        </w:rPr>
      </w:pPr>
    </w:p>
    <w:p w14:paraId="766B64DE">
      <w:pPr>
        <w:spacing w:line="360" w:lineRule="auto"/>
        <w:rPr>
          <w:rFonts w:hint="eastAsia" w:ascii="宋体" w:hAnsi="宋体"/>
          <w:b/>
          <w:color w:val="FF0000"/>
          <w:sz w:val="24"/>
          <w:highlight w:val="yellow"/>
        </w:rPr>
      </w:pPr>
    </w:p>
    <w:p w14:paraId="2A4BD0B1">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七、现场踏勘</w:t>
      </w:r>
    </w:p>
    <w:p w14:paraId="69EACE1F">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  本项目不统一组织现场踏勘。</w:t>
      </w:r>
    </w:p>
    <w:p w14:paraId="5AF98BA5">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2.  供应商如对项目现场情况有疑问，请在采购文件规定的时限内与采购人（联系方式见前附表）进行沟通。</w:t>
      </w:r>
    </w:p>
    <w:p w14:paraId="5A388A47">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3.  供应商可自行前往项目现场及周围环境进行踏勘，以获取编制投标文件和签署合同所需的资料。踏勘现场所发生的费用及一切风险由供应商自行承担。供应商被视为充分熟悉了项目现场的地理环境、气候条件、交通状况、工作条件等与履行合同有关的各种因素，并已在其投标文件中作了充分的考虑。</w:t>
      </w:r>
    </w:p>
    <w:p w14:paraId="645CFA6D">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八、其他说明</w:t>
      </w:r>
    </w:p>
    <w:p w14:paraId="2C5B7A29">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  凡本采购需求中未做具体要求的，按照国家及项目所在地现行的有关法律法规、政策、技术规范及标准执行。</w:t>
      </w:r>
    </w:p>
    <w:p w14:paraId="7BA2A205">
      <w:pPr>
        <w:spacing w:line="360" w:lineRule="auto"/>
        <w:ind w:firstLine="480"/>
        <w:rPr>
          <w:rFonts w:ascii="宋体" w:hAnsi="宋体"/>
          <w:color w:val="000000"/>
          <w:sz w:val="24"/>
          <w:highlight w:val="none"/>
        </w:rPr>
      </w:pPr>
      <w:r>
        <w:rPr>
          <w:rFonts w:hint="eastAsia" w:ascii="宋体" w:hAnsi="宋体"/>
          <w:color w:val="000000"/>
          <w:sz w:val="24"/>
          <w:highlight w:val="none"/>
        </w:rPr>
        <w:t>2.  本章所有要求（即加粗部分）均为实质性要求，投标供应商必须完全响应，不允许负偏离，否则其投标将被视为无效投标。</w:t>
      </w:r>
    </w:p>
    <w:p w14:paraId="7614D841">
      <w:pPr>
        <w:pStyle w:val="248"/>
        <w:spacing w:before="0" w:after="0" w:line="360" w:lineRule="auto"/>
        <w:jc w:val="center"/>
        <w:rPr>
          <w:rFonts w:ascii="宋体" w:hAnsi="宋体" w:cs="宋体"/>
          <w:b w:val="0"/>
          <w:bCs/>
          <w:sz w:val="24"/>
          <w:szCs w:val="24"/>
        </w:rPr>
      </w:pPr>
    </w:p>
    <w:p w14:paraId="382BCB9A">
      <w:pPr>
        <w:spacing w:line="360" w:lineRule="auto"/>
        <w:ind w:firstLine="480"/>
        <w:rPr>
          <w:rFonts w:ascii="宋体" w:hAnsi="宋体"/>
          <w:sz w:val="24"/>
        </w:rPr>
      </w:pPr>
    </w:p>
    <w:p w14:paraId="68ED05B7">
      <w:pPr>
        <w:rPr>
          <w:rFonts w:ascii="宋体" w:hAnsi="宋体" w:cs="宋体"/>
          <w:sz w:val="24"/>
        </w:rPr>
        <w:sectPr>
          <w:footerReference r:id="rId6" w:type="default"/>
          <w:pgSz w:w="11906" w:h="16839"/>
          <w:pgMar w:top="1418" w:right="1337" w:bottom="1384" w:left="1425" w:header="0" w:footer="1172" w:gutter="0"/>
          <w:cols w:space="1701" w:num="1"/>
          <w:docGrid w:linePitch="360" w:charSpace="0"/>
        </w:sectPr>
      </w:pPr>
    </w:p>
    <w:p w14:paraId="4FF2FD34">
      <w:pPr>
        <w:pStyle w:val="248"/>
        <w:spacing w:before="0" w:after="0" w:line="560" w:lineRule="exact"/>
        <w:jc w:val="center"/>
        <w:rPr>
          <w:rFonts w:hint="eastAsia"/>
          <w:color w:val="000000"/>
        </w:rPr>
      </w:pPr>
      <w:r>
        <w:rPr>
          <w:color w:val="000000"/>
        </w:rPr>
        <w:t>第</w:t>
      </w:r>
      <w:r>
        <w:rPr>
          <w:rFonts w:hint="eastAsia"/>
          <w:color w:val="000000"/>
        </w:rPr>
        <w:t>四</w:t>
      </w:r>
      <w:r>
        <w:rPr>
          <w:color w:val="000000"/>
        </w:rPr>
        <w:t>章 评标标准</w:t>
      </w:r>
    </w:p>
    <w:p w14:paraId="37C6E17C">
      <w:pPr>
        <w:rPr>
          <w:rFonts w:hint="eastAsia"/>
        </w:rPr>
      </w:pPr>
    </w:p>
    <w:p w14:paraId="1253BB17">
      <w:pPr>
        <w:spacing w:line="360" w:lineRule="auto"/>
        <w:ind w:firstLine="482"/>
        <w:rPr>
          <w:rFonts w:ascii="宋体" w:hAnsi="宋体" w:cs="仿宋"/>
          <w:sz w:val="24"/>
          <w:highlight w:val="none"/>
        </w:rPr>
      </w:pPr>
      <w:r>
        <w:rPr>
          <w:rFonts w:hint="eastAsia" w:ascii="宋体" w:hAnsi="宋体" w:cs="仿宋"/>
          <w:b/>
          <w:bCs/>
          <w:sz w:val="24"/>
          <w:highlight w:val="none"/>
        </w:rPr>
        <w:t>评分方法和标准：</w:t>
      </w:r>
      <w:r>
        <w:rPr>
          <w:rFonts w:hint="eastAsia" w:ascii="宋体" w:hAnsi="宋体" w:cs="仿宋"/>
          <w:sz w:val="24"/>
          <w:highlight w:val="none"/>
        </w:rPr>
        <w:t>本项目采用综合评分法，评分统计方法采用百分制（满分100分），</w:t>
      </w:r>
      <w:r>
        <w:rPr>
          <w:rFonts w:hint="eastAsia" w:ascii="宋体" w:hAnsi="宋体" w:cs="宋体"/>
          <w:sz w:val="24"/>
          <w:highlight w:val="none"/>
        </w:rPr>
        <w:t>将全部评标委员会成员评分直接进行算术平均</w:t>
      </w:r>
      <w:r>
        <w:rPr>
          <w:rFonts w:hint="eastAsia" w:ascii="宋体" w:hAnsi="宋体" w:cs="仿宋"/>
          <w:sz w:val="24"/>
          <w:highlight w:val="none"/>
        </w:rPr>
        <w:t>，小数点后保留2位。按评审后得分由高到低顺序排列，得分相同的，按投标报价由低到高顺序排列，得分且投标报价相同的，按技术指标优劣顺序排列，由评标委员会</w:t>
      </w:r>
      <w:r>
        <w:rPr>
          <w:rFonts w:ascii="宋体" w:hAnsi="宋体" w:cs="仿宋"/>
          <w:sz w:val="24"/>
          <w:highlight w:val="none"/>
        </w:rPr>
        <w:t>依次推荐三家</w:t>
      </w:r>
      <w:r>
        <w:rPr>
          <w:rFonts w:hint="eastAsia" w:ascii="宋体" w:hAnsi="宋体" w:cs="仿宋"/>
          <w:sz w:val="24"/>
          <w:highlight w:val="none"/>
        </w:rPr>
        <w:t>中标</w:t>
      </w:r>
      <w:r>
        <w:rPr>
          <w:rFonts w:ascii="宋体" w:hAnsi="宋体" w:cs="仿宋"/>
          <w:sz w:val="24"/>
          <w:highlight w:val="none"/>
        </w:rPr>
        <w:t>候选供应商</w:t>
      </w:r>
      <w:r>
        <w:rPr>
          <w:rFonts w:hint="eastAsia" w:ascii="宋体" w:hAnsi="宋体" w:cs="仿宋"/>
          <w:sz w:val="24"/>
          <w:highlight w:val="none"/>
        </w:rPr>
        <w:t>。</w:t>
      </w:r>
      <w:r>
        <w:rPr>
          <w:rFonts w:ascii="宋体" w:hAnsi="宋体" w:cs="仿宋"/>
          <w:sz w:val="24"/>
          <w:highlight w:val="none"/>
        </w:rPr>
        <w:t>第二名为备选供应商，当中标供应商不能履行其义务时，由备选供应商顶替，成为新的中标供应商，采购人也可以重新</w:t>
      </w:r>
      <w:r>
        <w:rPr>
          <w:rFonts w:hint="eastAsia" w:ascii="宋体" w:hAnsi="宋体" w:cs="仿宋"/>
          <w:sz w:val="24"/>
          <w:highlight w:val="none"/>
        </w:rPr>
        <w:t>采购</w:t>
      </w:r>
      <w:r>
        <w:rPr>
          <w:rFonts w:ascii="宋体" w:hAnsi="宋体" w:cs="仿宋"/>
          <w:sz w:val="24"/>
          <w:highlight w:val="none"/>
        </w:rPr>
        <w:t>。</w:t>
      </w:r>
    </w:p>
    <w:p w14:paraId="302B82F7">
      <w:pPr>
        <w:rPr>
          <w:highlight w:val="none"/>
        </w:rPr>
      </w:pPr>
    </w:p>
    <w:p w14:paraId="361DE06F">
      <w:pPr>
        <w:rPr>
          <w:highlight w:val="none"/>
        </w:rPr>
      </w:pPr>
    </w:p>
    <w:tbl>
      <w:tblPr>
        <w:tblStyle w:val="28"/>
        <w:tblW w:w="498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38"/>
        <w:gridCol w:w="1361"/>
        <w:gridCol w:w="1000"/>
        <w:gridCol w:w="5569"/>
      </w:tblGrid>
      <w:tr w14:paraId="5F3A0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2699" w:type="dxa"/>
            <w:gridSpan w:val="2"/>
            <w:noWrap w:val="0"/>
            <w:vAlign w:val="center"/>
          </w:tcPr>
          <w:p w14:paraId="050E8D5A">
            <w:pPr>
              <w:spacing w:line="340" w:lineRule="exact"/>
              <w:ind w:left="-399"/>
              <w:jc w:val="center"/>
              <w:rPr>
                <w:rFonts w:ascii="宋体" w:hAnsi="宋体" w:cs="宋体"/>
                <w:b/>
                <w:bCs/>
                <w:sz w:val="24"/>
                <w:highlight w:val="none"/>
              </w:rPr>
            </w:pPr>
            <w:r>
              <w:rPr>
                <w:rFonts w:hint="eastAsia" w:ascii="宋体" w:hAnsi="宋体" w:cs="宋体"/>
                <w:b/>
                <w:bCs/>
                <w:sz w:val="24"/>
                <w:highlight w:val="none"/>
              </w:rPr>
              <w:t>评分项目</w:t>
            </w:r>
          </w:p>
        </w:tc>
        <w:tc>
          <w:tcPr>
            <w:tcW w:w="1000" w:type="dxa"/>
            <w:noWrap w:val="0"/>
            <w:vAlign w:val="center"/>
          </w:tcPr>
          <w:p w14:paraId="54235A7B">
            <w:pPr>
              <w:spacing w:line="340" w:lineRule="exact"/>
              <w:jc w:val="center"/>
              <w:rPr>
                <w:rFonts w:ascii="宋体" w:hAnsi="宋体" w:cs="宋体"/>
                <w:b/>
                <w:bCs/>
                <w:sz w:val="24"/>
                <w:highlight w:val="none"/>
              </w:rPr>
            </w:pPr>
            <w:r>
              <w:rPr>
                <w:rFonts w:hint="eastAsia" w:ascii="宋体" w:hAnsi="宋体" w:cs="宋体"/>
                <w:b/>
                <w:bCs/>
                <w:sz w:val="24"/>
                <w:highlight w:val="none"/>
              </w:rPr>
              <w:t>分值</w:t>
            </w:r>
          </w:p>
        </w:tc>
        <w:tc>
          <w:tcPr>
            <w:tcW w:w="5569" w:type="dxa"/>
            <w:noWrap w:val="0"/>
            <w:vAlign w:val="center"/>
          </w:tcPr>
          <w:p w14:paraId="08B9E0D0">
            <w:pPr>
              <w:spacing w:line="340" w:lineRule="exact"/>
              <w:jc w:val="center"/>
              <w:rPr>
                <w:rFonts w:ascii="宋体" w:hAnsi="宋体" w:cs="宋体"/>
                <w:b/>
                <w:bCs/>
                <w:sz w:val="24"/>
                <w:highlight w:val="none"/>
              </w:rPr>
            </w:pPr>
            <w:r>
              <w:rPr>
                <w:rFonts w:hint="eastAsia" w:ascii="宋体" w:hAnsi="宋体" w:cs="宋体"/>
                <w:b/>
                <w:bCs/>
                <w:sz w:val="24"/>
                <w:highlight w:val="none"/>
              </w:rPr>
              <w:t>评标要点及说明</w:t>
            </w:r>
          </w:p>
        </w:tc>
      </w:tr>
      <w:tr w14:paraId="591C8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99" w:type="dxa"/>
            <w:gridSpan w:val="2"/>
            <w:noWrap w:val="0"/>
            <w:vAlign w:val="center"/>
          </w:tcPr>
          <w:p w14:paraId="79BF275F">
            <w:pPr>
              <w:spacing w:line="340" w:lineRule="exact"/>
              <w:jc w:val="center"/>
              <w:rPr>
                <w:rFonts w:ascii="宋体" w:hAnsi="宋体" w:cs="宋体"/>
                <w:sz w:val="24"/>
                <w:highlight w:val="none"/>
              </w:rPr>
            </w:pPr>
            <w:r>
              <w:rPr>
                <w:rFonts w:hint="eastAsia" w:ascii="宋体" w:hAnsi="宋体" w:cs="宋体"/>
                <w:sz w:val="24"/>
                <w:highlight w:val="none"/>
              </w:rPr>
              <w:t>价格部分（10）</w:t>
            </w:r>
          </w:p>
        </w:tc>
        <w:tc>
          <w:tcPr>
            <w:tcW w:w="1000" w:type="dxa"/>
            <w:noWrap w:val="0"/>
            <w:vAlign w:val="center"/>
          </w:tcPr>
          <w:p w14:paraId="1FF88890">
            <w:pPr>
              <w:spacing w:line="340" w:lineRule="exact"/>
              <w:jc w:val="center"/>
              <w:rPr>
                <w:rFonts w:ascii="宋体" w:hAnsi="宋体" w:cs="宋体"/>
                <w:sz w:val="24"/>
                <w:highlight w:val="none"/>
              </w:rPr>
            </w:pPr>
            <w:r>
              <w:rPr>
                <w:rFonts w:hint="eastAsia" w:ascii="宋体" w:hAnsi="宋体" w:cs="宋体"/>
                <w:sz w:val="24"/>
                <w:highlight w:val="none"/>
              </w:rPr>
              <w:t>10</w:t>
            </w:r>
          </w:p>
        </w:tc>
        <w:tc>
          <w:tcPr>
            <w:tcW w:w="5569" w:type="dxa"/>
            <w:noWrap w:val="0"/>
            <w:vAlign w:val="center"/>
          </w:tcPr>
          <w:p w14:paraId="7BDA495A">
            <w:pPr>
              <w:spacing w:line="340" w:lineRule="exact"/>
              <w:jc w:val="left"/>
              <w:rPr>
                <w:rFonts w:ascii="宋体" w:hAnsi="宋体" w:cs="宋体"/>
                <w:sz w:val="24"/>
                <w:highlight w:val="none"/>
              </w:rPr>
            </w:pPr>
            <w:bookmarkStart w:id="13" w:name="OLE_LINK25"/>
            <w:bookmarkStart w:id="14" w:name="OLE_LINK24"/>
            <w:r>
              <w:rPr>
                <w:rFonts w:hint="eastAsia" w:ascii="宋体" w:hAnsi="宋体" w:cs="宋体"/>
                <w:sz w:val="24"/>
                <w:highlight w:val="none"/>
              </w:rPr>
              <w:t>采用低价优先法计算，即满足招标文件要求且投标价格最低的投标报价为评标基准价，其价格分为满分。其他投标人的价格分统一按照下列公式计算：投标报价得分=（评标基准价/投标报价）×</w:t>
            </w:r>
            <w:bookmarkEnd w:id="13"/>
            <w:bookmarkEnd w:id="14"/>
            <w:r>
              <w:rPr>
                <w:rFonts w:hint="eastAsia" w:ascii="宋体" w:hAnsi="宋体" w:cs="宋体"/>
                <w:sz w:val="24"/>
                <w:highlight w:val="none"/>
              </w:rPr>
              <w:t>10（小数点保留两位）。（评标委员会在评审时发现供应商的报价明显低于成本价的，应当要求供应商书面说明并提供相关证明材料。供应商不能当场合理说明原因并提供证明材料的，评标委员会应将该供应商的投标文件作无效处理，并在评审报告中说明）。</w:t>
            </w:r>
          </w:p>
        </w:tc>
      </w:tr>
      <w:tr w14:paraId="67A04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4" w:hRule="atLeast"/>
          <w:jc w:val="center"/>
        </w:trPr>
        <w:tc>
          <w:tcPr>
            <w:tcW w:w="1338" w:type="dxa"/>
            <w:vMerge w:val="restart"/>
            <w:noWrap w:val="0"/>
            <w:vAlign w:val="center"/>
          </w:tcPr>
          <w:p w14:paraId="27E0623F">
            <w:pPr>
              <w:spacing w:line="340" w:lineRule="exact"/>
              <w:jc w:val="center"/>
              <w:rPr>
                <w:rFonts w:ascii="宋体" w:hAnsi="宋体" w:cs="宋体"/>
                <w:sz w:val="24"/>
                <w:highlight w:val="none"/>
              </w:rPr>
            </w:pPr>
            <w:r>
              <w:rPr>
                <w:rFonts w:hint="eastAsia" w:ascii="宋体" w:hAnsi="宋体" w:cs="宋体"/>
                <w:sz w:val="24"/>
                <w:highlight w:val="none"/>
              </w:rPr>
              <w:t>商务部分</w:t>
            </w:r>
          </w:p>
          <w:p w14:paraId="7B77CFC3">
            <w:pPr>
              <w:widowControl/>
              <w:spacing w:line="340" w:lineRule="exact"/>
              <w:jc w:val="center"/>
              <w:rPr>
                <w:rFonts w:ascii="宋体" w:hAnsi="宋体" w:cs="宋体"/>
                <w:sz w:val="24"/>
                <w:highlight w:val="none"/>
              </w:rPr>
            </w:pPr>
            <w:r>
              <w:rPr>
                <w:rFonts w:hint="eastAsia" w:ascii="宋体" w:hAnsi="宋体" w:cs="宋体"/>
                <w:sz w:val="24"/>
                <w:highlight w:val="none"/>
              </w:rPr>
              <w:t>（40）</w:t>
            </w:r>
          </w:p>
        </w:tc>
        <w:tc>
          <w:tcPr>
            <w:tcW w:w="1361" w:type="dxa"/>
            <w:noWrap w:val="0"/>
            <w:vAlign w:val="center"/>
          </w:tcPr>
          <w:p w14:paraId="63B019D2">
            <w:pPr>
              <w:pStyle w:val="269"/>
              <w:spacing w:line="340" w:lineRule="exact"/>
              <w:jc w:val="center"/>
              <w:rPr>
                <w:rFonts w:ascii="宋体" w:hAnsi="宋体" w:eastAsia="宋体" w:cs="宋体"/>
                <w:b w:val="0"/>
                <w:highlight w:val="none"/>
              </w:rPr>
            </w:pPr>
            <w:r>
              <w:rPr>
                <w:rFonts w:hint="eastAsia" w:ascii="宋体" w:hAnsi="宋体" w:eastAsia="宋体" w:cs="宋体"/>
                <w:b w:val="0"/>
                <w:highlight w:val="none"/>
              </w:rPr>
              <w:t>项目负责人</w:t>
            </w:r>
          </w:p>
        </w:tc>
        <w:tc>
          <w:tcPr>
            <w:tcW w:w="1000" w:type="dxa"/>
            <w:noWrap w:val="0"/>
            <w:vAlign w:val="center"/>
          </w:tcPr>
          <w:p w14:paraId="3BCF9E70">
            <w:pPr>
              <w:spacing w:line="340" w:lineRule="exact"/>
              <w:jc w:val="center"/>
              <w:rPr>
                <w:rFonts w:ascii="宋体" w:hAnsi="宋体" w:cs="宋体"/>
                <w:sz w:val="24"/>
                <w:highlight w:val="none"/>
              </w:rPr>
            </w:pPr>
            <w:r>
              <w:rPr>
                <w:rFonts w:hint="eastAsia" w:ascii="宋体" w:hAnsi="宋体" w:cs="宋体"/>
                <w:sz w:val="24"/>
                <w:highlight w:val="none"/>
              </w:rPr>
              <w:t>5</w:t>
            </w:r>
          </w:p>
        </w:tc>
        <w:tc>
          <w:tcPr>
            <w:tcW w:w="5569" w:type="dxa"/>
            <w:noWrap w:val="0"/>
            <w:vAlign w:val="center"/>
          </w:tcPr>
          <w:p w14:paraId="66FB9E82">
            <w:pPr>
              <w:spacing w:line="340" w:lineRule="exact"/>
              <w:jc w:val="left"/>
              <w:rPr>
                <w:rFonts w:hint="eastAsia" w:ascii="宋体" w:hAnsi="宋体" w:cs="宋体"/>
                <w:sz w:val="24"/>
                <w:highlight w:val="none"/>
              </w:rPr>
            </w:pPr>
            <w:r>
              <w:rPr>
                <w:rFonts w:hint="eastAsia" w:ascii="宋体" w:hAnsi="宋体" w:cs="宋体"/>
                <w:sz w:val="24"/>
                <w:highlight w:val="none"/>
              </w:rPr>
              <w:t>（1）供应商拟配备的项目负责人具有高级及以上林业类工程师职称的的得3分；具有中级林业类工程师职称的得1.5分；本项最多得3分。</w:t>
            </w:r>
          </w:p>
          <w:p w14:paraId="5DF9F411">
            <w:pPr>
              <w:spacing w:line="340" w:lineRule="exact"/>
              <w:jc w:val="left"/>
              <w:rPr>
                <w:sz w:val="24"/>
                <w:highlight w:val="none"/>
              </w:rPr>
            </w:pPr>
            <w:r>
              <w:rPr>
                <w:rFonts w:hint="eastAsia"/>
                <w:color w:val="000000"/>
                <w:sz w:val="24"/>
                <w:highlight w:val="none"/>
              </w:rPr>
              <w:t>（2）项目负责人</w:t>
            </w:r>
            <w:r>
              <w:rPr>
                <w:rFonts w:hint="eastAsia"/>
                <w:color w:val="000000"/>
                <w:spacing w:val="-2"/>
                <w:sz w:val="24"/>
                <w:highlight w:val="none"/>
              </w:rPr>
              <w:t>具有安全生产管理人员合格证书的得2分</w:t>
            </w:r>
            <w:r>
              <w:rPr>
                <w:rFonts w:hint="eastAsia"/>
                <w:spacing w:val="-2"/>
                <w:sz w:val="24"/>
                <w:highlight w:val="none"/>
              </w:rPr>
              <w:t>。</w:t>
            </w:r>
          </w:p>
          <w:p w14:paraId="34D4EFC7">
            <w:pPr>
              <w:spacing w:line="340" w:lineRule="exact"/>
              <w:jc w:val="left"/>
              <w:rPr>
                <w:rFonts w:ascii="宋体" w:hAnsi="宋体" w:cs="宋体"/>
                <w:sz w:val="24"/>
                <w:highlight w:val="none"/>
              </w:rPr>
            </w:pPr>
            <w:r>
              <w:rPr>
                <w:rFonts w:hint="eastAsia" w:ascii="宋体" w:hAnsi="宋体" w:cs="宋体"/>
                <w:sz w:val="24"/>
                <w:highlight w:val="none"/>
              </w:rPr>
              <w:t>提供项目负责人职称证书、安全生产管理相关证书及供应商为项目负责人在本单位缴纳的近6个月（2025年08月-2026年01月）任意一个月的社保证明材料并加盖投标人公章。以上材料扫描上传系统。</w:t>
            </w:r>
          </w:p>
        </w:tc>
      </w:tr>
      <w:tr w14:paraId="69E05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4" w:hRule="atLeast"/>
          <w:jc w:val="center"/>
        </w:trPr>
        <w:tc>
          <w:tcPr>
            <w:tcW w:w="1338" w:type="dxa"/>
            <w:vMerge w:val="continue"/>
            <w:noWrap w:val="0"/>
            <w:vAlign w:val="center"/>
          </w:tcPr>
          <w:p w14:paraId="21DF17E0">
            <w:pPr>
              <w:widowControl/>
              <w:spacing w:line="340" w:lineRule="exact"/>
              <w:jc w:val="center"/>
              <w:rPr>
                <w:rFonts w:ascii="宋体" w:hAnsi="宋体" w:cs="宋体"/>
                <w:sz w:val="24"/>
                <w:highlight w:val="none"/>
              </w:rPr>
            </w:pPr>
          </w:p>
        </w:tc>
        <w:tc>
          <w:tcPr>
            <w:tcW w:w="1361" w:type="dxa"/>
            <w:noWrap w:val="0"/>
            <w:vAlign w:val="center"/>
          </w:tcPr>
          <w:p w14:paraId="415A8780">
            <w:pPr>
              <w:spacing w:line="340" w:lineRule="exact"/>
              <w:jc w:val="center"/>
              <w:rPr>
                <w:rFonts w:ascii="宋体" w:hAnsi="宋体" w:cs="宋体"/>
                <w:sz w:val="24"/>
                <w:highlight w:val="none"/>
              </w:rPr>
            </w:pPr>
            <w:r>
              <w:rPr>
                <w:rFonts w:hint="eastAsia" w:ascii="宋体" w:hAnsi="宋体" w:cs="宋体"/>
                <w:sz w:val="24"/>
                <w:highlight w:val="none"/>
              </w:rPr>
              <w:t>项目组人员</w:t>
            </w:r>
          </w:p>
        </w:tc>
        <w:tc>
          <w:tcPr>
            <w:tcW w:w="1000" w:type="dxa"/>
            <w:noWrap w:val="0"/>
            <w:vAlign w:val="center"/>
          </w:tcPr>
          <w:p w14:paraId="34991713">
            <w:pPr>
              <w:spacing w:line="340" w:lineRule="exact"/>
              <w:jc w:val="center"/>
              <w:rPr>
                <w:rFonts w:ascii="宋体" w:hAnsi="宋体" w:cs="宋体"/>
                <w:sz w:val="24"/>
                <w:highlight w:val="none"/>
              </w:rPr>
            </w:pPr>
            <w:r>
              <w:rPr>
                <w:rFonts w:hint="eastAsia" w:ascii="宋体" w:hAnsi="宋体" w:cs="宋体"/>
                <w:sz w:val="24"/>
                <w:highlight w:val="none"/>
              </w:rPr>
              <w:t>13</w:t>
            </w:r>
          </w:p>
        </w:tc>
        <w:tc>
          <w:tcPr>
            <w:tcW w:w="5569" w:type="dxa"/>
            <w:noWrap w:val="0"/>
            <w:vAlign w:val="center"/>
          </w:tcPr>
          <w:p w14:paraId="22BD92D7">
            <w:pPr>
              <w:spacing w:line="340" w:lineRule="exact"/>
              <w:jc w:val="left"/>
              <w:rPr>
                <w:rFonts w:ascii="宋体" w:hAnsi="宋体" w:cs="宋体"/>
                <w:sz w:val="24"/>
                <w:highlight w:val="none"/>
              </w:rPr>
            </w:pPr>
            <w:r>
              <w:rPr>
                <w:rFonts w:hint="eastAsia" w:ascii="宋体" w:hAnsi="宋体" w:cs="宋体"/>
                <w:sz w:val="24"/>
                <w:highlight w:val="none"/>
              </w:rPr>
              <w:t>供应商拟配备的项目组人员（项目负责人除外）中级及以上林业类工程师职称的每提供1人得1.5分；具有初级林业类工程师职称的每提供1人得0.5分；本项最多得13分。（提供人员职称证书及供应商为上述人员在本单位缴纳的近6个月（2025年08月-2026年01月）任意一个月的社保证明材料加盖投标人公章。以上材料扫描上传系统。</w:t>
            </w:r>
          </w:p>
        </w:tc>
      </w:tr>
      <w:tr w14:paraId="71286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4" w:hRule="atLeast"/>
          <w:jc w:val="center"/>
        </w:trPr>
        <w:tc>
          <w:tcPr>
            <w:tcW w:w="1338" w:type="dxa"/>
            <w:vMerge w:val="continue"/>
            <w:noWrap w:val="0"/>
            <w:vAlign w:val="center"/>
          </w:tcPr>
          <w:p w14:paraId="55CC5445">
            <w:pPr>
              <w:widowControl/>
              <w:spacing w:line="340" w:lineRule="exact"/>
              <w:jc w:val="center"/>
              <w:rPr>
                <w:rFonts w:ascii="宋体" w:hAnsi="宋体" w:cs="宋体"/>
                <w:sz w:val="24"/>
                <w:highlight w:val="none"/>
              </w:rPr>
            </w:pPr>
          </w:p>
        </w:tc>
        <w:tc>
          <w:tcPr>
            <w:tcW w:w="1361" w:type="dxa"/>
            <w:noWrap w:val="0"/>
            <w:vAlign w:val="center"/>
          </w:tcPr>
          <w:p w14:paraId="54D0AFE4">
            <w:pPr>
              <w:spacing w:line="340" w:lineRule="exact"/>
              <w:jc w:val="center"/>
              <w:rPr>
                <w:rFonts w:ascii="宋体" w:hAnsi="宋体" w:cs="宋体"/>
                <w:sz w:val="24"/>
                <w:highlight w:val="none"/>
              </w:rPr>
            </w:pPr>
            <w:r>
              <w:rPr>
                <w:rFonts w:hint="eastAsia" w:ascii="宋体" w:hAnsi="宋体" w:cs="宋体"/>
                <w:sz w:val="24"/>
                <w:highlight w:val="none"/>
              </w:rPr>
              <w:t>类似业绩</w:t>
            </w:r>
          </w:p>
        </w:tc>
        <w:tc>
          <w:tcPr>
            <w:tcW w:w="1000" w:type="dxa"/>
            <w:noWrap w:val="0"/>
            <w:vAlign w:val="center"/>
          </w:tcPr>
          <w:p w14:paraId="607AD823">
            <w:pPr>
              <w:spacing w:line="340" w:lineRule="exact"/>
              <w:jc w:val="center"/>
              <w:rPr>
                <w:rFonts w:ascii="宋体" w:hAnsi="宋体" w:cs="宋体"/>
                <w:sz w:val="24"/>
                <w:highlight w:val="none"/>
              </w:rPr>
            </w:pPr>
            <w:r>
              <w:rPr>
                <w:rFonts w:hint="eastAsia" w:ascii="宋体" w:hAnsi="宋体" w:cs="宋体"/>
                <w:sz w:val="24"/>
                <w:highlight w:val="none"/>
              </w:rPr>
              <w:t>10</w:t>
            </w:r>
          </w:p>
        </w:tc>
        <w:tc>
          <w:tcPr>
            <w:tcW w:w="5569" w:type="dxa"/>
            <w:noWrap w:val="0"/>
            <w:vAlign w:val="top"/>
          </w:tcPr>
          <w:p w14:paraId="5E446487">
            <w:pPr>
              <w:pStyle w:val="239"/>
              <w:ind w:firstLine="0"/>
              <w:rPr>
                <w:sz w:val="24"/>
                <w:szCs w:val="24"/>
                <w:highlight w:val="none"/>
              </w:rPr>
            </w:pPr>
            <w:r>
              <w:rPr>
                <w:rFonts w:hint="eastAsia"/>
                <w:sz w:val="24"/>
                <w:szCs w:val="24"/>
                <w:highlight w:val="none"/>
              </w:rPr>
              <w:t>供应商2023年1月1日以来（以合同签订时间为准）承担过疫点拔除相关项目的每提供一个得5分，满分10分（提供合同</w:t>
            </w:r>
            <w:r>
              <w:rPr>
                <w:rFonts w:hint="eastAsia" w:ascii="宋体" w:hAnsi="宋体" w:cs="宋体"/>
                <w:sz w:val="24"/>
                <w:szCs w:val="24"/>
                <w:highlight w:val="none"/>
              </w:rPr>
              <w:t>扫描上传系统</w:t>
            </w:r>
            <w:r>
              <w:rPr>
                <w:rFonts w:hint="eastAsia"/>
                <w:sz w:val="24"/>
                <w:szCs w:val="24"/>
                <w:highlight w:val="none"/>
              </w:rPr>
              <w:t>）</w:t>
            </w:r>
          </w:p>
        </w:tc>
      </w:tr>
      <w:tr w14:paraId="3B75A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jc w:val="center"/>
        </w:trPr>
        <w:tc>
          <w:tcPr>
            <w:tcW w:w="1338" w:type="dxa"/>
            <w:vMerge w:val="continue"/>
            <w:noWrap w:val="0"/>
            <w:vAlign w:val="center"/>
          </w:tcPr>
          <w:p w14:paraId="1046BABB">
            <w:pPr>
              <w:widowControl/>
              <w:spacing w:line="340" w:lineRule="exact"/>
              <w:jc w:val="center"/>
              <w:rPr>
                <w:rFonts w:ascii="宋体" w:hAnsi="宋体" w:cs="宋体"/>
                <w:sz w:val="24"/>
                <w:highlight w:val="none"/>
              </w:rPr>
            </w:pPr>
          </w:p>
        </w:tc>
        <w:tc>
          <w:tcPr>
            <w:tcW w:w="1361" w:type="dxa"/>
            <w:noWrap w:val="0"/>
            <w:vAlign w:val="center"/>
          </w:tcPr>
          <w:p w14:paraId="7C5CB6FC">
            <w:pPr>
              <w:spacing w:line="340" w:lineRule="exact"/>
              <w:jc w:val="center"/>
              <w:rPr>
                <w:rFonts w:ascii="宋体" w:hAnsi="宋体" w:cs="宋体"/>
                <w:sz w:val="24"/>
                <w:highlight w:val="none"/>
              </w:rPr>
            </w:pPr>
            <w:r>
              <w:rPr>
                <w:rFonts w:hint="eastAsia" w:ascii="宋体" w:hAnsi="宋体" w:cs="宋体"/>
                <w:sz w:val="24"/>
                <w:highlight w:val="none"/>
              </w:rPr>
              <w:t>项目设施配备</w:t>
            </w:r>
          </w:p>
        </w:tc>
        <w:tc>
          <w:tcPr>
            <w:tcW w:w="1000" w:type="dxa"/>
            <w:noWrap w:val="0"/>
            <w:vAlign w:val="center"/>
          </w:tcPr>
          <w:p w14:paraId="6265EE58">
            <w:pPr>
              <w:spacing w:line="340" w:lineRule="exact"/>
              <w:jc w:val="center"/>
              <w:rPr>
                <w:rFonts w:ascii="宋体" w:hAnsi="宋体" w:cs="宋体"/>
                <w:sz w:val="24"/>
                <w:highlight w:val="none"/>
              </w:rPr>
            </w:pPr>
            <w:r>
              <w:rPr>
                <w:rFonts w:hint="eastAsia" w:ascii="宋体" w:hAnsi="宋体" w:cs="宋体"/>
                <w:sz w:val="24"/>
                <w:highlight w:val="none"/>
              </w:rPr>
              <w:t>6</w:t>
            </w:r>
          </w:p>
        </w:tc>
        <w:tc>
          <w:tcPr>
            <w:tcW w:w="5569" w:type="dxa"/>
            <w:noWrap w:val="0"/>
            <w:vAlign w:val="center"/>
          </w:tcPr>
          <w:p w14:paraId="5405241F">
            <w:pPr>
              <w:spacing w:line="340" w:lineRule="exact"/>
              <w:jc w:val="left"/>
              <w:rPr>
                <w:rFonts w:ascii="宋体" w:hAnsi="宋体" w:cs="宋体"/>
                <w:sz w:val="24"/>
                <w:highlight w:val="none"/>
              </w:rPr>
            </w:pPr>
            <w:r>
              <w:rPr>
                <w:rFonts w:hint="eastAsia" w:ascii="宋体" w:hAnsi="宋体" w:cs="宋体"/>
                <w:sz w:val="24"/>
                <w:highlight w:val="none"/>
              </w:rPr>
              <w:t>（1）供应商为项目配备粉碎机设备的得3分。（提供照片、购置发票或租赁协议扫描上传系统，没有不得分）</w:t>
            </w:r>
          </w:p>
          <w:p w14:paraId="70995C92">
            <w:pPr>
              <w:spacing w:line="340" w:lineRule="exact"/>
              <w:jc w:val="left"/>
              <w:rPr>
                <w:rFonts w:ascii="宋体" w:hAnsi="宋体" w:cs="宋体"/>
                <w:b/>
                <w:bCs/>
                <w:sz w:val="24"/>
                <w:highlight w:val="none"/>
              </w:rPr>
            </w:pPr>
            <w:r>
              <w:rPr>
                <w:rFonts w:hint="eastAsia" w:ascii="宋体" w:hAnsi="宋体" w:cs="宋体"/>
                <w:sz w:val="24"/>
                <w:highlight w:val="none"/>
              </w:rPr>
              <w:t>（2）供应商为项目配备</w:t>
            </w:r>
            <w:r>
              <w:rPr>
                <w:rFonts w:hint="eastAsia" w:ascii="宋体" w:hAnsi="宋体" w:cs="宋体"/>
                <w:color w:val="000000"/>
                <w:sz w:val="24"/>
                <w:highlight w:val="none"/>
              </w:rPr>
              <w:t>松材线虫分子检测设备</w:t>
            </w:r>
            <w:r>
              <w:rPr>
                <w:rFonts w:hint="eastAsia" w:ascii="宋体" w:hAnsi="宋体" w:cs="宋体"/>
                <w:sz w:val="24"/>
                <w:highlight w:val="none"/>
              </w:rPr>
              <w:t>的得3分。（提供照片、购置发票或租赁协议扫描上传系统，如投标人为该设备生产厂家，提供相关证明资料扫描件上传系统即可，没有不得分），</w:t>
            </w:r>
          </w:p>
        </w:tc>
      </w:tr>
      <w:tr w14:paraId="574F4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jc w:val="center"/>
        </w:trPr>
        <w:tc>
          <w:tcPr>
            <w:tcW w:w="1338" w:type="dxa"/>
            <w:vMerge w:val="continue"/>
            <w:noWrap w:val="0"/>
            <w:vAlign w:val="center"/>
          </w:tcPr>
          <w:p w14:paraId="2DFC056E">
            <w:pPr>
              <w:widowControl/>
              <w:spacing w:line="340" w:lineRule="exact"/>
              <w:jc w:val="center"/>
              <w:rPr>
                <w:rFonts w:ascii="宋体" w:hAnsi="宋体" w:cs="宋体"/>
                <w:sz w:val="24"/>
              </w:rPr>
            </w:pPr>
          </w:p>
        </w:tc>
        <w:tc>
          <w:tcPr>
            <w:tcW w:w="1361" w:type="dxa"/>
            <w:noWrap w:val="0"/>
            <w:vAlign w:val="center"/>
          </w:tcPr>
          <w:p w14:paraId="49A7D9E3">
            <w:pPr>
              <w:spacing w:line="340" w:lineRule="exact"/>
              <w:jc w:val="center"/>
              <w:rPr>
                <w:rFonts w:ascii="宋体" w:hAnsi="宋体" w:cs="宋体"/>
                <w:sz w:val="24"/>
              </w:rPr>
            </w:pPr>
            <w:r>
              <w:rPr>
                <w:rFonts w:hint="eastAsia" w:ascii="宋体" w:hAnsi="宋体" w:cs="宋体"/>
                <w:sz w:val="24"/>
              </w:rPr>
              <w:t>防控系统</w:t>
            </w:r>
          </w:p>
        </w:tc>
        <w:tc>
          <w:tcPr>
            <w:tcW w:w="1000" w:type="dxa"/>
            <w:noWrap w:val="0"/>
            <w:vAlign w:val="center"/>
          </w:tcPr>
          <w:p w14:paraId="5500CF90">
            <w:pPr>
              <w:spacing w:line="340" w:lineRule="exact"/>
              <w:jc w:val="center"/>
              <w:rPr>
                <w:rFonts w:ascii="宋体" w:hAnsi="宋体" w:cs="宋体"/>
                <w:sz w:val="24"/>
              </w:rPr>
            </w:pPr>
            <w:r>
              <w:rPr>
                <w:rFonts w:hint="eastAsia" w:ascii="宋体" w:hAnsi="宋体" w:cs="宋体"/>
                <w:sz w:val="24"/>
              </w:rPr>
              <w:t>3</w:t>
            </w:r>
          </w:p>
        </w:tc>
        <w:tc>
          <w:tcPr>
            <w:tcW w:w="5569" w:type="dxa"/>
            <w:noWrap w:val="0"/>
            <w:vAlign w:val="center"/>
          </w:tcPr>
          <w:p w14:paraId="1083DDC0">
            <w:pPr>
              <w:spacing w:line="340" w:lineRule="exact"/>
              <w:jc w:val="left"/>
              <w:rPr>
                <w:rFonts w:ascii="宋体" w:hAnsi="宋体" w:cs="宋体"/>
                <w:sz w:val="24"/>
              </w:rPr>
            </w:pPr>
            <w:r>
              <w:rPr>
                <w:rFonts w:hint="eastAsia" w:ascii="宋体" w:hAnsi="宋体" w:cs="宋体"/>
                <w:sz w:val="24"/>
              </w:rPr>
              <w:t>供应商具有类似林业有害生物防控相关系统或软件的，得3分。（提供国家版权局计算机软件著作权登记证书（著作权人须为供应商）扫描上传至系统）</w:t>
            </w:r>
          </w:p>
        </w:tc>
      </w:tr>
      <w:tr w14:paraId="6E8A5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jc w:val="center"/>
        </w:trPr>
        <w:tc>
          <w:tcPr>
            <w:tcW w:w="1338" w:type="dxa"/>
            <w:vMerge w:val="continue"/>
            <w:noWrap w:val="0"/>
            <w:vAlign w:val="center"/>
          </w:tcPr>
          <w:p w14:paraId="4F79F6E5">
            <w:pPr>
              <w:widowControl/>
              <w:spacing w:line="340" w:lineRule="exact"/>
              <w:jc w:val="center"/>
              <w:rPr>
                <w:rFonts w:ascii="宋体" w:hAnsi="宋体" w:cs="宋体"/>
                <w:sz w:val="24"/>
              </w:rPr>
            </w:pPr>
          </w:p>
        </w:tc>
        <w:tc>
          <w:tcPr>
            <w:tcW w:w="1361" w:type="dxa"/>
            <w:noWrap w:val="0"/>
            <w:vAlign w:val="center"/>
          </w:tcPr>
          <w:p w14:paraId="5B591703">
            <w:pPr>
              <w:spacing w:line="340" w:lineRule="exact"/>
              <w:jc w:val="center"/>
              <w:rPr>
                <w:rFonts w:ascii="宋体" w:hAnsi="宋体" w:cs="宋体"/>
                <w:sz w:val="24"/>
              </w:rPr>
            </w:pPr>
            <w:r>
              <w:rPr>
                <w:rFonts w:hint="eastAsia" w:ascii="宋体" w:hAnsi="宋体" w:cs="宋体"/>
                <w:sz w:val="24"/>
              </w:rPr>
              <w:t>管理体系</w:t>
            </w:r>
          </w:p>
        </w:tc>
        <w:tc>
          <w:tcPr>
            <w:tcW w:w="1000" w:type="dxa"/>
            <w:noWrap w:val="0"/>
            <w:vAlign w:val="center"/>
          </w:tcPr>
          <w:p w14:paraId="6464A3C0">
            <w:pPr>
              <w:spacing w:line="340" w:lineRule="exact"/>
              <w:jc w:val="center"/>
              <w:rPr>
                <w:rFonts w:ascii="宋体" w:hAnsi="宋体" w:cs="宋体"/>
                <w:sz w:val="24"/>
              </w:rPr>
            </w:pPr>
            <w:r>
              <w:rPr>
                <w:rFonts w:hint="eastAsia" w:ascii="宋体" w:hAnsi="宋体" w:cs="宋体"/>
                <w:sz w:val="24"/>
              </w:rPr>
              <w:t>3</w:t>
            </w:r>
          </w:p>
        </w:tc>
        <w:tc>
          <w:tcPr>
            <w:tcW w:w="5569" w:type="dxa"/>
            <w:noWrap w:val="0"/>
            <w:vAlign w:val="center"/>
          </w:tcPr>
          <w:p w14:paraId="230F27DD">
            <w:pPr>
              <w:spacing w:line="340" w:lineRule="exact"/>
              <w:jc w:val="left"/>
              <w:rPr>
                <w:rFonts w:ascii="宋体" w:hAnsi="宋体" w:cs="宋体"/>
                <w:sz w:val="24"/>
              </w:rPr>
            </w:pPr>
            <w:r>
              <w:rPr>
                <w:rFonts w:hint="eastAsia" w:ascii="宋体" w:hAnsi="宋体" w:cs="宋体"/>
                <w:sz w:val="24"/>
              </w:rPr>
              <w:t>供应商具有有效的质量管理体系认证的，得3分。（提供有效的认证证书扫描上传至系统）</w:t>
            </w:r>
          </w:p>
        </w:tc>
      </w:tr>
      <w:tr w14:paraId="53D25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4" w:hRule="atLeast"/>
          <w:jc w:val="center"/>
        </w:trPr>
        <w:tc>
          <w:tcPr>
            <w:tcW w:w="1338" w:type="dxa"/>
            <w:vMerge w:val="restart"/>
            <w:noWrap w:val="0"/>
            <w:vAlign w:val="center"/>
          </w:tcPr>
          <w:p w14:paraId="489F3A1C">
            <w:pPr>
              <w:widowControl/>
              <w:spacing w:line="340" w:lineRule="exact"/>
              <w:jc w:val="center"/>
              <w:rPr>
                <w:rFonts w:ascii="宋体" w:hAnsi="宋体" w:cs="宋体"/>
                <w:sz w:val="24"/>
              </w:rPr>
            </w:pPr>
            <w:r>
              <w:rPr>
                <w:rFonts w:hint="eastAsia" w:ascii="宋体" w:hAnsi="宋体" w:cs="宋体"/>
                <w:sz w:val="24"/>
              </w:rPr>
              <w:t>技术部分（50分）</w:t>
            </w:r>
          </w:p>
        </w:tc>
        <w:tc>
          <w:tcPr>
            <w:tcW w:w="1361" w:type="dxa"/>
            <w:vMerge w:val="restart"/>
            <w:noWrap w:val="0"/>
            <w:vAlign w:val="center"/>
          </w:tcPr>
          <w:p w14:paraId="48B805BA">
            <w:pPr>
              <w:spacing w:line="340" w:lineRule="exact"/>
              <w:jc w:val="center"/>
              <w:rPr>
                <w:rFonts w:ascii="宋体" w:hAnsi="宋体" w:cs="宋体"/>
                <w:sz w:val="24"/>
              </w:rPr>
            </w:pPr>
            <w:r>
              <w:rPr>
                <w:rFonts w:hint="eastAsia" w:ascii="宋体" w:hAnsi="宋体" w:cs="宋体"/>
                <w:sz w:val="24"/>
              </w:rPr>
              <w:t>服务方案</w:t>
            </w:r>
          </w:p>
        </w:tc>
        <w:tc>
          <w:tcPr>
            <w:tcW w:w="1000" w:type="dxa"/>
            <w:noWrap w:val="0"/>
            <w:vAlign w:val="center"/>
          </w:tcPr>
          <w:p w14:paraId="5C906CFD">
            <w:pPr>
              <w:spacing w:line="340" w:lineRule="exact"/>
              <w:jc w:val="center"/>
              <w:rPr>
                <w:rFonts w:ascii="宋体" w:hAnsi="宋体" w:cs="宋体"/>
                <w:sz w:val="24"/>
              </w:rPr>
            </w:pPr>
            <w:r>
              <w:rPr>
                <w:rFonts w:hint="eastAsia" w:ascii="宋体" w:hAnsi="宋体" w:cs="宋体"/>
                <w:sz w:val="24"/>
              </w:rPr>
              <w:t>10</w:t>
            </w:r>
          </w:p>
        </w:tc>
        <w:tc>
          <w:tcPr>
            <w:tcW w:w="5569" w:type="dxa"/>
            <w:noWrap w:val="0"/>
            <w:vAlign w:val="center"/>
          </w:tcPr>
          <w:p w14:paraId="2937FA1A">
            <w:pPr>
              <w:rPr>
                <w:sz w:val="24"/>
              </w:rPr>
            </w:pPr>
            <w:r>
              <w:rPr>
                <w:rFonts w:hint="eastAsia"/>
                <w:sz w:val="24"/>
              </w:rPr>
              <w:t>根据供应商提供的项目理解及现状分析（包括对治理区域的林相结构、地形地貌、松材线虫病发生危害现状熟悉程度及针对本项目的需求等方面）进行综合评审。</w:t>
            </w:r>
          </w:p>
          <w:p w14:paraId="7F804F3E">
            <w:pPr>
              <w:rPr>
                <w:sz w:val="24"/>
              </w:rPr>
            </w:pPr>
            <w:r>
              <w:rPr>
                <w:rFonts w:hint="eastAsia"/>
                <w:sz w:val="24"/>
              </w:rPr>
              <w:t>1.</w:t>
            </w:r>
            <w:r>
              <w:rPr>
                <w:sz w:val="24"/>
              </w:rPr>
              <w:t>对项目理解</w:t>
            </w:r>
            <w:r>
              <w:rPr>
                <w:rFonts w:hint="eastAsia"/>
                <w:sz w:val="24"/>
              </w:rPr>
              <w:t>深入</w:t>
            </w:r>
            <w:r>
              <w:rPr>
                <w:sz w:val="24"/>
              </w:rPr>
              <w:t>，</w:t>
            </w:r>
            <w:r>
              <w:rPr>
                <w:rFonts w:hint="eastAsia"/>
                <w:sz w:val="24"/>
              </w:rPr>
              <w:t>现状分析透彻的</w:t>
            </w:r>
            <w:r>
              <w:rPr>
                <w:sz w:val="24"/>
              </w:rPr>
              <w:t>，得</w:t>
            </w:r>
            <w:r>
              <w:rPr>
                <w:rFonts w:hint="eastAsia"/>
                <w:sz w:val="24"/>
              </w:rPr>
              <w:t>10</w:t>
            </w:r>
            <w:r>
              <w:rPr>
                <w:sz w:val="24"/>
              </w:rPr>
              <w:t>分；</w:t>
            </w:r>
          </w:p>
          <w:p w14:paraId="1E8BB9DC">
            <w:pPr>
              <w:rPr>
                <w:sz w:val="24"/>
              </w:rPr>
            </w:pPr>
            <w:r>
              <w:rPr>
                <w:rFonts w:hint="eastAsia"/>
                <w:sz w:val="24"/>
              </w:rPr>
              <w:t>2.</w:t>
            </w:r>
            <w:r>
              <w:rPr>
                <w:sz w:val="24"/>
              </w:rPr>
              <w:t>对项目理解</w:t>
            </w:r>
            <w:r>
              <w:rPr>
                <w:rFonts w:hint="eastAsia"/>
                <w:sz w:val="24"/>
              </w:rPr>
              <w:t>较深入</w:t>
            </w:r>
            <w:r>
              <w:rPr>
                <w:sz w:val="24"/>
              </w:rPr>
              <w:t>，</w:t>
            </w:r>
            <w:r>
              <w:rPr>
                <w:rFonts w:hint="eastAsia"/>
                <w:sz w:val="24"/>
              </w:rPr>
              <w:t>现状分析</w:t>
            </w:r>
            <w:r>
              <w:rPr>
                <w:sz w:val="24"/>
              </w:rPr>
              <w:t>较透彻</w:t>
            </w:r>
            <w:r>
              <w:rPr>
                <w:rFonts w:hint="eastAsia"/>
                <w:sz w:val="24"/>
              </w:rPr>
              <w:t>的</w:t>
            </w:r>
            <w:r>
              <w:rPr>
                <w:sz w:val="24"/>
              </w:rPr>
              <w:t>，得</w:t>
            </w:r>
            <w:r>
              <w:rPr>
                <w:rFonts w:hint="eastAsia"/>
                <w:sz w:val="24"/>
              </w:rPr>
              <w:t>8</w:t>
            </w:r>
            <w:r>
              <w:rPr>
                <w:sz w:val="24"/>
              </w:rPr>
              <w:t>分；</w:t>
            </w:r>
          </w:p>
          <w:p w14:paraId="750E4526">
            <w:pPr>
              <w:rPr>
                <w:sz w:val="24"/>
              </w:rPr>
            </w:pPr>
            <w:r>
              <w:rPr>
                <w:rFonts w:hint="eastAsia"/>
                <w:sz w:val="24"/>
              </w:rPr>
              <w:t>3.</w:t>
            </w:r>
            <w:r>
              <w:rPr>
                <w:sz w:val="24"/>
              </w:rPr>
              <w:t>对项目</w:t>
            </w:r>
            <w:r>
              <w:rPr>
                <w:rFonts w:hint="eastAsia"/>
                <w:sz w:val="24"/>
              </w:rPr>
              <w:t>基本理解</w:t>
            </w:r>
            <w:r>
              <w:rPr>
                <w:sz w:val="24"/>
              </w:rPr>
              <w:t>，</w:t>
            </w:r>
            <w:r>
              <w:rPr>
                <w:rFonts w:hint="eastAsia"/>
                <w:sz w:val="24"/>
              </w:rPr>
              <w:t>现状分析基本透彻的</w:t>
            </w:r>
            <w:r>
              <w:rPr>
                <w:sz w:val="24"/>
              </w:rPr>
              <w:t>，得</w:t>
            </w:r>
            <w:r>
              <w:rPr>
                <w:rFonts w:hint="eastAsia"/>
                <w:sz w:val="24"/>
              </w:rPr>
              <w:t>6</w:t>
            </w:r>
            <w:r>
              <w:rPr>
                <w:sz w:val="24"/>
              </w:rPr>
              <w:t>分；</w:t>
            </w:r>
          </w:p>
          <w:p w14:paraId="55C4F1F1">
            <w:pPr>
              <w:rPr>
                <w:sz w:val="24"/>
              </w:rPr>
            </w:pPr>
            <w:r>
              <w:rPr>
                <w:rFonts w:hint="eastAsia"/>
                <w:sz w:val="24"/>
              </w:rPr>
              <w:t>4.</w:t>
            </w:r>
            <w:r>
              <w:rPr>
                <w:sz w:val="24"/>
              </w:rPr>
              <w:t>对项目</w:t>
            </w:r>
            <w:r>
              <w:rPr>
                <w:rFonts w:hint="eastAsia"/>
                <w:sz w:val="24"/>
              </w:rPr>
              <w:t>理解程度一般</w:t>
            </w:r>
            <w:r>
              <w:rPr>
                <w:sz w:val="24"/>
              </w:rPr>
              <w:t>，</w:t>
            </w:r>
            <w:r>
              <w:rPr>
                <w:rFonts w:hint="eastAsia"/>
                <w:sz w:val="24"/>
              </w:rPr>
              <w:t>现状分析一般的</w:t>
            </w:r>
            <w:r>
              <w:rPr>
                <w:sz w:val="24"/>
              </w:rPr>
              <w:t>，得</w:t>
            </w:r>
            <w:r>
              <w:rPr>
                <w:rFonts w:hint="eastAsia"/>
                <w:sz w:val="24"/>
              </w:rPr>
              <w:t>4</w:t>
            </w:r>
            <w:r>
              <w:rPr>
                <w:sz w:val="24"/>
              </w:rPr>
              <w:t>分。</w:t>
            </w:r>
          </w:p>
          <w:p w14:paraId="52042545">
            <w:pPr>
              <w:rPr>
                <w:rFonts w:ascii="宋体" w:hAnsi="宋体" w:cs="宋体"/>
                <w:sz w:val="24"/>
              </w:rPr>
            </w:pPr>
            <w:r>
              <w:rPr>
                <w:rFonts w:hint="eastAsia"/>
                <w:sz w:val="24"/>
              </w:rPr>
              <w:t>5.未提供</w:t>
            </w:r>
            <w:r>
              <w:rPr>
                <w:sz w:val="24"/>
              </w:rPr>
              <w:t>不得分。</w:t>
            </w:r>
          </w:p>
        </w:tc>
      </w:tr>
      <w:tr w14:paraId="5247B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4" w:hRule="atLeast"/>
          <w:jc w:val="center"/>
        </w:trPr>
        <w:tc>
          <w:tcPr>
            <w:tcW w:w="1338" w:type="dxa"/>
            <w:vMerge w:val="continue"/>
            <w:noWrap w:val="0"/>
            <w:vAlign w:val="center"/>
          </w:tcPr>
          <w:p w14:paraId="259FC9A9">
            <w:pPr>
              <w:widowControl/>
              <w:spacing w:line="340" w:lineRule="exact"/>
              <w:jc w:val="center"/>
              <w:rPr>
                <w:rFonts w:ascii="宋体" w:hAnsi="宋体" w:cs="宋体"/>
                <w:sz w:val="24"/>
              </w:rPr>
            </w:pPr>
          </w:p>
        </w:tc>
        <w:tc>
          <w:tcPr>
            <w:tcW w:w="1361" w:type="dxa"/>
            <w:vMerge w:val="continue"/>
            <w:noWrap w:val="0"/>
            <w:vAlign w:val="center"/>
          </w:tcPr>
          <w:p w14:paraId="4DF2055D">
            <w:pPr>
              <w:spacing w:line="340" w:lineRule="exact"/>
              <w:jc w:val="center"/>
              <w:rPr>
                <w:rFonts w:ascii="宋体" w:hAnsi="宋体" w:cs="宋体"/>
                <w:sz w:val="24"/>
              </w:rPr>
            </w:pPr>
          </w:p>
        </w:tc>
        <w:tc>
          <w:tcPr>
            <w:tcW w:w="1000" w:type="dxa"/>
            <w:noWrap w:val="0"/>
            <w:vAlign w:val="center"/>
          </w:tcPr>
          <w:p w14:paraId="15920B02">
            <w:pPr>
              <w:spacing w:line="340" w:lineRule="exact"/>
              <w:jc w:val="center"/>
              <w:rPr>
                <w:rFonts w:ascii="宋体" w:hAnsi="宋体" w:cs="宋体"/>
                <w:sz w:val="24"/>
              </w:rPr>
            </w:pPr>
            <w:r>
              <w:rPr>
                <w:rFonts w:hint="eastAsia" w:ascii="宋体" w:hAnsi="宋体" w:cs="宋体"/>
                <w:sz w:val="24"/>
              </w:rPr>
              <w:t>10</w:t>
            </w:r>
          </w:p>
        </w:tc>
        <w:tc>
          <w:tcPr>
            <w:tcW w:w="5569" w:type="dxa"/>
            <w:noWrap w:val="0"/>
            <w:vAlign w:val="center"/>
          </w:tcPr>
          <w:p w14:paraId="338F8579">
            <w:pPr>
              <w:rPr>
                <w:sz w:val="24"/>
              </w:rPr>
            </w:pPr>
            <w:r>
              <w:rPr>
                <w:rFonts w:hint="eastAsia"/>
                <w:sz w:val="24"/>
              </w:rPr>
              <w:t>根据供应商提供的实施方案（包括服务实施程序、技术思路及技术路线、工作流程等方面）进行综合评审。</w:t>
            </w:r>
          </w:p>
          <w:p w14:paraId="299FDA2D">
            <w:pPr>
              <w:jc w:val="left"/>
              <w:rPr>
                <w:sz w:val="24"/>
              </w:rPr>
            </w:pPr>
            <w:r>
              <w:rPr>
                <w:rFonts w:hint="eastAsia"/>
                <w:sz w:val="24"/>
              </w:rPr>
              <w:t>1.</w:t>
            </w:r>
            <w:r>
              <w:rPr>
                <w:sz w:val="24"/>
              </w:rPr>
              <w:t>实施方案</w:t>
            </w:r>
            <w:r>
              <w:rPr>
                <w:rFonts w:hint="eastAsia"/>
                <w:sz w:val="24"/>
              </w:rPr>
              <w:t>切实可行</w:t>
            </w:r>
            <w:r>
              <w:rPr>
                <w:sz w:val="24"/>
              </w:rPr>
              <w:t>，</w:t>
            </w:r>
            <w:r>
              <w:rPr>
                <w:rFonts w:hint="eastAsia"/>
                <w:sz w:val="24"/>
              </w:rPr>
              <w:t>工作流程合理</w:t>
            </w:r>
            <w:r>
              <w:rPr>
                <w:sz w:val="24"/>
              </w:rPr>
              <w:t>的，得</w:t>
            </w:r>
            <w:r>
              <w:rPr>
                <w:rFonts w:hint="eastAsia"/>
                <w:sz w:val="24"/>
              </w:rPr>
              <w:t>10</w:t>
            </w:r>
            <w:r>
              <w:rPr>
                <w:sz w:val="24"/>
              </w:rPr>
              <w:t>分；</w:t>
            </w:r>
          </w:p>
          <w:p w14:paraId="3D7C4537">
            <w:pPr>
              <w:jc w:val="left"/>
              <w:rPr>
                <w:sz w:val="24"/>
              </w:rPr>
            </w:pPr>
            <w:r>
              <w:rPr>
                <w:rFonts w:hint="eastAsia"/>
                <w:sz w:val="24"/>
              </w:rPr>
              <w:t>2.</w:t>
            </w:r>
            <w:r>
              <w:rPr>
                <w:sz w:val="24"/>
              </w:rPr>
              <w:t>实施方案</w:t>
            </w:r>
            <w:r>
              <w:rPr>
                <w:rFonts w:hint="eastAsia"/>
                <w:sz w:val="24"/>
              </w:rPr>
              <w:t>较可行</w:t>
            </w:r>
            <w:r>
              <w:rPr>
                <w:sz w:val="24"/>
              </w:rPr>
              <w:t>，</w:t>
            </w:r>
            <w:r>
              <w:rPr>
                <w:rFonts w:hint="eastAsia"/>
                <w:sz w:val="24"/>
              </w:rPr>
              <w:t>工作流程较合理</w:t>
            </w:r>
            <w:r>
              <w:rPr>
                <w:sz w:val="24"/>
              </w:rPr>
              <w:t>的，得</w:t>
            </w:r>
            <w:r>
              <w:rPr>
                <w:rFonts w:hint="eastAsia"/>
                <w:sz w:val="24"/>
              </w:rPr>
              <w:t>8</w:t>
            </w:r>
            <w:r>
              <w:rPr>
                <w:sz w:val="24"/>
              </w:rPr>
              <w:t>分；</w:t>
            </w:r>
          </w:p>
          <w:p w14:paraId="073435F2">
            <w:pPr>
              <w:jc w:val="left"/>
              <w:rPr>
                <w:sz w:val="24"/>
              </w:rPr>
            </w:pPr>
            <w:r>
              <w:rPr>
                <w:rFonts w:hint="eastAsia"/>
                <w:sz w:val="24"/>
              </w:rPr>
              <w:t>3.</w:t>
            </w:r>
            <w:r>
              <w:rPr>
                <w:sz w:val="24"/>
              </w:rPr>
              <w:t>实施方案</w:t>
            </w:r>
            <w:r>
              <w:rPr>
                <w:rFonts w:hint="eastAsia"/>
                <w:sz w:val="24"/>
              </w:rPr>
              <w:t>基本可行</w:t>
            </w:r>
            <w:r>
              <w:rPr>
                <w:sz w:val="24"/>
              </w:rPr>
              <w:t>，</w:t>
            </w:r>
            <w:r>
              <w:rPr>
                <w:rFonts w:hint="eastAsia"/>
                <w:sz w:val="24"/>
              </w:rPr>
              <w:t>工作流程基本合理</w:t>
            </w:r>
            <w:r>
              <w:rPr>
                <w:sz w:val="24"/>
              </w:rPr>
              <w:t>的，得</w:t>
            </w:r>
            <w:r>
              <w:rPr>
                <w:rFonts w:hint="eastAsia"/>
                <w:sz w:val="24"/>
              </w:rPr>
              <w:t>6</w:t>
            </w:r>
            <w:r>
              <w:rPr>
                <w:sz w:val="24"/>
              </w:rPr>
              <w:t>分</w:t>
            </w:r>
            <w:r>
              <w:rPr>
                <w:rFonts w:hint="eastAsia"/>
                <w:sz w:val="24"/>
              </w:rPr>
              <w:t>；</w:t>
            </w:r>
          </w:p>
          <w:p w14:paraId="004AA608">
            <w:pPr>
              <w:jc w:val="left"/>
              <w:rPr>
                <w:sz w:val="24"/>
              </w:rPr>
            </w:pPr>
            <w:r>
              <w:rPr>
                <w:rFonts w:hint="eastAsia"/>
                <w:sz w:val="24"/>
              </w:rPr>
              <w:t>4.</w:t>
            </w:r>
            <w:r>
              <w:rPr>
                <w:sz w:val="24"/>
              </w:rPr>
              <w:t>实施方案</w:t>
            </w:r>
            <w:r>
              <w:rPr>
                <w:rFonts w:hint="eastAsia"/>
                <w:sz w:val="24"/>
              </w:rPr>
              <w:t>可行性一般</w:t>
            </w:r>
            <w:r>
              <w:rPr>
                <w:sz w:val="24"/>
              </w:rPr>
              <w:t>，</w:t>
            </w:r>
            <w:r>
              <w:rPr>
                <w:rFonts w:hint="eastAsia"/>
                <w:sz w:val="24"/>
              </w:rPr>
              <w:t>工作流程合理性一般</w:t>
            </w:r>
            <w:r>
              <w:rPr>
                <w:sz w:val="24"/>
              </w:rPr>
              <w:t>的，得</w:t>
            </w:r>
            <w:r>
              <w:rPr>
                <w:rFonts w:hint="eastAsia"/>
                <w:sz w:val="24"/>
              </w:rPr>
              <w:t>4</w:t>
            </w:r>
            <w:r>
              <w:rPr>
                <w:sz w:val="24"/>
              </w:rPr>
              <w:t>分；</w:t>
            </w:r>
          </w:p>
          <w:p w14:paraId="5FB6C9BC">
            <w:pPr>
              <w:jc w:val="left"/>
              <w:rPr>
                <w:rFonts w:ascii="宋体" w:hAnsi="宋体" w:cs="宋体"/>
                <w:sz w:val="24"/>
              </w:rPr>
            </w:pPr>
            <w:r>
              <w:rPr>
                <w:rFonts w:hint="eastAsia"/>
                <w:sz w:val="24"/>
              </w:rPr>
              <w:t>5.未提供</w:t>
            </w:r>
            <w:r>
              <w:rPr>
                <w:sz w:val="24"/>
              </w:rPr>
              <w:t>不得分。</w:t>
            </w:r>
          </w:p>
        </w:tc>
      </w:tr>
      <w:tr w14:paraId="2715A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1338" w:type="dxa"/>
            <w:vMerge w:val="continue"/>
            <w:noWrap w:val="0"/>
            <w:vAlign w:val="center"/>
          </w:tcPr>
          <w:p w14:paraId="5CCD5EE0">
            <w:pPr>
              <w:widowControl/>
              <w:spacing w:line="340" w:lineRule="exact"/>
              <w:jc w:val="center"/>
              <w:rPr>
                <w:rFonts w:ascii="宋体" w:hAnsi="宋体" w:cs="宋体"/>
                <w:sz w:val="24"/>
              </w:rPr>
            </w:pPr>
          </w:p>
        </w:tc>
        <w:tc>
          <w:tcPr>
            <w:tcW w:w="1361" w:type="dxa"/>
            <w:vMerge w:val="continue"/>
            <w:noWrap w:val="0"/>
            <w:vAlign w:val="center"/>
          </w:tcPr>
          <w:p w14:paraId="1A317FCB">
            <w:pPr>
              <w:spacing w:line="340" w:lineRule="exact"/>
              <w:jc w:val="center"/>
              <w:rPr>
                <w:rFonts w:ascii="宋体" w:hAnsi="宋体" w:cs="宋体"/>
                <w:sz w:val="24"/>
              </w:rPr>
            </w:pPr>
          </w:p>
        </w:tc>
        <w:tc>
          <w:tcPr>
            <w:tcW w:w="1000" w:type="dxa"/>
            <w:noWrap w:val="0"/>
            <w:vAlign w:val="center"/>
          </w:tcPr>
          <w:p w14:paraId="0FA8B105">
            <w:pPr>
              <w:spacing w:line="340" w:lineRule="exact"/>
              <w:jc w:val="center"/>
              <w:rPr>
                <w:rFonts w:ascii="宋体" w:hAnsi="宋体" w:cs="宋体"/>
                <w:sz w:val="24"/>
              </w:rPr>
            </w:pPr>
            <w:r>
              <w:rPr>
                <w:rFonts w:hint="eastAsia" w:ascii="宋体" w:hAnsi="宋体" w:cs="宋体"/>
                <w:sz w:val="24"/>
              </w:rPr>
              <w:t>10</w:t>
            </w:r>
          </w:p>
        </w:tc>
        <w:tc>
          <w:tcPr>
            <w:tcW w:w="5569" w:type="dxa"/>
            <w:noWrap w:val="0"/>
            <w:vAlign w:val="center"/>
          </w:tcPr>
          <w:p w14:paraId="4A98C88E">
            <w:pPr>
              <w:rPr>
                <w:sz w:val="24"/>
              </w:rPr>
            </w:pPr>
            <w:r>
              <w:rPr>
                <w:rFonts w:hint="eastAsia"/>
                <w:sz w:val="24"/>
              </w:rPr>
              <w:t>根据供应商提供的</w:t>
            </w:r>
            <w:r>
              <w:rPr>
                <w:sz w:val="24"/>
              </w:rPr>
              <w:t>质量控制方案及</w:t>
            </w:r>
            <w:r>
              <w:rPr>
                <w:rFonts w:hint="eastAsia"/>
                <w:sz w:val="24"/>
              </w:rPr>
              <w:t>保证</w:t>
            </w:r>
            <w:r>
              <w:rPr>
                <w:sz w:val="24"/>
              </w:rPr>
              <w:t>措施</w:t>
            </w:r>
            <w:r>
              <w:rPr>
                <w:rFonts w:hint="eastAsia"/>
                <w:sz w:val="24"/>
              </w:rPr>
              <w:t>（包括组织管理方案、质量控制措施、质量检查制度等方面）进行综合评审。</w:t>
            </w:r>
          </w:p>
          <w:p w14:paraId="137B0FC1">
            <w:pPr>
              <w:jc w:val="left"/>
              <w:rPr>
                <w:sz w:val="24"/>
              </w:rPr>
            </w:pPr>
            <w:r>
              <w:rPr>
                <w:rFonts w:hint="eastAsia"/>
                <w:sz w:val="24"/>
              </w:rPr>
              <w:t>1.</w:t>
            </w:r>
            <w:r>
              <w:rPr>
                <w:sz w:val="24"/>
              </w:rPr>
              <w:t>质量控制方案全面、完善，保证措施合理、可行性高</w:t>
            </w:r>
            <w:r>
              <w:rPr>
                <w:rFonts w:hint="eastAsia"/>
                <w:sz w:val="24"/>
              </w:rPr>
              <w:t>的</w:t>
            </w:r>
            <w:r>
              <w:rPr>
                <w:sz w:val="24"/>
              </w:rPr>
              <w:t>，得</w:t>
            </w:r>
            <w:r>
              <w:rPr>
                <w:rFonts w:hint="eastAsia"/>
                <w:sz w:val="24"/>
              </w:rPr>
              <w:t>10</w:t>
            </w:r>
            <w:r>
              <w:rPr>
                <w:sz w:val="24"/>
              </w:rPr>
              <w:t>分；</w:t>
            </w:r>
          </w:p>
          <w:p w14:paraId="3CFAA2A4">
            <w:pPr>
              <w:jc w:val="left"/>
              <w:rPr>
                <w:sz w:val="24"/>
              </w:rPr>
            </w:pPr>
            <w:r>
              <w:rPr>
                <w:rFonts w:hint="eastAsia"/>
                <w:sz w:val="24"/>
              </w:rPr>
              <w:t>2.</w:t>
            </w:r>
            <w:r>
              <w:rPr>
                <w:sz w:val="24"/>
              </w:rPr>
              <w:t>质量控制方案较全面、较完善，保证措施较合理、可行性较高</w:t>
            </w:r>
            <w:r>
              <w:rPr>
                <w:rFonts w:hint="eastAsia"/>
                <w:sz w:val="24"/>
              </w:rPr>
              <w:t>的</w:t>
            </w:r>
            <w:r>
              <w:rPr>
                <w:sz w:val="24"/>
              </w:rPr>
              <w:t>，得</w:t>
            </w:r>
            <w:r>
              <w:rPr>
                <w:rFonts w:hint="eastAsia"/>
                <w:sz w:val="24"/>
              </w:rPr>
              <w:t>8</w:t>
            </w:r>
            <w:r>
              <w:rPr>
                <w:sz w:val="24"/>
              </w:rPr>
              <w:t>分；</w:t>
            </w:r>
          </w:p>
          <w:p w14:paraId="66B5EC6A">
            <w:pPr>
              <w:jc w:val="left"/>
              <w:rPr>
                <w:sz w:val="24"/>
              </w:rPr>
            </w:pPr>
            <w:r>
              <w:rPr>
                <w:rFonts w:hint="eastAsia"/>
                <w:sz w:val="24"/>
              </w:rPr>
              <w:t>3.</w:t>
            </w:r>
            <w:r>
              <w:rPr>
                <w:sz w:val="24"/>
              </w:rPr>
              <w:t>质量控制方案</w:t>
            </w:r>
            <w:r>
              <w:rPr>
                <w:rFonts w:hint="eastAsia"/>
                <w:sz w:val="24"/>
              </w:rPr>
              <w:t>基本全面，保证措施基本合理、基本可行的</w:t>
            </w:r>
            <w:r>
              <w:rPr>
                <w:sz w:val="24"/>
              </w:rPr>
              <w:t>，得</w:t>
            </w:r>
            <w:r>
              <w:rPr>
                <w:rFonts w:hint="eastAsia"/>
                <w:sz w:val="24"/>
              </w:rPr>
              <w:t>6</w:t>
            </w:r>
            <w:r>
              <w:rPr>
                <w:sz w:val="24"/>
              </w:rPr>
              <w:t>分；</w:t>
            </w:r>
          </w:p>
          <w:p w14:paraId="01D850B6">
            <w:pPr>
              <w:jc w:val="left"/>
              <w:rPr>
                <w:sz w:val="24"/>
              </w:rPr>
            </w:pPr>
            <w:r>
              <w:rPr>
                <w:rFonts w:hint="eastAsia"/>
                <w:sz w:val="24"/>
              </w:rPr>
              <w:t>4.</w:t>
            </w:r>
            <w:r>
              <w:rPr>
                <w:sz w:val="24"/>
              </w:rPr>
              <w:t>质量控制方案粗糙，保证措施</w:t>
            </w:r>
            <w:r>
              <w:rPr>
                <w:rFonts w:hint="eastAsia"/>
                <w:sz w:val="24"/>
              </w:rPr>
              <w:t>针对性差</w:t>
            </w:r>
            <w:r>
              <w:rPr>
                <w:sz w:val="24"/>
              </w:rPr>
              <w:t>、可行性低</w:t>
            </w:r>
            <w:r>
              <w:rPr>
                <w:rFonts w:hint="eastAsia"/>
                <w:sz w:val="24"/>
              </w:rPr>
              <w:t>的</w:t>
            </w:r>
            <w:r>
              <w:rPr>
                <w:sz w:val="24"/>
              </w:rPr>
              <w:t>，得</w:t>
            </w:r>
            <w:r>
              <w:rPr>
                <w:rFonts w:hint="eastAsia"/>
                <w:sz w:val="24"/>
              </w:rPr>
              <w:t>4</w:t>
            </w:r>
            <w:r>
              <w:rPr>
                <w:sz w:val="24"/>
              </w:rPr>
              <w:t>分</w:t>
            </w:r>
            <w:r>
              <w:rPr>
                <w:rFonts w:hint="eastAsia"/>
                <w:sz w:val="24"/>
              </w:rPr>
              <w:t>；</w:t>
            </w:r>
          </w:p>
          <w:p w14:paraId="3D6A9754">
            <w:pPr>
              <w:jc w:val="left"/>
              <w:rPr>
                <w:rFonts w:ascii="宋体" w:hAnsi="宋体" w:cs="宋体"/>
                <w:sz w:val="24"/>
              </w:rPr>
            </w:pPr>
            <w:r>
              <w:rPr>
                <w:rFonts w:hint="eastAsia"/>
                <w:sz w:val="24"/>
              </w:rPr>
              <w:t>5.未提供</w:t>
            </w:r>
            <w:r>
              <w:rPr>
                <w:sz w:val="24"/>
              </w:rPr>
              <w:t>不得分。</w:t>
            </w:r>
          </w:p>
        </w:tc>
      </w:tr>
      <w:tr w14:paraId="2D759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4" w:hRule="atLeast"/>
          <w:jc w:val="center"/>
        </w:trPr>
        <w:tc>
          <w:tcPr>
            <w:tcW w:w="1338" w:type="dxa"/>
            <w:vMerge w:val="continue"/>
            <w:noWrap w:val="0"/>
            <w:vAlign w:val="center"/>
          </w:tcPr>
          <w:p w14:paraId="6EF0287B">
            <w:pPr>
              <w:widowControl/>
              <w:spacing w:line="340" w:lineRule="exact"/>
              <w:jc w:val="center"/>
              <w:rPr>
                <w:rFonts w:ascii="宋体" w:hAnsi="宋体" w:cs="宋体"/>
                <w:sz w:val="24"/>
              </w:rPr>
            </w:pPr>
          </w:p>
        </w:tc>
        <w:tc>
          <w:tcPr>
            <w:tcW w:w="1361" w:type="dxa"/>
            <w:vMerge w:val="continue"/>
            <w:noWrap w:val="0"/>
            <w:vAlign w:val="center"/>
          </w:tcPr>
          <w:p w14:paraId="2C16DA4F">
            <w:pPr>
              <w:spacing w:line="340" w:lineRule="exact"/>
              <w:jc w:val="center"/>
              <w:rPr>
                <w:rFonts w:ascii="宋体" w:hAnsi="宋体" w:cs="宋体"/>
                <w:sz w:val="24"/>
              </w:rPr>
            </w:pPr>
          </w:p>
        </w:tc>
        <w:tc>
          <w:tcPr>
            <w:tcW w:w="1000" w:type="dxa"/>
            <w:noWrap w:val="0"/>
            <w:vAlign w:val="center"/>
          </w:tcPr>
          <w:p w14:paraId="139C8314">
            <w:pPr>
              <w:spacing w:line="340" w:lineRule="exact"/>
              <w:jc w:val="center"/>
              <w:rPr>
                <w:rFonts w:ascii="宋体" w:hAnsi="宋体" w:cs="宋体"/>
                <w:sz w:val="24"/>
              </w:rPr>
            </w:pPr>
            <w:r>
              <w:rPr>
                <w:rFonts w:hint="eastAsia" w:ascii="宋体" w:hAnsi="宋体" w:cs="宋体"/>
                <w:sz w:val="24"/>
              </w:rPr>
              <w:t>10</w:t>
            </w:r>
          </w:p>
        </w:tc>
        <w:tc>
          <w:tcPr>
            <w:tcW w:w="5569" w:type="dxa"/>
            <w:noWrap w:val="0"/>
            <w:vAlign w:val="center"/>
          </w:tcPr>
          <w:p w14:paraId="4ACC831A">
            <w:pPr>
              <w:jc w:val="left"/>
              <w:rPr>
                <w:sz w:val="24"/>
              </w:rPr>
            </w:pPr>
            <w:r>
              <w:rPr>
                <w:rFonts w:hint="eastAsia"/>
                <w:sz w:val="24"/>
              </w:rPr>
              <w:t>评委根据供应商提供对本项目的重点、难点分析和应对措施是否合理等进行综合评分。</w:t>
            </w:r>
          </w:p>
          <w:p w14:paraId="0A584CDE">
            <w:pPr>
              <w:jc w:val="left"/>
              <w:rPr>
                <w:sz w:val="24"/>
              </w:rPr>
            </w:pPr>
            <w:r>
              <w:rPr>
                <w:rFonts w:hint="eastAsia"/>
                <w:sz w:val="24"/>
              </w:rPr>
              <w:t>1、对项目的重点、难点有深层次分析，条理清晰，应对措施完整的得10分；</w:t>
            </w:r>
          </w:p>
          <w:p w14:paraId="07467A38">
            <w:pPr>
              <w:jc w:val="left"/>
              <w:rPr>
                <w:sz w:val="24"/>
              </w:rPr>
            </w:pPr>
            <w:r>
              <w:rPr>
                <w:rFonts w:hint="eastAsia"/>
                <w:sz w:val="24"/>
              </w:rPr>
              <w:t>2、对项目的重点、难点分析较深，条理较清晰，应对措施较完整的得8分；</w:t>
            </w:r>
          </w:p>
          <w:p w14:paraId="331DC2E5">
            <w:pPr>
              <w:jc w:val="left"/>
              <w:rPr>
                <w:sz w:val="24"/>
              </w:rPr>
            </w:pPr>
            <w:r>
              <w:rPr>
                <w:rFonts w:hint="eastAsia"/>
                <w:sz w:val="24"/>
              </w:rPr>
              <w:t>3、对项目的重点、难点分析浅显，条理一般，应对措施一般的得6分；</w:t>
            </w:r>
          </w:p>
          <w:p w14:paraId="61D2534D">
            <w:pPr>
              <w:jc w:val="left"/>
              <w:rPr>
                <w:sz w:val="24"/>
              </w:rPr>
            </w:pPr>
            <w:r>
              <w:rPr>
                <w:rFonts w:hint="eastAsia"/>
                <w:sz w:val="24"/>
              </w:rPr>
              <w:t>4、对项目的重点、难点分析较差，条理无序，应对措施较差的得4分；</w:t>
            </w:r>
          </w:p>
          <w:p w14:paraId="68BE5D52">
            <w:pPr>
              <w:jc w:val="left"/>
              <w:rPr>
                <w:rFonts w:ascii="宋体" w:hAnsi="宋体" w:cs="宋体"/>
                <w:sz w:val="24"/>
              </w:rPr>
            </w:pPr>
            <w:r>
              <w:rPr>
                <w:rFonts w:hint="eastAsia"/>
                <w:sz w:val="24"/>
              </w:rPr>
              <w:t>5、未提供不得分。</w:t>
            </w:r>
          </w:p>
        </w:tc>
      </w:tr>
      <w:tr w14:paraId="46B8B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4" w:hRule="atLeast"/>
          <w:jc w:val="center"/>
        </w:trPr>
        <w:tc>
          <w:tcPr>
            <w:tcW w:w="1338" w:type="dxa"/>
            <w:vMerge w:val="continue"/>
            <w:noWrap w:val="0"/>
            <w:vAlign w:val="center"/>
          </w:tcPr>
          <w:p w14:paraId="0A978E3A">
            <w:pPr>
              <w:widowControl/>
              <w:spacing w:line="340" w:lineRule="exact"/>
              <w:jc w:val="center"/>
              <w:rPr>
                <w:rFonts w:ascii="宋体" w:hAnsi="宋体" w:cs="宋体"/>
                <w:sz w:val="24"/>
              </w:rPr>
            </w:pPr>
          </w:p>
        </w:tc>
        <w:tc>
          <w:tcPr>
            <w:tcW w:w="1361" w:type="dxa"/>
            <w:vMerge w:val="continue"/>
            <w:noWrap w:val="0"/>
            <w:vAlign w:val="center"/>
          </w:tcPr>
          <w:p w14:paraId="37C2870E">
            <w:pPr>
              <w:spacing w:line="340" w:lineRule="exact"/>
              <w:jc w:val="center"/>
              <w:rPr>
                <w:rFonts w:ascii="宋体" w:hAnsi="宋体" w:cs="宋体"/>
                <w:sz w:val="24"/>
              </w:rPr>
            </w:pPr>
          </w:p>
        </w:tc>
        <w:tc>
          <w:tcPr>
            <w:tcW w:w="1000" w:type="dxa"/>
            <w:noWrap w:val="0"/>
            <w:vAlign w:val="center"/>
          </w:tcPr>
          <w:p w14:paraId="7075D06E">
            <w:pPr>
              <w:spacing w:line="340" w:lineRule="exact"/>
              <w:jc w:val="center"/>
              <w:rPr>
                <w:rFonts w:ascii="宋体" w:hAnsi="宋体" w:cs="宋体"/>
                <w:sz w:val="24"/>
              </w:rPr>
            </w:pPr>
            <w:r>
              <w:rPr>
                <w:rFonts w:hint="eastAsia" w:ascii="宋体" w:hAnsi="宋体" w:cs="宋体"/>
                <w:sz w:val="24"/>
              </w:rPr>
              <w:t>10</w:t>
            </w:r>
          </w:p>
        </w:tc>
        <w:tc>
          <w:tcPr>
            <w:tcW w:w="5569" w:type="dxa"/>
            <w:noWrap w:val="0"/>
            <w:vAlign w:val="center"/>
          </w:tcPr>
          <w:p w14:paraId="334E6C28">
            <w:pPr>
              <w:jc w:val="left"/>
              <w:rPr>
                <w:sz w:val="24"/>
              </w:rPr>
            </w:pPr>
            <w:r>
              <w:rPr>
                <w:rFonts w:hint="eastAsia"/>
                <w:sz w:val="24"/>
              </w:rPr>
              <w:t>针对供应商提供的合理化建议及后续服务方案进行综合评审：</w:t>
            </w:r>
          </w:p>
          <w:p w14:paraId="558DD326">
            <w:pPr>
              <w:jc w:val="left"/>
              <w:rPr>
                <w:sz w:val="24"/>
              </w:rPr>
            </w:pPr>
            <w:r>
              <w:rPr>
                <w:rFonts w:hint="eastAsia"/>
                <w:sz w:val="24"/>
              </w:rPr>
              <w:t>1.后续服务方案明确、周全的，得10分；</w:t>
            </w:r>
          </w:p>
          <w:p w14:paraId="4F1EF6E5">
            <w:pPr>
              <w:jc w:val="left"/>
              <w:rPr>
                <w:sz w:val="24"/>
              </w:rPr>
            </w:pPr>
            <w:r>
              <w:rPr>
                <w:rFonts w:hint="eastAsia"/>
                <w:sz w:val="24"/>
              </w:rPr>
              <w:t>2.后续服务方案较明确、较周全的，得8分；</w:t>
            </w:r>
          </w:p>
          <w:p w14:paraId="2BD031A4">
            <w:pPr>
              <w:jc w:val="left"/>
              <w:rPr>
                <w:sz w:val="24"/>
              </w:rPr>
            </w:pPr>
            <w:r>
              <w:rPr>
                <w:rFonts w:hint="eastAsia"/>
                <w:sz w:val="24"/>
              </w:rPr>
              <w:t>3.后续服务方案一般的，得6分；</w:t>
            </w:r>
          </w:p>
          <w:p w14:paraId="0BCD3552">
            <w:pPr>
              <w:jc w:val="left"/>
              <w:rPr>
                <w:sz w:val="24"/>
              </w:rPr>
            </w:pPr>
            <w:r>
              <w:rPr>
                <w:rFonts w:hint="eastAsia"/>
                <w:sz w:val="24"/>
              </w:rPr>
              <w:t>4.后续服务方案不明确、片面的，得4分；</w:t>
            </w:r>
          </w:p>
          <w:p w14:paraId="67C89208">
            <w:pPr>
              <w:jc w:val="left"/>
              <w:rPr>
                <w:rFonts w:ascii="宋体" w:hAnsi="宋体" w:cs="宋体"/>
                <w:sz w:val="24"/>
              </w:rPr>
            </w:pPr>
            <w:r>
              <w:rPr>
                <w:rFonts w:hint="eastAsia"/>
                <w:sz w:val="24"/>
              </w:rPr>
              <w:t>5.不提供不得分。</w:t>
            </w:r>
          </w:p>
        </w:tc>
      </w:tr>
    </w:tbl>
    <w:p w14:paraId="132A4CAF">
      <w:pPr>
        <w:rPr>
          <w:b/>
          <w:color w:val="000000"/>
          <w:sz w:val="24"/>
        </w:rPr>
      </w:pPr>
    </w:p>
    <w:p w14:paraId="373A7810">
      <w:pPr>
        <w:spacing w:line="360" w:lineRule="auto"/>
        <w:rPr>
          <w:rFonts w:hAnsi="宋体"/>
          <w:b/>
          <w:sz w:val="24"/>
          <w:highlight w:val="none"/>
        </w:rPr>
      </w:pPr>
      <w:bookmarkStart w:id="15" w:name="_Toc4194_WPSOffice_Level1"/>
      <w:r>
        <w:rPr>
          <w:rFonts w:hint="eastAsia" w:hAnsi="宋体"/>
          <w:b/>
          <w:sz w:val="24"/>
          <w:highlight w:val="none"/>
        </w:rPr>
        <w:t>说明：</w:t>
      </w:r>
    </w:p>
    <w:p w14:paraId="4DFC07E7">
      <w:pPr>
        <w:spacing w:line="360" w:lineRule="auto"/>
        <w:rPr>
          <w:sz w:val="24"/>
          <w:highlight w:val="none"/>
        </w:rPr>
      </w:pPr>
      <w:r>
        <w:rPr>
          <w:rFonts w:hint="eastAsia"/>
          <w:sz w:val="24"/>
          <w:highlight w:val="none"/>
        </w:rPr>
        <w:t>1、实质性要求不得负偏离；否则，按照无效投标处理。</w:t>
      </w:r>
    </w:p>
    <w:p w14:paraId="41B640C0">
      <w:pPr>
        <w:spacing w:line="360" w:lineRule="auto"/>
        <w:rPr>
          <w:sz w:val="24"/>
          <w:highlight w:val="none"/>
        </w:rPr>
      </w:pPr>
      <w:r>
        <w:rPr>
          <w:rFonts w:hint="eastAsia"/>
          <w:sz w:val="24"/>
          <w:highlight w:val="none"/>
        </w:rPr>
        <w:t>2、对国家认定的节能产品和环保产品分别给予投标价的 5%价格扣除，用扣除后的价格参与评审（特别说明：节能、环保产品 必须纳入“中国政府采购网http://www.ccgp.gov.cn”等官方网站“节能、环保产品查询系统”，且以提供的证书复印件为准 ）。</w:t>
      </w:r>
    </w:p>
    <w:p w14:paraId="584EBC11">
      <w:pPr>
        <w:spacing w:line="360" w:lineRule="auto"/>
        <w:rPr>
          <w:sz w:val="24"/>
          <w:highlight w:val="none"/>
        </w:rPr>
      </w:pPr>
      <w:r>
        <w:rPr>
          <w:rFonts w:hint="eastAsia"/>
          <w:sz w:val="24"/>
          <w:highlight w:val="none"/>
        </w:rPr>
        <w:t xml:space="preserve">3、小微企业的价格扣除 </w:t>
      </w:r>
    </w:p>
    <w:p w14:paraId="2B5D0543">
      <w:pPr>
        <w:spacing w:line="360" w:lineRule="auto"/>
        <w:rPr>
          <w:sz w:val="24"/>
          <w:highlight w:val="none"/>
        </w:rPr>
      </w:pPr>
      <w:r>
        <w:rPr>
          <w:rFonts w:hint="eastAsia"/>
          <w:sz w:val="24"/>
          <w:highlight w:val="none"/>
        </w:rPr>
        <w:t>3.1.未预留份额项目以及预留份额项目中的非预留部分采购包，对小微企业报价给予 10%的扣除，并用扣除后的价格参加评审。其中，接受大中型企业与小微企业组成联合体或者大中型企业向小微企业分包的，对联合协议或者分包意向协议约定小微企业合同份额占到合同总金额 30%以上的，500 万元（含）以上的项目对联合体或者大中型企业的报价给予4%的扣除，500 万元以内的项目给予 6%的扣除。联合体各方均为小微企业的，联合体视同为小微企业，享受相应价格扣除。</w:t>
      </w:r>
    </w:p>
    <w:p w14:paraId="3C363A09">
      <w:pPr>
        <w:spacing w:line="360" w:lineRule="auto"/>
        <w:rPr>
          <w:sz w:val="24"/>
          <w:highlight w:val="none"/>
        </w:rPr>
      </w:pPr>
      <w:r>
        <w:rPr>
          <w:rFonts w:hint="eastAsia"/>
          <w:sz w:val="24"/>
          <w:highlight w:val="none"/>
        </w:rPr>
        <w:t>3.2.价格扣除比例或者价格分加分比例对小型企业和微型企业同等对待，不作区分。</w:t>
      </w:r>
    </w:p>
    <w:p w14:paraId="5915A40C">
      <w:pPr>
        <w:spacing w:line="360" w:lineRule="auto"/>
        <w:rPr>
          <w:sz w:val="24"/>
          <w:highlight w:val="none"/>
        </w:rPr>
      </w:pPr>
      <w:r>
        <w:rPr>
          <w:rFonts w:hint="eastAsia"/>
          <w:sz w:val="24"/>
          <w:highlight w:val="none"/>
        </w:rPr>
        <w:t>4、监狱和戒毒企业的价格扣除</w:t>
      </w:r>
    </w:p>
    <w:p w14:paraId="48E0365B">
      <w:pPr>
        <w:spacing w:line="360" w:lineRule="auto"/>
        <w:rPr>
          <w:sz w:val="24"/>
          <w:highlight w:val="none"/>
        </w:rPr>
      </w:pPr>
      <w:r>
        <w:rPr>
          <w:rFonts w:hint="eastAsia"/>
          <w:sz w:val="24"/>
          <w:highlight w:val="none"/>
        </w:rPr>
        <w:t>4.1. 本项目对监狱和戒毒企业（简称监狱企业），给予等同于小微企业的价格扣除，用扣除后的价格参与评审。</w:t>
      </w:r>
    </w:p>
    <w:p w14:paraId="6DD6F20E">
      <w:pPr>
        <w:spacing w:line="360" w:lineRule="auto"/>
        <w:rPr>
          <w:sz w:val="24"/>
          <w:highlight w:val="none"/>
        </w:rPr>
      </w:pPr>
      <w:r>
        <w:rPr>
          <w:rFonts w:hint="eastAsia"/>
          <w:sz w:val="24"/>
          <w:highlight w:val="none"/>
        </w:rPr>
        <w:t>4.2. 监狱企业需提供由省级以上监狱管理局、戒毒管理局（含新疆生产建设兵团）出具的属于监狱企业的证明文件。</w:t>
      </w:r>
    </w:p>
    <w:p w14:paraId="4538412F">
      <w:pPr>
        <w:spacing w:line="360" w:lineRule="auto"/>
        <w:rPr>
          <w:sz w:val="24"/>
          <w:highlight w:val="none"/>
        </w:rPr>
      </w:pPr>
      <w:r>
        <w:rPr>
          <w:rFonts w:hint="eastAsia"/>
          <w:sz w:val="24"/>
          <w:highlight w:val="none"/>
        </w:rPr>
        <w:t>4.3. 监狱企业标准请参照《关于政府采购支持监狱企业发展有关问题的通知》（财库</w:t>
      </w:r>
    </w:p>
    <w:p w14:paraId="1CDBD1BB">
      <w:pPr>
        <w:spacing w:line="360" w:lineRule="auto"/>
        <w:rPr>
          <w:sz w:val="24"/>
          <w:highlight w:val="none"/>
        </w:rPr>
      </w:pPr>
      <w:r>
        <w:rPr>
          <w:rFonts w:hint="eastAsia"/>
          <w:sz w:val="24"/>
          <w:highlight w:val="none"/>
        </w:rPr>
        <w:t>[2014]68 号）。</w:t>
      </w:r>
    </w:p>
    <w:p w14:paraId="71B39E4F">
      <w:pPr>
        <w:spacing w:line="360" w:lineRule="auto"/>
        <w:rPr>
          <w:sz w:val="24"/>
          <w:highlight w:val="none"/>
        </w:rPr>
      </w:pPr>
      <w:r>
        <w:rPr>
          <w:rFonts w:hint="eastAsia"/>
          <w:sz w:val="24"/>
          <w:highlight w:val="none"/>
        </w:rPr>
        <w:t>5、残疾人福利性单位的价格扣除</w:t>
      </w:r>
    </w:p>
    <w:p w14:paraId="11557D90">
      <w:pPr>
        <w:spacing w:line="360" w:lineRule="auto"/>
        <w:rPr>
          <w:sz w:val="24"/>
          <w:highlight w:val="none"/>
        </w:rPr>
      </w:pPr>
      <w:r>
        <w:rPr>
          <w:rFonts w:hint="eastAsia"/>
          <w:sz w:val="24"/>
          <w:highlight w:val="none"/>
        </w:rPr>
        <w:t>5.1. 本项目对残疾人福利性单位，给予等同于小微企业的价格扣除，用扣除后的价格参与评审。</w:t>
      </w:r>
    </w:p>
    <w:p w14:paraId="47E5CF9F">
      <w:pPr>
        <w:spacing w:line="360" w:lineRule="auto"/>
        <w:rPr>
          <w:sz w:val="24"/>
          <w:highlight w:val="none"/>
        </w:rPr>
      </w:pPr>
      <w:r>
        <w:rPr>
          <w:rFonts w:hint="eastAsia"/>
          <w:sz w:val="24"/>
          <w:highlight w:val="none"/>
        </w:rPr>
        <w:t>5.2. 残疾人福利单位需按照招标文件的要求提供《残疾人福利性单位声明函》。</w:t>
      </w:r>
    </w:p>
    <w:p w14:paraId="765A82B4">
      <w:pPr>
        <w:spacing w:line="360" w:lineRule="auto"/>
        <w:rPr>
          <w:sz w:val="24"/>
          <w:highlight w:val="none"/>
        </w:rPr>
      </w:pPr>
      <w:r>
        <w:rPr>
          <w:rFonts w:hint="eastAsia"/>
          <w:sz w:val="24"/>
          <w:highlight w:val="none"/>
        </w:rPr>
        <w:t>5.3. 残疾人福利单位标准请参照《关于促进残疾人就业政府采购政策的通知》（财库</w:t>
      </w:r>
    </w:p>
    <w:p w14:paraId="5C0FB8E6">
      <w:pPr>
        <w:spacing w:line="360" w:lineRule="auto"/>
        <w:rPr>
          <w:sz w:val="24"/>
          <w:highlight w:val="none"/>
        </w:rPr>
      </w:pPr>
      <w:r>
        <w:rPr>
          <w:rFonts w:hint="eastAsia"/>
          <w:sz w:val="24"/>
          <w:highlight w:val="none"/>
        </w:rPr>
        <w:t>〔2017〕141 号）。</w:t>
      </w:r>
    </w:p>
    <w:p w14:paraId="54FFE68B">
      <w:pPr>
        <w:pStyle w:val="252"/>
        <w:spacing w:after="0" w:line="360" w:lineRule="auto"/>
        <w:ind w:firstLine="0"/>
        <w:rPr>
          <w:color w:val="000000"/>
          <w:sz w:val="24"/>
          <w:szCs w:val="24"/>
          <w:highlight w:val="none"/>
          <w:lang w:val="zh-CN"/>
        </w:rPr>
        <w:sectPr>
          <w:footerReference r:id="rId8" w:type="first"/>
          <w:footerReference r:id="rId7" w:type="default"/>
          <w:pgSz w:w="11906" w:h="16838"/>
          <w:pgMar w:top="1417" w:right="1417" w:bottom="1020" w:left="1417" w:header="851" w:footer="992" w:gutter="0"/>
          <w:cols w:space="1701" w:num="1"/>
          <w:titlePg/>
          <w:docGrid w:linePitch="360" w:charSpace="0"/>
        </w:sectPr>
      </w:pPr>
      <w:r>
        <w:rPr>
          <w:rFonts w:hint="eastAsia"/>
          <w:sz w:val="24"/>
          <w:szCs w:val="24"/>
          <w:highlight w:val="none"/>
        </w:rPr>
        <w:t>6、监狱企业、残疾人福利单位属于小型、微型企业的，不重复享受政策</w:t>
      </w:r>
      <w:r>
        <w:rPr>
          <w:rFonts w:hint="eastAsia" w:ascii="宋体"/>
          <w:b/>
          <w:sz w:val="24"/>
          <w:szCs w:val="24"/>
          <w:highlight w:val="none"/>
        </w:rPr>
        <w:t>。</w:t>
      </w:r>
    </w:p>
    <w:bookmarkEnd w:id="15"/>
    <w:p w14:paraId="7E5EF981">
      <w:pPr>
        <w:spacing w:before="2" w:line="374" w:lineRule="auto"/>
        <w:ind w:left="7" w:firstLine="476"/>
        <w:jc w:val="center"/>
        <w:rPr>
          <w:color w:val="000000"/>
          <w:szCs w:val="22"/>
          <w:lang w:val="zh-CN"/>
        </w:rPr>
      </w:pPr>
      <w:r>
        <w:rPr>
          <w:b/>
          <w:bCs/>
          <w:color w:val="000000"/>
          <w:sz w:val="32"/>
          <w:szCs w:val="32"/>
          <w:lang w:val="zh-CN"/>
        </w:rPr>
        <w:t>第五章 合同主要条款及格式</w:t>
      </w:r>
      <w:bookmarkEnd w:id="11"/>
    </w:p>
    <w:bookmarkEnd w:id="12"/>
    <w:p w14:paraId="333FBAE5">
      <w:pPr>
        <w:widowControl/>
        <w:spacing w:line="14" w:lineRule="auto"/>
        <w:jc w:val="left"/>
        <w:rPr>
          <w:rFonts w:ascii="Arial" w:hAnsi="Arial" w:cs="Arial"/>
          <w:color w:val="000000"/>
          <w:sz w:val="2"/>
          <w:szCs w:val="21"/>
        </w:rPr>
      </w:pPr>
    </w:p>
    <w:p w14:paraId="4DE22677">
      <w:pPr>
        <w:spacing w:line="360" w:lineRule="auto"/>
        <w:jc w:val="center"/>
        <w:rPr>
          <w:rFonts w:ascii="宋体" w:hAnsi="宋体" w:cs="宋体"/>
          <w:sz w:val="36"/>
          <w:szCs w:val="36"/>
        </w:rPr>
      </w:pPr>
      <w:r>
        <w:rPr>
          <w:rFonts w:hint="eastAsia" w:ascii="宋体" w:hAnsi="宋体" w:cs="宋体"/>
          <w:sz w:val="36"/>
          <w:szCs w:val="36"/>
        </w:rPr>
        <w:t>紫金山松材线虫病无疫情成果巩固项目</w:t>
      </w:r>
    </w:p>
    <w:p w14:paraId="224667BD">
      <w:pPr>
        <w:spacing w:line="360" w:lineRule="auto"/>
        <w:rPr>
          <w:rFonts w:ascii="宋体" w:hAnsi="宋体" w:cs="宋体"/>
          <w:b/>
          <w:sz w:val="48"/>
          <w:szCs w:val="48"/>
        </w:rPr>
      </w:pPr>
    </w:p>
    <w:p w14:paraId="2F7954EC">
      <w:pPr>
        <w:spacing w:line="360" w:lineRule="auto"/>
        <w:jc w:val="center"/>
        <w:rPr>
          <w:rFonts w:ascii="宋体" w:hAnsi="宋体" w:cs="宋体"/>
          <w:b/>
          <w:sz w:val="48"/>
          <w:szCs w:val="48"/>
        </w:rPr>
      </w:pPr>
    </w:p>
    <w:p w14:paraId="23545122">
      <w:pPr>
        <w:spacing w:line="360" w:lineRule="auto"/>
        <w:jc w:val="center"/>
        <w:rPr>
          <w:rFonts w:ascii="宋体" w:hAnsi="宋体" w:cs="宋体"/>
          <w:b/>
          <w:sz w:val="48"/>
          <w:szCs w:val="48"/>
        </w:rPr>
      </w:pPr>
      <w:r>
        <w:rPr>
          <w:rFonts w:hint="eastAsia" w:ascii="宋体" w:hAnsi="宋体" w:cs="宋体"/>
          <w:b/>
          <w:sz w:val="48"/>
          <w:szCs w:val="48"/>
        </w:rPr>
        <w:t>采购</w:t>
      </w:r>
      <w:r>
        <w:rPr>
          <w:rFonts w:ascii="宋体" w:hAnsi="宋体" w:cs="宋体"/>
          <w:b/>
          <w:sz w:val="48"/>
          <w:szCs w:val="48"/>
        </w:rPr>
        <w:t>合同</w:t>
      </w:r>
    </w:p>
    <w:p w14:paraId="448B95CD">
      <w:pPr>
        <w:spacing w:line="360" w:lineRule="auto"/>
        <w:jc w:val="center"/>
        <w:rPr>
          <w:rFonts w:ascii="宋体" w:hAnsi="宋体" w:cs="宋体"/>
          <w:b/>
          <w:sz w:val="48"/>
          <w:szCs w:val="48"/>
        </w:rPr>
      </w:pPr>
    </w:p>
    <w:p w14:paraId="044DEA81">
      <w:pPr>
        <w:spacing w:line="360" w:lineRule="auto"/>
        <w:jc w:val="center"/>
        <w:rPr>
          <w:rFonts w:ascii="宋体" w:hAnsi="宋体" w:cs="宋体"/>
          <w:b/>
          <w:sz w:val="72"/>
          <w:szCs w:val="72"/>
        </w:rPr>
      </w:pPr>
      <w:r>
        <w:rPr>
          <w:rFonts w:hint="eastAsia" w:ascii="宋体" w:hAnsi="宋体" w:cs="宋体"/>
          <w:b/>
          <w:sz w:val="28"/>
          <w:szCs w:val="28"/>
        </w:rPr>
        <w:t>（合同编号：）</w:t>
      </w:r>
      <w:r>
        <w:rPr>
          <w:rFonts w:ascii="宋体" w:hAnsi="宋体" w:cs="宋体"/>
          <w:b/>
          <w:sz w:val="28"/>
          <w:szCs w:val="28"/>
        </w:rPr>
        <w:br w:type="textWrapping" w:clear="all"/>
      </w:r>
    </w:p>
    <w:p w14:paraId="562A629C">
      <w:pPr>
        <w:spacing w:line="360" w:lineRule="auto"/>
        <w:rPr>
          <w:rFonts w:ascii="宋体" w:hAnsi="宋体" w:cs="宋体"/>
          <w:b/>
          <w:sz w:val="72"/>
          <w:szCs w:val="72"/>
        </w:rPr>
      </w:pPr>
    </w:p>
    <w:p w14:paraId="69088937">
      <w:pPr>
        <w:spacing w:line="360" w:lineRule="auto"/>
        <w:rPr>
          <w:rFonts w:ascii="宋体" w:hAnsi="宋体" w:cs="宋体"/>
          <w:b/>
          <w:sz w:val="72"/>
          <w:szCs w:val="72"/>
        </w:rPr>
      </w:pPr>
    </w:p>
    <w:p w14:paraId="315F12C3">
      <w:pPr>
        <w:spacing w:line="360" w:lineRule="auto"/>
        <w:jc w:val="center"/>
        <w:rPr>
          <w:rFonts w:ascii="宋体" w:hAnsi="宋体" w:cs="宋体"/>
          <w:bCs/>
          <w:sz w:val="28"/>
          <w:szCs w:val="28"/>
          <w:u w:val="single"/>
        </w:rPr>
      </w:pPr>
      <w:r>
        <w:rPr>
          <w:rFonts w:hint="eastAsia" w:ascii="宋体" w:hAnsi="宋体" w:cs="宋体"/>
          <w:bCs/>
          <w:sz w:val="28"/>
          <w:szCs w:val="28"/>
          <w:u w:val="single"/>
        </w:rPr>
        <w:t>发包人：中山陵园管理局</w:t>
      </w:r>
    </w:p>
    <w:p w14:paraId="6539F12F">
      <w:pPr>
        <w:spacing w:line="360" w:lineRule="auto"/>
        <w:jc w:val="center"/>
        <w:rPr>
          <w:rFonts w:ascii="宋体" w:hAnsi="宋体" w:cs="宋体"/>
          <w:b/>
          <w:sz w:val="28"/>
          <w:szCs w:val="28"/>
        </w:rPr>
      </w:pPr>
      <w:r>
        <w:rPr>
          <w:rFonts w:hint="eastAsia" w:ascii="宋体" w:hAnsi="宋体" w:cs="宋体"/>
          <w:bCs/>
          <w:sz w:val="28"/>
          <w:szCs w:val="28"/>
          <w:u w:val="single"/>
        </w:rPr>
        <w:t>时间：年月日</w:t>
      </w:r>
    </w:p>
    <w:p w14:paraId="55C86C24">
      <w:pPr>
        <w:spacing w:line="360" w:lineRule="auto"/>
        <w:rPr>
          <w:rFonts w:ascii="宋体" w:hAnsi="宋体" w:cs="宋体"/>
        </w:rPr>
      </w:pPr>
    </w:p>
    <w:p w14:paraId="0B1C1869">
      <w:pPr>
        <w:spacing w:line="360" w:lineRule="auto"/>
        <w:jc w:val="center"/>
        <w:rPr>
          <w:rFonts w:ascii="宋体" w:hAnsi="宋体" w:cs="宋体"/>
          <w:b/>
          <w:spacing w:val="20"/>
          <w:sz w:val="36"/>
        </w:rPr>
      </w:pPr>
    </w:p>
    <w:p w14:paraId="34EBE5CC">
      <w:pPr>
        <w:rPr>
          <w:rFonts w:ascii="宋体" w:hAnsi="宋体" w:cs="宋体"/>
          <w:b/>
          <w:spacing w:val="20"/>
          <w:sz w:val="36"/>
        </w:rPr>
      </w:pPr>
      <w:r>
        <w:rPr>
          <w:rFonts w:hint="eastAsia" w:ascii="宋体" w:hAnsi="宋体" w:cs="宋体"/>
          <w:b/>
          <w:spacing w:val="20"/>
          <w:sz w:val="36"/>
        </w:rPr>
        <w:br w:type="page" w:clear="all"/>
      </w:r>
    </w:p>
    <w:p w14:paraId="5F66B8D5">
      <w:pPr>
        <w:jc w:val="center"/>
        <w:rPr>
          <w:rFonts w:hint="eastAsia" w:ascii="方正小标宋简体" w:hAnsi="宋体" w:eastAsia="方正小标宋简体"/>
          <w:sz w:val="44"/>
          <w:szCs w:val="44"/>
          <w:highlight w:val="none"/>
        </w:rPr>
      </w:pPr>
      <w:r>
        <w:rPr>
          <w:rFonts w:hint="eastAsia" w:ascii="方正小标宋简体" w:hAnsi="宋体" w:eastAsia="方正小标宋简体"/>
          <w:sz w:val="44"/>
          <w:szCs w:val="44"/>
          <w:highlight w:val="none"/>
        </w:rPr>
        <w:t>紫金山松材线虫病无疫情巩固项目服务合同</w:t>
      </w:r>
    </w:p>
    <w:p w14:paraId="412AE27E">
      <w:pPr>
        <w:rPr>
          <w:rFonts w:ascii="宋体" w:hAnsi="宋体"/>
          <w:szCs w:val="21"/>
          <w:highlight w:val="none"/>
        </w:rPr>
      </w:pPr>
    </w:p>
    <w:p w14:paraId="3E61E2DE">
      <w:pPr>
        <w:spacing w:line="360" w:lineRule="auto"/>
        <w:rPr>
          <w:rFonts w:hint="eastAsia" w:ascii="宋体" w:hAnsi="宋体"/>
          <w:sz w:val="24"/>
          <w:highlight w:val="none"/>
        </w:rPr>
      </w:pPr>
      <w:r>
        <w:rPr>
          <w:rFonts w:hint="eastAsia" w:ascii="宋体" w:hAnsi="宋体"/>
          <w:sz w:val="24"/>
          <w:highlight w:val="none"/>
        </w:rPr>
        <w:t>甲方（采购人）：中山陵园管理局</w:t>
      </w:r>
    </w:p>
    <w:p w14:paraId="0C0BC9DA">
      <w:pPr>
        <w:spacing w:line="360" w:lineRule="auto"/>
        <w:rPr>
          <w:rFonts w:hint="eastAsia" w:ascii="宋体" w:hAnsi="宋体"/>
          <w:sz w:val="24"/>
          <w:highlight w:val="none"/>
        </w:rPr>
      </w:pPr>
      <w:r>
        <w:rPr>
          <w:rFonts w:hint="eastAsia" w:ascii="宋体" w:hAnsi="宋体"/>
          <w:sz w:val="24"/>
          <w:highlight w:val="none"/>
        </w:rPr>
        <w:t>住所地： 南京市玄武区石象路7号</w:t>
      </w:r>
    </w:p>
    <w:p w14:paraId="7AC82786">
      <w:pPr>
        <w:spacing w:line="360" w:lineRule="auto"/>
        <w:rPr>
          <w:rFonts w:hint="eastAsia" w:ascii="宋体" w:hAnsi="宋体"/>
          <w:sz w:val="24"/>
          <w:highlight w:val="none"/>
        </w:rPr>
      </w:pPr>
      <w:r>
        <w:rPr>
          <w:rFonts w:hint="eastAsia" w:ascii="宋体" w:hAnsi="宋体"/>
          <w:sz w:val="24"/>
          <w:highlight w:val="none"/>
        </w:rPr>
        <w:t>法定代表人/负责人： _________</w:t>
      </w:r>
    </w:p>
    <w:p w14:paraId="4079E873">
      <w:pPr>
        <w:spacing w:line="360" w:lineRule="auto"/>
        <w:rPr>
          <w:rFonts w:hint="eastAsia" w:ascii="宋体" w:hAnsi="宋体"/>
          <w:sz w:val="24"/>
          <w:highlight w:val="none"/>
        </w:rPr>
      </w:pPr>
      <w:r>
        <w:rPr>
          <w:rFonts w:hint="eastAsia" w:ascii="宋体" w:hAnsi="宋体"/>
          <w:sz w:val="24"/>
          <w:highlight w:val="none"/>
        </w:rPr>
        <w:t>联系方式： _________</w:t>
      </w:r>
    </w:p>
    <w:p w14:paraId="3C483CA8">
      <w:pPr>
        <w:spacing w:line="360" w:lineRule="auto"/>
        <w:rPr>
          <w:rFonts w:ascii="宋体" w:hAnsi="宋体"/>
          <w:sz w:val="24"/>
          <w:highlight w:val="none"/>
        </w:rPr>
      </w:pPr>
    </w:p>
    <w:p w14:paraId="05FDB6C9">
      <w:pPr>
        <w:spacing w:line="360" w:lineRule="auto"/>
        <w:rPr>
          <w:rFonts w:hint="eastAsia" w:ascii="宋体" w:hAnsi="宋体"/>
          <w:sz w:val="24"/>
          <w:highlight w:val="none"/>
        </w:rPr>
      </w:pPr>
      <w:r>
        <w:rPr>
          <w:rFonts w:hint="eastAsia" w:ascii="宋体" w:hAnsi="宋体"/>
          <w:sz w:val="24"/>
          <w:highlight w:val="none"/>
        </w:rPr>
        <w:t>乙方（供应商）：_________</w:t>
      </w:r>
    </w:p>
    <w:p w14:paraId="47855C6E">
      <w:pPr>
        <w:spacing w:line="360" w:lineRule="auto"/>
        <w:rPr>
          <w:rFonts w:hint="eastAsia" w:ascii="宋体" w:hAnsi="宋体"/>
          <w:sz w:val="24"/>
          <w:highlight w:val="none"/>
        </w:rPr>
      </w:pPr>
      <w:r>
        <w:rPr>
          <w:rFonts w:hint="eastAsia" w:ascii="宋体" w:hAnsi="宋体"/>
          <w:sz w:val="24"/>
          <w:highlight w:val="none"/>
        </w:rPr>
        <w:t>住所地： _________</w:t>
      </w:r>
    </w:p>
    <w:p w14:paraId="26909190">
      <w:pPr>
        <w:spacing w:line="360" w:lineRule="auto"/>
        <w:rPr>
          <w:rFonts w:hint="eastAsia" w:ascii="宋体" w:hAnsi="宋体"/>
          <w:sz w:val="24"/>
          <w:highlight w:val="none"/>
        </w:rPr>
      </w:pPr>
      <w:r>
        <w:rPr>
          <w:rFonts w:hint="eastAsia" w:ascii="宋体" w:hAnsi="宋体"/>
          <w:sz w:val="24"/>
          <w:highlight w:val="none"/>
        </w:rPr>
        <w:t>法定代表人/负责人： _________</w:t>
      </w:r>
    </w:p>
    <w:p w14:paraId="68A2F889">
      <w:pPr>
        <w:spacing w:line="360" w:lineRule="auto"/>
        <w:rPr>
          <w:rFonts w:hint="eastAsia" w:ascii="宋体" w:hAnsi="宋体"/>
          <w:sz w:val="24"/>
          <w:highlight w:val="none"/>
        </w:rPr>
      </w:pPr>
      <w:r>
        <w:rPr>
          <w:rFonts w:hint="eastAsia" w:ascii="宋体" w:hAnsi="宋体"/>
          <w:sz w:val="24"/>
          <w:highlight w:val="none"/>
        </w:rPr>
        <w:t>联系方式： _________</w:t>
      </w:r>
    </w:p>
    <w:p w14:paraId="4D60BA53">
      <w:pPr>
        <w:spacing w:line="360" w:lineRule="auto"/>
        <w:rPr>
          <w:rFonts w:ascii="宋体" w:hAnsi="宋体"/>
          <w:sz w:val="24"/>
          <w:highlight w:val="none"/>
        </w:rPr>
      </w:pPr>
    </w:p>
    <w:p w14:paraId="31681E65">
      <w:pPr>
        <w:spacing w:line="360" w:lineRule="auto"/>
        <w:rPr>
          <w:rFonts w:hint="eastAsia" w:ascii="宋体" w:hAnsi="宋体"/>
          <w:sz w:val="24"/>
          <w:highlight w:val="none"/>
        </w:rPr>
      </w:pPr>
      <w:r>
        <w:rPr>
          <w:rFonts w:hint="eastAsia" w:ascii="宋体" w:hAnsi="宋体"/>
          <w:sz w:val="24"/>
          <w:highlight w:val="none"/>
        </w:rPr>
        <w:t>根据《中华人民共和国民法典》《中华人民共和国政府采购法》等有关法律法规的规定，甲乙双方在平等、自愿、公平、诚实信用的基础上，就紫金山松材线虫病无疫情巩固项目服务事宜协商一致，订立本合同。</w:t>
      </w:r>
    </w:p>
    <w:p w14:paraId="34704FCC">
      <w:pPr>
        <w:spacing w:line="360" w:lineRule="auto"/>
        <w:rPr>
          <w:rFonts w:hint="eastAsia" w:ascii="宋体" w:hAnsi="宋体"/>
          <w:sz w:val="24"/>
          <w:highlight w:val="none"/>
        </w:rPr>
      </w:pPr>
    </w:p>
    <w:p w14:paraId="74D61B61">
      <w:pPr>
        <w:spacing w:line="360" w:lineRule="auto"/>
        <w:ind w:firstLine="482"/>
        <w:rPr>
          <w:rFonts w:ascii="宋体" w:hAnsi="宋体"/>
          <w:b/>
          <w:sz w:val="24"/>
          <w:highlight w:val="none"/>
        </w:rPr>
      </w:pPr>
      <w:r>
        <w:rPr>
          <w:rFonts w:hint="eastAsia" w:ascii="宋体" w:hAnsi="宋体"/>
          <w:b/>
          <w:sz w:val="24"/>
          <w:highlight w:val="none"/>
        </w:rPr>
        <w:t>第一条 项目概况与服务内容</w:t>
      </w:r>
    </w:p>
    <w:p w14:paraId="5D219354">
      <w:pPr>
        <w:spacing w:line="360" w:lineRule="auto"/>
        <w:ind w:firstLine="480"/>
        <w:rPr>
          <w:rFonts w:hint="eastAsia" w:ascii="宋体" w:hAnsi="宋体"/>
          <w:sz w:val="24"/>
          <w:highlight w:val="none"/>
        </w:rPr>
      </w:pPr>
      <w:r>
        <w:rPr>
          <w:rFonts w:hint="eastAsia" w:ascii="宋体" w:hAnsi="宋体"/>
          <w:sz w:val="24"/>
          <w:highlight w:val="none"/>
        </w:rPr>
        <w:t>1.1项目名称： 紫金山松材线虫病无疫情巩固项目。</w:t>
      </w:r>
    </w:p>
    <w:p w14:paraId="0237FD7C">
      <w:pPr>
        <w:spacing w:line="360" w:lineRule="auto"/>
        <w:ind w:firstLine="480"/>
        <w:rPr>
          <w:rFonts w:hint="eastAsia" w:ascii="宋体" w:hAnsi="宋体"/>
          <w:sz w:val="24"/>
          <w:highlight w:val="none"/>
        </w:rPr>
      </w:pPr>
      <w:r>
        <w:rPr>
          <w:rFonts w:hint="eastAsia" w:ascii="宋体" w:hAnsi="宋体"/>
          <w:sz w:val="24"/>
          <w:highlight w:val="none"/>
        </w:rPr>
        <w:t>1.2项目地点： 紫金山全域松林（约0.64万亩）。</w:t>
      </w:r>
    </w:p>
    <w:p w14:paraId="125FCC8B">
      <w:pPr>
        <w:spacing w:line="360" w:lineRule="auto"/>
        <w:ind w:firstLine="480"/>
        <w:rPr>
          <w:rFonts w:hint="eastAsia" w:ascii="宋体" w:hAnsi="宋体"/>
          <w:sz w:val="24"/>
          <w:highlight w:val="none"/>
        </w:rPr>
      </w:pPr>
      <w:r>
        <w:rPr>
          <w:rFonts w:hint="eastAsia" w:ascii="宋体" w:hAnsi="宋体"/>
          <w:sz w:val="24"/>
          <w:highlight w:val="none"/>
        </w:rPr>
        <w:t>1.3服务期限： 自______年______月______日起至______年______月______日止（具体起止日期以双方书面确认为准）。</w:t>
      </w:r>
    </w:p>
    <w:p w14:paraId="5655FCF8">
      <w:pPr>
        <w:spacing w:line="360" w:lineRule="auto"/>
        <w:ind w:firstLine="480"/>
        <w:rPr>
          <w:rFonts w:hint="eastAsia" w:ascii="宋体" w:hAnsi="宋体"/>
          <w:sz w:val="24"/>
          <w:highlight w:val="none"/>
        </w:rPr>
      </w:pPr>
      <w:r>
        <w:rPr>
          <w:rFonts w:hint="eastAsia" w:ascii="宋体" w:hAnsi="宋体"/>
          <w:sz w:val="24"/>
          <w:highlight w:val="none"/>
        </w:rPr>
        <w:t>1.4项目目标：通过全面、科学的监测与综合防治措施，巩固紫金山松材线虫病疫点拔除成果，实现无疫情状态的可持续维持。</w:t>
      </w:r>
    </w:p>
    <w:p w14:paraId="6F283661">
      <w:pPr>
        <w:spacing w:line="360" w:lineRule="auto"/>
        <w:ind w:firstLine="480"/>
        <w:rPr>
          <w:rFonts w:hint="eastAsia" w:ascii="宋体" w:hAnsi="宋体"/>
          <w:sz w:val="24"/>
          <w:highlight w:val="none"/>
        </w:rPr>
      </w:pPr>
      <w:r>
        <w:rPr>
          <w:rFonts w:hint="eastAsia" w:ascii="宋体" w:hAnsi="宋体"/>
          <w:sz w:val="24"/>
          <w:highlight w:val="none"/>
        </w:rPr>
        <w:t>1.5服务内容：乙方须完成本项目的全部工作，具体包括但不限于：</w:t>
      </w:r>
    </w:p>
    <w:p w14:paraId="7F53594A">
      <w:pPr>
        <w:spacing w:line="360" w:lineRule="auto"/>
        <w:rPr>
          <w:rFonts w:hint="eastAsia" w:ascii="宋体" w:hAnsi="宋体"/>
          <w:sz w:val="24"/>
          <w:highlight w:val="none"/>
        </w:rPr>
      </w:pPr>
      <w:r>
        <w:rPr>
          <w:rFonts w:hint="eastAsia" w:ascii="宋体" w:hAnsi="宋体"/>
          <w:sz w:val="24"/>
          <w:highlight w:val="none"/>
        </w:rPr>
        <w:t xml:space="preserve">    （一）方案编制：与甲方及监理单位共同编制《紫金山松材线虫病无疫情巩固实施方案》，组织专家论证，并根据论证意见修改完善。承担相关专家评审论证咨询费用。</w:t>
      </w:r>
    </w:p>
    <w:p w14:paraId="0A8EA3CC">
      <w:pPr>
        <w:spacing w:line="360" w:lineRule="auto"/>
        <w:rPr>
          <w:rFonts w:hint="eastAsia" w:ascii="宋体" w:hAnsi="宋体"/>
          <w:sz w:val="24"/>
          <w:highlight w:val="none"/>
        </w:rPr>
      </w:pPr>
      <w:r>
        <w:rPr>
          <w:rFonts w:hint="eastAsia" w:ascii="宋体" w:hAnsi="宋体"/>
          <w:sz w:val="24"/>
          <w:highlight w:val="none"/>
        </w:rPr>
        <w:t xml:space="preserve">    （二）普查监测：</w:t>
      </w:r>
    </w:p>
    <w:p w14:paraId="32A9DC2C">
      <w:pPr>
        <w:spacing w:line="360" w:lineRule="auto"/>
        <w:rPr>
          <w:rFonts w:hint="eastAsia" w:ascii="宋体" w:hAnsi="宋体"/>
          <w:sz w:val="24"/>
          <w:highlight w:val="none"/>
        </w:rPr>
      </w:pPr>
      <w:r>
        <w:rPr>
          <w:rFonts w:hint="eastAsia" w:ascii="宋体" w:hAnsi="宋体"/>
          <w:sz w:val="24"/>
          <w:highlight w:val="none"/>
        </w:rPr>
        <w:t xml:space="preserve">    （1）日常监测：对紫金山全域松林小班每月进行一次常态化巡查，对景区、道路、缆车周边等核心区域每月进行两次巡查。综合运用人工望远镜、无人机及地面巡查，确保疫情监测覆盖率达100%。</w:t>
      </w:r>
    </w:p>
    <w:p w14:paraId="1DBEC4D3">
      <w:pPr>
        <w:spacing w:line="360" w:lineRule="auto"/>
        <w:rPr>
          <w:rFonts w:hint="eastAsia" w:ascii="宋体" w:hAnsi="宋体"/>
          <w:sz w:val="24"/>
          <w:highlight w:val="none"/>
        </w:rPr>
      </w:pPr>
      <w:r>
        <w:rPr>
          <w:rFonts w:hint="eastAsia" w:ascii="宋体" w:hAnsi="宋体"/>
          <w:sz w:val="24"/>
          <w:highlight w:val="none"/>
        </w:rPr>
        <w:t xml:space="preserve">    （2）专项普查： 每年秋季开展一次全域普查，采用无人机航测结合人工地面调查方式，确保“监测全覆盖，普查无盲区”。提供完整的普查台账、轨迹图、航线图、工作照片及数据报告。</w:t>
      </w:r>
    </w:p>
    <w:p w14:paraId="4F8D00C3">
      <w:pPr>
        <w:spacing w:line="360" w:lineRule="auto"/>
        <w:rPr>
          <w:rFonts w:hint="eastAsia" w:ascii="宋体" w:hAnsi="宋体"/>
          <w:sz w:val="24"/>
          <w:highlight w:val="none"/>
        </w:rPr>
      </w:pPr>
      <w:r>
        <w:rPr>
          <w:rFonts w:hint="eastAsia" w:ascii="宋体" w:hAnsi="宋体"/>
          <w:sz w:val="24"/>
          <w:highlight w:val="none"/>
        </w:rPr>
        <w:t xml:space="preserve">    （3）诱捕监测：在松墨天牛羽化期（4月下旬至10月下旬），设置50座固定诱捕器进行监测，每周采集一次，每两月更换一次诱芯，共完成24轮。统计虫口密度，为防控评价提供数据支持。</w:t>
      </w:r>
    </w:p>
    <w:p w14:paraId="2F1115DE">
      <w:pPr>
        <w:spacing w:line="360" w:lineRule="auto"/>
        <w:rPr>
          <w:rFonts w:hint="eastAsia" w:ascii="宋体" w:hAnsi="宋体"/>
          <w:sz w:val="24"/>
          <w:highlight w:val="none"/>
        </w:rPr>
      </w:pPr>
      <w:r>
        <w:rPr>
          <w:rFonts w:hint="eastAsia" w:ascii="宋体" w:hAnsi="宋体"/>
          <w:sz w:val="24"/>
          <w:highlight w:val="none"/>
        </w:rPr>
        <w:t xml:space="preserve">    （4）取样送检：按甲方要求定期采样，每年送检至省级林业主管部门指定的鉴定机构进行检测的样本数量不低于40份。</w:t>
      </w:r>
    </w:p>
    <w:p w14:paraId="6E289F7C">
      <w:pPr>
        <w:spacing w:line="360" w:lineRule="auto"/>
        <w:rPr>
          <w:rFonts w:hint="eastAsia" w:ascii="宋体" w:hAnsi="宋体"/>
          <w:sz w:val="24"/>
          <w:highlight w:val="none"/>
        </w:rPr>
      </w:pPr>
      <w:r>
        <w:rPr>
          <w:rFonts w:hint="eastAsia" w:ascii="宋体" w:hAnsi="宋体"/>
          <w:sz w:val="24"/>
          <w:highlight w:val="none"/>
        </w:rPr>
        <w:t xml:space="preserve">    （三）无疫情巩固措施：</w:t>
      </w:r>
    </w:p>
    <w:p w14:paraId="34F3F122">
      <w:pPr>
        <w:spacing w:line="360" w:lineRule="auto"/>
        <w:rPr>
          <w:rFonts w:hint="eastAsia" w:ascii="宋体" w:hAnsi="宋体"/>
          <w:sz w:val="24"/>
          <w:highlight w:val="none"/>
        </w:rPr>
      </w:pPr>
      <w:r>
        <w:rPr>
          <w:rFonts w:hint="eastAsia" w:ascii="宋体" w:hAnsi="宋体"/>
          <w:sz w:val="24"/>
          <w:highlight w:val="none"/>
        </w:rPr>
        <w:t xml:space="preserve">    （1）死亡松树除治：对监测发现的枯死或异常松树，做到“及时发现、及时清理”。严格按照“510”标准及《松材线虫病防治技术方案》要求，对疫木（含1cm以上枝桠）进行粉碎等无害化处理，并对伐桩进行处理。建立“一树一档”台账，利用“松材线虫防控预警系统”全程留痕并上传数据。对疫木除治、运输、处理全过程安排专人现场监管。</w:t>
      </w:r>
    </w:p>
    <w:p w14:paraId="22022565">
      <w:pPr>
        <w:spacing w:line="360" w:lineRule="auto"/>
        <w:rPr>
          <w:rFonts w:hint="eastAsia" w:ascii="宋体" w:hAnsi="宋体"/>
          <w:sz w:val="24"/>
          <w:highlight w:val="none"/>
        </w:rPr>
      </w:pPr>
      <w:r>
        <w:rPr>
          <w:rFonts w:hint="eastAsia" w:ascii="宋体" w:hAnsi="宋体"/>
          <w:sz w:val="24"/>
          <w:highlight w:val="none"/>
        </w:rPr>
        <w:t xml:space="preserve">    （2）健康松树注干预防保护：对紫金山全域健康松树（雪松、盆景及胸径10cm以下者除外）约3.4万株注射有效期2-3年的杀线剂。根据胸径、树高确定用药量，对名松古松重点保护。注干操作需规范，注药后挂牌标记（标明编号、用药、日期等），并做好施工记录与药瓶回收。</w:t>
      </w:r>
    </w:p>
    <w:p w14:paraId="1BB36552">
      <w:pPr>
        <w:spacing w:line="360" w:lineRule="auto"/>
        <w:rPr>
          <w:rFonts w:hint="eastAsia" w:ascii="宋体" w:hAnsi="宋体"/>
          <w:sz w:val="24"/>
          <w:highlight w:val="none"/>
        </w:rPr>
      </w:pPr>
      <w:r>
        <w:rPr>
          <w:rFonts w:hint="eastAsia" w:ascii="宋体" w:hAnsi="宋体"/>
          <w:sz w:val="24"/>
          <w:highlight w:val="none"/>
        </w:rPr>
        <w:t xml:space="preserve">    （3）生物防治：每年7-10月，释放花绒寄甲、肿腿蜂等天敌昆虫，控制媒介昆虫种群密度。其中，花绒寄甲卵储藏期不得超过1个月，每年释放数量不低于2000管。</w:t>
      </w:r>
    </w:p>
    <w:p w14:paraId="054E0170">
      <w:pPr>
        <w:spacing w:line="360" w:lineRule="auto"/>
        <w:rPr>
          <w:rFonts w:hint="eastAsia" w:ascii="宋体" w:hAnsi="宋体"/>
          <w:sz w:val="24"/>
          <w:highlight w:val="none"/>
        </w:rPr>
      </w:pPr>
      <w:r>
        <w:rPr>
          <w:rFonts w:hint="eastAsia" w:ascii="宋体" w:hAnsi="宋体"/>
          <w:sz w:val="24"/>
          <w:highlight w:val="none"/>
        </w:rPr>
        <w:t xml:space="preserve">    （4）药剂防治：每年5月下旬至8月上旬（据当年监测的羽化高峰期调整），采用无人机对媒介昆虫进行精准飞防，每年防治面积不低于2500亩。飞防需提前编制方案报甲方批准并公示，避开生态敏感区域。</w:t>
      </w:r>
    </w:p>
    <w:p w14:paraId="1DD52B7E">
      <w:pPr>
        <w:spacing w:line="360" w:lineRule="auto"/>
        <w:rPr>
          <w:rFonts w:hint="eastAsia" w:ascii="宋体" w:hAnsi="宋体"/>
          <w:sz w:val="24"/>
          <w:highlight w:val="none"/>
        </w:rPr>
      </w:pPr>
      <w:r>
        <w:rPr>
          <w:rFonts w:hint="eastAsia" w:ascii="宋体" w:hAnsi="宋体"/>
          <w:sz w:val="24"/>
          <w:highlight w:val="none"/>
        </w:rPr>
        <w:t xml:space="preserve">    （四）综合管理：</w:t>
      </w:r>
    </w:p>
    <w:p w14:paraId="266672CF">
      <w:pPr>
        <w:spacing w:line="360" w:lineRule="auto"/>
        <w:rPr>
          <w:rFonts w:hint="eastAsia" w:ascii="宋体" w:hAnsi="宋体"/>
          <w:sz w:val="24"/>
          <w:highlight w:val="none"/>
        </w:rPr>
      </w:pPr>
      <w:r>
        <w:rPr>
          <w:rFonts w:hint="eastAsia" w:ascii="宋体" w:hAnsi="宋体"/>
          <w:sz w:val="24"/>
          <w:highlight w:val="none"/>
        </w:rPr>
        <w:t xml:space="preserve">    （1）过程监督：设置专人对各项施工过程（除治、注药等）进行全程监督，检查技术合规性、用药量、标识设立、废弃物处理及数据上报等情况。</w:t>
      </w:r>
    </w:p>
    <w:p w14:paraId="6AF9BC76">
      <w:pPr>
        <w:spacing w:line="360" w:lineRule="auto"/>
        <w:rPr>
          <w:rFonts w:hint="eastAsia" w:ascii="宋体" w:hAnsi="宋体"/>
          <w:sz w:val="24"/>
          <w:highlight w:val="none"/>
        </w:rPr>
      </w:pPr>
      <w:r>
        <w:rPr>
          <w:rFonts w:hint="eastAsia" w:ascii="宋体" w:hAnsi="宋体"/>
          <w:sz w:val="24"/>
          <w:highlight w:val="none"/>
        </w:rPr>
        <w:t xml:space="preserve">    （2）宣传教育：设立宣传牌、除治标识，通过公共媒体平台进行科普宣传，配合甲方开展公众教育，提高森防意识，降低舆论风险。</w:t>
      </w:r>
    </w:p>
    <w:p w14:paraId="634EEBBF">
      <w:pPr>
        <w:spacing w:line="360" w:lineRule="auto"/>
        <w:rPr>
          <w:rFonts w:hint="eastAsia" w:ascii="宋体" w:hAnsi="宋体"/>
          <w:sz w:val="24"/>
          <w:highlight w:val="none"/>
        </w:rPr>
      </w:pPr>
      <w:r>
        <w:rPr>
          <w:rFonts w:hint="eastAsia" w:ascii="宋体" w:hAnsi="宋体"/>
          <w:sz w:val="24"/>
          <w:highlight w:val="none"/>
        </w:rPr>
        <w:t xml:space="preserve">    （3）配套工作：负责项目所需的除治标识制作、招标、审计、验收资料汇编及其他相关组织工作。</w:t>
      </w:r>
    </w:p>
    <w:p w14:paraId="510630D2">
      <w:pPr>
        <w:spacing w:line="360" w:lineRule="auto"/>
        <w:ind w:firstLine="482"/>
        <w:rPr>
          <w:rFonts w:hint="eastAsia" w:ascii="宋体" w:hAnsi="宋体"/>
          <w:b/>
          <w:sz w:val="24"/>
          <w:highlight w:val="none"/>
        </w:rPr>
      </w:pPr>
      <w:r>
        <w:rPr>
          <w:rFonts w:hint="eastAsia" w:ascii="宋体" w:hAnsi="宋体"/>
          <w:b/>
          <w:sz w:val="24"/>
          <w:highlight w:val="none"/>
        </w:rPr>
        <w:t>第二条 质量标准与考核验收</w:t>
      </w:r>
    </w:p>
    <w:p w14:paraId="796471B4">
      <w:pPr>
        <w:spacing w:line="360" w:lineRule="auto"/>
        <w:ind w:firstLine="480"/>
        <w:rPr>
          <w:rFonts w:hint="eastAsia" w:ascii="宋体" w:hAnsi="宋体"/>
          <w:sz w:val="24"/>
          <w:highlight w:val="none"/>
        </w:rPr>
      </w:pPr>
      <w:r>
        <w:rPr>
          <w:rFonts w:hint="eastAsia" w:ascii="宋体" w:hAnsi="宋体"/>
          <w:sz w:val="24"/>
          <w:highlight w:val="none"/>
        </w:rPr>
        <w:t>2.1质量标准： 乙方提供的全部服务，其技术标准与成果质量须符合或优于以下文件的要求：</w:t>
      </w:r>
    </w:p>
    <w:p w14:paraId="74DE0E87">
      <w:pPr>
        <w:spacing w:line="360" w:lineRule="auto"/>
        <w:rPr>
          <w:rFonts w:hint="eastAsia" w:ascii="宋体" w:hAnsi="宋体"/>
          <w:sz w:val="24"/>
          <w:highlight w:val="none"/>
        </w:rPr>
      </w:pPr>
      <w:r>
        <w:rPr>
          <w:rFonts w:hint="eastAsia" w:ascii="宋体" w:hAnsi="宋体"/>
          <w:sz w:val="24"/>
          <w:highlight w:val="none"/>
        </w:rPr>
        <w:t xml:space="preserve">    （1）国家林业和草原局《松材线虫病疫区和疫木管理办法》（2023版）；</w:t>
      </w:r>
    </w:p>
    <w:p w14:paraId="3A7064FF">
      <w:pPr>
        <w:spacing w:line="360" w:lineRule="auto"/>
        <w:rPr>
          <w:rFonts w:hint="eastAsia" w:ascii="宋体" w:hAnsi="宋体"/>
          <w:sz w:val="24"/>
          <w:highlight w:val="none"/>
        </w:rPr>
      </w:pPr>
      <w:r>
        <w:rPr>
          <w:rFonts w:hint="eastAsia" w:ascii="宋体" w:hAnsi="宋体"/>
          <w:sz w:val="24"/>
          <w:highlight w:val="none"/>
        </w:rPr>
        <w:t xml:space="preserve">    （2）国家林业和草原局《松材线虫病防治技术方案》（2024年版）；</w:t>
      </w:r>
    </w:p>
    <w:p w14:paraId="1334BE31">
      <w:pPr>
        <w:spacing w:line="360" w:lineRule="auto"/>
        <w:rPr>
          <w:rFonts w:hint="eastAsia" w:ascii="宋体" w:hAnsi="宋体"/>
          <w:sz w:val="24"/>
          <w:highlight w:val="none"/>
        </w:rPr>
      </w:pPr>
      <w:r>
        <w:rPr>
          <w:rFonts w:hint="eastAsia" w:ascii="宋体" w:hAnsi="宋体"/>
          <w:sz w:val="24"/>
          <w:highlight w:val="none"/>
        </w:rPr>
        <w:t xml:space="preserve">    （3）经双方确认的《紫金山松材线虫病无疫情巩固实施方案》；</w:t>
      </w:r>
    </w:p>
    <w:p w14:paraId="2E41E2AA">
      <w:pPr>
        <w:spacing w:line="360" w:lineRule="auto"/>
        <w:rPr>
          <w:rFonts w:hint="eastAsia" w:ascii="宋体" w:hAnsi="宋体"/>
          <w:sz w:val="24"/>
          <w:highlight w:val="none"/>
        </w:rPr>
      </w:pPr>
      <w:r>
        <w:rPr>
          <w:rFonts w:hint="eastAsia" w:ascii="宋体" w:hAnsi="宋体"/>
          <w:sz w:val="24"/>
          <w:highlight w:val="none"/>
        </w:rPr>
        <w:t xml:space="preserve">    （4）本项目招标文件中的所有技术规范与质量要求。</w:t>
      </w:r>
    </w:p>
    <w:p w14:paraId="01DA588D">
      <w:pPr>
        <w:spacing w:line="360" w:lineRule="auto"/>
        <w:ind w:firstLine="480"/>
        <w:rPr>
          <w:rFonts w:hint="eastAsia" w:ascii="宋体" w:hAnsi="宋体"/>
          <w:sz w:val="24"/>
          <w:highlight w:val="none"/>
        </w:rPr>
      </w:pPr>
      <w:r>
        <w:rPr>
          <w:rFonts w:hint="eastAsia" w:ascii="宋体" w:hAnsi="宋体"/>
          <w:sz w:val="24"/>
          <w:highlight w:val="none"/>
        </w:rPr>
        <w:t>2.2考核与验收：</w:t>
      </w:r>
    </w:p>
    <w:p w14:paraId="7F66C431">
      <w:pPr>
        <w:spacing w:line="360" w:lineRule="auto"/>
        <w:rPr>
          <w:rFonts w:hint="eastAsia" w:ascii="宋体" w:hAnsi="宋体"/>
          <w:sz w:val="24"/>
          <w:highlight w:val="none"/>
        </w:rPr>
      </w:pPr>
      <w:r>
        <w:rPr>
          <w:rFonts w:hint="eastAsia" w:ascii="宋体" w:hAnsi="宋体"/>
          <w:sz w:val="24"/>
          <w:highlight w:val="none"/>
        </w:rPr>
        <w:t xml:space="preserve">    （1）甲方将根据本合同第一条约定的工作内容及考核指标，对乙方各阶段工作进行考核评估。</w:t>
      </w:r>
    </w:p>
    <w:p w14:paraId="72939327">
      <w:pPr>
        <w:spacing w:line="360" w:lineRule="auto"/>
        <w:rPr>
          <w:rFonts w:hint="eastAsia" w:ascii="宋体" w:hAnsi="宋体"/>
          <w:sz w:val="24"/>
          <w:highlight w:val="none"/>
        </w:rPr>
      </w:pPr>
      <w:r>
        <w:rPr>
          <w:rFonts w:hint="eastAsia" w:ascii="宋体" w:hAnsi="宋体"/>
          <w:sz w:val="24"/>
          <w:highlight w:val="none"/>
        </w:rPr>
        <w:t xml:space="preserve">    （2）项目年度验收及最终验收，均以双方及监理方共同认可的实施方案和考核标准为依据。</w:t>
      </w:r>
    </w:p>
    <w:p w14:paraId="2D868B18">
      <w:pPr>
        <w:spacing w:line="360" w:lineRule="auto"/>
        <w:rPr>
          <w:rFonts w:hint="eastAsia" w:ascii="宋体" w:hAnsi="宋体"/>
          <w:sz w:val="24"/>
          <w:highlight w:val="none"/>
        </w:rPr>
      </w:pPr>
      <w:r>
        <w:rPr>
          <w:rFonts w:hint="eastAsia" w:ascii="宋体" w:hAnsi="宋体"/>
          <w:sz w:val="24"/>
          <w:highlight w:val="none"/>
        </w:rPr>
        <w:t xml:space="preserve">    （3）验收程序及付款比例与本合同第四条第2款、第六条第3款挂钩。</w:t>
      </w:r>
    </w:p>
    <w:p w14:paraId="448CDBB0">
      <w:pPr>
        <w:spacing w:line="360" w:lineRule="auto"/>
        <w:ind w:firstLine="482"/>
        <w:rPr>
          <w:rFonts w:ascii="宋体" w:hAnsi="宋体"/>
          <w:b/>
          <w:sz w:val="24"/>
          <w:highlight w:val="none"/>
        </w:rPr>
      </w:pPr>
      <w:r>
        <w:rPr>
          <w:rFonts w:hint="eastAsia" w:ascii="宋体" w:hAnsi="宋体"/>
          <w:b/>
          <w:sz w:val="24"/>
          <w:highlight w:val="none"/>
        </w:rPr>
        <w:t>第三条 合同价款与支付方式</w:t>
      </w:r>
    </w:p>
    <w:p w14:paraId="077C880F">
      <w:pPr>
        <w:spacing w:line="360" w:lineRule="auto"/>
        <w:ind w:firstLine="480"/>
        <w:rPr>
          <w:rFonts w:hint="eastAsia" w:ascii="宋体" w:hAnsi="宋体"/>
          <w:sz w:val="24"/>
          <w:highlight w:val="none"/>
        </w:rPr>
      </w:pPr>
      <w:r>
        <w:rPr>
          <w:rFonts w:hint="eastAsia" w:ascii="宋体" w:hAnsi="宋体"/>
          <w:sz w:val="24"/>
          <w:highlight w:val="none"/>
        </w:rPr>
        <w:t>3.1合同价款：本合同为单价合同，暂定总价为人民币______元（大写：_________________元整）。单价以乙方报价清单或响应文件中的分项报价单价为准，在合同期内固定不变。最终结算总价=单价×经甲方确认的实际完成工作量，且不得超过本合同暂定总价。单价已包含完成该服务内容所需的人工、材料、设备、运输、保险、税费、管理、利润及所有风险、责任等一切费用。</w:t>
      </w:r>
    </w:p>
    <w:p w14:paraId="4E2E74F0">
      <w:pPr>
        <w:spacing w:line="360" w:lineRule="auto"/>
        <w:ind w:firstLine="480"/>
        <w:rPr>
          <w:rFonts w:hint="eastAsia" w:ascii="宋体" w:hAnsi="宋体"/>
          <w:sz w:val="24"/>
          <w:highlight w:val="none"/>
        </w:rPr>
      </w:pPr>
      <w:r>
        <w:rPr>
          <w:rFonts w:hint="eastAsia" w:ascii="宋体" w:hAnsi="宋体"/>
          <w:sz w:val="24"/>
          <w:highlight w:val="none"/>
        </w:rPr>
        <w:t>3.2支付方式：</w:t>
      </w:r>
    </w:p>
    <w:p w14:paraId="4D10223D">
      <w:pPr>
        <w:spacing w:line="360" w:lineRule="auto"/>
        <w:rPr>
          <w:rFonts w:hint="eastAsia" w:ascii="宋体" w:hAnsi="宋体"/>
          <w:sz w:val="24"/>
          <w:highlight w:val="none"/>
        </w:rPr>
      </w:pPr>
      <w:r>
        <w:rPr>
          <w:rFonts w:hint="eastAsia" w:ascii="宋体" w:hAnsi="宋体"/>
          <w:sz w:val="24"/>
          <w:highlight w:val="none"/>
        </w:rPr>
        <w:t xml:space="preserve">    （1）第一次付款：（2026年上半年进度款）：2026年7月10日前，甲方及监理方对2026年上半年工作量评估验收合格后，乙方向甲方开具等额有效的增值税专用发票，甲方在收到发票后15个工作日内，支付上半年已完工作量价款的70%。</w:t>
      </w:r>
    </w:p>
    <w:p w14:paraId="06DB5E24">
      <w:pPr>
        <w:spacing w:line="360" w:lineRule="auto"/>
        <w:rPr>
          <w:rFonts w:hint="eastAsia" w:ascii="宋体" w:hAnsi="宋体"/>
          <w:sz w:val="24"/>
          <w:highlight w:val="none"/>
        </w:rPr>
      </w:pPr>
      <w:r>
        <w:rPr>
          <w:rFonts w:hint="eastAsia" w:ascii="宋体" w:hAnsi="宋体"/>
          <w:sz w:val="24"/>
          <w:highlight w:val="none"/>
        </w:rPr>
        <w:t xml:space="preserve">    （2）第二次付款：（2026年下半年进度款）：2026年12月10日前，甲方及监理方对2026年全年工作量评估验收合格后，乙方向甲方开具等额有效的增值税专用发票，甲方在收到发票后15个工作日内，支付下半年已完工作量价款的70%。</w:t>
      </w:r>
    </w:p>
    <w:p w14:paraId="36F83B76">
      <w:pPr>
        <w:spacing w:line="360" w:lineRule="auto"/>
        <w:rPr>
          <w:rFonts w:hint="eastAsia" w:ascii="宋体" w:hAnsi="宋体"/>
          <w:sz w:val="24"/>
          <w:highlight w:val="none"/>
        </w:rPr>
      </w:pPr>
      <w:r>
        <w:rPr>
          <w:rFonts w:hint="eastAsia" w:ascii="宋体" w:hAnsi="宋体"/>
          <w:sz w:val="24"/>
          <w:highlight w:val="none"/>
        </w:rPr>
        <w:t xml:space="preserve">    （3）第三次付款：（2027年上半年进度款+2026年结算款）：2027年7月10日前，甲方及监理方对2027年上半年工作量评估，同时对2026年绩效进行考评，验收合格后，乙方向甲方开具等额有效的增值税专用发票，甲方在收到发票后15个工作日内，支付2027年上半年已完工作量价款的70%，以及2026年上半年、下半年已完工作量价款的20%（即2026年累计支付至90%）。</w:t>
      </w:r>
    </w:p>
    <w:p w14:paraId="4DC854A2">
      <w:pPr>
        <w:spacing w:line="360" w:lineRule="auto"/>
        <w:rPr>
          <w:rFonts w:hint="eastAsia" w:ascii="宋体" w:hAnsi="宋体"/>
          <w:sz w:val="24"/>
          <w:highlight w:val="none"/>
        </w:rPr>
      </w:pPr>
      <w:r>
        <w:rPr>
          <w:rFonts w:hint="eastAsia" w:ascii="宋体" w:hAnsi="宋体"/>
          <w:sz w:val="24"/>
          <w:highlight w:val="none"/>
        </w:rPr>
        <w:t xml:space="preserve">    （4）第四次付款：（2027年下半年进度款）：2027年12月10日前，甲方及监理方对2027年全年工作量评估验收合格后，乙方向甲方开具等额有效的增值税专用发票，甲方在收到发票后15个工作日内，支付下半年已完工作量价款的70%。</w:t>
      </w:r>
    </w:p>
    <w:p w14:paraId="3D09AA18">
      <w:pPr>
        <w:spacing w:line="360" w:lineRule="auto"/>
        <w:rPr>
          <w:rFonts w:hint="eastAsia" w:ascii="宋体" w:hAnsi="宋体"/>
          <w:sz w:val="24"/>
          <w:highlight w:val="none"/>
        </w:rPr>
      </w:pPr>
      <w:r>
        <w:rPr>
          <w:rFonts w:hint="eastAsia" w:ascii="宋体" w:hAnsi="宋体"/>
          <w:sz w:val="24"/>
          <w:highlight w:val="none"/>
        </w:rPr>
        <w:t xml:space="preserve">    （5）第五次付款：（终验结算款）：2028年7月10日前，项目整体通过终期验收及绩效考评合格后，乙方向甲方开具等额有效的增值税专用发票，甲方在收到发票后15个工作日内，一次性付清2026年和2027年两年剩余的全部费用（即结算至已完成工作量的100%）。</w:t>
      </w:r>
    </w:p>
    <w:p w14:paraId="7D6D540C">
      <w:pPr>
        <w:spacing w:line="360" w:lineRule="auto"/>
        <w:ind w:firstLine="480"/>
        <w:rPr>
          <w:rFonts w:hint="eastAsia" w:ascii="宋体" w:hAnsi="宋体"/>
          <w:sz w:val="24"/>
          <w:highlight w:val="none"/>
        </w:rPr>
      </w:pPr>
      <w:r>
        <w:rPr>
          <w:rFonts w:hint="eastAsia" w:ascii="宋体" w:hAnsi="宋体"/>
          <w:sz w:val="24"/>
          <w:highlight w:val="none"/>
        </w:rPr>
        <w:t>3.3绩效考核扣款：年度支付的具体金额，将根据第六条第3款约定的绩效考核分数对应的支付比例进行核定支付。</w:t>
      </w:r>
    </w:p>
    <w:p w14:paraId="741E65AA">
      <w:pPr>
        <w:spacing w:line="360" w:lineRule="auto"/>
        <w:ind w:firstLine="482"/>
        <w:rPr>
          <w:rFonts w:hint="eastAsia" w:ascii="宋体" w:hAnsi="宋体"/>
          <w:b/>
          <w:sz w:val="24"/>
          <w:highlight w:val="none"/>
        </w:rPr>
      </w:pPr>
      <w:r>
        <w:rPr>
          <w:rFonts w:hint="eastAsia" w:ascii="宋体" w:hAnsi="宋体"/>
          <w:b/>
          <w:sz w:val="24"/>
          <w:highlight w:val="none"/>
        </w:rPr>
        <w:t>第四条 甲方权利与义务</w:t>
      </w:r>
    </w:p>
    <w:p w14:paraId="1E8E39AC">
      <w:pPr>
        <w:spacing w:line="360" w:lineRule="auto"/>
        <w:ind w:firstLine="480"/>
        <w:rPr>
          <w:rFonts w:hint="eastAsia" w:ascii="宋体" w:hAnsi="宋体"/>
          <w:sz w:val="24"/>
          <w:highlight w:val="none"/>
        </w:rPr>
      </w:pPr>
      <w:r>
        <w:rPr>
          <w:rFonts w:hint="eastAsia" w:ascii="宋体" w:hAnsi="宋体"/>
          <w:sz w:val="24"/>
          <w:highlight w:val="none"/>
        </w:rPr>
        <w:t>4.1 指派专人负责项目联络与协调，协助乙方顺利进入工作区域并开展工作。</w:t>
      </w:r>
    </w:p>
    <w:p w14:paraId="31A6AC23">
      <w:pPr>
        <w:spacing w:line="360" w:lineRule="auto"/>
        <w:ind w:firstLine="480"/>
        <w:rPr>
          <w:rFonts w:hint="eastAsia" w:ascii="宋体" w:hAnsi="宋体"/>
          <w:sz w:val="24"/>
          <w:highlight w:val="none"/>
        </w:rPr>
      </w:pPr>
      <w:r>
        <w:rPr>
          <w:rFonts w:hint="eastAsia" w:ascii="宋体" w:hAnsi="宋体"/>
          <w:sz w:val="24"/>
          <w:highlight w:val="none"/>
        </w:rPr>
        <w:t>4.2 对流入辖区内的松木及其制品做好检疫监管，配合市政府对涉木企业及个人进行登记备案与监管。</w:t>
      </w:r>
    </w:p>
    <w:p w14:paraId="370CA78A">
      <w:pPr>
        <w:spacing w:line="360" w:lineRule="auto"/>
        <w:ind w:firstLine="480"/>
        <w:rPr>
          <w:rFonts w:hint="eastAsia" w:ascii="宋体" w:hAnsi="宋体"/>
          <w:sz w:val="24"/>
          <w:highlight w:val="none"/>
        </w:rPr>
      </w:pPr>
      <w:r>
        <w:rPr>
          <w:rFonts w:hint="eastAsia" w:ascii="宋体" w:hAnsi="宋体"/>
          <w:sz w:val="24"/>
          <w:highlight w:val="none"/>
        </w:rPr>
        <w:t>4.3 有权依据国家、省、市相关要求，对乙方工作提出具体指导意见。</w:t>
      </w:r>
    </w:p>
    <w:p w14:paraId="254DECB0">
      <w:pPr>
        <w:spacing w:line="360" w:lineRule="auto"/>
        <w:ind w:firstLine="480"/>
        <w:rPr>
          <w:rFonts w:hint="eastAsia" w:ascii="宋体" w:hAnsi="宋体"/>
          <w:sz w:val="24"/>
          <w:highlight w:val="none"/>
        </w:rPr>
      </w:pPr>
      <w:r>
        <w:rPr>
          <w:rFonts w:hint="eastAsia" w:ascii="宋体" w:hAnsi="宋体"/>
          <w:sz w:val="24"/>
          <w:highlight w:val="none"/>
        </w:rPr>
        <w:t>4.4 发现乙方有违反合同的行为或可能时，有权发出书面整改通知，乙方应在5个工作日内书面回复整改情况。</w:t>
      </w:r>
    </w:p>
    <w:p w14:paraId="44FB91F5">
      <w:pPr>
        <w:spacing w:line="360" w:lineRule="auto"/>
        <w:ind w:firstLine="480"/>
        <w:rPr>
          <w:rFonts w:hint="eastAsia" w:ascii="宋体" w:hAnsi="宋体"/>
          <w:sz w:val="24"/>
          <w:highlight w:val="none"/>
        </w:rPr>
      </w:pPr>
      <w:r>
        <w:rPr>
          <w:rFonts w:hint="eastAsia" w:ascii="宋体" w:hAnsi="宋体"/>
          <w:sz w:val="24"/>
          <w:highlight w:val="none"/>
        </w:rPr>
        <w:t>4.5 按合同约定及时组织验收并支付款项，不得以机构变动、人员更替、政策调整等非合同约定事由拖延付款。</w:t>
      </w:r>
    </w:p>
    <w:p w14:paraId="730BDECA">
      <w:pPr>
        <w:spacing w:line="360" w:lineRule="auto"/>
        <w:ind w:firstLine="482"/>
        <w:rPr>
          <w:rFonts w:hint="eastAsia" w:ascii="宋体" w:hAnsi="宋体"/>
          <w:b/>
          <w:sz w:val="24"/>
          <w:highlight w:val="none"/>
        </w:rPr>
      </w:pPr>
      <w:r>
        <w:rPr>
          <w:rFonts w:hint="eastAsia" w:ascii="宋体" w:hAnsi="宋体"/>
          <w:b/>
          <w:sz w:val="24"/>
          <w:highlight w:val="none"/>
        </w:rPr>
        <w:t>第五条 乙方权利与义务</w:t>
      </w:r>
    </w:p>
    <w:p w14:paraId="1C3591D3">
      <w:pPr>
        <w:spacing w:line="360" w:lineRule="auto"/>
        <w:ind w:firstLine="480"/>
        <w:rPr>
          <w:rFonts w:hint="eastAsia" w:ascii="宋体" w:hAnsi="宋体"/>
          <w:sz w:val="24"/>
          <w:highlight w:val="none"/>
        </w:rPr>
      </w:pPr>
      <w:r>
        <w:rPr>
          <w:rFonts w:hint="eastAsia" w:ascii="宋体" w:hAnsi="宋体"/>
          <w:sz w:val="24"/>
          <w:highlight w:val="none"/>
        </w:rPr>
        <w:t>5.1 有权要求甲方提供必要的工作协调与配合。</w:t>
      </w:r>
    </w:p>
    <w:p w14:paraId="0360A67E">
      <w:pPr>
        <w:spacing w:line="360" w:lineRule="auto"/>
        <w:ind w:firstLine="480"/>
        <w:rPr>
          <w:rFonts w:hint="eastAsia" w:ascii="宋体" w:hAnsi="宋体"/>
          <w:sz w:val="24"/>
          <w:highlight w:val="none"/>
        </w:rPr>
      </w:pPr>
      <w:r>
        <w:rPr>
          <w:rFonts w:hint="eastAsia" w:ascii="宋体" w:hAnsi="宋体"/>
          <w:sz w:val="24"/>
          <w:highlight w:val="none"/>
        </w:rPr>
        <w:t>5.2 必须严格按照本合同第一条及第二条约定的标准和要求实施项目，听取甲方的合理意见并及时整改。</w:t>
      </w:r>
    </w:p>
    <w:p w14:paraId="790A0404">
      <w:pPr>
        <w:spacing w:line="360" w:lineRule="auto"/>
        <w:ind w:firstLine="480"/>
        <w:rPr>
          <w:rFonts w:hint="eastAsia" w:ascii="宋体" w:hAnsi="宋体"/>
          <w:sz w:val="24"/>
          <w:highlight w:val="none"/>
        </w:rPr>
      </w:pPr>
      <w:r>
        <w:rPr>
          <w:rFonts w:hint="eastAsia" w:ascii="宋体" w:hAnsi="宋体"/>
          <w:sz w:val="24"/>
          <w:highlight w:val="none"/>
        </w:rPr>
        <w:t>5.3 甲方提供的资料著作权归甲方所有，乙方仅可为履行本合同目的而使用，不得用于其他用途。</w:t>
      </w:r>
    </w:p>
    <w:p w14:paraId="2535C989">
      <w:pPr>
        <w:spacing w:line="360" w:lineRule="auto"/>
        <w:ind w:firstLine="480"/>
        <w:rPr>
          <w:rFonts w:hint="eastAsia" w:ascii="宋体" w:hAnsi="宋体"/>
          <w:sz w:val="24"/>
          <w:highlight w:val="none"/>
        </w:rPr>
      </w:pPr>
      <w:r>
        <w:rPr>
          <w:rFonts w:hint="eastAsia" w:ascii="宋体" w:hAnsi="宋体"/>
          <w:sz w:val="24"/>
          <w:highlight w:val="none"/>
        </w:rPr>
        <w:t>5.4 应服从甲方现场管理，因不服从管理引发的纠纷或造成的损失（包括损坏景区设备、破坏环境等），由乙方承担全部责任。</w:t>
      </w:r>
    </w:p>
    <w:p w14:paraId="3479E825">
      <w:pPr>
        <w:spacing w:line="360" w:lineRule="auto"/>
        <w:ind w:firstLine="480"/>
        <w:rPr>
          <w:rFonts w:hint="eastAsia" w:ascii="宋体" w:hAnsi="宋体"/>
          <w:sz w:val="24"/>
          <w:highlight w:val="none"/>
        </w:rPr>
      </w:pPr>
      <w:r>
        <w:rPr>
          <w:rFonts w:hint="eastAsia" w:ascii="宋体" w:hAnsi="宋体"/>
          <w:sz w:val="24"/>
          <w:highlight w:val="none"/>
        </w:rPr>
        <w:t>5.5 应保质、保量、按时完成全部工作。如因乙方原因故意拖延进度，每逾期一日，应按合同暂定总价的千分之二向甲方支付违约金；逾期超过15日或导致项目无法验收等严重后果的，甲方有权单方解除合同，并要求乙方赔偿全部损失。</w:t>
      </w:r>
    </w:p>
    <w:p w14:paraId="15BD88EB">
      <w:pPr>
        <w:spacing w:line="360" w:lineRule="auto"/>
        <w:ind w:firstLine="480"/>
        <w:rPr>
          <w:rFonts w:hint="eastAsia" w:ascii="宋体" w:hAnsi="宋体"/>
          <w:sz w:val="24"/>
          <w:highlight w:val="none"/>
        </w:rPr>
      </w:pPr>
      <w:r>
        <w:rPr>
          <w:rFonts w:hint="eastAsia" w:ascii="宋体" w:hAnsi="宋体"/>
          <w:sz w:val="24"/>
          <w:highlight w:val="none"/>
        </w:rPr>
        <w:t>5.6 组建足额、合格的技术团队，并为所有项目人员购买足额保险。严格落实安全生产责任，因乙方违规操作造成的一切后果（包括安全事故、拖欠农民工工资等）由乙方自行承担。</w:t>
      </w:r>
    </w:p>
    <w:p w14:paraId="085B45F6">
      <w:pPr>
        <w:spacing w:line="360" w:lineRule="auto"/>
        <w:ind w:firstLine="480"/>
        <w:rPr>
          <w:rFonts w:hint="eastAsia" w:ascii="宋体" w:hAnsi="宋体"/>
          <w:sz w:val="24"/>
          <w:highlight w:val="none"/>
        </w:rPr>
      </w:pPr>
      <w:r>
        <w:rPr>
          <w:rFonts w:hint="eastAsia" w:ascii="宋体" w:hAnsi="宋体"/>
          <w:sz w:val="24"/>
          <w:highlight w:val="none"/>
        </w:rPr>
        <w:t>5.7 定期向甲方汇报工作进展，按时提交相关报告与数据。</w:t>
      </w:r>
    </w:p>
    <w:p w14:paraId="40C82495">
      <w:pPr>
        <w:spacing w:line="360" w:lineRule="auto"/>
        <w:ind w:firstLine="480"/>
        <w:rPr>
          <w:rFonts w:hint="eastAsia" w:ascii="宋体" w:hAnsi="宋体"/>
          <w:sz w:val="24"/>
          <w:highlight w:val="none"/>
        </w:rPr>
      </w:pPr>
      <w:r>
        <w:rPr>
          <w:rFonts w:hint="eastAsia" w:ascii="宋体" w:hAnsi="宋体"/>
          <w:sz w:val="24"/>
          <w:highlight w:val="none"/>
        </w:rPr>
        <w:t>5.8 严格做好施工范围内的森林防火工作，因乙方原因引发的火情，责任由乙方承担。</w:t>
      </w:r>
    </w:p>
    <w:p w14:paraId="3F83200A">
      <w:pPr>
        <w:spacing w:line="360" w:lineRule="auto"/>
        <w:ind w:firstLine="480"/>
        <w:rPr>
          <w:rFonts w:hint="eastAsia" w:ascii="宋体" w:hAnsi="宋体"/>
          <w:sz w:val="24"/>
          <w:highlight w:val="none"/>
        </w:rPr>
      </w:pPr>
      <w:r>
        <w:rPr>
          <w:rFonts w:hint="eastAsia" w:ascii="宋体" w:hAnsi="宋体"/>
          <w:sz w:val="24"/>
          <w:highlight w:val="none"/>
        </w:rPr>
        <w:t>5.9 按甲方要求落实专人进行现场质量管理，并使用移动端监测APP对关键环节（普查、采伐、运输等）拍照留痕，确保过程可追溯。</w:t>
      </w:r>
    </w:p>
    <w:p w14:paraId="3950C822">
      <w:pPr>
        <w:spacing w:line="360" w:lineRule="auto"/>
        <w:ind w:firstLine="482"/>
        <w:rPr>
          <w:rFonts w:hint="eastAsia" w:ascii="宋体" w:hAnsi="宋体"/>
          <w:b/>
          <w:sz w:val="24"/>
          <w:highlight w:val="none"/>
        </w:rPr>
      </w:pPr>
      <w:r>
        <w:rPr>
          <w:rFonts w:hint="eastAsia" w:ascii="宋体" w:hAnsi="宋体"/>
          <w:b/>
          <w:sz w:val="24"/>
          <w:highlight w:val="none"/>
        </w:rPr>
        <w:t>第六条 违约责任</w:t>
      </w:r>
    </w:p>
    <w:p w14:paraId="46B8F2D0">
      <w:pPr>
        <w:spacing w:line="360" w:lineRule="auto"/>
        <w:ind w:firstLine="480"/>
        <w:rPr>
          <w:rFonts w:hint="eastAsia" w:ascii="宋体" w:hAnsi="宋体"/>
          <w:sz w:val="24"/>
          <w:highlight w:val="none"/>
        </w:rPr>
      </w:pPr>
      <w:r>
        <w:rPr>
          <w:rFonts w:hint="eastAsia" w:ascii="宋体" w:hAnsi="宋体"/>
          <w:sz w:val="24"/>
          <w:highlight w:val="none"/>
        </w:rPr>
        <w:t>6.1 任何一方违反本合同约定，应承担违约责任，赔偿给对方造成的全部经济损失。</w:t>
      </w:r>
    </w:p>
    <w:p w14:paraId="1B06B390">
      <w:pPr>
        <w:spacing w:line="360" w:lineRule="auto"/>
        <w:ind w:firstLine="480"/>
        <w:rPr>
          <w:rFonts w:hint="eastAsia" w:ascii="宋体" w:hAnsi="宋体"/>
          <w:sz w:val="24"/>
          <w:highlight w:val="none"/>
        </w:rPr>
      </w:pPr>
      <w:r>
        <w:rPr>
          <w:rFonts w:hint="eastAsia" w:ascii="宋体" w:hAnsi="宋体"/>
          <w:sz w:val="24"/>
          <w:highlight w:val="none"/>
        </w:rPr>
        <w:t>6.2 乙方特别违约责任：若乙方发生以下任一严重违规行为，甲方有权单方解除合同，乙方除赔偿甲方全部损失外，还须支付合同暂定总价20%的违约金，并承担相应法律责任：</w:t>
      </w:r>
    </w:p>
    <w:p w14:paraId="700B3039">
      <w:pPr>
        <w:spacing w:line="360" w:lineRule="auto"/>
        <w:rPr>
          <w:rFonts w:hint="eastAsia" w:ascii="宋体" w:hAnsi="宋体"/>
          <w:sz w:val="24"/>
          <w:highlight w:val="none"/>
        </w:rPr>
      </w:pPr>
      <w:r>
        <w:rPr>
          <w:rFonts w:hint="eastAsia" w:ascii="宋体" w:hAnsi="宋体"/>
          <w:sz w:val="24"/>
          <w:highlight w:val="none"/>
        </w:rPr>
        <w:t xml:space="preserve">    （1）擅自中止合同或转让合同义务；</w:t>
      </w:r>
    </w:p>
    <w:p w14:paraId="6986D766">
      <w:pPr>
        <w:spacing w:line="360" w:lineRule="auto"/>
        <w:rPr>
          <w:rFonts w:hint="eastAsia" w:ascii="宋体" w:hAnsi="宋体"/>
          <w:sz w:val="24"/>
          <w:highlight w:val="none"/>
        </w:rPr>
      </w:pPr>
      <w:r>
        <w:rPr>
          <w:rFonts w:hint="eastAsia" w:ascii="宋体" w:hAnsi="宋体"/>
          <w:sz w:val="24"/>
          <w:highlight w:val="none"/>
        </w:rPr>
        <w:t xml:space="preserve">    （2）拒不执行甲方合理的书面整改意见且态度恶劣；</w:t>
      </w:r>
    </w:p>
    <w:p w14:paraId="12B627A6">
      <w:pPr>
        <w:spacing w:line="360" w:lineRule="auto"/>
        <w:rPr>
          <w:rFonts w:hint="eastAsia" w:ascii="宋体" w:hAnsi="宋体"/>
          <w:sz w:val="24"/>
          <w:highlight w:val="none"/>
        </w:rPr>
      </w:pPr>
      <w:r>
        <w:rPr>
          <w:rFonts w:hint="eastAsia" w:ascii="宋体" w:hAnsi="宋体"/>
          <w:sz w:val="24"/>
          <w:highlight w:val="none"/>
        </w:rPr>
        <w:t xml:space="preserve">    （3）违法倒卖、加工疫木；</w:t>
      </w:r>
    </w:p>
    <w:p w14:paraId="31CFF7E5">
      <w:pPr>
        <w:spacing w:line="360" w:lineRule="auto"/>
        <w:rPr>
          <w:rFonts w:hint="eastAsia" w:ascii="宋体" w:hAnsi="宋体"/>
          <w:sz w:val="24"/>
          <w:highlight w:val="none"/>
        </w:rPr>
      </w:pPr>
      <w:r>
        <w:rPr>
          <w:rFonts w:hint="eastAsia" w:ascii="宋体" w:hAnsi="宋体"/>
          <w:sz w:val="24"/>
          <w:highlight w:val="none"/>
        </w:rPr>
        <w:t xml:space="preserve">    （4）使用剧毒药剂或私开集材道，严重破坏生态环境；</w:t>
      </w:r>
    </w:p>
    <w:p w14:paraId="7AA7EDA2">
      <w:pPr>
        <w:spacing w:line="360" w:lineRule="auto"/>
        <w:rPr>
          <w:rFonts w:hint="eastAsia" w:ascii="宋体" w:hAnsi="宋体"/>
          <w:sz w:val="24"/>
          <w:highlight w:val="none"/>
        </w:rPr>
      </w:pPr>
      <w:r>
        <w:rPr>
          <w:rFonts w:hint="eastAsia" w:ascii="宋体" w:hAnsi="宋体"/>
          <w:sz w:val="24"/>
          <w:highlight w:val="none"/>
        </w:rPr>
        <w:t xml:space="preserve">    （5）疫木枝材大量堆放林间未经处理；</w:t>
      </w:r>
    </w:p>
    <w:p w14:paraId="0812BB4F">
      <w:pPr>
        <w:spacing w:line="360" w:lineRule="auto"/>
        <w:rPr>
          <w:rFonts w:hint="eastAsia" w:ascii="宋体" w:hAnsi="宋体"/>
          <w:sz w:val="24"/>
          <w:highlight w:val="none"/>
        </w:rPr>
      </w:pPr>
      <w:r>
        <w:rPr>
          <w:rFonts w:hint="eastAsia" w:ascii="宋体" w:hAnsi="宋体"/>
          <w:sz w:val="24"/>
          <w:highlight w:val="none"/>
        </w:rPr>
        <w:t xml:space="preserve">    （6）违规用火导致森林火灾；</w:t>
      </w:r>
    </w:p>
    <w:p w14:paraId="30F3DBB8">
      <w:pPr>
        <w:spacing w:line="360" w:lineRule="auto"/>
        <w:rPr>
          <w:rFonts w:hint="eastAsia" w:ascii="宋体" w:hAnsi="宋体"/>
          <w:sz w:val="24"/>
          <w:highlight w:val="none"/>
        </w:rPr>
      </w:pPr>
      <w:r>
        <w:rPr>
          <w:rFonts w:hint="eastAsia" w:ascii="宋体" w:hAnsi="宋体"/>
          <w:sz w:val="24"/>
          <w:highlight w:val="none"/>
        </w:rPr>
        <w:t xml:space="preserve">    （7）发生重大安全生产或人员伤亡事故。</w:t>
      </w:r>
    </w:p>
    <w:p w14:paraId="3D9F9558">
      <w:pPr>
        <w:spacing w:line="360" w:lineRule="auto"/>
        <w:ind w:firstLine="480"/>
        <w:rPr>
          <w:rFonts w:hint="eastAsia" w:ascii="宋体" w:hAnsi="宋体"/>
          <w:sz w:val="24"/>
          <w:highlight w:val="none"/>
        </w:rPr>
      </w:pPr>
      <w:r>
        <w:rPr>
          <w:rFonts w:hint="eastAsia" w:ascii="宋体" w:hAnsi="宋体"/>
          <w:sz w:val="24"/>
          <w:highlight w:val="none"/>
        </w:rPr>
        <w:t>6.3绩效考核与付款挂钩：年度验收后，根据绩效考核分数确定当年合同款项支付比例：</w:t>
      </w:r>
    </w:p>
    <w:p w14:paraId="3746E8B6">
      <w:pPr>
        <w:spacing w:line="360" w:lineRule="auto"/>
        <w:rPr>
          <w:rFonts w:hint="eastAsia" w:ascii="宋体" w:hAnsi="宋体"/>
          <w:sz w:val="24"/>
          <w:highlight w:val="none"/>
        </w:rPr>
      </w:pPr>
      <w:r>
        <w:rPr>
          <w:rFonts w:hint="eastAsia" w:ascii="宋体" w:hAnsi="宋体"/>
          <w:sz w:val="24"/>
          <w:highlight w:val="none"/>
        </w:rPr>
        <w:t xml:space="preserve">    - 得分90-100分：支付当年应付款项的100%；</w:t>
      </w:r>
    </w:p>
    <w:p w14:paraId="26CDA658">
      <w:pPr>
        <w:spacing w:line="360" w:lineRule="auto"/>
        <w:rPr>
          <w:rFonts w:hint="eastAsia" w:ascii="宋体" w:hAnsi="宋体"/>
          <w:sz w:val="24"/>
          <w:highlight w:val="none"/>
        </w:rPr>
      </w:pPr>
      <w:r>
        <w:rPr>
          <w:rFonts w:hint="eastAsia" w:ascii="宋体" w:hAnsi="宋体"/>
          <w:sz w:val="24"/>
          <w:highlight w:val="none"/>
        </w:rPr>
        <w:t xml:space="preserve">    - 得分80-89分：支付当年应付款项的90%；</w:t>
      </w:r>
    </w:p>
    <w:p w14:paraId="6A5928C1">
      <w:pPr>
        <w:spacing w:line="360" w:lineRule="auto"/>
        <w:rPr>
          <w:rFonts w:hint="eastAsia" w:ascii="宋体" w:hAnsi="宋体"/>
          <w:sz w:val="24"/>
          <w:highlight w:val="none"/>
        </w:rPr>
      </w:pPr>
      <w:r>
        <w:rPr>
          <w:rFonts w:hint="eastAsia" w:ascii="宋体" w:hAnsi="宋体"/>
          <w:sz w:val="24"/>
          <w:highlight w:val="none"/>
        </w:rPr>
        <w:t xml:space="preserve">    - 得分70-79分：支付当年应付款项的70%；</w:t>
      </w:r>
    </w:p>
    <w:p w14:paraId="612FBF4C">
      <w:pPr>
        <w:spacing w:line="360" w:lineRule="auto"/>
        <w:rPr>
          <w:rFonts w:hint="eastAsia" w:ascii="宋体" w:hAnsi="宋体"/>
          <w:sz w:val="24"/>
          <w:highlight w:val="none"/>
        </w:rPr>
      </w:pPr>
      <w:r>
        <w:rPr>
          <w:rFonts w:hint="eastAsia" w:ascii="宋体" w:hAnsi="宋体"/>
          <w:sz w:val="24"/>
          <w:highlight w:val="none"/>
        </w:rPr>
        <w:t xml:space="preserve">    - 得分60-69分：支付当年应付款项的60%；</w:t>
      </w:r>
    </w:p>
    <w:p w14:paraId="67BD1F77">
      <w:pPr>
        <w:spacing w:line="360" w:lineRule="auto"/>
        <w:rPr>
          <w:rFonts w:hint="eastAsia" w:ascii="宋体" w:hAnsi="宋体"/>
          <w:sz w:val="24"/>
          <w:highlight w:val="none"/>
        </w:rPr>
      </w:pPr>
      <w:r>
        <w:rPr>
          <w:rFonts w:hint="eastAsia" w:ascii="宋体" w:hAnsi="宋体"/>
          <w:sz w:val="24"/>
          <w:highlight w:val="none"/>
        </w:rPr>
        <w:t xml:space="preserve">    - 得分59分及以下：支付当年应付款项的50%。</w:t>
      </w:r>
    </w:p>
    <w:p w14:paraId="0B177D5E">
      <w:pPr>
        <w:spacing w:line="360" w:lineRule="auto"/>
        <w:rPr>
          <w:rFonts w:hint="eastAsia" w:ascii="宋体" w:hAnsi="宋体"/>
          <w:sz w:val="24"/>
          <w:highlight w:val="none"/>
        </w:rPr>
      </w:pPr>
      <w:r>
        <w:rPr>
          <w:rFonts w:hint="eastAsia" w:ascii="宋体" w:hAnsi="宋体"/>
          <w:sz w:val="24"/>
          <w:highlight w:val="none"/>
        </w:rPr>
        <w:t xml:space="preserve">    （绩效考核以经三方确认的实施方案为准）</w:t>
      </w:r>
    </w:p>
    <w:p w14:paraId="53A8E95C">
      <w:pPr>
        <w:spacing w:line="360" w:lineRule="auto"/>
        <w:ind w:firstLine="482"/>
        <w:rPr>
          <w:rFonts w:hint="eastAsia" w:ascii="宋体" w:hAnsi="宋体"/>
          <w:b/>
          <w:sz w:val="24"/>
          <w:highlight w:val="none"/>
        </w:rPr>
      </w:pPr>
      <w:r>
        <w:rPr>
          <w:rFonts w:hint="eastAsia" w:ascii="宋体" w:hAnsi="宋体"/>
          <w:b/>
          <w:sz w:val="24"/>
          <w:highlight w:val="none"/>
        </w:rPr>
        <w:t>第七条 合同的变更、解除与终止</w:t>
      </w:r>
    </w:p>
    <w:p w14:paraId="5E51674A">
      <w:pPr>
        <w:spacing w:line="360" w:lineRule="auto"/>
        <w:ind w:firstLine="480"/>
        <w:rPr>
          <w:rFonts w:hint="eastAsia" w:ascii="宋体" w:hAnsi="宋体"/>
          <w:sz w:val="24"/>
          <w:highlight w:val="none"/>
        </w:rPr>
      </w:pPr>
      <w:r>
        <w:rPr>
          <w:rFonts w:hint="eastAsia" w:ascii="宋体" w:hAnsi="宋体"/>
          <w:sz w:val="24"/>
          <w:highlight w:val="none"/>
        </w:rPr>
        <w:t>7.1 任何一方要求变更合同，须提前一个月书面通知对方，经双方协商一致后签订书面变更协议。</w:t>
      </w:r>
    </w:p>
    <w:p w14:paraId="3E23A77F">
      <w:pPr>
        <w:spacing w:line="360" w:lineRule="auto"/>
        <w:ind w:firstLine="480"/>
        <w:rPr>
          <w:rFonts w:hint="eastAsia" w:ascii="宋体" w:hAnsi="宋体"/>
          <w:sz w:val="24"/>
          <w:highlight w:val="none"/>
        </w:rPr>
      </w:pPr>
      <w:r>
        <w:rPr>
          <w:rFonts w:hint="eastAsia" w:ascii="宋体" w:hAnsi="宋体"/>
          <w:sz w:val="24"/>
          <w:highlight w:val="none"/>
        </w:rPr>
        <w:t>7.2 任何一方名称、地址、账户等信息变更，须提前十个工作日书面通知对方。</w:t>
      </w:r>
    </w:p>
    <w:p w14:paraId="2967CD7F">
      <w:pPr>
        <w:spacing w:line="360" w:lineRule="auto"/>
        <w:ind w:firstLine="480"/>
        <w:rPr>
          <w:rFonts w:hint="eastAsia" w:ascii="宋体" w:hAnsi="宋体"/>
          <w:sz w:val="24"/>
          <w:highlight w:val="none"/>
        </w:rPr>
      </w:pPr>
      <w:r>
        <w:rPr>
          <w:rFonts w:hint="eastAsia" w:ascii="宋体" w:hAnsi="宋体"/>
          <w:sz w:val="24"/>
          <w:highlight w:val="none"/>
        </w:rPr>
        <w:t>7.3 除本合同另有约定外，任何一方欲终止合同，须提前30天书面通知对方，并协助处理善后事宜。</w:t>
      </w:r>
    </w:p>
    <w:p w14:paraId="6F8EEF93">
      <w:pPr>
        <w:spacing w:line="360" w:lineRule="auto"/>
        <w:ind w:firstLine="482"/>
        <w:rPr>
          <w:rFonts w:hint="eastAsia" w:ascii="宋体" w:hAnsi="宋体"/>
          <w:b/>
          <w:sz w:val="24"/>
          <w:highlight w:val="none"/>
        </w:rPr>
      </w:pPr>
      <w:r>
        <w:rPr>
          <w:rFonts w:hint="eastAsia" w:ascii="宋体" w:hAnsi="宋体"/>
          <w:b/>
          <w:sz w:val="24"/>
          <w:highlight w:val="none"/>
        </w:rPr>
        <w:t>第八条 知识产权与保密</w:t>
      </w:r>
    </w:p>
    <w:p w14:paraId="68A9E3C3">
      <w:pPr>
        <w:spacing w:line="360" w:lineRule="auto"/>
        <w:ind w:firstLine="480"/>
        <w:rPr>
          <w:rFonts w:hint="eastAsia" w:ascii="宋体" w:hAnsi="宋体"/>
          <w:sz w:val="24"/>
          <w:highlight w:val="none"/>
        </w:rPr>
      </w:pPr>
      <w:r>
        <w:rPr>
          <w:rFonts w:hint="eastAsia" w:ascii="宋体" w:hAnsi="宋体"/>
          <w:sz w:val="24"/>
          <w:highlight w:val="none"/>
        </w:rPr>
        <w:t>8.1 乙方保证其提供的服务不侵犯任何第三方的专利权、商标权、著作权等知识产权。如发生侵权纠纷，由乙方承担全部责任。</w:t>
      </w:r>
    </w:p>
    <w:p w14:paraId="156B9621">
      <w:pPr>
        <w:spacing w:line="360" w:lineRule="auto"/>
        <w:ind w:firstLine="480"/>
        <w:rPr>
          <w:rFonts w:hint="eastAsia" w:ascii="宋体" w:hAnsi="宋体"/>
          <w:sz w:val="24"/>
          <w:highlight w:val="none"/>
        </w:rPr>
      </w:pPr>
      <w:r>
        <w:rPr>
          <w:rFonts w:hint="eastAsia" w:ascii="宋体" w:hAnsi="宋体"/>
          <w:sz w:val="24"/>
          <w:highlight w:val="none"/>
        </w:rPr>
        <w:t>8.2 双方对在履行合同过程中知悉的对方商业秘密、技术资料、工作成果等信息负有保密义务。</w:t>
      </w:r>
    </w:p>
    <w:p w14:paraId="5EBDA4E7">
      <w:pPr>
        <w:spacing w:line="360" w:lineRule="auto"/>
        <w:ind w:firstLine="482"/>
        <w:rPr>
          <w:rFonts w:hint="eastAsia" w:ascii="宋体" w:hAnsi="宋体"/>
          <w:b/>
          <w:sz w:val="24"/>
          <w:highlight w:val="none"/>
        </w:rPr>
      </w:pPr>
      <w:r>
        <w:rPr>
          <w:rFonts w:hint="eastAsia" w:ascii="宋体" w:hAnsi="宋体"/>
          <w:b/>
          <w:sz w:val="24"/>
          <w:highlight w:val="none"/>
        </w:rPr>
        <w:t>第九条 争议解决</w:t>
      </w:r>
    </w:p>
    <w:p w14:paraId="44C4EE52">
      <w:pPr>
        <w:spacing w:line="360" w:lineRule="auto"/>
        <w:rPr>
          <w:rFonts w:hint="eastAsia" w:ascii="宋体" w:hAnsi="宋体"/>
          <w:sz w:val="24"/>
          <w:highlight w:val="none"/>
        </w:rPr>
      </w:pPr>
      <w:r>
        <w:rPr>
          <w:rFonts w:hint="eastAsia" w:ascii="宋体" w:hAnsi="宋体"/>
          <w:sz w:val="24"/>
          <w:highlight w:val="none"/>
        </w:rPr>
        <w:t>因履行本合同发生的一切争议，双方应首先友好协商解决。协商不成的，任何一方均有权向甲方所在地人民法院提起诉讼。诉讼期间，除争议部分外，合同其余条款应继续履行。</w:t>
      </w:r>
    </w:p>
    <w:p w14:paraId="40F5019B">
      <w:pPr>
        <w:spacing w:line="360" w:lineRule="auto"/>
        <w:ind w:firstLine="482"/>
        <w:rPr>
          <w:rFonts w:ascii="宋体" w:hAnsi="宋体"/>
          <w:b/>
          <w:sz w:val="24"/>
          <w:highlight w:val="none"/>
        </w:rPr>
      </w:pPr>
      <w:r>
        <w:rPr>
          <w:rFonts w:hint="eastAsia" w:ascii="宋体" w:hAnsi="宋体"/>
          <w:b/>
          <w:sz w:val="24"/>
          <w:highlight w:val="none"/>
        </w:rPr>
        <w:t>第十条 其他约定</w:t>
      </w:r>
    </w:p>
    <w:p w14:paraId="29C8D2A7">
      <w:pPr>
        <w:spacing w:line="360" w:lineRule="auto"/>
        <w:ind w:firstLine="480"/>
        <w:rPr>
          <w:rFonts w:hint="eastAsia" w:ascii="宋体" w:hAnsi="宋体"/>
          <w:sz w:val="24"/>
          <w:highlight w:val="none"/>
        </w:rPr>
      </w:pPr>
      <w:r>
        <w:rPr>
          <w:rFonts w:hint="eastAsia" w:ascii="宋体" w:hAnsi="宋体"/>
          <w:sz w:val="24"/>
          <w:highlight w:val="none"/>
        </w:rPr>
        <w:t>10.1廉洁条款：乙方承诺在合同履行过程中恪守商业道德，不得向甲方工作人员进行任何形式的商业贿赂或提供不正当利益。</w:t>
      </w:r>
    </w:p>
    <w:p w14:paraId="2AC297C3">
      <w:pPr>
        <w:spacing w:line="360" w:lineRule="auto"/>
        <w:ind w:firstLine="480"/>
        <w:rPr>
          <w:rFonts w:hint="eastAsia" w:ascii="宋体" w:hAnsi="宋体"/>
          <w:sz w:val="24"/>
          <w:highlight w:val="none"/>
        </w:rPr>
      </w:pPr>
      <w:r>
        <w:rPr>
          <w:rFonts w:hint="eastAsia" w:ascii="宋体" w:hAnsi="宋体"/>
          <w:sz w:val="24"/>
          <w:highlight w:val="none"/>
        </w:rPr>
        <w:t>10.2合同份数与生效：本合同一式陆份，甲方执叁份，乙方执叁份，经双方法定代表人或授权代表签字并加盖公章后生效。</w:t>
      </w:r>
    </w:p>
    <w:p w14:paraId="7DA507C3">
      <w:pPr>
        <w:spacing w:line="360" w:lineRule="auto"/>
        <w:ind w:firstLine="480"/>
        <w:rPr>
          <w:rFonts w:hint="eastAsia" w:ascii="宋体" w:hAnsi="宋体"/>
          <w:sz w:val="24"/>
          <w:highlight w:val="none"/>
        </w:rPr>
      </w:pPr>
      <w:r>
        <w:rPr>
          <w:rFonts w:hint="eastAsia" w:ascii="宋体" w:hAnsi="宋体"/>
          <w:sz w:val="24"/>
          <w:highlight w:val="none"/>
        </w:rPr>
        <w:t>10.3合同有效期：本合同有效期至</w:t>
      </w:r>
      <w:r>
        <w:rPr>
          <w:rFonts w:hint="eastAsia" w:ascii="宋体" w:hAnsi="宋体"/>
          <w:sz w:val="24"/>
          <w:highlight w:val="none"/>
          <w:lang w:eastAsia="zh-CN"/>
        </w:rPr>
        <w:t>2028年2月29日</w:t>
      </w:r>
      <w:r>
        <w:rPr>
          <w:rFonts w:hint="eastAsia" w:ascii="宋体" w:hAnsi="宋体"/>
          <w:sz w:val="24"/>
          <w:highlight w:val="none"/>
        </w:rPr>
        <w:t>。若届时项目验收或款项支付尚未完成，则相关条款效力持续至相关义务履行完毕之日。</w:t>
      </w:r>
    </w:p>
    <w:p w14:paraId="5DBDA6E6">
      <w:pPr>
        <w:spacing w:line="360" w:lineRule="auto"/>
        <w:ind w:firstLine="480"/>
        <w:rPr>
          <w:rFonts w:hint="eastAsia" w:ascii="宋体" w:hAnsi="宋体"/>
          <w:sz w:val="24"/>
          <w:highlight w:val="none"/>
        </w:rPr>
      </w:pPr>
      <w:r>
        <w:rPr>
          <w:rFonts w:hint="eastAsia" w:ascii="宋体" w:hAnsi="宋体"/>
          <w:sz w:val="24"/>
          <w:highlight w:val="none"/>
        </w:rPr>
        <w:t>10.4合同组成部分：本合同未尽事宜，以本项目招标文件、乙方的投标（响应）文件及双方后续达成的书面补充协议为准，补充协议与本合同具有同等法律效力。</w:t>
      </w:r>
    </w:p>
    <w:p w14:paraId="56D40D10">
      <w:pPr>
        <w:pStyle w:val="205"/>
        <w:spacing w:line="360" w:lineRule="auto"/>
        <w:ind w:firstLine="480"/>
        <w:rPr>
          <w:rFonts w:ascii="宋体" w:hAnsi="宋体"/>
          <w:sz w:val="24"/>
          <w:highlight w:val="none"/>
        </w:rPr>
      </w:pPr>
      <w:r>
        <w:rPr>
          <w:rFonts w:hint="eastAsia" w:ascii="宋体" w:hAnsi="宋体"/>
          <w:sz w:val="24"/>
          <w:highlight w:val="none"/>
        </w:rPr>
        <w:t>10.5适用法律：本合同的订立、效力、解释、履行及争议解决均适用中华人民共和国法律。</w:t>
      </w:r>
    </w:p>
    <w:tbl>
      <w:tblPr>
        <w:tblStyle w:val="28"/>
        <w:tblW w:w="10031" w:type="dxa"/>
        <w:tblInd w:w="-108" w:type="dxa"/>
        <w:tblLayout w:type="autofit"/>
        <w:tblCellMar>
          <w:top w:w="0" w:type="dxa"/>
          <w:left w:w="108" w:type="dxa"/>
          <w:bottom w:w="0" w:type="dxa"/>
          <w:right w:w="108" w:type="dxa"/>
        </w:tblCellMar>
      </w:tblPr>
      <w:tblGrid>
        <w:gridCol w:w="1809"/>
        <w:gridCol w:w="3119"/>
        <w:gridCol w:w="1843"/>
        <w:gridCol w:w="3260"/>
      </w:tblGrid>
      <w:tr w14:paraId="7BAF639A">
        <w:tblPrEx>
          <w:tblCellMar>
            <w:top w:w="0" w:type="dxa"/>
            <w:left w:w="108" w:type="dxa"/>
            <w:bottom w:w="0" w:type="dxa"/>
            <w:right w:w="108" w:type="dxa"/>
          </w:tblCellMar>
        </w:tblPrEx>
        <w:tc>
          <w:tcPr>
            <w:tcW w:w="1809" w:type="dxa"/>
            <w:tcBorders>
              <w:top w:val="nil"/>
              <w:left w:val="nil"/>
              <w:bottom w:val="nil"/>
              <w:right w:val="nil"/>
            </w:tcBorders>
            <w:noWrap w:val="0"/>
            <w:vAlign w:val="top"/>
          </w:tcPr>
          <w:p w14:paraId="150C9343">
            <w:pPr>
              <w:pStyle w:val="205"/>
              <w:spacing w:before="60" w:after="60"/>
              <w:ind w:left="0" w:firstLine="0"/>
              <w:jc w:val="both"/>
              <w:rPr>
                <w:rFonts w:ascii="宋体" w:hAnsi="宋体"/>
                <w:sz w:val="24"/>
              </w:rPr>
            </w:pPr>
            <w:r>
              <w:rPr>
                <w:rFonts w:hint="eastAsia" w:ascii="宋体" w:hAnsi="宋体"/>
                <w:sz w:val="24"/>
              </w:rPr>
              <w:t>甲方：</w:t>
            </w:r>
          </w:p>
          <w:p w14:paraId="78E84A8E">
            <w:pPr>
              <w:pStyle w:val="205"/>
              <w:spacing w:before="60" w:after="60"/>
              <w:ind w:left="0" w:firstLine="0"/>
              <w:jc w:val="both"/>
              <w:rPr>
                <w:rFonts w:ascii="宋体" w:hAnsi="宋体"/>
                <w:sz w:val="24"/>
              </w:rPr>
            </w:pPr>
            <w:r>
              <w:rPr>
                <w:rFonts w:hint="eastAsia" w:ascii="宋体" w:hAnsi="宋体"/>
                <w:sz w:val="24"/>
              </w:rPr>
              <w:t>（采购人）</w:t>
            </w:r>
          </w:p>
        </w:tc>
        <w:tc>
          <w:tcPr>
            <w:tcW w:w="3119" w:type="dxa"/>
            <w:tcBorders>
              <w:top w:val="nil"/>
              <w:left w:val="nil"/>
              <w:bottom w:val="nil"/>
              <w:right w:val="nil"/>
            </w:tcBorders>
            <w:noWrap w:val="0"/>
            <w:vAlign w:val="top"/>
          </w:tcPr>
          <w:p w14:paraId="57452920">
            <w:pPr>
              <w:pStyle w:val="205"/>
              <w:spacing w:before="60" w:after="60"/>
              <w:ind w:firstLine="720"/>
              <w:rPr>
                <w:rFonts w:ascii="宋体" w:hAnsi="宋体"/>
                <w:sz w:val="24"/>
              </w:rPr>
            </w:pPr>
          </w:p>
        </w:tc>
        <w:tc>
          <w:tcPr>
            <w:tcW w:w="1843" w:type="dxa"/>
            <w:tcBorders>
              <w:top w:val="nil"/>
              <w:left w:val="nil"/>
              <w:bottom w:val="nil"/>
              <w:right w:val="nil"/>
            </w:tcBorders>
            <w:noWrap w:val="0"/>
            <w:vAlign w:val="top"/>
          </w:tcPr>
          <w:p w14:paraId="5E145400">
            <w:pPr>
              <w:pStyle w:val="205"/>
              <w:spacing w:before="60" w:after="60"/>
              <w:ind w:left="0" w:firstLine="0"/>
              <w:jc w:val="both"/>
              <w:rPr>
                <w:rFonts w:ascii="宋体" w:hAnsi="宋体"/>
                <w:sz w:val="24"/>
              </w:rPr>
            </w:pPr>
            <w:r>
              <w:rPr>
                <w:rFonts w:hint="eastAsia" w:ascii="宋体" w:hAnsi="宋体"/>
                <w:sz w:val="24"/>
              </w:rPr>
              <w:t>乙方：</w:t>
            </w:r>
          </w:p>
          <w:p w14:paraId="69886746">
            <w:pPr>
              <w:pStyle w:val="205"/>
              <w:spacing w:before="60" w:after="60"/>
              <w:ind w:left="0" w:firstLine="0"/>
              <w:jc w:val="both"/>
              <w:rPr>
                <w:rFonts w:ascii="宋体" w:hAnsi="宋体"/>
                <w:sz w:val="24"/>
              </w:rPr>
            </w:pPr>
            <w:r>
              <w:rPr>
                <w:rFonts w:hint="eastAsia" w:ascii="宋体" w:hAnsi="宋体"/>
                <w:sz w:val="24"/>
              </w:rPr>
              <w:t>（供应商）</w:t>
            </w:r>
          </w:p>
        </w:tc>
        <w:tc>
          <w:tcPr>
            <w:tcW w:w="3260" w:type="dxa"/>
            <w:tcBorders>
              <w:top w:val="nil"/>
              <w:left w:val="nil"/>
              <w:bottom w:val="nil"/>
              <w:right w:val="nil"/>
            </w:tcBorders>
            <w:noWrap w:val="0"/>
            <w:vAlign w:val="top"/>
          </w:tcPr>
          <w:p w14:paraId="0090F76A">
            <w:pPr>
              <w:pStyle w:val="205"/>
              <w:spacing w:before="60" w:after="60"/>
              <w:ind w:firstLine="720"/>
              <w:rPr>
                <w:rFonts w:ascii="宋体" w:hAnsi="宋体"/>
                <w:sz w:val="24"/>
              </w:rPr>
            </w:pPr>
          </w:p>
        </w:tc>
      </w:tr>
      <w:tr w14:paraId="22D7CFE5">
        <w:tblPrEx>
          <w:tblCellMar>
            <w:top w:w="0" w:type="dxa"/>
            <w:left w:w="108" w:type="dxa"/>
            <w:bottom w:w="0" w:type="dxa"/>
            <w:right w:w="108" w:type="dxa"/>
          </w:tblCellMar>
        </w:tblPrEx>
        <w:tc>
          <w:tcPr>
            <w:tcW w:w="1809" w:type="dxa"/>
            <w:tcBorders>
              <w:top w:val="nil"/>
              <w:left w:val="nil"/>
              <w:bottom w:val="nil"/>
              <w:right w:val="nil"/>
            </w:tcBorders>
            <w:noWrap w:val="0"/>
            <w:vAlign w:val="top"/>
          </w:tcPr>
          <w:p w14:paraId="35A31D17">
            <w:pPr>
              <w:pStyle w:val="205"/>
              <w:spacing w:before="60" w:after="60"/>
              <w:ind w:firstLine="720"/>
              <w:jc w:val="both"/>
              <w:rPr>
                <w:rFonts w:ascii="宋体" w:hAnsi="宋体"/>
                <w:sz w:val="24"/>
              </w:rPr>
            </w:pPr>
          </w:p>
        </w:tc>
        <w:tc>
          <w:tcPr>
            <w:tcW w:w="3119" w:type="dxa"/>
            <w:tcBorders>
              <w:top w:val="nil"/>
              <w:left w:val="nil"/>
              <w:bottom w:val="nil"/>
              <w:right w:val="nil"/>
            </w:tcBorders>
            <w:noWrap w:val="0"/>
            <w:vAlign w:val="top"/>
          </w:tcPr>
          <w:p w14:paraId="54B6560E">
            <w:pPr>
              <w:pStyle w:val="205"/>
              <w:spacing w:before="60" w:after="60"/>
              <w:jc w:val="both"/>
              <w:rPr>
                <w:rFonts w:ascii="宋体" w:hAnsi="宋体"/>
                <w:sz w:val="24"/>
              </w:rPr>
            </w:pPr>
            <w:r>
              <w:rPr>
                <w:rFonts w:hint="eastAsia" w:ascii="宋体" w:hAnsi="宋体"/>
                <w:sz w:val="24"/>
              </w:rPr>
              <w:t>（盖章）</w:t>
            </w:r>
          </w:p>
        </w:tc>
        <w:tc>
          <w:tcPr>
            <w:tcW w:w="1843" w:type="dxa"/>
            <w:tcBorders>
              <w:top w:val="nil"/>
              <w:left w:val="nil"/>
              <w:bottom w:val="nil"/>
              <w:right w:val="nil"/>
            </w:tcBorders>
            <w:noWrap w:val="0"/>
            <w:vAlign w:val="top"/>
          </w:tcPr>
          <w:p w14:paraId="43BF5839">
            <w:pPr>
              <w:pStyle w:val="205"/>
              <w:spacing w:before="60" w:after="60"/>
              <w:ind w:firstLine="720"/>
              <w:jc w:val="both"/>
              <w:rPr>
                <w:rFonts w:ascii="宋体" w:hAnsi="宋体"/>
                <w:sz w:val="24"/>
              </w:rPr>
            </w:pPr>
          </w:p>
        </w:tc>
        <w:tc>
          <w:tcPr>
            <w:tcW w:w="3260" w:type="dxa"/>
            <w:tcBorders>
              <w:top w:val="nil"/>
              <w:left w:val="nil"/>
              <w:bottom w:val="nil"/>
              <w:right w:val="nil"/>
            </w:tcBorders>
            <w:noWrap w:val="0"/>
            <w:vAlign w:val="top"/>
          </w:tcPr>
          <w:p w14:paraId="12C1A3C7">
            <w:pPr>
              <w:pStyle w:val="205"/>
              <w:spacing w:before="60" w:after="60"/>
              <w:jc w:val="both"/>
              <w:rPr>
                <w:rFonts w:ascii="宋体" w:hAnsi="宋体"/>
                <w:sz w:val="24"/>
              </w:rPr>
            </w:pPr>
            <w:r>
              <w:rPr>
                <w:rFonts w:hint="eastAsia" w:ascii="宋体" w:hAnsi="宋体"/>
                <w:sz w:val="24"/>
              </w:rPr>
              <w:t>（盖章）</w:t>
            </w:r>
          </w:p>
        </w:tc>
      </w:tr>
      <w:tr w14:paraId="28DAE94D">
        <w:tblPrEx>
          <w:tblCellMar>
            <w:top w:w="0" w:type="dxa"/>
            <w:left w:w="108" w:type="dxa"/>
            <w:bottom w:w="0" w:type="dxa"/>
            <w:right w:w="108" w:type="dxa"/>
          </w:tblCellMar>
        </w:tblPrEx>
        <w:tc>
          <w:tcPr>
            <w:tcW w:w="1809" w:type="dxa"/>
            <w:tcBorders>
              <w:top w:val="nil"/>
              <w:left w:val="nil"/>
              <w:bottom w:val="nil"/>
              <w:right w:val="nil"/>
            </w:tcBorders>
            <w:noWrap w:val="0"/>
            <w:vAlign w:val="top"/>
          </w:tcPr>
          <w:p w14:paraId="06144F70">
            <w:pPr>
              <w:pStyle w:val="205"/>
              <w:spacing w:before="60" w:after="60"/>
              <w:ind w:left="0" w:firstLine="0"/>
              <w:jc w:val="both"/>
              <w:rPr>
                <w:rFonts w:ascii="宋体" w:hAnsi="宋体"/>
                <w:sz w:val="24"/>
              </w:rPr>
            </w:pPr>
            <w:r>
              <w:rPr>
                <w:rFonts w:hint="eastAsia" w:ascii="宋体" w:hAnsi="宋体"/>
                <w:sz w:val="24"/>
              </w:rPr>
              <w:t>代表人：</w:t>
            </w:r>
          </w:p>
        </w:tc>
        <w:tc>
          <w:tcPr>
            <w:tcW w:w="3119" w:type="dxa"/>
            <w:tcBorders>
              <w:top w:val="nil"/>
              <w:left w:val="nil"/>
              <w:bottom w:val="nil"/>
              <w:right w:val="nil"/>
            </w:tcBorders>
            <w:noWrap w:val="0"/>
            <w:vAlign w:val="top"/>
          </w:tcPr>
          <w:p w14:paraId="45D08A20">
            <w:pPr>
              <w:pStyle w:val="205"/>
              <w:spacing w:before="60" w:after="60"/>
              <w:ind w:firstLine="720"/>
              <w:rPr>
                <w:rFonts w:ascii="宋体" w:hAnsi="宋体"/>
                <w:sz w:val="24"/>
              </w:rPr>
            </w:pPr>
          </w:p>
        </w:tc>
        <w:tc>
          <w:tcPr>
            <w:tcW w:w="1843" w:type="dxa"/>
            <w:tcBorders>
              <w:top w:val="nil"/>
              <w:left w:val="nil"/>
              <w:bottom w:val="nil"/>
              <w:right w:val="nil"/>
            </w:tcBorders>
            <w:noWrap w:val="0"/>
            <w:vAlign w:val="top"/>
          </w:tcPr>
          <w:p w14:paraId="1D4D8F03">
            <w:pPr>
              <w:pStyle w:val="205"/>
              <w:spacing w:before="60" w:after="60"/>
              <w:ind w:left="0" w:firstLine="0"/>
              <w:jc w:val="both"/>
              <w:rPr>
                <w:rFonts w:ascii="宋体" w:hAnsi="宋体"/>
                <w:sz w:val="24"/>
              </w:rPr>
            </w:pPr>
            <w:r>
              <w:rPr>
                <w:rFonts w:hint="eastAsia" w:ascii="宋体" w:hAnsi="宋体"/>
                <w:sz w:val="24"/>
              </w:rPr>
              <w:t>代表人：</w:t>
            </w:r>
          </w:p>
        </w:tc>
        <w:tc>
          <w:tcPr>
            <w:tcW w:w="3260" w:type="dxa"/>
            <w:tcBorders>
              <w:top w:val="nil"/>
              <w:left w:val="nil"/>
              <w:bottom w:val="nil"/>
              <w:right w:val="nil"/>
            </w:tcBorders>
            <w:noWrap w:val="0"/>
            <w:vAlign w:val="top"/>
          </w:tcPr>
          <w:p w14:paraId="37B4BE0E">
            <w:pPr>
              <w:pStyle w:val="205"/>
              <w:spacing w:before="60" w:after="60"/>
              <w:ind w:firstLine="720"/>
              <w:rPr>
                <w:rFonts w:ascii="宋体" w:hAnsi="宋体"/>
                <w:sz w:val="24"/>
              </w:rPr>
            </w:pPr>
          </w:p>
        </w:tc>
      </w:tr>
      <w:tr w14:paraId="5CE32F93">
        <w:tblPrEx>
          <w:tblCellMar>
            <w:top w:w="0" w:type="dxa"/>
            <w:left w:w="108" w:type="dxa"/>
            <w:bottom w:w="0" w:type="dxa"/>
            <w:right w:w="108" w:type="dxa"/>
          </w:tblCellMar>
        </w:tblPrEx>
        <w:tc>
          <w:tcPr>
            <w:tcW w:w="1809" w:type="dxa"/>
            <w:tcBorders>
              <w:top w:val="nil"/>
              <w:left w:val="nil"/>
              <w:bottom w:val="nil"/>
              <w:right w:val="nil"/>
            </w:tcBorders>
            <w:noWrap w:val="0"/>
            <w:vAlign w:val="top"/>
          </w:tcPr>
          <w:p w14:paraId="6A9307CA">
            <w:pPr>
              <w:pStyle w:val="205"/>
              <w:spacing w:before="60" w:after="60"/>
              <w:ind w:left="0" w:firstLine="0"/>
              <w:jc w:val="both"/>
              <w:rPr>
                <w:rFonts w:ascii="宋体" w:hAnsi="宋体"/>
                <w:sz w:val="24"/>
              </w:rPr>
            </w:pPr>
            <w:r>
              <w:rPr>
                <w:rFonts w:hint="eastAsia" w:ascii="宋体" w:hAnsi="宋体"/>
                <w:sz w:val="24"/>
              </w:rPr>
              <w:t>电话：</w:t>
            </w:r>
          </w:p>
        </w:tc>
        <w:tc>
          <w:tcPr>
            <w:tcW w:w="3119" w:type="dxa"/>
            <w:tcBorders>
              <w:top w:val="nil"/>
              <w:left w:val="nil"/>
              <w:bottom w:val="nil"/>
              <w:right w:val="nil"/>
            </w:tcBorders>
            <w:noWrap w:val="0"/>
            <w:vAlign w:val="top"/>
          </w:tcPr>
          <w:p w14:paraId="6D948237">
            <w:pPr>
              <w:pStyle w:val="205"/>
              <w:spacing w:before="60" w:after="60"/>
              <w:ind w:firstLine="720"/>
              <w:rPr>
                <w:rFonts w:ascii="宋体" w:hAnsi="宋体"/>
                <w:sz w:val="24"/>
              </w:rPr>
            </w:pPr>
          </w:p>
        </w:tc>
        <w:tc>
          <w:tcPr>
            <w:tcW w:w="1843" w:type="dxa"/>
            <w:tcBorders>
              <w:top w:val="nil"/>
              <w:left w:val="nil"/>
              <w:bottom w:val="nil"/>
              <w:right w:val="nil"/>
            </w:tcBorders>
            <w:noWrap w:val="0"/>
            <w:vAlign w:val="top"/>
          </w:tcPr>
          <w:p w14:paraId="256D6F0D">
            <w:pPr>
              <w:pStyle w:val="205"/>
              <w:spacing w:before="60" w:after="60"/>
              <w:ind w:left="0" w:firstLine="0"/>
              <w:jc w:val="both"/>
              <w:rPr>
                <w:rFonts w:ascii="宋体" w:hAnsi="宋体"/>
                <w:sz w:val="24"/>
              </w:rPr>
            </w:pPr>
            <w:r>
              <w:rPr>
                <w:rFonts w:hint="eastAsia" w:ascii="宋体" w:hAnsi="宋体"/>
                <w:sz w:val="24"/>
              </w:rPr>
              <w:t>电话：</w:t>
            </w:r>
          </w:p>
        </w:tc>
        <w:tc>
          <w:tcPr>
            <w:tcW w:w="3260" w:type="dxa"/>
            <w:tcBorders>
              <w:top w:val="nil"/>
              <w:left w:val="nil"/>
              <w:bottom w:val="nil"/>
              <w:right w:val="nil"/>
            </w:tcBorders>
            <w:noWrap w:val="0"/>
            <w:vAlign w:val="top"/>
          </w:tcPr>
          <w:p w14:paraId="0C5858E0">
            <w:pPr>
              <w:pStyle w:val="205"/>
              <w:spacing w:before="60" w:after="60"/>
              <w:ind w:firstLine="720"/>
              <w:rPr>
                <w:rFonts w:ascii="宋体" w:hAnsi="宋体"/>
                <w:sz w:val="24"/>
              </w:rPr>
            </w:pPr>
          </w:p>
        </w:tc>
      </w:tr>
      <w:tr w14:paraId="48E6334D">
        <w:tblPrEx>
          <w:tblCellMar>
            <w:top w:w="0" w:type="dxa"/>
            <w:left w:w="108" w:type="dxa"/>
            <w:bottom w:w="0" w:type="dxa"/>
            <w:right w:w="108" w:type="dxa"/>
          </w:tblCellMar>
        </w:tblPrEx>
        <w:tc>
          <w:tcPr>
            <w:tcW w:w="1809" w:type="dxa"/>
            <w:tcBorders>
              <w:top w:val="nil"/>
              <w:left w:val="nil"/>
              <w:bottom w:val="nil"/>
              <w:right w:val="nil"/>
            </w:tcBorders>
            <w:noWrap w:val="0"/>
            <w:vAlign w:val="top"/>
          </w:tcPr>
          <w:p w14:paraId="1277B2AF">
            <w:pPr>
              <w:pStyle w:val="205"/>
              <w:spacing w:before="60" w:after="60"/>
              <w:ind w:left="0" w:firstLine="0"/>
              <w:jc w:val="both"/>
              <w:rPr>
                <w:rFonts w:ascii="宋体" w:hAnsi="宋体"/>
                <w:sz w:val="24"/>
              </w:rPr>
            </w:pPr>
            <w:r>
              <w:rPr>
                <w:rFonts w:hint="eastAsia" w:ascii="宋体" w:hAnsi="宋体"/>
                <w:sz w:val="24"/>
              </w:rPr>
              <w:t>开户银行：</w:t>
            </w:r>
          </w:p>
        </w:tc>
        <w:tc>
          <w:tcPr>
            <w:tcW w:w="3119" w:type="dxa"/>
            <w:tcBorders>
              <w:top w:val="nil"/>
              <w:left w:val="nil"/>
              <w:bottom w:val="nil"/>
              <w:right w:val="nil"/>
            </w:tcBorders>
            <w:noWrap w:val="0"/>
            <w:vAlign w:val="top"/>
          </w:tcPr>
          <w:p w14:paraId="65D5678E">
            <w:pPr>
              <w:pStyle w:val="205"/>
              <w:spacing w:before="60" w:after="60"/>
              <w:ind w:firstLine="720"/>
              <w:rPr>
                <w:rFonts w:ascii="宋体" w:hAnsi="宋体"/>
                <w:sz w:val="24"/>
              </w:rPr>
            </w:pPr>
          </w:p>
        </w:tc>
        <w:tc>
          <w:tcPr>
            <w:tcW w:w="1843" w:type="dxa"/>
            <w:tcBorders>
              <w:top w:val="nil"/>
              <w:left w:val="nil"/>
              <w:bottom w:val="nil"/>
              <w:right w:val="nil"/>
            </w:tcBorders>
            <w:noWrap w:val="0"/>
            <w:vAlign w:val="top"/>
          </w:tcPr>
          <w:p w14:paraId="69B3DFB6">
            <w:pPr>
              <w:pStyle w:val="205"/>
              <w:spacing w:before="60" w:after="60"/>
              <w:ind w:left="0" w:firstLine="0"/>
              <w:jc w:val="both"/>
              <w:rPr>
                <w:rFonts w:ascii="宋体" w:hAnsi="宋体"/>
                <w:sz w:val="24"/>
              </w:rPr>
            </w:pPr>
            <w:r>
              <w:rPr>
                <w:rFonts w:hint="eastAsia" w:ascii="宋体" w:hAnsi="宋体"/>
                <w:sz w:val="24"/>
              </w:rPr>
              <w:t>开户银行：</w:t>
            </w:r>
          </w:p>
        </w:tc>
        <w:tc>
          <w:tcPr>
            <w:tcW w:w="3260" w:type="dxa"/>
            <w:tcBorders>
              <w:top w:val="nil"/>
              <w:left w:val="nil"/>
              <w:bottom w:val="nil"/>
              <w:right w:val="nil"/>
            </w:tcBorders>
            <w:noWrap w:val="0"/>
            <w:vAlign w:val="top"/>
          </w:tcPr>
          <w:p w14:paraId="65408C49">
            <w:pPr>
              <w:pStyle w:val="205"/>
              <w:spacing w:before="60" w:after="60"/>
              <w:ind w:firstLine="720"/>
              <w:rPr>
                <w:rFonts w:ascii="宋体" w:hAnsi="宋体"/>
                <w:sz w:val="24"/>
              </w:rPr>
            </w:pPr>
          </w:p>
        </w:tc>
      </w:tr>
      <w:tr w14:paraId="0B8EB246">
        <w:tblPrEx>
          <w:tblCellMar>
            <w:top w:w="0" w:type="dxa"/>
            <w:left w:w="108" w:type="dxa"/>
            <w:bottom w:w="0" w:type="dxa"/>
            <w:right w:w="108" w:type="dxa"/>
          </w:tblCellMar>
        </w:tblPrEx>
        <w:tc>
          <w:tcPr>
            <w:tcW w:w="1809" w:type="dxa"/>
            <w:tcBorders>
              <w:top w:val="nil"/>
              <w:left w:val="nil"/>
              <w:bottom w:val="nil"/>
              <w:right w:val="nil"/>
            </w:tcBorders>
            <w:noWrap w:val="0"/>
            <w:vAlign w:val="top"/>
          </w:tcPr>
          <w:p w14:paraId="53D2C984">
            <w:pPr>
              <w:pStyle w:val="205"/>
              <w:spacing w:before="60" w:after="60"/>
              <w:ind w:left="0" w:firstLine="0"/>
              <w:jc w:val="both"/>
              <w:rPr>
                <w:rFonts w:ascii="宋体" w:hAnsi="宋体"/>
                <w:sz w:val="24"/>
              </w:rPr>
            </w:pPr>
            <w:r>
              <w:rPr>
                <w:rFonts w:hint="eastAsia" w:ascii="宋体" w:hAnsi="宋体"/>
                <w:sz w:val="24"/>
              </w:rPr>
              <w:t>账号：</w:t>
            </w:r>
          </w:p>
        </w:tc>
        <w:tc>
          <w:tcPr>
            <w:tcW w:w="3119" w:type="dxa"/>
            <w:tcBorders>
              <w:top w:val="nil"/>
              <w:left w:val="nil"/>
              <w:bottom w:val="nil"/>
              <w:right w:val="nil"/>
            </w:tcBorders>
            <w:noWrap w:val="0"/>
            <w:vAlign w:val="top"/>
          </w:tcPr>
          <w:p w14:paraId="61C060DA">
            <w:pPr>
              <w:pStyle w:val="205"/>
              <w:spacing w:before="60" w:after="60"/>
              <w:ind w:firstLine="720"/>
              <w:rPr>
                <w:rFonts w:ascii="宋体" w:hAnsi="宋体"/>
                <w:sz w:val="24"/>
              </w:rPr>
            </w:pPr>
          </w:p>
        </w:tc>
        <w:tc>
          <w:tcPr>
            <w:tcW w:w="1843" w:type="dxa"/>
            <w:tcBorders>
              <w:top w:val="nil"/>
              <w:left w:val="nil"/>
              <w:bottom w:val="nil"/>
              <w:right w:val="nil"/>
            </w:tcBorders>
            <w:noWrap w:val="0"/>
            <w:vAlign w:val="top"/>
          </w:tcPr>
          <w:p w14:paraId="26EC2049">
            <w:pPr>
              <w:pStyle w:val="205"/>
              <w:spacing w:before="60" w:after="60"/>
              <w:ind w:left="0" w:firstLine="0"/>
              <w:jc w:val="both"/>
              <w:rPr>
                <w:rFonts w:ascii="宋体" w:hAnsi="宋体"/>
                <w:sz w:val="24"/>
              </w:rPr>
            </w:pPr>
            <w:r>
              <w:rPr>
                <w:rFonts w:hint="eastAsia" w:ascii="宋体" w:hAnsi="宋体"/>
                <w:sz w:val="24"/>
              </w:rPr>
              <w:t>账号：</w:t>
            </w:r>
          </w:p>
        </w:tc>
        <w:tc>
          <w:tcPr>
            <w:tcW w:w="3260" w:type="dxa"/>
            <w:tcBorders>
              <w:top w:val="nil"/>
              <w:left w:val="nil"/>
              <w:bottom w:val="nil"/>
              <w:right w:val="nil"/>
            </w:tcBorders>
            <w:noWrap w:val="0"/>
            <w:vAlign w:val="top"/>
          </w:tcPr>
          <w:p w14:paraId="45B060F0">
            <w:pPr>
              <w:pStyle w:val="205"/>
              <w:spacing w:before="60" w:after="60"/>
              <w:ind w:firstLine="720"/>
              <w:rPr>
                <w:rFonts w:ascii="宋体" w:hAnsi="宋体"/>
                <w:sz w:val="24"/>
              </w:rPr>
            </w:pPr>
          </w:p>
        </w:tc>
      </w:tr>
      <w:tr w14:paraId="549D6F18">
        <w:tblPrEx>
          <w:tblCellMar>
            <w:top w:w="0" w:type="dxa"/>
            <w:left w:w="108" w:type="dxa"/>
            <w:bottom w:w="0" w:type="dxa"/>
            <w:right w:w="108" w:type="dxa"/>
          </w:tblCellMar>
        </w:tblPrEx>
        <w:tc>
          <w:tcPr>
            <w:tcW w:w="1809" w:type="dxa"/>
            <w:tcBorders>
              <w:top w:val="nil"/>
              <w:left w:val="nil"/>
              <w:bottom w:val="nil"/>
              <w:right w:val="nil"/>
            </w:tcBorders>
            <w:noWrap w:val="0"/>
            <w:vAlign w:val="top"/>
          </w:tcPr>
          <w:p w14:paraId="20082E99">
            <w:pPr>
              <w:pStyle w:val="205"/>
              <w:spacing w:before="60" w:after="60"/>
              <w:ind w:left="0" w:firstLine="0"/>
              <w:jc w:val="both"/>
              <w:rPr>
                <w:rFonts w:ascii="宋体" w:hAnsi="宋体"/>
                <w:sz w:val="24"/>
              </w:rPr>
            </w:pPr>
            <w:r>
              <w:rPr>
                <w:rFonts w:hint="eastAsia" w:ascii="宋体" w:hAnsi="宋体"/>
                <w:sz w:val="24"/>
              </w:rPr>
              <w:t>时间：</w:t>
            </w:r>
          </w:p>
        </w:tc>
        <w:tc>
          <w:tcPr>
            <w:tcW w:w="3119" w:type="dxa"/>
            <w:tcBorders>
              <w:top w:val="nil"/>
              <w:left w:val="nil"/>
              <w:bottom w:val="nil"/>
              <w:right w:val="nil"/>
            </w:tcBorders>
            <w:noWrap w:val="0"/>
            <w:vAlign w:val="top"/>
          </w:tcPr>
          <w:p w14:paraId="1AB2FD64">
            <w:pPr>
              <w:pStyle w:val="205"/>
              <w:spacing w:before="60" w:after="60"/>
              <w:ind w:firstLine="720"/>
              <w:jc w:val="center"/>
              <w:rPr>
                <w:rFonts w:ascii="宋体" w:hAnsi="宋体"/>
                <w:sz w:val="24"/>
              </w:rPr>
            </w:pPr>
          </w:p>
        </w:tc>
        <w:tc>
          <w:tcPr>
            <w:tcW w:w="1843" w:type="dxa"/>
            <w:tcBorders>
              <w:top w:val="nil"/>
              <w:left w:val="nil"/>
              <w:bottom w:val="nil"/>
              <w:right w:val="nil"/>
            </w:tcBorders>
            <w:noWrap w:val="0"/>
            <w:vAlign w:val="top"/>
          </w:tcPr>
          <w:p w14:paraId="242FB06A">
            <w:pPr>
              <w:pStyle w:val="205"/>
              <w:spacing w:before="60" w:after="60"/>
              <w:ind w:left="0" w:firstLine="0"/>
              <w:jc w:val="both"/>
              <w:rPr>
                <w:rFonts w:ascii="宋体" w:hAnsi="宋体"/>
                <w:sz w:val="24"/>
              </w:rPr>
            </w:pPr>
            <w:r>
              <w:rPr>
                <w:rFonts w:hint="eastAsia" w:ascii="宋体" w:hAnsi="宋体"/>
                <w:sz w:val="24"/>
              </w:rPr>
              <w:t>时间：</w:t>
            </w:r>
          </w:p>
        </w:tc>
        <w:tc>
          <w:tcPr>
            <w:tcW w:w="3260" w:type="dxa"/>
            <w:tcBorders>
              <w:top w:val="nil"/>
              <w:left w:val="nil"/>
              <w:bottom w:val="nil"/>
              <w:right w:val="nil"/>
            </w:tcBorders>
            <w:noWrap w:val="0"/>
            <w:vAlign w:val="top"/>
          </w:tcPr>
          <w:p w14:paraId="63A49B02">
            <w:pPr>
              <w:pStyle w:val="205"/>
              <w:spacing w:before="60" w:after="60"/>
              <w:ind w:firstLine="720"/>
              <w:rPr>
                <w:rFonts w:ascii="宋体" w:hAnsi="宋体"/>
                <w:sz w:val="24"/>
              </w:rPr>
            </w:pPr>
          </w:p>
        </w:tc>
      </w:tr>
    </w:tbl>
    <w:p w14:paraId="15D85B8B">
      <w:pPr>
        <w:pStyle w:val="205"/>
        <w:spacing w:line="360" w:lineRule="auto"/>
        <w:ind w:firstLine="720"/>
        <w:rPr>
          <w:rFonts w:ascii="宋体" w:hAnsi="宋体"/>
          <w:sz w:val="24"/>
        </w:rPr>
      </w:pPr>
    </w:p>
    <w:p w14:paraId="0A75E366">
      <w:pPr>
        <w:widowControl/>
        <w:rPr>
          <w:rFonts w:ascii="宋体" w:hAnsi="宋体" w:cs="宋体"/>
          <w:bCs/>
          <w:sz w:val="24"/>
        </w:rPr>
      </w:pPr>
      <w:r>
        <w:rPr>
          <w:rFonts w:ascii="宋体" w:hAnsi="宋体" w:cs="宋体"/>
          <w:bCs/>
          <w:sz w:val="24"/>
        </w:rPr>
        <w:br w:type="page" w:clear="all"/>
      </w:r>
    </w:p>
    <w:p w14:paraId="3D241B7E">
      <w:pPr>
        <w:ind w:firstLine="480"/>
        <w:rPr>
          <w:rFonts w:ascii="宋体" w:hAnsi="宋体" w:cs="宋体"/>
          <w:bCs/>
          <w:sz w:val="24"/>
        </w:rPr>
      </w:pPr>
      <w:r>
        <w:rPr>
          <w:rFonts w:hint="eastAsia" w:ascii="宋体" w:hAnsi="宋体" w:cs="宋体"/>
          <w:bCs/>
          <w:sz w:val="24"/>
        </w:rPr>
        <w:t>附件1</w:t>
      </w:r>
    </w:p>
    <w:p w14:paraId="5123F985">
      <w:pPr>
        <w:ind w:firstLine="643"/>
        <w:jc w:val="center"/>
        <w:rPr>
          <w:rFonts w:ascii="宋体" w:hAnsi="宋体" w:cs="宋体"/>
          <w:b/>
          <w:sz w:val="24"/>
        </w:rPr>
      </w:pPr>
      <w:r>
        <w:rPr>
          <w:rFonts w:hint="eastAsia" w:ascii="宋体" w:hAnsi="宋体" w:cs="宋体"/>
          <w:b/>
          <w:bCs/>
          <w:sz w:val="32"/>
          <w:szCs w:val="32"/>
        </w:rPr>
        <w:t>廉洁协议书</w:t>
      </w:r>
    </w:p>
    <w:p w14:paraId="6490164D">
      <w:pPr>
        <w:rPr>
          <w:rFonts w:ascii="宋体" w:hAnsi="宋体" w:cs="宋体"/>
          <w:b/>
          <w:sz w:val="24"/>
          <w:u w:val="single"/>
        </w:rPr>
      </w:pPr>
      <w:r>
        <w:rPr>
          <w:rFonts w:ascii="宋体" w:hAnsi="宋体" w:cs="宋体"/>
          <w:b/>
          <w:sz w:val="24"/>
        </w:rPr>
        <w:t>发包人（全称）：</w:t>
      </w:r>
    </w:p>
    <w:p w14:paraId="02167E00">
      <w:pPr>
        <w:rPr>
          <w:rFonts w:ascii="宋体" w:hAnsi="宋体" w:cs="宋体"/>
          <w:b/>
          <w:sz w:val="24"/>
          <w:u w:val="single"/>
        </w:rPr>
      </w:pPr>
      <w:r>
        <w:rPr>
          <w:rFonts w:ascii="宋体" w:hAnsi="宋体" w:cs="宋体"/>
          <w:b/>
          <w:sz w:val="24"/>
        </w:rPr>
        <w:t>承包人（全称）：</w:t>
      </w:r>
    </w:p>
    <w:p w14:paraId="6DBD1E25">
      <w:pPr>
        <w:spacing w:line="360" w:lineRule="auto"/>
        <w:ind w:firstLine="480"/>
        <w:rPr>
          <w:rFonts w:ascii="宋体" w:hAnsi="宋体" w:cs="宋体"/>
          <w:bCs/>
          <w:sz w:val="24"/>
        </w:rPr>
      </w:pPr>
      <w:r>
        <w:rPr>
          <w:rFonts w:hint="eastAsia" w:ascii="宋体" w:hAnsi="宋体" w:cs="宋体"/>
          <w:bCs/>
          <w:sz w:val="24"/>
        </w:rPr>
        <w:t>为了在建设中保持廉洁自律的工作作风，防止各种不正当行为的发生，协议双方根据国家和省、市有关建设工程廉政建设的规定，结合本工程特点，特订立本协议如下：</w:t>
      </w:r>
    </w:p>
    <w:p w14:paraId="72B62827">
      <w:pPr>
        <w:pStyle w:val="209"/>
        <w:spacing w:line="360" w:lineRule="auto"/>
        <w:ind w:firstLine="422"/>
        <w:rPr>
          <w:rFonts w:hAnsi="宋体" w:cs="宋体"/>
          <w:b/>
          <w:bCs/>
          <w:sz w:val="24"/>
          <w:szCs w:val="24"/>
        </w:rPr>
      </w:pPr>
      <w:r>
        <w:rPr>
          <w:rFonts w:hint="eastAsia" w:hAnsi="宋体" w:cs="宋体"/>
          <w:b/>
          <w:bCs/>
          <w:sz w:val="24"/>
          <w:szCs w:val="24"/>
        </w:rPr>
        <w:t>一、发包人的义务</w:t>
      </w:r>
    </w:p>
    <w:p w14:paraId="0D5ABBD2">
      <w:pPr>
        <w:pStyle w:val="209"/>
        <w:spacing w:line="360" w:lineRule="auto"/>
        <w:ind w:firstLine="480"/>
        <w:rPr>
          <w:rFonts w:hAnsi="宋体" w:cs="宋体"/>
          <w:bCs/>
          <w:sz w:val="24"/>
          <w:szCs w:val="24"/>
        </w:rPr>
      </w:pPr>
      <w:r>
        <w:rPr>
          <w:rFonts w:hAnsi="宋体" w:cs="宋体"/>
          <w:bCs/>
          <w:sz w:val="24"/>
          <w:szCs w:val="24"/>
        </w:rPr>
        <w:t>1.发包人及其工作人员不得以任何形式向承包人及其工作人员索要和收受回扣等好处费。</w:t>
      </w:r>
    </w:p>
    <w:p w14:paraId="2C6DAE69">
      <w:pPr>
        <w:pStyle w:val="209"/>
        <w:spacing w:line="360" w:lineRule="auto"/>
        <w:ind w:firstLine="480"/>
        <w:rPr>
          <w:rFonts w:hAnsi="宋体" w:cs="宋体"/>
          <w:bCs/>
          <w:sz w:val="24"/>
          <w:szCs w:val="24"/>
        </w:rPr>
      </w:pPr>
      <w:r>
        <w:rPr>
          <w:rFonts w:hAnsi="宋体" w:cs="宋体"/>
          <w:bCs/>
          <w:sz w:val="24"/>
          <w:szCs w:val="24"/>
        </w:rPr>
        <w:t>2.发包人的工作人员不得接受承包人的工作人员及材料、设备供应商的礼金、有价证券、贵重物品，不得在承包人及材料设备供应商处报销任何应由个人支付的费用。</w:t>
      </w:r>
    </w:p>
    <w:p w14:paraId="3A3F2822">
      <w:pPr>
        <w:pStyle w:val="209"/>
        <w:spacing w:line="360" w:lineRule="auto"/>
        <w:ind w:firstLine="480"/>
        <w:rPr>
          <w:rFonts w:hAnsi="宋体" w:cs="宋体"/>
          <w:bCs/>
          <w:sz w:val="24"/>
          <w:szCs w:val="24"/>
        </w:rPr>
      </w:pPr>
      <w:r>
        <w:rPr>
          <w:rFonts w:hAnsi="宋体" w:cs="宋体"/>
          <w:bCs/>
          <w:sz w:val="24"/>
          <w:szCs w:val="24"/>
        </w:rPr>
        <w:t>3.发包人的工作人员不得参加可能对履行责任、义务有影响的宴请</w:t>
      </w:r>
      <w:r>
        <w:rPr>
          <w:rFonts w:hint="eastAsia" w:hAnsi="宋体" w:cs="宋体"/>
          <w:bCs/>
          <w:sz w:val="24"/>
          <w:szCs w:val="24"/>
        </w:rPr>
        <w:t>、旅游及娱乐活动；不得接受购置或者提供通讯工具、交通工具、家电、高档办公用品等物品。</w:t>
      </w:r>
    </w:p>
    <w:p w14:paraId="000F8CA2">
      <w:pPr>
        <w:pStyle w:val="209"/>
        <w:spacing w:line="360" w:lineRule="auto"/>
        <w:ind w:firstLine="480"/>
        <w:rPr>
          <w:rFonts w:hAnsi="宋体" w:cs="宋体"/>
          <w:bCs/>
          <w:sz w:val="24"/>
          <w:szCs w:val="24"/>
        </w:rPr>
      </w:pPr>
      <w:r>
        <w:rPr>
          <w:rFonts w:hAnsi="宋体" w:cs="宋体"/>
          <w:bCs/>
          <w:sz w:val="24"/>
          <w:szCs w:val="24"/>
        </w:rPr>
        <w:t>4.发包人的工作人员不得要求或接受承包人及其工作人员</w:t>
      </w:r>
      <w:r>
        <w:rPr>
          <w:rFonts w:hint="eastAsia" w:hAnsi="宋体" w:cs="宋体"/>
          <w:bCs/>
          <w:sz w:val="24"/>
          <w:szCs w:val="24"/>
        </w:rPr>
        <w:t>、</w:t>
      </w:r>
      <w:r>
        <w:rPr>
          <w:rFonts w:hAnsi="宋体" w:cs="宋体"/>
          <w:bCs/>
          <w:sz w:val="24"/>
          <w:szCs w:val="24"/>
        </w:rPr>
        <w:t>材料设备供应商为其住房装修、婚丧嫁娶、家属和子女的工作安排以及出国等提供方便。</w:t>
      </w:r>
    </w:p>
    <w:p w14:paraId="75336804">
      <w:pPr>
        <w:pStyle w:val="209"/>
        <w:spacing w:line="360" w:lineRule="auto"/>
        <w:ind w:firstLine="480"/>
        <w:rPr>
          <w:rFonts w:hAnsi="宋体" w:cs="宋体"/>
          <w:bCs/>
          <w:sz w:val="24"/>
          <w:szCs w:val="24"/>
        </w:rPr>
      </w:pPr>
      <w:r>
        <w:rPr>
          <w:rFonts w:hAnsi="宋体" w:cs="宋体"/>
          <w:bCs/>
          <w:sz w:val="24"/>
          <w:szCs w:val="24"/>
        </w:rPr>
        <w:t>5.双方及</w:t>
      </w:r>
      <w:r>
        <w:rPr>
          <w:rFonts w:hint="eastAsia" w:hAnsi="宋体" w:cs="宋体"/>
          <w:bCs/>
          <w:sz w:val="24"/>
          <w:szCs w:val="24"/>
        </w:rPr>
        <w:t>其</w:t>
      </w:r>
      <w:r>
        <w:rPr>
          <w:rFonts w:hAnsi="宋体" w:cs="宋体"/>
          <w:bCs/>
          <w:sz w:val="24"/>
          <w:szCs w:val="24"/>
        </w:rPr>
        <w:t>工作人员不得相互介绍家属或者亲友从事与发包人工程有关的经济活动。</w:t>
      </w:r>
    </w:p>
    <w:p w14:paraId="506F9E67">
      <w:pPr>
        <w:pStyle w:val="209"/>
        <w:spacing w:line="360" w:lineRule="auto"/>
        <w:ind w:firstLine="480"/>
        <w:rPr>
          <w:rFonts w:hAnsi="宋体" w:cs="宋体"/>
          <w:bCs/>
          <w:sz w:val="24"/>
          <w:szCs w:val="24"/>
        </w:rPr>
      </w:pPr>
      <w:r>
        <w:rPr>
          <w:rFonts w:hAnsi="宋体" w:cs="宋体"/>
          <w:bCs/>
          <w:sz w:val="24"/>
          <w:szCs w:val="24"/>
        </w:rPr>
        <w:t>6.发包人的工作人员不得为谋取私利擅自与承包人、承包人的工作人员及材料设备供应商就工程承包人、工程费用、材料设备供应、工程量变动、工程验收、工程质量问题处理等进行私下商谈或者达成默契。</w:t>
      </w:r>
    </w:p>
    <w:p w14:paraId="1ED04CB4">
      <w:pPr>
        <w:pStyle w:val="209"/>
        <w:spacing w:line="360" w:lineRule="auto"/>
        <w:ind w:firstLine="422"/>
        <w:rPr>
          <w:rFonts w:hAnsi="宋体" w:cs="宋体"/>
          <w:b/>
          <w:bCs/>
          <w:sz w:val="24"/>
          <w:szCs w:val="24"/>
        </w:rPr>
      </w:pPr>
      <w:r>
        <w:rPr>
          <w:rFonts w:hint="eastAsia" w:hAnsi="宋体" w:cs="宋体"/>
          <w:b/>
          <w:bCs/>
          <w:sz w:val="24"/>
          <w:szCs w:val="24"/>
        </w:rPr>
        <w:t>二、承包人义务</w:t>
      </w:r>
    </w:p>
    <w:p w14:paraId="76FF6F0F">
      <w:pPr>
        <w:pStyle w:val="209"/>
        <w:spacing w:line="360" w:lineRule="auto"/>
        <w:ind w:firstLine="480"/>
        <w:rPr>
          <w:rFonts w:hAnsi="宋体" w:cs="宋体"/>
          <w:bCs/>
          <w:sz w:val="24"/>
          <w:szCs w:val="24"/>
        </w:rPr>
      </w:pPr>
      <w:r>
        <w:rPr>
          <w:rFonts w:hAnsi="宋体" w:cs="宋体"/>
          <w:bCs/>
          <w:sz w:val="24"/>
          <w:szCs w:val="24"/>
        </w:rPr>
        <w:t>1.承包人不得邀请发包人的工作人员及材料设备</w:t>
      </w:r>
      <w:r>
        <w:rPr>
          <w:rFonts w:hint="eastAsia" w:hAnsi="宋体" w:cs="宋体"/>
          <w:bCs/>
          <w:sz w:val="24"/>
          <w:szCs w:val="24"/>
        </w:rPr>
        <w:t>、药剂</w:t>
      </w:r>
      <w:r>
        <w:rPr>
          <w:rFonts w:hAnsi="宋体" w:cs="宋体"/>
          <w:bCs/>
          <w:sz w:val="24"/>
          <w:szCs w:val="24"/>
        </w:rPr>
        <w:t>供应商外出旅游和进入营业性娱乐场所。</w:t>
      </w:r>
    </w:p>
    <w:p w14:paraId="4EF21FF1">
      <w:pPr>
        <w:pStyle w:val="209"/>
        <w:spacing w:line="360" w:lineRule="auto"/>
        <w:ind w:firstLine="480"/>
        <w:rPr>
          <w:rFonts w:hAnsi="宋体" w:cs="宋体"/>
          <w:bCs/>
          <w:sz w:val="24"/>
          <w:szCs w:val="24"/>
        </w:rPr>
      </w:pPr>
      <w:r>
        <w:rPr>
          <w:rFonts w:hAnsi="宋体" w:cs="宋体"/>
          <w:bCs/>
          <w:sz w:val="24"/>
          <w:szCs w:val="24"/>
        </w:rPr>
        <w:t>2.承包人、承包人的工作人员不得为发包人的工作人员购置或者提供通讯工具、交通工具、家电、高档办公用品等物品。</w:t>
      </w:r>
    </w:p>
    <w:p w14:paraId="2700EEDB">
      <w:pPr>
        <w:pStyle w:val="209"/>
        <w:spacing w:line="360" w:lineRule="auto"/>
        <w:ind w:firstLine="480"/>
        <w:rPr>
          <w:rFonts w:hAnsi="宋体" w:cs="宋体"/>
          <w:bCs/>
          <w:sz w:val="24"/>
          <w:szCs w:val="24"/>
        </w:rPr>
      </w:pPr>
      <w:r>
        <w:rPr>
          <w:rFonts w:hAnsi="宋体" w:cs="宋体"/>
          <w:bCs/>
          <w:sz w:val="24"/>
          <w:szCs w:val="24"/>
        </w:rPr>
        <w:t>3.承包人不得以任何名义为发包人及其工作人员报销应由其本人支付的任何费用。</w:t>
      </w:r>
    </w:p>
    <w:p w14:paraId="13C899C5">
      <w:pPr>
        <w:pStyle w:val="209"/>
        <w:spacing w:line="360" w:lineRule="auto"/>
        <w:ind w:firstLine="142"/>
        <w:rPr>
          <w:rFonts w:hAnsi="宋体" w:cs="宋体"/>
          <w:bCs/>
          <w:sz w:val="24"/>
          <w:szCs w:val="24"/>
        </w:rPr>
      </w:pPr>
      <w:r>
        <w:rPr>
          <w:rFonts w:hint="eastAsia" w:hAnsi="宋体" w:cs="宋体"/>
          <w:b/>
          <w:bCs/>
          <w:sz w:val="24"/>
          <w:szCs w:val="24"/>
        </w:rPr>
        <w:t>三、双方约定</w:t>
      </w:r>
    </w:p>
    <w:p w14:paraId="11BE3EE3">
      <w:pPr>
        <w:pStyle w:val="209"/>
        <w:spacing w:line="360" w:lineRule="auto"/>
        <w:ind w:firstLine="480"/>
        <w:rPr>
          <w:rFonts w:hAnsi="宋体" w:cs="宋体"/>
          <w:bCs/>
          <w:sz w:val="24"/>
          <w:szCs w:val="24"/>
        </w:rPr>
      </w:pPr>
      <w:r>
        <w:rPr>
          <w:rFonts w:hAnsi="宋体" w:cs="宋体"/>
          <w:bCs/>
          <w:sz w:val="24"/>
          <w:szCs w:val="24"/>
        </w:rPr>
        <w:t>1.双方如发现对方工作人员有违反上述协议者，应向对方领导或者对方上级单位举报。双方不得找任何借口对举报人及其工作人员进行报复。</w:t>
      </w:r>
    </w:p>
    <w:p w14:paraId="56DB8700">
      <w:pPr>
        <w:pStyle w:val="209"/>
        <w:spacing w:line="360" w:lineRule="auto"/>
        <w:ind w:firstLine="480"/>
        <w:rPr>
          <w:rFonts w:hAnsi="宋体" w:cs="宋体"/>
          <w:bCs/>
          <w:sz w:val="24"/>
          <w:szCs w:val="24"/>
        </w:rPr>
      </w:pPr>
      <w:r>
        <w:rPr>
          <w:rFonts w:hAnsi="宋体" w:cs="宋体"/>
          <w:bCs/>
          <w:sz w:val="24"/>
          <w:szCs w:val="24"/>
        </w:rPr>
        <w:t>2.发包人及其工作人员违反本协议规定，按管理规定，给予处分；涉嫌犯罪的移交司法机关追究刑事责任；给承包人造成经济损失，应予以赔偿。</w:t>
      </w:r>
    </w:p>
    <w:p w14:paraId="5BA13D76">
      <w:pPr>
        <w:pStyle w:val="209"/>
        <w:spacing w:line="360" w:lineRule="auto"/>
        <w:ind w:firstLine="480"/>
        <w:rPr>
          <w:rFonts w:hAnsi="宋体" w:cs="宋体"/>
          <w:bCs/>
          <w:sz w:val="24"/>
          <w:szCs w:val="24"/>
        </w:rPr>
      </w:pPr>
      <w:r>
        <w:rPr>
          <w:rFonts w:hAnsi="宋体" w:cs="宋体"/>
          <w:bCs/>
          <w:sz w:val="24"/>
          <w:szCs w:val="24"/>
        </w:rPr>
        <w:t>3.承包人及工作人员有违反本协议，给发包人造成经济损失的，应予以赔偿。发包人视具体情节及后果，扣除承包人合同价格的20% 的</w:t>
      </w:r>
      <w:r>
        <w:rPr>
          <w:rFonts w:hint="eastAsia" w:hAnsi="宋体" w:cs="宋体"/>
          <w:bCs/>
          <w:sz w:val="24"/>
          <w:szCs w:val="24"/>
        </w:rPr>
        <w:t>违约金。情节严重的，发包人建议建设工程主管部门给予其一至三年内不得进入工程建设市场的处罚。</w:t>
      </w:r>
    </w:p>
    <w:p w14:paraId="29CD6450">
      <w:pPr>
        <w:pStyle w:val="209"/>
        <w:spacing w:line="360" w:lineRule="auto"/>
        <w:ind w:firstLine="480"/>
        <w:rPr>
          <w:rFonts w:hAnsi="宋体" w:cs="宋体"/>
          <w:bCs/>
          <w:sz w:val="24"/>
          <w:szCs w:val="24"/>
        </w:rPr>
      </w:pPr>
      <w:r>
        <w:rPr>
          <w:rFonts w:hint="eastAsia" w:hAnsi="宋体" w:cs="宋体"/>
          <w:bCs/>
          <w:sz w:val="24"/>
          <w:szCs w:val="24"/>
        </w:rPr>
        <w:t>本廉洁协议作为施工工程合同的附件，与主合同具有同等法律效力。本协议的有效期是双方签署之日起至工程竣工验收后止。</w:t>
      </w:r>
    </w:p>
    <w:p w14:paraId="3F92766C">
      <w:pPr>
        <w:spacing w:line="360" w:lineRule="auto"/>
        <w:rPr>
          <w:rFonts w:ascii="宋体" w:hAnsi="宋体" w:cs="宋体"/>
          <w:bCs/>
          <w:sz w:val="24"/>
        </w:rPr>
      </w:pPr>
      <w:r>
        <w:rPr>
          <w:rFonts w:hint="eastAsia" w:ascii="宋体" w:hAnsi="宋体" w:cs="宋体"/>
          <w:bCs/>
          <w:sz w:val="24"/>
        </w:rPr>
        <w:t>发包人：（盖章）承包人：（盖章）</w:t>
      </w:r>
    </w:p>
    <w:p w14:paraId="4E0A2BCE">
      <w:pPr>
        <w:pStyle w:val="209"/>
        <w:spacing w:line="360" w:lineRule="auto"/>
        <w:rPr>
          <w:rFonts w:hAnsi="宋体" w:cs="宋体"/>
          <w:bCs/>
          <w:sz w:val="24"/>
          <w:szCs w:val="24"/>
        </w:rPr>
      </w:pPr>
      <w:r>
        <w:rPr>
          <w:rFonts w:hint="eastAsia" w:hAnsi="宋体" w:cs="宋体"/>
          <w:bCs/>
          <w:sz w:val="24"/>
          <w:szCs w:val="24"/>
        </w:rPr>
        <w:t>法定代表人（或授权委托人）：法定代表人（或授权委托人）：</w:t>
      </w:r>
    </w:p>
    <w:p w14:paraId="660DEC4F">
      <w:pPr>
        <w:spacing w:line="360" w:lineRule="auto"/>
        <w:rPr>
          <w:rFonts w:ascii="宋体" w:hAnsi="宋体" w:cs="宋体"/>
          <w:bCs/>
          <w:sz w:val="24"/>
        </w:rPr>
      </w:pPr>
      <w:r>
        <w:rPr>
          <w:rFonts w:ascii="宋体" w:hAnsi="宋体" w:cs="宋体"/>
          <w:sz w:val="24"/>
        </w:rPr>
        <w:t>日期：</w:t>
      </w:r>
      <w:r>
        <w:rPr>
          <w:rFonts w:hint="eastAsia" w:ascii="宋体" w:hAnsi="宋体" w:cs="宋体"/>
          <w:bCs/>
          <w:sz w:val="24"/>
        </w:rPr>
        <w:t>日期：</w:t>
      </w:r>
    </w:p>
    <w:p w14:paraId="48F3A518">
      <w:pPr>
        <w:rPr>
          <w:rFonts w:ascii="宋体" w:hAnsi="宋体" w:cs="宋体"/>
          <w:bCs/>
          <w:sz w:val="24"/>
        </w:rPr>
      </w:pPr>
      <w:r>
        <w:rPr>
          <w:rFonts w:ascii="宋体" w:hAnsi="宋体" w:cs="宋体"/>
          <w:bCs/>
          <w:sz w:val="24"/>
        </w:rPr>
        <w:br w:type="page" w:clear="all"/>
      </w:r>
    </w:p>
    <w:p w14:paraId="23D50079">
      <w:pPr>
        <w:rPr>
          <w:rFonts w:ascii="宋体" w:hAnsi="宋体" w:cs="宋体"/>
          <w:b/>
          <w:bCs/>
          <w:sz w:val="32"/>
          <w:szCs w:val="32"/>
        </w:rPr>
      </w:pPr>
      <w:r>
        <w:rPr>
          <w:rFonts w:hint="eastAsia" w:ascii="宋体" w:hAnsi="宋体" w:cs="宋体"/>
          <w:bCs/>
          <w:sz w:val="24"/>
        </w:rPr>
        <w:t>附件2</w:t>
      </w:r>
    </w:p>
    <w:p w14:paraId="3BC12CAD">
      <w:pPr>
        <w:ind w:firstLine="643"/>
        <w:jc w:val="center"/>
        <w:rPr>
          <w:rFonts w:ascii="宋体" w:hAnsi="宋体" w:cs="宋体"/>
          <w:b/>
          <w:sz w:val="24"/>
        </w:rPr>
      </w:pPr>
      <w:r>
        <w:rPr>
          <w:rFonts w:hint="eastAsia" w:ascii="宋体" w:hAnsi="宋体" w:cs="宋体"/>
          <w:b/>
          <w:bCs/>
          <w:sz w:val="32"/>
          <w:szCs w:val="32"/>
        </w:rPr>
        <w:t>发包安全管理协议</w:t>
      </w:r>
    </w:p>
    <w:p w14:paraId="37D4AAAB">
      <w:pPr>
        <w:rPr>
          <w:rFonts w:ascii="宋体" w:hAnsi="宋体" w:cs="宋体"/>
          <w:b/>
          <w:sz w:val="24"/>
          <w:u w:val="single"/>
        </w:rPr>
      </w:pPr>
      <w:r>
        <w:rPr>
          <w:rFonts w:ascii="宋体" w:hAnsi="宋体" w:cs="宋体"/>
          <w:b/>
          <w:sz w:val="24"/>
        </w:rPr>
        <w:t>发包人（全称）：</w:t>
      </w:r>
    </w:p>
    <w:p w14:paraId="2B3BD4E6">
      <w:pPr>
        <w:rPr>
          <w:rFonts w:ascii="宋体" w:hAnsi="宋体" w:cs="宋体"/>
          <w:b/>
          <w:sz w:val="24"/>
          <w:u w:val="single"/>
        </w:rPr>
      </w:pPr>
      <w:r>
        <w:rPr>
          <w:rFonts w:ascii="宋体" w:hAnsi="宋体" w:cs="宋体"/>
          <w:b/>
          <w:sz w:val="24"/>
        </w:rPr>
        <w:t>承包人（全称）：</w:t>
      </w:r>
    </w:p>
    <w:p w14:paraId="567181AF">
      <w:pPr>
        <w:spacing w:line="360" w:lineRule="auto"/>
        <w:ind w:firstLine="480"/>
        <w:rPr>
          <w:rFonts w:ascii="宋体" w:hAnsi="宋体" w:cs="宋体"/>
          <w:bCs/>
          <w:sz w:val="24"/>
        </w:rPr>
      </w:pPr>
      <w:r>
        <w:rPr>
          <w:rFonts w:hint="eastAsia" w:ascii="宋体" w:hAnsi="宋体" w:cs="宋体"/>
          <w:bCs/>
          <w:sz w:val="24"/>
        </w:rPr>
        <w:t>发包人将本劳务外包服务项目发包给承包人服务，为贯彻“安全第一、预防为主”的方针，根据《江苏省工程安全管理暂行规定》和国家有关法规，明确双方的安全生产责任，确保施工安全，双方在签订工程合同的同时，签订本协议。</w:t>
      </w:r>
    </w:p>
    <w:p w14:paraId="08148711">
      <w:pPr>
        <w:pStyle w:val="209"/>
        <w:spacing w:before="60" w:line="360" w:lineRule="auto"/>
        <w:ind w:firstLine="482"/>
        <w:outlineLvl w:val="0"/>
        <w:rPr>
          <w:rFonts w:hAnsi="宋体" w:cs="宋体"/>
          <w:b/>
          <w:bCs/>
          <w:sz w:val="24"/>
          <w:szCs w:val="24"/>
        </w:rPr>
      </w:pPr>
      <w:r>
        <w:rPr>
          <w:rFonts w:hint="eastAsia" w:hAnsi="宋体" w:cs="宋体"/>
          <w:b/>
          <w:bCs/>
          <w:sz w:val="24"/>
          <w:szCs w:val="24"/>
        </w:rPr>
        <w:t>一、承包人施工项目概况：</w:t>
      </w:r>
    </w:p>
    <w:p w14:paraId="4332DD3D">
      <w:pPr>
        <w:spacing w:line="360" w:lineRule="auto"/>
        <w:ind w:firstLine="470"/>
        <w:rPr>
          <w:rFonts w:ascii="宋体" w:hAnsi="宋体" w:cs="宋体"/>
          <w:sz w:val="24"/>
          <w:u w:val="single"/>
        </w:rPr>
      </w:pPr>
      <w:r>
        <w:rPr>
          <w:rFonts w:ascii="宋体" w:hAnsi="宋体" w:cs="宋体"/>
          <w:bCs/>
          <w:sz w:val="24"/>
        </w:rPr>
        <w:t>1.</w:t>
      </w:r>
      <w:r>
        <w:rPr>
          <w:rFonts w:hint="eastAsia" w:ascii="宋体" w:hAnsi="宋体" w:cs="宋体"/>
          <w:bCs/>
          <w:sz w:val="24"/>
        </w:rPr>
        <w:t>项目</w:t>
      </w:r>
      <w:r>
        <w:rPr>
          <w:rFonts w:ascii="宋体" w:hAnsi="宋体" w:cs="宋体"/>
          <w:bCs/>
          <w:sz w:val="24"/>
        </w:rPr>
        <w:t>名称：</w:t>
      </w:r>
    </w:p>
    <w:p w14:paraId="46F9054C">
      <w:pPr>
        <w:spacing w:line="360" w:lineRule="auto"/>
        <w:ind w:firstLine="470"/>
        <w:rPr>
          <w:rFonts w:ascii="宋体" w:hAnsi="宋体" w:cs="宋体"/>
          <w:bCs/>
          <w:sz w:val="24"/>
        </w:rPr>
      </w:pPr>
      <w:r>
        <w:rPr>
          <w:rFonts w:ascii="宋体" w:hAnsi="宋体" w:cs="宋体"/>
          <w:bCs/>
          <w:sz w:val="24"/>
        </w:rPr>
        <w:t>2.地址：</w:t>
      </w:r>
    </w:p>
    <w:p w14:paraId="399933E2">
      <w:pPr>
        <w:pStyle w:val="209"/>
        <w:spacing w:line="360" w:lineRule="auto"/>
        <w:ind w:firstLine="480"/>
        <w:outlineLvl w:val="0"/>
        <w:rPr>
          <w:rFonts w:hAnsi="宋体" w:cs="宋体"/>
          <w:bCs/>
          <w:sz w:val="24"/>
          <w:szCs w:val="24"/>
        </w:rPr>
      </w:pPr>
      <w:r>
        <w:rPr>
          <w:rFonts w:hAnsi="宋体" w:cs="宋体"/>
          <w:bCs/>
          <w:sz w:val="24"/>
          <w:szCs w:val="24"/>
        </w:rPr>
        <w:t>3.服务期：</w:t>
      </w:r>
    </w:p>
    <w:p w14:paraId="0C67EFF3">
      <w:pPr>
        <w:pStyle w:val="209"/>
        <w:spacing w:before="60" w:line="360" w:lineRule="auto"/>
        <w:ind w:firstLine="482"/>
        <w:outlineLvl w:val="0"/>
        <w:rPr>
          <w:rFonts w:hAnsi="宋体" w:cs="宋体"/>
          <w:b/>
          <w:bCs/>
          <w:sz w:val="24"/>
          <w:szCs w:val="24"/>
        </w:rPr>
      </w:pPr>
      <w:r>
        <w:rPr>
          <w:rFonts w:hint="eastAsia" w:hAnsi="宋体" w:cs="宋体"/>
          <w:b/>
          <w:bCs/>
          <w:sz w:val="24"/>
          <w:szCs w:val="24"/>
        </w:rPr>
        <w:t>二、协议内容：</w:t>
      </w:r>
    </w:p>
    <w:p w14:paraId="1FC94833">
      <w:pPr>
        <w:pStyle w:val="209"/>
        <w:spacing w:line="360" w:lineRule="auto"/>
        <w:ind w:firstLine="480"/>
        <w:rPr>
          <w:rFonts w:hAnsi="宋体" w:cs="宋体"/>
          <w:bCs/>
          <w:sz w:val="24"/>
          <w:szCs w:val="24"/>
        </w:rPr>
      </w:pPr>
      <w:r>
        <w:rPr>
          <w:rFonts w:hAnsi="宋体" w:cs="宋体"/>
          <w:bCs/>
          <w:sz w:val="24"/>
          <w:szCs w:val="24"/>
        </w:rPr>
        <w:t>1.发包人、承包人双方必须认真贯彻国家、江苏省和各级劳动保护、安全生产主管部门颁发的有关安全生产、消防工作的方针、政策。严格执行有关劳动保护法律、法规。</w:t>
      </w:r>
    </w:p>
    <w:p w14:paraId="0DD7AEC4">
      <w:pPr>
        <w:pStyle w:val="209"/>
        <w:spacing w:line="360" w:lineRule="auto"/>
        <w:ind w:firstLine="480"/>
        <w:rPr>
          <w:rFonts w:hAnsi="宋体" w:cs="宋体"/>
          <w:bCs/>
          <w:sz w:val="24"/>
          <w:szCs w:val="24"/>
        </w:rPr>
      </w:pPr>
      <w:r>
        <w:rPr>
          <w:rFonts w:hAnsi="宋体" w:cs="宋体"/>
          <w:bCs/>
          <w:sz w:val="24"/>
          <w:szCs w:val="24"/>
        </w:rPr>
        <w:t>2.承包人应有安全管理组织体系，包括抓安全生产的领导，各级专职和兼职的安全干部，应有各工种的安全操作规程，特种作业人员的验证考核制度及各级安全生产岗位责任制和定期安全检查制度，安全教育制度等。</w:t>
      </w:r>
    </w:p>
    <w:p w14:paraId="24E7FC24">
      <w:pPr>
        <w:pStyle w:val="209"/>
        <w:spacing w:line="360" w:lineRule="auto"/>
        <w:ind w:firstLine="480"/>
        <w:rPr>
          <w:rFonts w:hAnsi="宋体" w:cs="宋体"/>
          <w:bCs/>
          <w:sz w:val="24"/>
          <w:szCs w:val="24"/>
        </w:rPr>
      </w:pPr>
      <w:r>
        <w:rPr>
          <w:rFonts w:hAnsi="宋体" w:cs="宋体"/>
          <w:bCs/>
          <w:sz w:val="24"/>
          <w:szCs w:val="24"/>
        </w:rPr>
        <w:t>3.承包人在施工前要认真勘察现场，承包人进场后首先必须做好施工现场围护，防止闲杂人员进入施工现场，杜绝安全事故。</w:t>
      </w:r>
    </w:p>
    <w:p w14:paraId="2EF9AFA2">
      <w:pPr>
        <w:pStyle w:val="209"/>
        <w:spacing w:line="360" w:lineRule="auto"/>
        <w:ind w:firstLine="480"/>
        <w:rPr>
          <w:rFonts w:hAnsi="宋体" w:cs="宋体"/>
          <w:bCs/>
          <w:sz w:val="24"/>
          <w:szCs w:val="24"/>
        </w:rPr>
      </w:pPr>
      <w:r>
        <w:rPr>
          <w:rFonts w:hAnsi="宋体" w:cs="宋体"/>
          <w:bCs/>
          <w:sz w:val="24"/>
          <w:szCs w:val="24"/>
        </w:rPr>
        <w:t>4.工程项目由承包人按发包人的要求自行编制实施性施工组织设计，并制定有针对性的安全技术措施计划，严格按施工组织设计和有关安全要求施工。承包人应落实本工程安全生产的管理体系，管理体系中的人员名单上报发包人项目部备案，以便发包人监督管理。工地安全员必须持证上岗。</w:t>
      </w:r>
    </w:p>
    <w:p w14:paraId="729F40DA">
      <w:pPr>
        <w:pStyle w:val="209"/>
        <w:spacing w:line="360" w:lineRule="auto"/>
        <w:ind w:firstLine="480"/>
        <w:rPr>
          <w:rFonts w:hAnsi="宋体" w:cs="宋体"/>
          <w:bCs/>
          <w:sz w:val="24"/>
          <w:szCs w:val="24"/>
        </w:rPr>
      </w:pPr>
      <w:r>
        <w:rPr>
          <w:rFonts w:hAnsi="宋体" w:cs="宋体"/>
          <w:bCs/>
          <w:sz w:val="24"/>
          <w:szCs w:val="24"/>
        </w:rPr>
        <w:t>5.承包人必须认真对本单位职工进行安全生产制度及安全技术知识教育，增强法制观念，提高职工的安全生产思想意识和自我保护的能力，督促职工自觉遵守安全生产纪律、制度和法律法规。</w:t>
      </w:r>
    </w:p>
    <w:p w14:paraId="5B89D006">
      <w:pPr>
        <w:pStyle w:val="209"/>
        <w:spacing w:line="360" w:lineRule="auto"/>
        <w:ind w:firstLine="480"/>
        <w:rPr>
          <w:rFonts w:hAnsi="宋体" w:cs="宋体"/>
          <w:bCs/>
          <w:sz w:val="24"/>
          <w:szCs w:val="24"/>
        </w:rPr>
      </w:pPr>
      <w:r>
        <w:rPr>
          <w:rFonts w:hAnsi="宋体" w:cs="宋体"/>
          <w:bCs/>
          <w:sz w:val="24"/>
          <w:szCs w:val="24"/>
        </w:rPr>
        <w:t>6.施工前承包人应对管理、施工人员进行现场安全生产教育，介绍有关现场安全生产管理制度、规定和要求，承包人必须检查、督促施工人员严格遵守、认真执行。</w:t>
      </w:r>
    </w:p>
    <w:p w14:paraId="1F98E42F">
      <w:pPr>
        <w:pStyle w:val="209"/>
        <w:spacing w:line="360" w:lineRule="auto"/>
        <w:ind w:firstLine="480"/>
        <w:rPr>
          <w:rFonts w:hAnsi="宋体" w:cs="宋体"/>
          <w:bCs/>
          <w:sz w:val="24"/>
          <w:szCs w:val="24"/>
        </w:rPr>
      </w:pPr>
      <w:r>
        <w:rPr>
          <w:rFonts w:hAnsi="宋体" w:cs="宋体"/>
          <w:bCs/>
          <w:sz w:val="24"/>
          <w:szCs w:val="24"/>
        </w:rPr>
        <w:t>7.根据工程项目内容、特点，发包人、承包人双方应做好安全技术交底，并有交底的书面材料，交底材料一式两份，发包人、承包人双方签字后各执一份。</w:t>
      </w:r>
    </w:p>
    <w:p w14:paraId="69F3E652">
      <w:pPr>
        <w:pStyle w:val="209"/>
        <w:spacing w:line="360" w:lineRule="auto"/>
        <w:ind w:firstLine="480"/>
        <w:rPr>
          <w:rFonts w:hAnsi="宋体" w:cs="宋体"/>
          <w:bCs/>
          <w:sz w:val="24"/>
          <w:szCs w:val="24"/>
        </w:rPr>
      </w:pPr>
      <w:r>
        <w:rPr>
          <w:rFonts w:hAnsi="宋体" w:cs="宋体"/>
          <w:bCs/>
          <w:sz w:val="24"/>
          <w:szCs w:val="24"/>
        </w:rPr>
        <w:t>8.服务期间，承包人指派</w:t>
      </w:r>
      <w:r>
        <w:rPr>
          <w:rFonts w:hint="eastAsia" w:hAnsi="宋体" w:cs="宋体"/>
          <w:bCs/>
          <w:sz w:val="24"/>
          <w:szCs w:val="24"/>
        </w:rPr>
        <w:t>负责本工程项目的有关安全、消防工作；发包人指派</w:t>
      </w:r>
      <w:r>
        <w:rPr>
          <w:rFonts w:hint="eastAsia" w:hAnsi="宋体" w:cs="宋体"/>
          <w:bCs/>
          <w:color w:val="FFFFFF"/>
          <w:sz w:val="24"/>
          <w:szCs w:val="24"/>
          <w:u w:val="single"/>
        </w:rPr>
        <w:t>艾民</w:t>
      </w:r>
      <w:r>
        <w:rPr>
          <w:rFonts w:hint="eastAsia" w:hAnsi="宋体" w:cs="宋体"/>
          <w:bCs/>
          <w:sz w:val="24"/>
          <w:szCs w:val="24"/>
        </w:rPr>
        <w:t>负责联系、检查、督促承包人执行有关安全、消防规定。发包人、承包人双方应经常联系，相互协助检查和处理工程施工中的安全、消防工作，共同预防事故发生。</w:t>
      </w:r>
    </w:p>
    <w:p w14:paraId="659C8479">
      <w:pPr>
        <w:pStyle w:val="209"/>
        <w:spacing w:line="360" w:lineRule="auto"/>
        <w:ind w:firstLine="480"/>
        <w:rPr>
          <w:rFonts w:hAnsi="宋体" w:cs="宋体"/>
          <w:bCs/>
          <w:sz w:val="24"/>
          <w:szCs w:val="24"/>
        </w:rPr>
      </w:pPr>
      <w:r>
        <w:rPr>
          <w:rFonts w:hAnsi="宋体" w:cs="宋体"/>
          <w:bCs/>
          <w:sz w:val="24"/>
          <w:szCs w:val="24"/>
        </w:rPr>
        <w:t>9.承包人在服务期间必须严格执行和遵守发包人的安全生产、消防管理的各项规定，接受发包人的督促、检查和指导。发包人有协助承包人搞好安全生产、消防管理以及督促检查的义务，对于查出的隐患，承包人必须限期整改。</w:t>
      </w:r>
    </w:p>
    <w:p w14:paraId="7FD38E1F">
      <w:pPr>
        <w:pStyle w:val="209"/>
        <w:spacing w:line="360" w:lineRule="auto"/>
        <w:ind w:firstLine="480"/>
        <w:rPr>
          <w:rFonts w:hAnsi="宋体" w:cs="宋体"/>
          <w:bCs/>
          <w:sz w:val="24"/>
          <w:szCs w:val="24"/>
        </w:rPr>
      </w:pPr>
      <w:r>
        <w:rPr>
          <w:rFonts w:hAnsi="宋体" w:cs="宋体"/>
          <w:bCs/>
          <w:sz w:val="24"/>
          <w:szCs w:val="24"/>
        </w:rPr>
        <w:t>10.在生产操作过程中的承包人员工的防护用品由承包人自理，承包人应督促施工现场人员自觉穿戴好防护用品。</w:t>
      </w:r>
    </w:p>
    <w:p w14:paraId="5E3C4DD5">
      <w:pPr>
        <w:pStyle w:val="209"/>
        <w:spacing w:line="360" w:lineRule="auto"/>
        <w:ind w:firstLine="480"/>
        <w:rPr>
          <w:rFonts w:hAnsi="宋体" w:cs="宋体"/>
          <w:bCs/>
          <w:sz w:val="24"/>
          <w:szCs w:val="24"/>
        </w:rPr>
      </w:pPr>
      <w:r>
        <w:rPr>
          <w:rFonts w:hAnsi="宋体" w:cs="宋体"/>
          <w:bCs/>
          <w:sz w:val="24"/>
          <w:szCs w:val="24"/>
        </w:rPr>
        <w:t>11.承包人的工作人员对所在的施工区域、作业环境、操作设施设备、工具用具等必须认真检查，发现隐患立即停止施工，待落实整改后方准施工。一经施工，就表示该施工单位确认施工场所、作业环境、设施设备、工具用具等符合安全要求和处于安全状态。承包人对施工过程中由于上述因素不良而导致的事故后果负责。</w:t>
      </w:r>
    </w:p>
    <w:p w14:paraId="07A7BDA7">
      <w:pPr>
        <w:pStyle w:val="209"/>
        <w:spacing w:line="360" w:lineRule="auto"/>
        <w:ind w:firstLine="480"/>
        <w:rPr>
          <w:rFonts w:hAnsi="宋体" w:cs="宋体"/>
          <w:bCs/>
          <w:sz w:val="24"/>
          <w:szCs w:val="24"/>
        </w:rPr>
      </w:pPr>
      <w:r>
        <w:rPr>
          <w:rFonts w:hAnsi="宋体" w:cs="宋体"/>
          <w:bCs/>
          <w:sz w:val="24"/>
          <w:szCs w:val="24"/>
        </w:rPr>
        <w:t>12.承包人应自备在施服务期间所要使用的各种设备及工具。如承包人必须向发包人借用或租赁，承包人应办理借用或租赁手续，制订有关安全使用和管理制度。借出方应保证借出的设备和工具完好并符合安全要求，借入方必须进行检查，并做好书面记录。借入方一经接收，设备和工具的保管、</w:t>
      </w:r>
      <w:r>
        <w:rPr>
          <w:rFonts w:hint="eastAsia" w:hAnsi="宋体" w:cs="宋体"/>
          <w:bCs/>
          <w:sz w:val="24"/>
          <w:szCs w:val="24"/>
        </w:rPr>
        <w:t>维修应由借入方负责，并严格执行安全操作规程。在使用过程中，借入方应对由于设备、工具因素或操作不当而造成的伤亡事故负责。</w:t>
      </w:r>
    </w:p>
    <w:p w14:paraId="6C66D1DA">
      <w:pPr>
        <w:pStyle w:val="209"/>
        <w:spacing w:line="360" w:lineRule="auto"/>
        <w:ind w:firstLine="480"/>
        <w:rPr>
          <w:rFonts w:hAnsi="宋体" w:cs="宋体"/>
          <w:bCs/>
          <w:sz w:val="24"/>
          <w:szCs w:val="24"/>
        </w:rPr>
      </w:pPr>
      <w:r>
        <w:rPr>
          <w:rFonts w:hAnsi="宋体" w:cs="宋体"/>
          <w:bCs/>
          <w:sz w:val="24"/>
          <w:szCs w:val="24"/>
        </w:rPr>
        <w:t>13.承包人的工作人员不得擅自拆除、更动施工现场的脚手架、各类安全防护设施、安全标志和警告牌。如确实需要拆除、更动的，必须经工地施工负责人和承包人指派的安全管理人员的同意，并采取必要、可靠的安全措施后方能拆除、更动。承包人的工作人员擅自拆除、更动所造成的后果，由承包人的工作人员及承包人负责。</w:t>
      </w:r>
    </w:p>
    <w:p w14:paraId="69DE750B">
      <w:pPr>
        <w:pStyle w:val="209"/>
        <w:spacing w:line="360" w:lineRule="auto"/>
        <w:ind w:firstLine="480"/>
        <w:rPr>
          <w:rFonts w:hAnsi="宋体" w:cs="宋体"/>
          <w:bCs/>
          <w:sz w:val="24"/>
          <w:szCs w:val="24"/>
        </w:rPr>
      </w:pPr>
      <w:r>
        <w:rPr>
          <w:rFonts w:hAnsi="宋体" w:cs="宋体"/>
          <w:bCs/>
          <w:sz w:val="24"/>
          <w:szCs w:val="24"/>
        </w:rPr>
        <w:t>14.承包人的特种作业人员必须根据《特种作业人员安全技术培训考核管理规定》的要求，经省、市、区的特种作业安全技术考核站培训考核合格后持证上岗，并按规定定期验证；中、小型机械的操作人员必须按规定做到“定机定人”和有证操作；严禁不懂电器、机械的人擅自操作使用电器、机械设备。</w:t>
      </w:r>
    </w:p>
    <w:p w14:paraId="3D0AC58B">
      <w:pPr>
        <w:pStyle w:val="209"/>
        <w:spacing w:line="360" w:lineRule="auto"/>
        <w:ind w:firstLine="480"/>
        <w:rPr>
          <w:rFonts w:hAnsi="宋体" w:cs="宋体"/>
          <w:bCs/>
          <w:sz w:val="24"/>
          <w:szCs w:val="24"/>
        </w:rPr>
      </w:pPr>
      <w:r>
        <w:rPr>
          <w:rFonts w:hAnsi="宋体" w:cs="宋体"/>
          <w:bCs/>
          <w:sz w:val="24"/>
          <w:szCs w:val="24"/>
        </w:rPr>
        <w:t>15.承包人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2409ACBB">
      <w:pPr>
        <w:pStyle w:val="209"/>
        <w:spacing w:line="360" w:lineRule="auto"/>
        <w:ind w:firstLine="480"/>
        <w:rPr>
          <w:rFonts w:hAnsi="宋体" w:cs="宋体"/>
          <w:bCs/>
          <w:sz w:val="24"/>
          <w:szCs w:val="24"/>
        </w:rPr>
      </w:pPr>
      <w:r>
        <w:rPr>
          <w:rFonts w:hAnsi="宋体" w:cs="宋体"/>
          <w:bCs/>
          <w:sz w:val="24"/>
          <w:szCs w:val="24"/>
        </w:rPr>
        <w:t>16.承包人需用发包人提供的电气设备时，在使用前应先进行检测，并做好检测记录，如不符合安全规定的应及时向发包人提出，发包人整改合格后方准使用，违反本规定或不经发包人许可，擅自乱拉电气线路造成的后果均由承包人负责。承包人配电系统必须有专人24小时值班，工地生活区内严禁乱拉乱接电线，严禁使用电炉、电饭煲、电饭锅、电取暖器等，防止漏电触电事故发生。</w:t>
      </w:r>
    </w:p>
    <w:p w14:paraId="1D21CAB6">
      <w:pPr>
        <w:pStyle w:val="209"/>
        <w:spacing w:line="360" w:lineRule="auto"/>
        <w:ind w:firstLine="480"/>
        <w:rPr>
          <w:rFonts w:hAnsi="宋体" w:cs="宋体"/>
          <w:bCs/>
          <w:sz w:val="24"/>
          <w:szCs w:val="24"/>
        </w:rPr>
      </w:pPr>
      <w:r>
        <w:rPr>
          <w:rFonts w:hAnsi="宋体" w:cs="宋体"/>
          <w:bCs/>
          <w:sz w:val="24"/>
          <w:szCs w:val="24"/>
        </w:rPr>
        <w:t>17.承包人在施工中，应注意地下管线及高压架空线路的保护。发包人对地下管线和障碍物应详细交底。承包人应贯彻交底要求，如遇有情况，应及时向发包人和有关部门联系，采取保护措施。</w:t>
      </w:r>
    </w:p>
    <w:p w14:paraId="504AFC4D">
      <w:pPr>
        <w:pStyle w:val="209"/>
        <w:spacing w:line="360" w:lineRule="auto"/>
        <w:ind w:firstLine="480"/>
        <w:rPr>
          <w:rFonts w:hAnsi="宋体" w:cs="宋体"/>
          <w:bCs/>
          <w:sz w:val="24"/>
          <w:szCs w:val="24"/>
        </w:rPr>
      </w:pPr>
      <w:r>
        <w:rPr>
          <w:rFonts w:hAnsi="宋体" w:cs="宋体"/>
          <w:bCs/>
          <w:sz w:val="24"/>
          <w:szCs w:val="24"/>
        </w:rPr>
        <w:t>18.贯彻谁施工谁负责安全的原则。承包人应对在施工过程中发生的人身伤亡、火灾等一切事故负责。发包人只负责教育的责任。承包人的工作人员在施服务期间造成伤亡、火灾、机械故障等重大事故，承包人应进行紧急抢救伤员和保护现场，发包人予以协助，承包人按国务院及江苏省有关事故报告规定在事故发生后及时报告上级主管部门及市、区（县）劳动保护监察和安全生产部门等有关机构。承包人应承担事故的损失和善后处理费用。</w:t>
      </w:r>
    </w:p>
    <w:p w14:paraId="1E7822EF">
      <w:pPr>
        <w:pStyle w:val="209"/>
        <w:spacing w:line="360" w:lineRule="auto"/>
        <w:ind w:firstLine="480"/>
        <w:rPr>
          <w:rFonts w:hAnsi="宋体" w:cs="宋体"/>
          <w:bCs/>
          <w:sz w:val="24"/>
          <w:szCs w:val="24"/>
        </w:rPr>
      </w:pPr>
      <w:r>
        <w:rPr>
          <w:rFonts w:hAnsi="宋体" w:cs="宋体"/>
          <w:bCs/>
          <w:sz w:val="24"/>
          <w:szCs w:val="24"/>
        </w:rPr>
        <w:t>19.本协议同工程施工合同同日签订同日生效，与工程施工合同具有同等法律效力，承发包双方必须严格执行，如由于违反本协议而造成伤亡事故，违约方承担一切责任。</w:t>
      </w:r>
    </w:p>
    <w:p w14:paraId="22B15FB5">
      <w:pPr>
        <w:pStyle w:val="209"/>
        <w:spacing w:line="360" w:lineRule="auto"/>
        <w:rPr>
          <w:rFonts w:hAnsi="宋体" w:cs="宋体"/>
          <w:bCs/>
          <w:sz w:val="24"/>
          <w:szCs w:val="24"/>
        </w:rPr>
      </w:pPr>
    </w:p>
    <w:p w14:paraId="1A0DC150">
      <w:pPr>
        <w:pStyle w:val="209"/>
        <w:spacing w:line="360" w:lineRule="auto"/>
        <w:rPr>
          <w:rFonts w:hAnsi="宋体" w:cs="宋体"/>
          <w:bCs/>
          <w:sz w:val="24"/>
          <w:szCs w:val="24"/>
        </w:rPr>
      </w:pPr>
      <w:r>
        <w:rPr>
          <w:rFonts w:hint="eastAsia" w:hAnsi="宋体" w:cs="宋体"/>
          <w:bCs/>
          <w:sz w:val="24"/>
          <w:szCs w:val="24"/>
        </w:rPr>
        <w:t>发包人：（盖章）承包人：（盖章）</w:t>
      </w:r>
    </w:p>
    <w:p w14:paraId="5AB1D326">
      <w:pPr>
        <w:pStyle w:val="209"/>
        <w:spacing w:line="360" w:lineRule="auto"/>
        <w:rPr>
          <w:rFonts w:hAnsi="宋体" w:cs="宋体"/>
          <w:bCs/>
          <w:sz w:val="24"/>
          <w:szCs w:val="24"/>
        </w:rPr>
      </w:pPr>
    </w:p>
    <w:p w14:paraId="083A0348">
      <w:pPr>
        <w:pStyle w:val="209"/>
        <w:spacing w:line="360" w:lineRule="auto"/>
        <w:rPr>
          <w:rFonts w:hAnsi="宋体" w:cs="宋体"/>
          <w:bCs/>
          <w:sz w:val="24"/>
          <w:szCs w:val="24"/>
        </w:rPr>
      </w:pPr>
      <w:r>
        <w:rPr>
          <w:rFonts w:hint="eastAsia" w:hAnsi="宋体" w:cs="宋体"/>
          <w:bCs/>
          <w:sz w:val="24"/>
          <w:szCs w:val="24"/>
        </w:rPr>
        <w:t>法定代表人（或授权委托人）：法定代表人（或授权委托人）：</w:t>
      </w:r>
    </w:p>
    <w:p w14:paraId="054364C7">
      <w:pPr>
        <w:spacing w:line="360" w:lineRule="auto"/>
        <w:rPr>
          <w:rFonts w:ascii="宋体" w:hAnsi="宋体" w:cs="宋体"/>
          <w:sz w:val="24"/>
        </w:rPr>
      </w:pPr>
      <w:r>
        <w:rPr>
          <w:rFonts w:hint="eastAsia" w:ascii="宋体" w:hAnsi="宋体" w:cs="宋体"/>
          <w:bCs/>
          <w:sz w:val="24"/>
        </w:rPr>
        <w:t>地址：地址：</w:t>
      </w:r>
    </w:p>
    <w:p w14:paraId="2361646D">
      <w:pPr>
        <w:pStyle w:val="209"/>
        <w:spacing w:line="360" w:lineRule="auto"/>
        <w:rPr>
          <w:rFonts w:hAnsi="宋体" w:cs="宋体"/>
          <w:bCs/>
          <w:sz w:val="24"/>
          <w:szCs w:val="24"/>
        </w:rPr>
      </w:pPr>
    </w:p>
    <w:p w14:paraId="5758D14C">
      <w:pPr>
        <w:pStyle w:val="209"/>
        <w:spacing w:line="360" w:lineRule="auto"/>
        <w:rPr>
          <w:rFonts w:hAnsi="宋体" w:cs="宋体"/>
          <w:sz w:val="24"/>
          <w:szCs w:val="24"/>
        </w:rPr>
      </w:pPr>
      <w:r>
        <w:rPr>
          <w:rFonts w:hAnsi="宋体" w:cs="宋体"/>
          <w:sz w:val="24"/>
          <w:szCs w:val="24"/>
        </w:rPr>
        <w:t>日     期：                              日     期：</w:t>
      </w:r>
    </w:p>
    <w:p w14:paraId="2737AF54">
      <w:pPr>
        <w:spacing w:line="360" w:lineRule="auto"/>
        <w:ind w:firstLine="480"/>
        <w:rPr>
          <w:color w:val="000000"/>
          <w:sz w:val="24"/>
        </w:rPr>
      </w:pPr>
      <w:r>
        <w:rPr>
          <w:rFonts w:hint="eastAsia" w:ascii="宋体" w:hAnsi="宋体" w:cs="宋体"/>
          <w:color w:val="000000"/>
          <w:sz w:val="24"/>
        </w:rPr>
        <w:t>。</w:t>
      </w:r>
    </w:p>
    <w:p w14:paraId="6978A4D3">
      <w:pPr>
        <w:spacing w:line="360" w:lineRule="auto"/>
        <w:ind w:firstLine="1800"/>
        <w:rPr>
          <w:b/>
          <w:color w:val="000000"/>
          <w:sz w:val="44"/>
          <w:szCs w:val="22"/>
          <w:lang w:val="zh-CN"/>
        </w:rPr>
      </w:pPr>
      <w:r>
        <w:rPr>
          <w:rFonts w:hint="eastAsia"/>
          <w:b/>
          <w:color w:val="000000"/>
          <w:sz w:val="44"/>
          <w:szCs w:val="22"/>
          <w:lang w:val="zh-CN"/>
        </w:rPr>
        <w:br w:type="page" w:clear="all"/>
      </w:r>
      <w:r>
        <w:rPr>
          <w:rFonts w:hint="eastAsia"/>
          <w:b/>
          <w:color w:val="000000"/>
          <w:sz w:val="44"/>
          <w:szCs w:val="22"/>
          <w:lang w:val="zh-CN"/>
        </w:rPr>
        <w:t xml:space="preserve">第六章 </w:t>
      </w:r>
      <w:r>
        <w:rPr>
          <w:rFonts w:hint="eastAsia"/>
          <w:b/>
          <w:color w:val="000000"/>
          <w:sz w:val="44"/>
          <w:szCs w:val="22"/>
        </w:rPr>
        <w:t>投标</w:t>
      </w:r>
      <w:r>
        <w:rPr>
          <w:rFonts w:hint="eastAsia"/>
          <w:b/>
          <w:color w:val="000000"/>
          <w:sz w:val="44"/>
          <w:szCs w:val="22"/>
          <w:lang w:val="zh-CN"/>
        </w:rPr>
        <w:t>文件格式及附件</w:t>
      </w:r>
    </w:p>
    <w:p w14:paraId="1826C562">
      <w:pPr>
        <w:pStyle w:val="327"/>
        <w:tabs>
          <w:tab w:val="left" w:pos="708"/>
        </w:tabs>
        <w:spacing w:line="468" w:lineRule="exact"/>
        <w:jc w:val="left"/>
        <w:rPr>
          <w:rFonts w:ascii="宋体" w:hAnsi="宋体" w:eastAsia="宋体"/>
          <w:color w:val="000000"/>
          <w:sz w:val="21"/>
          <w:szCs w:val="24"/>
          <w:lang w:val="zh-CN" w:eastAsia="zh-CN" w:bidi="ar-SA"/>
        </w:rPr>
      </w:pPr>
    </w:p>
    <w:p w14:paraId="0DDB6E52">
      <w:pPr>
        <w:jc w:val="center"/>
        <w:rPr>
          <w:rFonts w:ascii="宋体" w:hAnsi="宋体"/>
          <w:b/>
          <w:sz w:val="72"/>
          <w:szCs w:val="72"/>
        </w:rPr>
      </w:pPr>
    </w:p>
    <w:p w14:paraId="00AC5349">
      <w:pPr>
        <w:jc w:val="center"/>
        <w:rPr>
          <w:rFonts w:ascii="宋体" w:hAnsi="宋体"/>
          <w:b/>
          <w:sz w:val="72"/>
        </w:rPr>
      </w:pPr>
      <w:r>
        <w:rPr>
          <w:rFonts w:hint="eastAsia" w:ascii="宋体" w:hAnsi="宋体"/>
          <w:b/>
          <w:sz w:val="72"/>
          <w:szCs w:val="72"/>
        </w:rPr>
        <w:t>投标文件</w:t>
      </w:r>
    </w:p>
    <w:p w14:paraId="151C2267">
      <w:pPr>
        <w:ind w:firstLine="3708"/>
        <w:rPr>
          <w:rFonts w:ascii="宋体" w:hAnsi="宋体"/>
          <w:b/>
          <w:sz w:val="36"/>
        </w:rPr>
      </w:pPr>
    </w:p>
    <w:p w14:paraId="238F9CB2">
      <w:pPr>
        <w:jc w:val="center"/>
        <w:rPr>
          <w:rFonts w:ascii="宋体" w:hAnsi="宋体"/>
          <w:b/>
          <w:sz w:val="72"/>
        </w:rPr>
      </w:pPr>
    </w:p>
    <w:p w14:paraId="1D270F95">
      <w:pPr>
        <w:jc w:val="center"/>
        <w:rPr>
          <w:rFonts w:ascii="宋体" w:hAnsi="宋体"/>
          <w:b/>
          <w:sz w:val="36"/>
        </w:rPr>
      </w:pPr>
    </w:p>
    <w:p w14:paraId="01529F11">
      <w:pPr>
        <w:jc w:val="center"/>
        <w:rPr>
          <w:rFonts w:ascii="宋体" w:hAnsi="宋体"/>
          <w:b/>
          <w:sz w:val="36"/>
        </w:rPr>
      </w:pPr>
    </w:p>
    <w:p w14:paraId="09A1E1D2">
      <w:pPr>
        <w:jc w:val="center"/>
        <w:rPr>
          <w:rFonts w:ascii="宋体" w:hAnsi="宋体"/>
          <w:b/>
          <w:sz w:val="36"/>
        </w:rPr>
      </w:pPr>
    </w:p>
    <w:p w14:paraId="2F72F262">
      <w:pPr>
        <w:ind w:firstLine="904"/>
        <w:rPr>
          <w:rFonts w:ascii="宋体" w:hAnsi="宋体"/>
          <w:b/>
          <w:sz w:val="30"/>
          <w:szCs w:val="30"/>
        </w:rPr>
      </w:pPr>
      <w:r>
        <w:rPr>
          <w:rFonts w:hint="eastAsia" w:ascii="宋体" w:hAnsi="宋体"/>
          <w:b/>
          <w:sz w:val="30"/>
          <w:szCs w:val="30"/>
        </w:rPr>
        <w:t xml:space="preserve">        项 目 编号： </w:t>
      </w:r>
      <w:r>
        <w:rPr>
          <w:rFonts w:hint="eastAsia" w:ascii="宋体" w:hAnsi="宋体"/>
          <w:b/>
          <w:sz w:val="30"/>
          <w:szCs w:val="30"/>
          <w:u w:val="single"/>
        </w:rPr>
        <w:t xml:space="preserve">               </w:t>
      </w:r>
    </w:p>
    <w:p w14:paraId="1FB6DA28">
      <w:pPr>
        <w:ind w:firstLine="904"/>
        <w:rPr>
          <w:rFonts w:ascii="宋体" w:hAnsi="宋体"/>
          <w:b/>
          <w:sz w:val="30"/>
          <w:szCs w:val="30"/>
          <w:u w:val="single"/>
        </w:rPr>
      </w:pPr>
      <w:r>
        <w:rPr>
          <w:rFonts w:hint="eastAsia" w:ascii="宋体" w:hAnsi="宋体"/>
          <w:b/>
          <w:sz w:val="30"/>
          <w:szCs w:val="30"/>
        </w:rPr>
        <w:t xml:space="preserve">        项 目 名称： </w:t>
      </w:r>
      <w:r>
        <w:rPr>
          <w:rFonts w:hint="eastAsia" w:ascii="宋体" w:hAnsi="宋体"/>
          <w:b/>
          <w:sz w:val="30"/>
          <w:szCs w:val="30"/>
          <w:u w:val="single"/>
        </w:rPr>
        <w:t xml:space="preserve">               </w:t>
      </w:r>
    </w:p>
    <w:p w14:paraId="0442EB86">
      <w:pPr>
        <w:rPr>
          <w:rFonts w:ascii="宋体" w:hAnsi="宋体"/>
          <w:b/>
          <w:sz w:val="30"/>
          <w:szCs w:val="30"/>
        </w:rPr>
      </w:pPr>
    </w:p>
    <w:p w14:paraId="1C843CDB">
      <w:pPr>
        <w:rPr>
          <w:rFonts w:ascii="宋体" w:hAnsi="宋体"/>
          <w:b/>
          <w:sz w:val="30"/>
          <w:szCs w:val="30"/>
        </w:rPr>
      </w:pPr>
    </w:p>
    <w:p w14:paraId="461B34BC">
      <w:pPr>
        <w:rPr>
          <w:rFonts w:ascii="宋体" w:hAnsi="宋体"/>
          <w:b/>
          <w:sz w:val="30"/>
          <w:szCs w:val="30"/>
        </w:rPr>
      </w:pPr>
    </w:p>
    <w:p w14:paraId="5047DA21">
      <w:pPr>
        <w:rPr>
          <w:rFonts w:ascii="宋体" w:hAnsi="宋体"/>
          <w:b/>
          <w:sz w:val="30"/>
          <w:szCs w:val="30"/>
        </w:rPr>
      </w:pPr>
    </w:p>
    <w:p w14:paraId="59DDC6C9">
      <w:pPr>
        <w:pStyle w:val="239"/>
        <w:ind w:firstLine="400"/>
      </w:pPr>
    </w:p>
    <w:p w14:paraId="30317152">
      <w:pPr>
        <w:rPr>
          <w:rFonts w:ascii="宋体" w:hAnsi="宋体"/>
          <w:b/>
          <w:sz w:val="30"/>
          <w:szCs w:val="30"/>
        </w:rPr>
      </w:pPr>
    </w:p>
    <w:p w14:paraId="77533746">
      <w:pPr>
        <w:rPr>
          <w:rFonts w:ascii="宋体" w:hAnsi="宋体"/>
          <w:b/>
          <w:sz w:val="30"/>
          <w:szCs w:val="30"/>
          <w:u w:val="single"/>
        </w:rPr>
      </w:pPr>
      <w:r>
        <w:rPr>
          <w:rFonts w:hint="eastAsia" w:ascii="宋体" w:hAnsi="宋体"/>
          <w:b/>
          <w:sz w:val="30"/>
          <w:szCs w:val="30"/>
        </w:rPr>
        <w:t xml:space="preserve">             供应商名称 ：</w:t>
      </w:r>
      <w:r>
        <w:rPr>
          <w:rFonts w:hint="eastAsia" w:ascii="宋体" w:hAnsi="宋体"/>
          <w:b/>
          <w:sz w:val="30"/>
          <w:szCs w:val="30"/>
          <w:u w:val="single"/>
        </w:rPr>
        <w:t xml:space="preserve">               </w:t>
      </w:r>
    </w:p>
    <w:p w14:paraId="3BF4F293">
      <w:pPr>
        <w:rPr>
          <w:rFonts w:ascii="宋体" w:hAnsi="宋体"/>
          <w:b/>
          <w:sz w:val="30"/>
          <w:szCs w:val="30"/>
        </w:rPr>
      </w:pPr>
      <w:r>
        <w:rPr>
          <w:rFonts w:hint="eastAsia" w:ascii="宋体" w:hAnsi="宋体"/>
          <w:b/>
          <w:sz w:val="30"/>
          <w:szCs w:val="30"/>
        </w:rPr>
        <w:t xml:space="preserve">             日      期 ：</w:t>
      </w:r>
      <w:r>
        <w:rPr>
          <w:rFonts w:hint="eastAsia" w:ascii="宋体" w:hAnsi="宋体"/>
          <w:b/>
          <w:sz w:val="30"/>
          <w:szCs w:val="30"/>
          <w:u w:val="single"/>
        </w:rPr>
        <w:t xml:space="preserve">               </w:t>
      </w:r>
    </w:p>
    <w:p w14:paraId="4132A1A2">
      <w:pPr>
        <w:pStyle w:val="239"/>
        <w:ind w:firstLine="400"/>
      </w:pPr>
    </w:p>
    <w:p w14:paraId="33998086">
      <w:pPr>
        <w:pStyle w:val="239"/>
        <w:rPr>
          <w:rStyle w:val="308"/>
        </w:rPr>
      </w:pPr>
      <w:bookmarkStart w:id="16" w:name="_Toc489655320"/>
    </w:p>
    <w:p w14:paraId="06D54D6D">
      <w:pPr>
        <w:pStyle w:val="239"/>
        <w:ind w:firstLine="400"/>
      </w:pPr>
    </w:p>
    <w:p w14:paraId="3E07C1F8">
      <w:pPr>
        <w:jc w:val="center"/>
        <w:outlineLvl w:val="0"/>
        <w:rPr>
          <w:rFonts w:ascii="宋体" w:hAnsi="宋体"/>
          <w:b/>
          <w:bCs/>
          <w:sz w:val="32"/>
          <w:szCs w:val="32"/>
        </w:rPr>
      </w:pPr>
    </w:p>
    <w:p w14:paraId="6C183B45">
      <w:pPr>
        <w:rPr>
          <w:rFonts w:ascii="宋体" w:hAnsi="宋体"/>
          <w:b/>
          <w:bCs/>
          <w:sz w:val="32"/>
          <w:szCs w:val="32"/>
        </w:rPr>
      </w:pPr>
      <w:r>
        <w:rPr>
          <w:rFonts w:hint="eastAsia" w:ascii="宋体" w:hAnsi="宋体"/>
          <w:b/>
          <w:bCs/>
          <w:sz w:val="32"/>
          <w:szCs w:val="32"/>
        </w:rPr>
        <w:br w:type="page" w:clear="all"/>
      </w:r>
    </w:p>
    <w:p w14:paraId="18EFEA0C">
      <w:pPr>
        <w:jc w:val="center"/>
        <w:outlineLvl w:val="0"/>
        <w:rPr>
          <w:rFonts w:ascii="宋体" w:hAnsi="宋体"/>
          <w:b/>
          <w:bCs/>
          <w:sz w:val="32"/>
          <w:szCs w:val="32"/>
        </w:rPr>
      </w:pPr>
      <w:r>
        <w:rPr>
          <w:rFonts w:hint="eastAsia" w:ascii="宋体" w:hAnsi="宋体"/>
          <w:b/>
          <w:bCs/>
          <w:sz w:val="32"/>
          <w:szCs w:val="32"/>
        </w:rPr>
        <w:t>投标文件主要目录</w:t>
      </w:r>
      <w:bookmarkEnd w:id="16"/>
      <w:r>
        <w:rPr>
          <w:rFonts w:hint="eastAsia" w:ascii="宋体" w:hAnsi="宋体"/>
          <w:b/>
          <w:bCs/>
          <w:sz w:val="32"/>
          <w:szCs w:val="32"/>
        </w:rPr>
        <w:t>及相关证明材料格式、附件</w:t>
      </w:r>
    </w:p>
    <w:p w14:paraId="5D764DED">
      <w:pPr>
        <w:rPr>
          <w:rFonts w:ascii="宋体" w:hAnsi="宋体"/>
          <w:sz w:val="28"/>
          <w:szCs w:val="28"/>
        </w:rPr>
      </w:pPr>
    </w:p>
    <w:p w14:paraId="228225DB">
      <w:pPr>
        <w:numPr>
          <w:ilvl w:val="0"/>
          <w:numId w:val="2"/>
        </w:numPr>
        <w:spacing w:line="360" w:lineRule="auto"/>
        <w:rPr>
          <w:rFonts w:ascii="宋体" w:hAnsi="宋体"/>
          <w:sz w:val="28"/>
          <w:szCs w:val="28"/>
        </w:rPr>
      </w:pPr>
      <w:r>
        <w:rPr>
          <w:rFonts w:hint="eastAsia" w:ascii="宋体" w:hAnsi="宋体"/>
          <w:sz w:val="28"/>
          <w:szCs w:val="28"/>
        </w:rPr>
        <w:t>投标申请及声明</w:t>
      </w:r>
    </w:p>
    <w:p w14:paraId="3CAEC22C">
      <w:pPr>
        <w:numPr>
          <w:ilvl w:val="0"/>
          <w:numId w:val="2"/>
        </w:numPr>
        <w:spacing w:line="360" w:lineRule="auto"/>
        <w:rPr>
          <w:rFonts w:ascii="宋体" w:hAnsi="宋体"/>
          <w:sz w:val="28"/>
          <w:szCs w:val="28"/>
        </w:rPr>
      </w:pPr>
      <w:r>
        <w:rPr>
          <w:rFonts w:hint="eastAsia" w:ascii="宋体" w:hAnsi="宋体"/>
          <w:sz w:val="28"/>
          <w:szCs w:val="28"/>
        </w:rPr>
        <w:t>法定代表人授权书</w:t>
      </w:r>
    </w:p>
    <w:p w14:paraId="51FE80EC">
      <w:pPr>
        <w:numPr>
          <w:ilvl w:val="0"/>
          <w:numId w:val="2"/>
        </w:numPr>
        <w:spacing w:line="360" w:lineRule="auto"/>
        <w:rPr>
          <w:rFonts w:ascii="宋体" w:hAnsi="宋体"/>
          <w:sz w:val="28"/>
          <w:szCs w:val="28"/>
        </w:rPr>
      </w:pPr>
      <w:r>
        <w:rPr>
          <w:rFonts w:hint="eastAsia" w:ascii="宋体" w:hAnsi="宋体"/>
          <w:sz w:val="28"/>
          <w:szCs w:val="28"/>
        </w:rPr>
        <w:t>开标一览表</w:t>
      </w:r>
    </w:p>
    <w:p w14:paraId="57A8AB3B">
      <w:pPr>
        <w:numPr>
          <w:ilvl w:val="0"/>
          <w:numId w:val="2"/>
        </w:numPr>
        <w:spacing w:line="360" w:lineRule="auto"/>
        <w:rPr>
          <w:rFonts w:ascii="宋体" w:hAnsi="宋体"/>
          <w:sz w:val="28"/>
          <w:szCs w:val="28"/>
        </w:rPr>
      </w:pPr>
      <w:r>
        <w:rPr>
          <w:rFonts w:hint="eastAsia" w:ascii="宋体" w:hAnsi="宋体"/>
          <w:sz w:val="28"/>
          <w:szCs w:val="28"/>
        </w:rPr>
        <w:t>资格证明文件</w:t>
      </w:r>
    </w:p>
    <w:p w14:paraId="6E01788A">
      <w:pPr>
        <w:numPr>
          <w:ilvl w:val="0"/>
          <w:numId w:val="2"/>
        </w:numPr>
        <w:spacing w:line="360" w:lineRule="auto"/>
        <w:rPr>
          <w:rFonts w:ascii="宋体" w:hAnsi="宋体"/>
          <w:sz w:val="28"/>
          <w:szCs w:val="28"/>
        </w:rPr>
      </w:pPr>
      <w:r>
        <w:rPr>
          <w:rFonts w:hint="eastAsia" w:ascii="宋体" w:hAnsi="宋体"/>
          <w:sz w:val="28"/>
          <w:szCs w:val="28"/>
        </w:rPr>
        <w:t>分项报价表</w:t>
      </w:r>
    </w:p>
    <w:p w14:paraId="4606A2B2">
      <w:pPr>
        <w:numPr>
          <w:ilvl w:val="0"/>
          <w:numId w:val="2"/>
        </w:numPr>
        <w:spacing w:line="360" w:lineRule="auto"/>
        <w:rPr>
          <w:rFonts w:ascii="宋体" w:hAnsi="宋体"/>
          <w:sz w:val="28"/>
          <w:szCs w:val="28"/>
        </w:rPr>
      </w:pPr>
      <w:r>
        <w:rPr>
          <w:rFonts w:hint="eastAsia" w:ascii="宋体" w:hAnsi="宋体"/>
          <w:sz w:val="28"/>
          <w:szCs w:val="28"/>
        </w:rPr>
        <w:t>商务条款偏离表</w:t>
      </w:r>
    </w:p>
    <w:p w14:paraId="2A573150">
      <w:pPr>
        <w:numPr>
          <w:ilvl w:val="0"/>
          <w:numId w:val="2"/>
        </w:numPr>
        <w:spacing w:line="360" w:lineRule="auto"/>
        <w:rPr>
          <w:rFonts w:ascii="宋体" w:hAnsi="宋体"/>
          <w:sz w:val="28"/>
          <w:szCs w:val="28"/>
        </w:rPr>
      </w:pPr>
      <w:r>
        <w:rPr>
          <w:rFonts w:hint="eastAsia" w:ascii="宋体" w:hAnsi="宋体"/>
          <w:sz w:val="28"/>
          <w:szCs w:val="28"/>
        </w:rPr>
        <w:t>服务方案</w:t>
      </w:r>
    </w:p>
    <w:p w14:paraId="0D80CF19">
      <w:pPr>
        <w:numPr>
          <w:ilvl w:val="0"/>
          <w:numId w:val="2"/>
        </w:numPr>
        <w:spacing w:line="360" w:lineRule="auto"/>
        <w:rPr>
          <w:rFonts w:ascii="宋体" w:hAnsi="宋体"/>
          <w:sz w:val="28"/>
          <w:szCs w:val="28"/>
        </w:rPr>
      </w:pPr>
      <w:r>
        <w:rPr>
          <w:rFonts w:hint="eastAsia" w:ascii="宋体" w:hAnsi="宋体"/>
          <w:sz w:val="28"/>
          <w:szCs w:val="28"/>
        </w:rPr>
        <w:t>投标需要的其他证明文件及材料（若有)</w:t>
      </w:r>
    </w:p>
    <w:p w14:paraId="552C14F6">
      <w:pPr>
        <w:numPr>
          <w:ilvl w:val="0"/>
          <w:numId w:val="2"/>
        </w:numPr>
        <w:spacing w:line="360" w:lineRule="auto"/>
        <w:rPr>
          <w:rFonts w:ascii="宋体" w:hAnsi="宋体"/>
          <w:sz w:val="28"/>
          <w:szCs w:val="28"/>
        </w:rPr>
      </w:pPr>
      <w:r>
        <w:rPr>
          <w:rFonts w:hint="eastAsia" w:ascii="宋体" w:hAnsi="宋体"/>
          <w:sz w:val="28"/>
          <w:szCs w:val="28"/>
        </w:rPr>
        <w:t>资格性和符合性审查响应对照表</w:t>
      </w:r>
    </w:p>
    <w:p w14:paraId="295A71C5">
      <w:pPr>
        <w:spacing w:line="360" w:lineRule="auto"/>
        <w:rPr>
          <w:rFonts w:ascii="宋体" w:hAnsi="宋体"/>
          <w:sz w:val="28"/>
          <w:szCs w:val="28"/>
        </w:rPr>
      </w:pPr>
    </w:p>
    <w:p w14:paraId="70D964D8">
      <w:pPr>
        <w:spacing w:line="360" w:lineRule="auto"/>
        <w:rPr>
          <w:rFonts w:ascii="宋体" w:hAnsi="宋体"/>
          <w:sz w:val="28"/>
          <w:szCs w:val="28"/>
        </w:rPr>
      </w:pPr>
      <w:r>
        <w:rPr>
          <w:rFonts w:hint="eastAsia" w:ascii="宋体" w:hAnsi="宋体"/>
          <w:sz w:val="28"/>
          <w:szCs w:val="28"/>
        </w:rPr>
        <w:t xml:space="preserve">            附件一、中小企业声明函格式</w:t>
      </w:r>
    </w:p>
    <w:p w14:paraId="01E34F4B">
      <w:pPr>
        <w:spacing w:line="360" w:lineRule="auto"/>
        <w:ind w:firstLine="1680"/>
        <w:rPr>
          <w:rFonts w:ascii="宋体" w:hAnsi="宋体"/>
          <w:sz w:val="28"/>
          <w:szCs w:val="28"/>
        </w:rPr>
      </w:pPr>
      <w:r>
        <w:rPr>
          <w:rFonts w:hint="eastAsia" w:ascii="宋体" w:hAnsi="宋体"/>
          <w:sz w:val="28"/>
          <w:szCs w:val="28"/>
        </w:rPr>
        <w:t>附件二、残疾人福利性单位声明函格式</w:t>
      </w:r>
    </w:p>
    <w:p w14:paraId="06226ECD">
      <w:pPr>
        <w:spacing w:line="360" w:lineRule="auto"/>
        <w:rPr>
          <w:rFonts w:ascii="宋体" w:hAnsi="宋体"/>
          <w:sz w:val="28"/>
          <w:szCs w:val="28"/>
        </w:rPr>
      </w:pPr>
      <w:r>
        <w:rPr>
          <w:rFonts w:hint="eastAsia" w:ascii="宋体" w:hAnsi="宋体"/>
          <w:sz w:val="28"/>
          <w:szCs w:val="28"/>
        </w:rPr>
        <w:t xml:space="preserve">            附件三、无重大违法记录声明格式</w:t>
      </w:r>
    </w:p>
    <w:p w14:paraId="27FAD705">
      <w:pPr>
        <w:spacing w:line="360" w:lineRule="auto"/>
        <w:rPr>
          <w:rFonts w:ascii="宋体" w:hAnsi="宋体"/>
          <w:sz w:val="28"/>
          <w:szCs w:val="28"/>
        </w:rPr>
      </w:pPr>
      <w:r>
        <w:rPr>
          <w:rFonts w:hint="eastAsia" w:ascii="宋体" w:hAnsi="宋体"/>
          <w:sz w:val="28"/>
          <w:szCs w:val="28"/>
        </w:rPr>
        <w:t xml:space="preserve">            附件四、 具备履行合同所必需的设备和专业技术能力的声明格式及证明材料</w:t>
      </w:r>
    </w:p>
    <w:p w14:paraId="61C9121C">
      <w:pPr>
        <w:spacing w:line="360" w:lineRule="auto"/>
        <w:rPr>
          <w:rFonts w:ascii="宋体" w:hAnsi="宋体"/>
          <w:sz w:val="28"/>
          <w:szCs w:val="28"/>
        </w:rPr>
      </w:pPr>
      <w:r>
        <w:rPr>
          <w:rFonts w:hint="eastAsia" w:ascii="宋体" w:hAnsi="宋体"/>
          <w:sz w:val="28"/>
          <w:szCs w:val="28"/>
        </w:rPr>
        <w:t xml:space="preserve">            附件五、《南京市政府采购供应商信用记录表暨信用承诺书》</w:t>
      </w:r>
    </w:p>
    <w:p w14:paraId="5EBE027A">
      <w:pPr>
        <w:spacing w:line="360" w:lineRule="auto"/>
        <w:rPr>
          <w:rFonts w:ascii="宋体"/>
          <w:b/>
          <w:bCs/>
          <w:sz w:val="24"/>
          <w:lang w:val="zh-CN"/>
        </w:rPr>
      </w:pPr>
    </w:p>
    <w:p w14:paraId="59832CEE">
      <w:pPr>
        <w:spacing w:line="360" w:lineRule="auto"/>
        <w:rPr>
          <w:rFonts w:ascii="宋体"/>
          <w:b/>
          <w:bCs/>
          <w:sz w:val="24"/>
          <w:lang w:val="zh-CN"/>
        </w:rPr>
      </w:pPr>
    </w:p>
    <w:p w14:paraId="3FB5C695">
      <w:pPr>
        <w:spacing w:line="360" w:lineRule="auto"/>
        <w:rPr>
          <w:rFonts w:ascii="宋体"/>
          <w:b/>
          <w:bCs/>
          <w:sz w:val="24"/>
          <w:lang w:val="zh-CN"/>
        </w:rPr>
      </w:pPr>
    </w:p>
    <w:p w14:paraId="0A746E37">
      <w:pPr>
        <w:spacing w:line="360" w:lineRule="auto"/>
        <w:rPr>
          <w:rFonts w:ascii="宋体"/>
          <w:b/>
          <w:bCs/>
          <w:sz w:val="24"/>
          <w:lang w:val="zh-CN"/>
        </w:rPr>
      </w:pPr>
      <w:r>
        <w:rPr>
          <w:rFonts w:hint="eastAsia" w:ascii="宋体"/>
          <w:b/>
          <w:bCs/>
          <w:sz w:val="24"/>
          <w:lang w:val="zh-CN"/>
        </w:rPr>
        <w:br w:type="page" w:clear="all"/>
      </w:r>
      <w:r>
        <w:rPr>
          <w:rFonts w:hint="eastAsia" w:ascii="宋体"/>
          <w:b/>
          <w:bCs/>
          <w:sz w:val="24"/>
          <w:lang w:val="zh-CN"/>
        </w:rPr>
        <w:t>目录一、投标申请及声明</w:t>
      </w:r>
    </w:p>
    <w:p w14:paraId="5ACC2EAD">
      <w:pPr>
        <w:spacing w:line="360" w:lineRule="auto"/>
        <w:jc w:val="center"/>
        <w:rPr>
          <w:rFonts w:ascii="黑体" w:eastAsia="黑体"/>
          <w:sz w:val="36"/>
          <w:szCs w:val="36"/>
        </w:rPr>
      </w:pPr>
      <w:r>
        <w:rPr>
          <w:rFonts w:hint="eastAsia" w:ascii="黑体" w:eastAsia="黑体"/>
          <w:sz w:val="36"/>
          <w:szCs w:val="36"/>
        </w:rPr>
        <w:t>投标申请及声明</w:t>
      </w:r>
    </w:p>
    <w:p w14:paraId="2FE35BF6">
      <w:pPr>
        <w:spacing w:line="360" w:lineRule="auto"/>
        <w:rPr>
          <w:rFonts w:ascii="宋体"/>
          <w:sz w:val="24"/>
          <w:lang w:val="zh-CN"/>
        </w:rPr>
      </w:pPr>
      <w:r>
        <w:rPr>
          <w:rFonts w:hint="eastAsia" w:ascii="宋体"/>
          <w:sz w:val="24"/>
          <w:lang w:val="zh-CN"/>
        </w:rPr>
        <w:t>致：中山陵园管理局</w:t>
      </w:r>
    </w:p>
    <w:p w14:paraId="61177BB8">
      <w:pPr>
        <w:spacing w:line="360" w:lineRule="auto"/>
        <w:ind w:firstLine="480"/>
        <w:rPr>
          <w:rFonts w:ascii="宋体"/>
          <w:sz w:val="24"/>
          <w:lang w:val="zh-CN"/>
        </w:rPr>
      </w:pPr>
      <w:r>
        <w:rPr>
          <w:rFonts w:hint="eastAsia" w:ascii="宋体"/>
          <w:sz w:val="24"/>
          <w:lang w:val="zh-CN"/>
        </w:rPr>
        <w:t>根据贵方</w:t>
      </w:r>
      <w:r>
        <w:rPr>
          <w:rFonts w:hint="eastAsia" w:ascii="宋体"/>
          <w:sz w:val="24"/>
          <w:u w:val="single"/>
          <w:lang w:val="zh-CN"/>
        </w:rPr>
        <w:t>紫金山松材线虫病无疫情成果巩固项目</w:t>
      </w:r>
      <w:r>
        <w:rPr>
          <w:rFonts w:hint="eastAsia" w:ascii="宋体"/>
          <w:sz w:val="24"/>
          <w:lang w:val="zh-CN"/>
        </w:rPr>
        <w:t>（项目名称）</w:t>
      </w:r>
      <w:r>
        <w:rPr>
          <w:rFonts w:hint="eastAsia" w:ascii="宋体"/>
          <w:sz w:val="24"/>
          <w:u w:val="single"/>
          <w:lang w:val="zh-CN"/>
        </w:rPr>
        <w:t>JSZC-320100-NJJK-G2026-0003</w:t>
      </w:r>
      <w:r>
        <w:rPr>
          <w:rFonts w:hint="eastAsia" w:ascii="宋体"/>
          <w:sz w:val="24"/>
          <w:lang w:val="zh-CN"/>
        </w:rPr>
        <w:t>（项目编号）投标邀请，我方授权</w:t>
      </w:r>
      <w:r>
        <w:rPr>
          <w:rFonts w:hint="eastAsia" w:ascii="宋体"/>
          <w:sz w:val="24"/>
        </w:rPr>
        <w:t>_________</w:t>
      </w:r>
      <w:r>
        <w:rPr>
          <w:rFonts w:hint="eastAsia" w:ascii="宋体"/>
          <w:sz w:val="24"/>
          <w:lang w:val="zh-CN"/>
        </w:rPr>
        <w:t>(姓名和职务)代表</w:t>
      </w:r>
      <w:r>
        <w:rPr>
          <w:rFonts w:hint="eastAsia" w:ascii="宋体"/>
          <w:sz w:val="24"/>
        </w:rPr>
        <w:t>_________</w:t>
      </w:r>
      <w:r>
        <w:rPr>
          <w:rFonts w:hint="eastAsia" w:ascii="宋体"/>
          <w:sz w:val="24"/>
          <w:lang w:val="zh-CN"/>
        </w:rPr>
        <w:t>（供应商名称）提交投标文件并参加投标，特声明如下：</w:t>
      </w:r>
    </w:p>
    <w:p w14:paraId="28FD947B">
      <w:pPr>
        <w:spacing w:line="360" w:lineRule="auto"/>
        <w:ind w:firstLine="480"/>
        <w:rPr>
          <w:rFonts w:ascii="宋体"/>
          <w:sz w:val="24"/>
          <w:lang w:val="zh-CN"/>
        </w:rPr>
      </w:pPr>
      <w:r>
        <w:rPr>
          <w:rFonts w:hint="eastAsia" w:ascii="宋体"/>
          <w:sz w:val="24"/>
          <w:lang w:val="zh-CN"/>
        </w:rPr>
        <w:t>1.我方的资格条件符合政府采购法和本次</w:t>
      </w:r>
      <w:r>
        <w:rPr>
          <w:rFonts w:hint="eastAsia" w:ascii="宋体"/>
          <w:sz w:val="24"/>
        </w:rPr>
        <w:t>招标</w:t>
      </w:r>
      <w:r>
        <w:rPr>
          <w:rFonts w:hint="eastAsia" w:ascii="宋体"/>
          <w:sz w:val="24"/>
          <w:lang w:val="zh-CN"/>
        </w:rPr>
        <w:t>要求，我方同意并向贵方提供了与</w:t>
      </w:r>
      <w:r>
        <w:rPr>
          <w:rFonts w:hint="eastAsia" w:ascii="宋体"/>
          <w:sz w:val="24"/>
        </w:rPr>
        <w:t>招标</w:t>
      </w:r>
      <w:r>
        <w:rPr>
          <w:rFonts w:hint="eastAsia" w:ascii="宋体"/>
          <w:sz w:val="24"/>
          <w:lang w:val="zh-CN"/>
        </w:rPr>
        <w:t>有关的所有证据和资料。</w:t>
      </w:r>
    </w:p>
    <w:p w14:paraId="268586D4">
      <w:pPr>
        <w:spacing w:line="360" w:lineRule="auto"/>
        <w:ind w:firstLine="480"/>
        <w:rPr>
          <w:rFonts w:ascii="宋体"/>
          <w:sz w:val="24"/>
          <w:lang w:val="zh-CN"/>
        </w:rPr>
      </w:pPr>
      <w:r>
        <w:rPr>
          <w:rFonts w:hint="eastAsia" w:ascii="宋体"/>
          <w:sz w:val="24"/>
          <w:lang w:val="zh-CN"/>
        </w:rPr>
        <w:t>2.我方的</w:t>
      </w:r>
      <w:r>
        <w:rPr>
          <w:rFonts w:hint="eastAsia" w:ascii="宋体" w:hAnsi="宋体" w:cs="宋体"/>
          <w:color w:val="000000"/>
          <w:sz w:val="24"/>
        </w:rPr>
        <w:t>总报价为_______元（大写：_____）人民币（两年费用）</w:t>
      </w:r>
      <w:r>
        <w:rPr>
          <w:rFonts w:hint="eastAsia" w:ascii="宋体"/>
          <w:sz w:val="24"/>
        </w:rPr>
        <w:t>,项目负责人为______</w:t>
      </w:r>
      <w:r>
        <w:rPr>
          <w:rFonts w:hint="eastAsia" w:ascii="宋体"/>
          <w:sz w:val="24"/>
          <w:lang w:val="zh-CN"/>
        </w:rPr>
        <w:t>。</w:t>
      </w:r>
    </w:p>
    <w:p w14:paraId="01943E03">
      <w:pPr>
        <w:spacing w:line="360" w:lineRule="auto"/>
        <w:ind w:firstLine="480"/>
        <w:rPr>
          <w:rFonts w:ascii="宋体"/>
          <w:sz w:val="24"/>
          <w:lang w:val="zh-CN"/>
        </w:rPr>
      </w:pPr>
      <w:r>
        <w:rPr>
          <w:rFonts w:hint="eastAsia" w:ascii="宋体"/>
          <w:sz w:val="24"/>
          <w:lang w:val="zh-CN"/>
        </w:rPr>
        <w:t>3.我方参加本次采购活动前三年内，在经营活动中没有重大违法记录。</w:t>
      </w:r>
    </w:p>
    <w:p w14:paraId="03D792B4">
      <w:pPr>
        <w:spacing w:line="360" w:lineRule="auto"/>
        <w:ind w:firstLine="480"/>
        <w:rPr>
          <w:rFonts w:ascii="宋体"/>
          <w:sz w:val="24"/>
          <w:lang w:val="zh-CN"/>
        </w:rPr>
      </w:pPr>
      <w:r>
        <w:rPr>
          <w:rFonts w:hint="eastAsia" w:ascii="宋体"/>
          <w:sz w:val="24"/>
          <w:lang w:val="zh-CN"/>
        </w:rPr>
        <w:t>4.我方参加本次采购活动前，没有被信用中国网站、中国政府采购网站列入失信被执行人名单、重大税收违法案件当事人名单、政府采购严重违法失信行为记录名单。</w:t>
      </w:r>
    </w:p>
    <w:p w14:paraId="4471945B">
      <w:pPr>
        <w:spacing w:line="360" w:lineRule="auto"/>
        <w:ind w:firstLine="480"/>
        <w:rPr>
          <w:rFonts w:ascii="宋体"/>
          <w:sz w:val="24"/>
          <w:lang w:val="zh-CN"/>
        </w:rPr>
      </w:pPr>
      <w:r>
        <w:rPr>
          <w:rFonts w:hint="eastAsia" w:ascii="宋体"/>
          <w:sz w:val="24"/>
          <w:lang w:val="zh-CN"/>
        </w:rPr>
        <w:t>5.我方在全国范围内未受过财政部门禁止参加政府采购活动的处罚，或禁止参加政府采购活动的处罚期限已满。</w:t>
      </w:r>
    </w:p>
    <w:p w14:paraId="5E7CA42F">
      <w:pPr>
        <w:spacing w:line="360" w:lineRule="auto"/>
        <w:ind w:firstLine="480"/>
        <w:rPr>
          <w:rFonts w:ascii="宋体"/>
          <w:sz w:val="24"/>
          <w:lang w:val="zh-CN"/>
        </w:rPr>
      </w:pPr>
      <w:r>
        <w:rPr>
          <w:rFonts w:hint="eastAsia" w:ascii="宋体"/>
          <w:sz w:val="24"/>
          <w:lang w:val="zh-CN"/>
        </w:rPr>
        <w:t>6.我方没有为本采购项目提供整体设计、规范编制，以及项目管理、监理、检测等服务。</w:t>
      </w:r>
    </w:p>
    <w:p w14:paraId="015B9637">
      <w:pPr>
        <w:spacing w:line="360" w:lineRule="auto"/>
        <w:ind w:firstLine="480"/>
        <w:rPr>
          <w:rFonts w:ascii="宋体"/>
          <w:sz w:val="24"/>
          <w:lang w:val="zh-CN"/>
        </w:rPr>
      </w:pPr>
      <w:r>
        <w:rPr>
          <w:rFonts w:hint="eastAsia" w:ascii="宋体"/>
          <w:sz w:val="24"/>
          <w:lang w:val="zh-CN"/>
        </w:rPr>
        <w:t>7.我方与参与本次采购活动的其他供应商的授权代理人(或法定代表人、项目经理、项目总监、项目负责人等)，在</w:t>
      </w:r>
      <w:r>
        <w:rPr>
          <w:rFonts w:hint="eastAsia" w:ascii="宋体"/>
          <w:sz w:val="24"/>
        </w:rPr>
        <w:t>招标</w:t>
      </w:r>
      <w:r>
        <w:rPr>
          <w:rFonts w:hint="eastAsia" w:ascii="宋体"/>
          <w:sz w:val="24"/>
          <w:lang w:val="zh-CN"/>
        </w:rPr>
        <w:t>文件发布日上月至提交投标文件截止日当月未在同一单位缴纳社会保险。</w:t>
      </w:r>
    </w:p>
    <w:p w14:paraId="0E351C27">
      <w:pPr>
        <w:spacing w:line="360" w:lineRule="auto"/>
        <w:ind w:firstLine="480"/>
        <w:rPr>
          <w:rFonts w:ascii="宋体"/>
          <w:sz w:val="24"/>
          <w:lang w:val="zh-CN"/>
        </w:rPr>
      </w:pPr>
      <w:r>
        <w:rPr>
          <w:rFonts w:hint="eastAsia" w:ascii="宋体"/>
          <w:sz w:val="24"/>
          <w:lang w:val="zh-CN"/>
        </w:rPr>
        <w:t>8.我方与参与本次采购活动的其他供应商的法定代表人或委托代理人无夫妻、直系血亲关系。</w:t>
      </w:r>
    </w:p>
    <w:p w14:paraId="1E5718EA">
      <w:pPr>
        <w:spacing w:line="360" w:lineRule="auto"/>
        <w:ind w:firstLine="480"/>
        <w:rPr>
          <w:rFonts w:ascii="宋体"/>
          <w:sz w:val="24"/>
          <w:lang w:val="zh-CN"/>
        </w:rPr>
      </w:pPr>
      <w:r>
        <w:rPr>
          <w:rFonts w:hint="eastAsia" w:ascii="宋体"/>
          <w:sz w:val="24"/>
          <w:lang w:val="zh-CN"/>
        </w:rPr>
        <w:t>9.我方与参与本次采购活动的其他供应商的负责人不是同一人，也不存在直接控股、管理关系。</w:t>
      </w:r>
    </w:p>
    <w:p w14:paraId="212CC414">
      <w:pPr>
        <w:spacing w:line="360" w:lineRule="auto"/>
        <w:ind w:firstLine="480"/>
        <w:rPr>
          <w:rFonts w:ascii="宋体"/>
          <w:sz w:val="24"/>
          <w:lang w:val="zh-CN"/>
        </w:rPr>
      </w:pPr>
      <w:r>
        <w:rPr>
          <w:rFonts w:hint="eastAsia" w:ascii="宋体"/>
          <w:sz w:val="24"/>
          <w:lang w:val="zh-CN"/>
        </w:rPr>
        <w:t>10.我方已详细审阅全部</w:t>
      </w:r>
      <w:r>
        <w:rPr>
          <w:rFonts w:hint="eastAsia" w:ascii="宋体"/>
          <w:sz w:val="24"/>
        </w:rPr>
        <w:t>招标</w:t>
      </w:r>
      <w:r>
        <w:rPr>
          <w:rFonts w:hint="eastAsia" w:ascii="宋体"/>
          <w:sz w:val="24"/>
          <w:lang w:val="zh-CN"/>
        </w:rPr>
        <w:t>文件及其有效补充文件，放弃对</w:t>
      </w:r>
      <w:r>
        <w:rPr>
          <w:rFonts w:hint="eastAsia" w:ascii="宋体"/>
          <w:sz w:val="24"/>
        </w:rPr>
        <w:t>招标</w:t>
      </w:r>
      <w:r>
        <w:rPr>
          <w:rFonts w:hint="eastAsia" w:ascii="宋体"/>
          <w:sz w:val="24"/>
          <w:lang w:val="zh-CN"/>
        </w:rPr>
        <w:t>文件任何误解的权利，提交投标文件后，不对招标文件本身提出质疑。否则，属于不诚信和故意扰乱政府采购活动行为，我们将无条件接受处罚。</w:t>
      </w:r>
    </w:p>
    <w:p w14:paraId="0C6B1C21">
      <w:pPr>
        <w:spacing w:line="360" w:lineRule="auto"/>
        <w:ind w:firstLine="480"/>
        <w:rPr>
          <w:rFonts w:ascii="宋体"/>
          <w:sz w:val="24"/>
          <w:lang w:val="zh-CN"/>
        </w:rPr>
      </w:pPr>
      <w:r>
        <w:rPr>
          <w:rFonts w:hint="eastAsia" w:ascii="宋体"/>
          <w:sz w:val="24"/>
          <w:lang w:val="zh-CN"/>
        </w:rPr>
        <w:t>11.一旦我方成交，将根据招标文件的规定严格履行合同，并保证按承诺的时间完成服务的启动/集成、调试等服务，交付采购人验收、使用。</w:t>
      </w:r>
    </w:p>
    <w:p w14:paraId="2563E911">
      <w:pPr>
        <w:spacing w:line="360" w:lineRule="auto"/>
        <w:ind w:firstLine="480"/>
        <w:rPr>
          <w:rFonts w:ascii="宋体"/>
          <w:sz w:val="24"/>
          <w:lang w:val="zh-CN"/>
        </w:rPr>
      </w:pPr>
      <w:r>
        <w:rPr>
          <w:rFonts w:hint="eastAsia" w:ascii="宋体"/>
          <w:sz w:val="24"/>
          <w:lang w:val="zh-CN"/>
        </w:rPr>
        <w:t>12.我方决不提供虚假材料谋取成交、决不采取不正当手段诋毁、排挤其他供应商、决不与采购人、其它供应商或者交易中心恶意串通、决不向采购人、招标代理工作人员和</w:t>
      </w:r>
      <w:r>
        <w:rPr>
          <w:rFonts w:hint="eastAsia" w:ascii="宋体"/>
          <w:sz w:val="24"/>
        </w:rPr>
        <w:t>评标委员会</w:t>
      </w:r>
      <w:r>
        <w:rPr>
          <w:rFonts w:hint="eastAsia" w:ascii="宋体"/>
          <w:sz w:val="24"/>
          <w:lang w:val="zh-CN"/>
        </w:rPr>
        <w:t>进行商业贿赂、决不拒绝有关部门监督检查或提供虚假情况，如有违反，无条件接受贵方及相关管理部门的处罚。</w:t>
      </w:r>
    </w:p>
    <w:p w14:paraId="4946BE7F">
      <w:pPr>
        <w:spacing w:line="360" w:lineRule="auto"/>
        <w:ind w:firstLine="480"/>
        <w:rPr>
          <w:rFonts w:ascii="宋体"/>
          <w:sz w:val="24"/>
          <w:lang w:val="zh-CN"/>
        </w:rPr>
      </w:pPr>
      <w:r>
        <w:rPr>
          <w:rFonts w:hint="eastAsia" w:ascii="宋体"/>
          <w:sz w:val="24"/>
          <w:lang w:val="zh-CN"/>
        </w:rPr>
        <w:t>13.与本次招标有关的联系方式为：</w:t>
      </w:r>
    </w:p>
    <w:p w14:paraId="79A77BC1">
      <w:pPr>
        <w:spacing w:line="360" w:lineRule="auto"/>
        <w:ind w:firstLine="480"/>
        <w:rPr>
          <w:rFonts w:ascii="宋体"/>
          <w:sz w:val="24"/>
          <w:lang w:val="zh-CN"/>
        </w:rPr>
      </w:pPr>
      <w:r>
        <w:rPr>
          <w:rFonts w:hint="eastAsia" w:ascii="宋体"/>
          <w:sz w:val="24"/>
          <w:lang w:val="zh-CN"/>
        </w:rPr>
        <w:t>地 址：________________</w:t>
      </w:r>
    </w:p>
    <w:p w14:paraId="311C0670">
      <w:pPr>
        <w:spacing w:line="360" w:lineRule="auto"/>
        <w:ind w:firstLine="480"/>
        <w:rPr>
          <w:rFonts w:ascii="宋体"/>
          <w:sz w:val="24"/>
          <w:lang w:val="zh-CN"/>
        </w:rPr>
      </w:pPr>
      <w:r>
        <w:rPr>
          <w:rFonts w:hint="eastAsia" w:ascii="宋体"/>
          <w:sz w:val="24"/>
          <w:lang w:val="zh-CN"/>
        </w:rPr>
        <w:t>电 话：________________</w:t>
      </w:r>
    </w:p>
    <w:p w14:paraId="51C85908">
      <w:pPr>
        <w:spacing w:line="360" w:lineRule="auto"/>
        <w:ind w:firstLine="480"/>
        <w:rPr>
          <w:rFonts w:ascii="宋体"/>
          <w:sz w:val="24"/>
          <w:lang w:val="zh-CN"/>
        </w:rPr>
      </w:pPr>
      <w:r>
        <w:rPr>
          <w:rFonts w:hint="eastAsia" w:ascii="宋体"/>
          <w:sz w:val="24"/>
          <w:lang w:val="zh-CN"/>
        </w:rPr>
        <w:t>传 真：________________</w:t>
      </w:r>
    </w:p>
    <w:p w14:paraId="08FCEE05">
      <w:pPr>
        <w:spacing w:line="360" w:lineRule="auto"/>
        <w:ind w:firstLine="480"/>
        <w:rPr>
          <w:rFonts w:ascii="宋体"/>
          <w:sz w:val="24"/>
          <w:lang w:val="zh-CN"/>
        </w:rPr>
      </w:pPr>
      <w:r>
        <w:rPr>
          <w:rFonts w:hint="eastAsia" w:ascii="宋体"/>
          <w:sz w:val="24"/>
          <w:lang w:val="zh-CN"/>
        </w:rPr>
        <w:t>开户银行：________________</w:t>
      </w:r>
    </w:p>
    <w:p w14:paraId="0C8DEB95">
      <w:pPr>
        <w:spacing w:line="360" w:lineRule="auto"/>
        <w:ind w:firstLine="480"/>
        <w:rPr>
          <w:rFonts w:ascii="宋体"/>
          <w:sz w:val="24"/>
          <w:lang w:val="zh-CN"/>
        </w:rPr>
      </w:pPr>
      <w:r>
        <w:rPr>
          <w:rFonts w:hint="eastAsia" w:ascii="宋体"/>
          <w:sz w:val="24"/>
          <w:lang w:val="zh-CN"/>
        </w:rPr>
        <w:t>银行帐号：________________</w:t>
      </w:r>
    </w:p>
    <w:p w14:paraId="6D430DF9">
      <w:pPr>
        <w:spacing w:line="360" w:lineRule="auto"/>
        <w:ind w:firstLine="480"/>
        <w:rPr>
          <w:rFonts w:ascii="宋体"/>
          <w:sz w:val="24"/>
          <w:lang w:val="zh-CN"/>
        </w:rPr>
      </w:pPr>
      <w:r>
        <w:rPr>
          <w:rFonts w:hint="eastAsia" w:ascii="宋体"/>
          <w:sz w:val="24"/>
          <w:lang w:val="zh-CN"/>
        </w:rPr>
        <w:t>授权代表姓名（签字）：________________</w:t>
      </w:r>
    </w:p>
    <w:p w14:paraId="04937B50">
      <w:pPr>
        <w:spacing w:line="360" w:lineRule="auto"/>
        <w:ind w:firstLine="480"/>
        <w:rPr>
          <w:rFonts w:ascii="宋体"/>
          <w:sz w:val="24"/>
          <w:lang w:val="zh-CN"/>
        </w:rPr>
      </w:pPr>
      <w:r>
        <w:rPr>
          <w:rFonts w:hint="eastAsia" w:ascii="宋体"/>
          <w:sz w:val="24"/>
          <w:lang w:val="zh-CN"/>
        </w:rPr>
        <w:t>供应商名称（盖章）：  ________________</w:t>
      </w:r>
    </w:p>
    <w:p w14:paraId="13032141">
      <w:pPr>
        <w:spacing w:line="360" w:lineRule="auto"/>
        <w:ind w:firstLine="480"/>
        <w:rPr>
          <w:rFonts w:ascii="宋体" w:hAnsi="宋体"/>
          <w:sz w:val="24"/>
        </w:rPr>
      </w:pPr>
      <w:r>
        <w:rPr>
          <w:rFonts w:hint="eastAsia" w:ascii="宋体"/>
          <w:sz w:val="24"/>
          <w:lang w:val="zh-CN"/>
        </w:rPr>
        <w:t>日 期：________________</w:t>
      </w:r>
    </w:p>
    <w:p w14:paraId="66AF83C5">
      <w:pPr>
        <w:spacing w:line="360" w:lineRule="auto"/>
        <w:rPr>
          <w:rFonts w:ascii="宋体"/>
          <w:b/>
          <w:bCs/>
          <w:sz w:val="24"/>
          <w:lang w:val="zh-CN"/>
        </w:rPr>
        <w:sectPr>
          <w:pgSz w:w="11906" w:h="16838"/>
          <w:pgMar w:top="1417" w:right="1417" w:bottom="1020" w:left="1417" w:header="851" w:footer="992" w:gutter="0"/>
          <w:cols w:space="1701" w:num="1"/>
          <w:titlePg/>
          <w:docGrid w:linePitch="360" w:charSpace="0"/>
        </w:sectPr>
      </w:pPr>
    </w:p>
    <w:p w14:paraId="2750215F">
      <w:pPr>
        <w:spacing w:line="360" w:lineRule="auto"/>
        <w:rPr>
          <w:rFonts w:ascii="宋体"/>
          <w:b/>
          <w:bCs/>
          <w:szCs w:val="21"/>
          <w:lang w:val="zh-CN"/>
        </w:rPr>
      </w:pPr>
      <w:r>
        <w:rPr>
          <w:rFonts w:hint="eastAsia" w:ascii="宋体"/>
          <w:b/>
          <w:bCs/>
          <w:sz w:val="24"/>
          <w:lang w:val="zh-CN"/>
        </w:rPr>
        <w:t>目录二、法定代表人授权书格式</w:t>
      </w:r>
    </w:p>
    <w:p w14:paraId="5F475567">
      <w:pPr>
        <w:spacing w:line="360" w:lineRule="auto"/>
        <w:jc w:val="center"/>
        <w:rPr>
          <w:rFonts w:ascii="黑体" w:eastAsia="黑体"/>
          <w:sz w:val="36"/>
          <w:szCs w:val="36"/>
        </w:rPr>
      </w:pPr>
      <w:r>
        <w:rPr>
          <w:rFonts w:hint="eastAsia" w:ascii="黑体" w:eastAsia="黑体"/>
          <w:sz w:val="36"/>
          <w:szCs w:val="36"/>
        </w:rPr>
        <w:t>法定代表人授权书</w:t>
      </w:r>
    </w:p>
    <w:p w14:paraId="364E9178">
      <w:pPr>
        <w:spacing w:line="360" w:lineRule="auto"/>
        <w:rPr>
          <w:rFonts w:ascii="宋体"/>
          <w:sz w:val="24"/>
          <w:lang w:val="zh-CN"/>
        </w:rPr>
      </w:pPr>
      <w:r>
        <w:rPr>
          <w:rFonts w:hint="eastAsia" w:ascii="宋体"/>
          <w:sz w:val="24"/>
          <w:lang w:val="zh-CN"/>
        </w:rPr>
        <w:t>中山陵园管理局：</w:t>
      </w:r>
    </w:p>
    <w:p w14:paraId="79CC43F0">
      <w:pPr>
        <w:spacing w:line="360" w:lineRule="auto"/>
        <w:rPr>
          <w:rFonts w:ascii="宋体"/>
          <w:sz w:val="24"/>
          <w:lang w:val="zh-CN"/>
        </w:rPr>
      </w:pPr>
      <w:r>
        <w:rPr>
          <w:rFonts w:ascii="宋体"/>
          <w:sz w:val="24"/>
          <w:lang w:val="zh-CN"/>
        </w:rPr>
        <w:t xml:space="preserve">    </w:t>
      </w:r>
      <w:r>
        <w:rPr>
          <w:rFonts w:hint="eastAsia" w:ascii="宋体"/>
          <w:sz w:val="24"/>
          <w:lang w:val="zh-CN"/>
        </w:rPr>
        <w:t>本授权书声明：注册于</w:t>
      </w:r>
      <w:r>
        <w:rPr>
          <w:rFonts w:ascii="宋体"/>
          <w:sz w:val="24"/>
          <w:u w:val="single"/>
          <w:lang w:val="zh-CN"/>
        </w:rPr>
        <w:t xml:space="preserve">                             </w:t>
      </w:r>
      <w:r>
        <w:rPr>
          <w:rFonts w:hint="eastAsia" w:ascii="宋体"/>
          <w:sz w:val="24"/>
          <w:lang w:val="zh-CN"/>
        </w:rPr>
        <w:t>（供应商住址）的</w:t>
      </w:r>
      <w:r>
        <w:rPr>
          <w:rFonts w:ascii="宋体"/>
          <w:sz w:val="24"/>
          <w:u w:val="single"/>
          <w:lang w:val="zh-CN"/>
        </w:rPr>
        <w:t xml:space="preserve">                 </w:t>
      </w:r>
      <w:r>
        <w:rPr>
          <w:rFonts w:hint="eastAsia" w:ascii="宋体"/>
          <w:sz w:val="24"/>
          <w:lang w:val="zh-CN"/>
        </w:rPr>
        <w:t>（供应商名称）法定代表人</w:t>
      </w:r>
      <w:r>
        <w:rPr>
          <w:rFonts w:ascii="宋体"/>
          <w:sz w:val="24"/>
          <w:u w:val="single"/>
          <w:lang w:val="zh-CN"/>
        </w:rPr>
        <w:t xml:space="preserve">                      </w:t>
      </w:r>
      <w:r>
        <w:rPr>
          <w:rFonts w:hint="eastAsia" w:ascii="宋体"/>
          <w:sz w:val="24"/>
          <w:lang w:val="zh-CN"/>
        </w:rPr>
        <w:t>（法定代表人姓名、职务）代表本公司授权在下面签字的</w:t>
      </w:r>
      <w:r>
        <w:rPr>
          <w:rFonts w:ascii="宋体"/>
          <w:sz w:val="24"/>
          <w:u w:val="single"/>
          <w:lang w:val="zh-CN"/>
        </w:rPr>
        <w:t xml:space="preserve">                       </w:t>
      </w:r>
      <w:r>
        <w:rPr>
          <w:rFonts w:hint="eastAsia" w:ascii="宋体"/>
          <w:sz w:val="24"/>
          <w:lang w:val="zh-CN"/>
        </w:rPr>
        <w:t>（供应商代表姓名、职务）为本公司的合法代理人，就贵方组织的</w:t>
      </w:r>
      <w:r>
        <w:rPr>
          <w:rFonts w:hint="eastAsia" w:ascii="宋体"/>
          <w:sz w:val="24"/>
          <w:u w:val="single"/>
          <w:lang w:val="zh-CN"/>
        </w:rPr>
        <w:t xml:space="preserve">                                </w:t>
      </w:r>
      <w:r>
        <w:rPr>
          <w:rFonts w:hint="eastAsia" w:ascii="宋体"/>
          <w:sz w:val="24"/>
          <w:lang w:val="zh-CN"/>
        </w:rPr>
        <w:t xml:space="preserve">（项目名称） </w:t>
      </w:r>
      <w:r>
        <w:rPr>
          <w:rFonts w:hint="eastAsia" w:ascii="宋体"/>
          <w:b/>
          <w:sz w:val="24"/>
          <w:u w:val="single"/>
          <w:lang w:val="zh-CN"/>
        </w:rPr>
        <w:t>JSZC-320100-NJJK-G2026-0003</w:t>
      </w:r>
      <w:r>
        <w:rPr>
          <w:rFonts w:hint="eastAsia" w:ascii="宋体"/>
          <w:b/>
          <w:sz w:val="24"/>
          <w:lang w:val="zh-CN"/>
        </w:rPr>
        <w:t>（</w:t>
      </w:r>
      <w:r>
        <w:rPr>
          <w:rFonts w:hint="eastAsia" w:ascii="宋体"/>
          <w:sz w:val="24"/>
          <w:lang w:val="zh-CN"/>
        </w:rPr>
        <w:t>项目编号）公开招标，以本公司名义处理一切与之有关的事务。</w:t>
      </w:r>
    </w:p>
    <w:p w14:paraId="30FB4756">
      <w:pPr>
        <w:spacing w:line="360" w:lineRule="auto"/>
        <w:rPr>
          <w:rFonts w:ascii="宋体"/>
          <w:sz w:val="24"/>
          <w:lang w:val="zh-CN"/>
        </w:rPr>
      </w:pPr>
      <w:r>
        <w:rPr>
          <w:rFonts w:ascii="宋体"/>
          <w:sz w:val="24"/>
          <w:lang w:val="zh-CN"/>
        </w:rPr>
        <w:t xml:space="preserve">    </w:t>
      </w:r>
      <w:r>
        <w:rPr>
          <w:rFonts w:hint="eastAsia" w:ascii="宋体"/>
          <w:sz w:val="24"/>
          <w:lang w:val="zh-CN"/>
        </w:rPr>
        <w:t>本授权书于</w:t>
      </w:r>
      <w:r>
        <w:rPr>
          <w:rFonts w:ascii="宋体"/>
          <w:sz w:val="24"/>
          <w:u w:val="single"/>
          <w:lang w:val="zh-CN"/>
        </w:rPr>
        <w:t xml:space="preserve">  </w:t>
      </w:r>
      <w:r>
        <w:rPr>
          <w:rFonts w:hint="eastAsia" w:ascii="宋体"/>
          <w:sz w:val="24"/>
          <w:u w:val="single"/>
          <w:lang w:val="zh-CN"/>
        </w:rPr>
        <w:t xml:space="preserve">    </w:t>
      </w:r>
      <w:r>
        <w:rPr>
          <w:rFonts w:ascii="宋体"/>
          <w:sz w:val="24"/>
          <w:u w:val="single"/>
          <w:lang w:val="zh-CN"/>
        </w:rPr>
        <w:t xml:space="preserve">  </w:t>
      </w:r>
      <w:r>
        <w:rPr>
          <w:rFonts w:hint="eastAsia" w:ascii="宋体"/>
          <w:sz w:val="24"/>
          <w:lang w:val="zh-CN"/>
        </w:rPr>
        <w:t>年</w:t>
      </w:r>
      <w:r>
        <w:rPr>
          <w:rFonts w:ascii="宋体"/>
          <w:sz w:val="24"/>
          <w:u w:val="single"/>
          <w:lang w:val="zh-CN"/>
        </w:rPr>
        <w:t xml:space="preserve"> </w:t>
      </w:r>
      <w:r>
        <w:rPr>
          <w:rFonts w:hint="eastAsia" w:ascii="宋体"/>
          <w:sz w:val="24"/>
          <w:u w:val="single"/>
          <w:lang w:val="zh-CN"/>
        </w:rPr>
        <w:t xml:space="preserve"> </w:t>
      </w:r>
      <w:r>
        <w:rPr>
          <w:rFonts w:ascii="宋体"/>
          <w:sz w:val="24"/>
          <w:u w:val="single"/>
          <w:lang w:val="zh-CN"/>
        </w:rPr>
        <w:t xml:space="preserve"> </w:t>
      </w:r>
      <w:r>
        <w:rPr>
          <w:rFonts w:hint="eastAsia" w:ascii="宋体"/>
          <w:sz w:val="24"/>
          <w:lang w:val="zh-CN"/>
        </w:rPr>
        <w:t>月</w:t>
      </w:r>
      <w:r>
        <w:rPr>
          <w:rFonts w:hint="eastAsia" w:ascii="宋体"/>
          <w:sz w:val="24"/>
          <w:u w:val="single"/>
          <w:lang w:val="zh-CN"/>
        </w:rPr>
        <w:t xml:space="preserve"> </w:t>
      </w:r>
      <w:r>
        <w:rPr>
          <w:rFonts w:ascii="宋体"/>
          <w:sz w:val="24"/>
          <w:u w:val="single"/>
          <w:lang w:val="zh-CN"/>
        </w:rPr>
        <w:t xml:space="preserve">  </w:t>
      </w:r>
      <w:r>
        <w:rPr>
          <w:rFonts w:hint="eastAsia" w:ascii="宋体"/>
          <w:sz w:val="24"/>
          <w:lang w:val="zh-CN"/>
        </w:rPr>
        <w:t>日签字生效，特此声明。</w:t>
      </w:r>
    </w:p>
    <w:p w14:paraId="2B0C63FB">
      <w:pPr>
        <w:spacing w:line="360" w:lineRule="auto"/>
        <w:rPr>
          <w:rFonts w:ascii="宋体"/>
          <w:sz w:val="24"/>
          <w:lang w:val="zh-CN"/>
        </w:rPr>
      </w:pPr>
      <w:r>
        <w:rPr>
          <w:rFonts w:ascii="宋体"/>
          <w:sz w:val="24"/>
          <w:lang w:val="zh-CN"/>
        </w:rPr>
        <w:t xml:space="preserve">    </w:t>
      </w:r>
      <w:r>
        <w:rPr>
          <w:rFonts w:hint="eastAsia" w:ascii="宋体"/>
          <w:sz w:val="24"/>
          <w:lang w:val="zh-CN"/>
        </w:rPr>
        <w:t>法定代表人签字：</w:t>
      </w:r>
    </w:p>
    <w:p w14:paraId="44D95AE4">
      <w:pPr>
        <w:spacing w:line="360" w:lineRule="auto"/>
        <w:rPr>
          <w:rFonts w:ascii="宋体"/>
          <w:sz w:val="24"/>
          <w:lang w:val="zh-CN"/>
        </w:rPr>
      </w:pPr>
      <w:r>
        <w:rPr>
          <w:rFonts w:ascii="宋体"/>
          <w:sz w:val="24"/>
          <w:lang w:val="zh-CN"/>
        </w:rPr>
        <w:t xml:space="preserve">    </w:t>
      </w:r>
      <w:r>
        <w:rPr>
          <w:rFonts w:hint="eastAsia" w:ascii="宋体"/>
          <w:sz w:val="24"/>
          <w:lang w:val="zh-CN"/>
        </w:rPr>
        <w:t>被授权人签字：</w:t>
      </w:r>
      <w:r>
        <w:rPr>
          <w:rFonts w:ascii="宋体"/>
          <w:sz w:val="24"/>
          <w:lang w:val="zh-CN"/>
        </w:rPr>
        <w:t xml:space="preserve">                    </w:t>
      </w:r>
    </w:p>
    <w:p w14:paraId="010D37CE">
      <w:pPr>
        <w:tabs>
          <w:tab w:val="left" w:pos="1440"/>
        </w:tabs>
        <w:spacing w:line="360" w:lineRule="auto"/>
        <w:ind w:firstLine="420"/>
        <w:rPr>
          <w:rFonts w:ascii="宋体"/>
          <w:szCs w:val="21"/>
          <w:lang w:val="zh-CN"/>
        </w:rPr>
      </w:pPr>
      <w:r>
        <w:rPr>
          <w:rFonts w:hint="eastAsia" w:ascii="宋体"/>
          <w:sz w:val="24"/>
        </w:rPr>
        <w:t xml:space="preserve"> </w:t>
      </w:r>
      <w:r>
        <w:rPr>
          <w:rFonts w:hint="eastAsia" w:ascii="宋体"/>
          <w:sz w:val="24"/>
          <w:lang w:val="zh-CN"/>
        </w:rPr>
        <w:t>日</w:t>
      </w:r>
      <w:r>
        <w:rPr>
          <w:rFonts w:ascii="宋体"/>
          <w:sz w:val="24"/>
          <w:lang w:val="zh-CN"/>
        </w:rPr>
        <w:t xml:space="preserve">        </w:t>
      </w:r>
      <w:r>
        <w:rPr>
          <w:rFonts w:hint="eastAsia" w:ascii="宋体"/>
          <w:sz w:val="24"/>
          <w:lang w:val="zh-CN"/>
        </w:rPr>
        <w:t>期：</w:t>
      </w:r>
      <w:r>
        <w:rPr>
          <w:rFonts w:ascii="宋体"/>
          <w:sz w:val="24"/>
          <w:u w:val="single"/>
          <w:lang w:val="zh-CN"/>
        </w:rPr>
        <w:t xml:space="preserve">        </w:t>
      </w:r>
      <w:r>
        <w:rPr>
          <w:rFonts w:hint="eastAsia" w:ascii="宋体"/>
          <w:sz w:val="24"/>
          <w:lang w:val="zh-CN"/>
        </w:rPr>
        <w:t>年</w:t>
      </w:r>
      <w:r>
        <w:rPr>
          <w:rFonts w:ascii="宋体"/>
          <w:sz w:val="24"/>
          <w:u w:val="single"/>
          <w:lang w:val="zh-CN"/>
        </w:rPr>
        <w:t xml:space="preserve">    </w:t>
      </w:r>
      <w:r>
        <w:rPr>
          <w:rFonts w:hint="eastAsia" w:ascii="宋体"/>
          <w:sz w:val="24"/>
          <w:lang w:val="zh-CN"/>
        </w:rPr>
        <w:t>月</w:t>
      </w:r>
      <w:r>
        <w:rPr>
          <w:rFonts w:ascii="宋体"/>
          <w:sz w:val="24"/>
          <w:u w:val="single"/>
          <w:lang w:val="zh-CN"/>
        </w:rPr>
        <w:t xml:space="preserve">    </w:t>
      </w:r>
      <w:r>
        <w:rPr>
          <w:rFonts w:hint="eastAsia" w:ascii="宋体"/>
          <w:sz w:val="24"/>
          <w:lang w:val="zh-CN"/>
        </w:rPr>
        <w:t>日</w:t>
      </w:r>
    </w:p>
    <w:p w14:paraId="057EF95C">
      <w:pPr>
        <w:spacing w:line="360" w:lineRule="auto"/>
        <w:rPr>
          <w:rFonts w:ascii="宋体"/>
          <w:b/>
          <w:bCs/>
          <w:sz w:val="24"/>
          <w:lang w:val="zh-CN"/>
        </w:rPr>
      </w:pPr>
    </w:p>
    <w:p w14:paraId="095B928C">
      <w:pPr>
        <w:spacing w:line="360" w:lineRule="auto"/>
        <w:rPr>
          <w:rFonts w:ascii="宋体"/>
          <w:b/>
          <w:bCs/>
          <w:sz w:val="24"/>
          <w:lang w:val="zh-CN"/>
        </w:rPr>
      </w:pPr>
    </w:p>
    <w:p w14:paraId="179853D2">
      <w:pPr>
        <w:spacing w:line="360" w:lineRule="auto"/>
        <w:rPr>
          <w:rFonts w:ascii="宋体"/>
          <w:b/>
          <w:bCs/>
          <w:sz w:val="24"/>
          <w:lang w:val="zh-CN"/>
        </w:rPr>
      </w:pPr>
    </w:p>
    <w:p w14:paraId="7364F310">
      <w:pPr>
        <w:spacing w:line="360" w:lineRule="auto"/>
        <w:rPr>
          <w:rFonts w:ascii="宋体"/>
          <w:b/>
          <w:bCs/>
          <w:sz w:val="24"/>
          <w:lang w:val="zh-CN"/>
        </w:rPr>
      </w:pPr>
    </w:p>
    <w:p w14:paraId="166CEAFA">
      <w:pPr>
        <w:spacing w:line="360" w:lineRule="auto"/>
        <w:rPr>
          <w:rFonts w:ascii="宋体"/>
          <w:b/>
          <w:bCs/>
          <w:sz w:val="24"/>
          <w:lang w:val="zh-CN"/>
        </w:rPr>
      </w:pPr>
    </w:p>
    <w:p w14:paraId="7559D75A">
      <w:pPr>
        <w:spacing w:line="360" w:lineRule="auto"/>
        <w:rPr>
          <w:rFonts w:ascii="宋体"/>
          <w:b/>
          <w:bCs/>
          <w:sz w:val="24"/>
          <w:lang w:val="zh-CN"/>
        </w:rPr>
      </w:pPr>
    </w:p>
    <w:p w14:paraId="4878157D">
      <w:pPr>
        <w:spacing w:line="360" w:lineRule="auto"/>
        <w:rPr>
          <w:rFonts w:ascii="宋体"/>
          <w:b/>
          <w:bCs/>
          <w:sz w:val="24"/>
          <w:lang w:val="zh-CN"/>
        </w:rPr>
      </w:pPr>
    </w:p>
    <w:p w14:paraId="6DF092D9">
      <w:pPr>
        <w:spacing w:line="360" w:lineRule="auto"/>
        <w:rPr>
          <w:rFonts w:ascii="宋体"/>
          <w:b/>
          <w:bCs/>
          <w:sz w:val="24"/>
          <w:lang w:val="zh-CN"/>
        </w:rPr>
      </w:pPr>
    </w:p>
    <w:p w14:paraId="3ED289E6">
      <w:pPr>
        <w:spacing w:line="360" w:lineRule="auto"/>
        <w:rPr>
          <w:rFonts w:ascii="宋体"/>
          <w:b/>
          <w:bCs/>
          <w:sz w:val="24"/>
          <w:lang w:val="zh-CN"/>
        </w:rPr>
      </w:pPr>
    </w:p>
    <w:p w14:paraId="7357D0E3">
      <w:pPr>
        <w:pStyle w:val="252"/>
        <w:rPr>
          <w:lang w:val="zh-CN"/>
        </w:rPr>
      </w:pPr>
    </w:p>
    <w:p w14:paraId="4A8CD7EA">
      <w:pPr>
        <w:pStyle w:val="252"/>
        <w:rPr>
          <w:lang w:val="zh-CN"/>
        </w:rPr>
      </w:pPr>
    </w:p>
    <w:p w14:paraId="7F021EA6">
      <w:pPr>
        <w:pStyle w:val="252"/>
        <w:rPr>
          <w:lang w:val="zh-CN"/>
        </w:rPr>
      </w:pPr>
    </w:p>
    <w:p w14:paraId="140E7413">
      <w:pPr>
        <w:pStyle w:val="252"/>
        <w:rPr>
          <w:lang w:val="zh-CN"/>
        </w:rPr>
      </w:pPr>
    </w:p>
    <w:p w14:paraId="0A55FB1E">
      <w:pPr>
        <w:spacing w:line="360" w:lineRule="auto"/>
        <w:rPr>
          <w:rFonts w:ascii="宋体"/>
          <w:b/>
          <w:bCs/>
          <w:sz w:val="24"/>
          <w:lang w:val="zh-CN"/>
        </w:rPr>
      </w:pPr>
      <w:r>
        <w:rPr>
          <w:rFonts w:ascii="宋体"/>
          <w:b/>
          <w:bCs/>
          <w:sz w:val="24"/>
          <w:lang w:val="zh-CN"/>
        </w:rPr>
        <w:br w:type="page" w:clear="all"/>
      </w:r>
      <w:r>
        <w:rPr>
          <w:rFonts w:hint="eastAsia" w:ascii="宋体"/>
          <w:b/>
          <w:bCs/>
          <w:sz w:val="24"/>
          <w:lang w:val="zh-CN"/>
        </w:rPr>
        <w:t>目录三、开标一览表格式</w:t>
      </w:r>
    </w:p>
    <w:p w14:paraId="735ADD79">
      <w:pPr>
        <w:spacing w:line="360" w:lineRule="auto"/>
        <w:jc w:val="center"/>
        <w:rPr>
          <w:rFonts w:ascii="黑体" w:eastAsia="黑体"/>
          <w:sz w:val="36"/>
          <w:szCs w:val="36"/>
        </w:rPr>
      </w:pPr>
      <w:r>
        <w:rPr>
          <w:rFonts w:hint="eastAsia" w:ascii="黑体" w:eastAsia="黑体"/>
          <w:sz w:val="36"/>
          <w:szCs w:val="36"/>
        </w:rPr>
        <w:t>开标一览表</w:t>
      </w:r>
    </w:p>
    <w:tbl>
      <w:tblPr>
        <w:tblStyle w:val="28"/>
        <w:tblW w:w="9664" w:type="dxa"/>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4"/>
        <w:gridCol w:w="3627"/>
        <w:gridCol w:w="1677"/>
        <w:gridCol w:w="3626"/>
      </w:tblGrid>
      <w:tr w14:paraId="71FB1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6038" w:type="dxa"/>
            <w:gridSpan w:val="3"/>
            <w:noWrap w:val="0"/>
            <w:vAlign w:val="center"/>
          </w:tcPr>
          <w:p w14:paraId="7F91FF17">
            <w:pPr>
              <w:widowControl/>
              <w:spacing w:line="360" w:lineRule="auto"/>
              <w:jc w:val="left"/>
              <w:rPr>
                <w:rFonts w:ascii="宋体" w:hAnsi="宋体" w:cs="宋体"/>
                <w:sz w:val="24"/>
                <w:lang w:val="zh-CN"/>
              </w:rPr>
            </w:pPr>
            <w:r>
              <w:rPr>
                <w:rFonts w:hint="eastAsia" w:ascii="宋体" w:hAnsi="宋体" w:cs="宋体"/>
                <w:sz w:val="24"/>
                <w:lang w:val="zh-CN"/>
              </w:rPr>
              <w:t xml:space="preserve">项目名称： </w:t>
            </w:r>
          </w:p>
        </w:tc>
        <w:tc>
          <w:tcPr>
            <w:tcW w:w="3626" w:type="dxa"/>
            <w:noWrap w:val="0"/>
            <w:vAlign w:val="center"/>
          </w:tcPr>
          <w:p w14:paraId="75B639E1">
            <w:pPr>
              <w:widowControl/>
              <w:spacing w:line="360" w:lineRule="auto"/>
              <w:jc w:val="left"/>
              <w:rPr>
                <w:rFonts w:ascii="宋体" w:hAnsi="宋体" w:cs="宋体"/>
                <w:sz w:val="24"/>
                <w:lang w:val="zh-CN"/>
              </w:rPr>
            </w:pPr>
            <w:r>
              <w:rPr>
                <w:rFonts w:hint="eastAsia" w:ascii="宋体" w:hAnsi="宋体" w:cs="宋体"/>
                <w:sz w:val="24"/>
                <w:lang w:val="zh-CN"/>
              </w:rPr>
              <w:t xml:space="preserve">项目编号：       </w:t>
            </w:r>
          </w:p>
        </w:tc>
      </w:tr>
      <w:tr w14:paraId="785A9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noWrap w:val="0"/>
            <w:vAlign w:val="center"/>
          </w:tcPr>
          <w:p w14:paraId="4E4901DA">
            <w:pPr>
              <w:spacing w:line="360" w:lineRule="auto"/>
              <w:jc w:val="center"/>
              <w:rPr>
                <w:rFonts w:ascii="宋体"/>
                <w:sz w:val="24"/>
                <w:lang w:val="zh-CN"/>
              </w:rPr>
            </w:pPr>
            <w:r>
              <w:rPr>
                <w:rFonts w:hint="eastAsia" w:ascii="宋体"/>
                <w:sz w:val="24"/>
                <w:lang w:val="zh-CN"/>
              </w:rPr>
              <w:t>序号</w:t>
            </w:r>
          </w:p>
        </w:tc>
        <w:tc>
          <w:tcPr>
            <w:tcW w:w="3627" w:type="dxa"/>
            <w:noWrap w:val="0"/>
            <w:vAlign w:val="center"/>
          </w:tcPr>
          <w:p w14:paraId="0E159972">
            <w:pPr>
              <w:spacing w:line="360" w:lineRule="auto"/>
              <w:jc w:val="center"/>
              <w:rPr>
                <w:rFonts w:ascii="宋体"/>
                <w:sz w:val="24"/>
                <w:lang w:val="zh-CN"/>
              </w:rPr>
            </w:pPr>
            <w:r>
              <w:rPr>
                <w:rFonts w:hint="eastAsia" w:ascii="宋体"/>
                <w:sz w:val="24"/>
                <w:lang w:val="zh-CN"/>
              </w:rPr>
              <w:t>名               称</w:t>
            </w:r>
          </w:p>
        </w:tc>
        <w:tc>
          <w:tcPr>
            <w:tcW w:w="5303" w:type="dxa"/>
            <w:gridSpan w:val="2"/>
            <w:noWrap w:val="0"/>
            <w:vAlign w:val="center"/>
          </w:tcPr>
          <w:p w14:paraId="34E7C9B1">
            <w:pPr>
              <w:spacing w:line="360" w:lineRule="auto"/>
              <w:jc w:val="center"/>
              <w:rPr>
                <w:rFonts w:ascii="宋体"/>
                <w:sz w:val="24"/>
                <w:lang w:val="zh-CN"/>
              </w:rPr>
            </w:pPr>
            <w:r>
              <w:rPr>
                <w:rFonts w:hint="eastAsia" w:ascii="宋体"/>
                <w:sz w:val="24"/>
                <w:lang w:val="zh-CN"/>
              </w:rPr>
              <w:t>报价（元）</w:t>
            </w:r>
          </w:p>
        </w:tc>
      </w:tr>
      <w:tr w14:paraId="7B33D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noWrap w:val="0"/>
            <w:vAlign w:val="center"/>
          </w:tcPr>
          <w:p w14:paraId="03459667">
            <w:pPr>
              <w:spacing w:line="360" w:lineRule="auto"/>
              <w:jc w:val="center"/>
              <w:rPr>
                <w:rFonts w:ascii="宋体" w:hAnsi="宋体"/>
                <w:spacing w:val="-2"/>
                <w:sz w:val="24"/>
              </w:rPr>
            </w:pPr>
          </w:p>
        </w:tc>
        <w:tc>
          <w:tcPr>
            <w:tcW w:w="3627" w:type="dxa"/>
            <w:noWrap w:val="0"/>
            <w:vAlign w:val="center"/>
          </w:tcPr>
          <w:p w14:paraId="4F5C9A53">
            <w:pPr>
              <w:spacing w:line="360" w:lineRule="auto"/>
              <w:rPr>
                <w:rFonts w:ascii="宋体" w:hAnsi="宋体"/>
                <w:spacing w:val="-2"/>
                <w:sz w:val="24"/>
              </w:rPr>
            </w:pPr>
          </w:p>
        </w:tc>
        <w:tc>
          <w:tcPr>
            <w:tcW w:w="5303" w:type="dxa"/>
            <w:gridSpan w:val="2"/>
            <w:noWrap w:val="0"/>
            <w:vAlign w:val="center"/>
          </w:tcPr>
          <w:p w14:paraId="5B1DF7E8">
            <w:pPr>
              <w:spacing w:line="360" w:lineRule="auto"/>
              <w:jc w:val="center"/>
              <w:rPr>
                <w:rFonts w:ascii="宋体"/>
                <w:sz w:val="24"/>
                <w:lang w:val="zh-CN"/>
              </w:rPr>
            </w:pPr>
          </w:p>
        </w:tc>
      </w:tr>
      <w:tr w14:paraId="5B940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noWrap w:val="0"/>
            <w:vAlign w:val="center"/>
          </w:tcPr>
          <w:p w14:paraId="71ABE941">
            <w:pPr>
              <w:spacing w:line="360" w:lineRule="auto"/>
              <w:jc w:val="center"/>
              <w:rPr>
                <w:rFonts w:ascii="宋体" w:hAnsi="宋体"/>
                <w:spacing w:val="-2"/>
                <w:sz w:val="24"/>
              </w:rPr>
            </w:pPr>
          </w:p>
        </w:tc>
        <w:tc>
          <w:tcPr>
            <w:tcW w:w="3627" w:type="dxa"/>
            <w:noWrap w:val="0"/>
            <w:vAlign w:val="center"/>
          </w:tcPr>
          <w:p w14:paraId="5875214F">
            <w:pPr>
              <w:spacing w:line="360" w:lineRule="auto"/>
              <w:rPr>
                <w:rFonts w:ascii="宋体" w:hAnsi="宋体"/>
                <w:spacing w:val="-2"/>
                <w:sz w:val="24"/>
              </w:rPr>
            </w:pPr>
          </w:p>
        </w:tc>
        <w:tc>
          <w:tcPr>
            <w:tcW w:w="5303" w:type="dxa"/>
            <w:gridSpan w:val="2"/>
            <w:noWrap w:val="0"/>
            <w:vAlign w:val="center"/>
          </w:tcPr>
          <w:p w14:paraId="5D5A769D">
            <w:pPr>
              <w:spacing w:line="360" w:lineRule="auto"/>
              <w:jc w:val="center"/>
              <w:rPr>
                <w:rFonts w:ascii="宋体"/>
                <w:sz w:val="24"/>
                <w:lang w:val="zh-CN"/>
              </w:rPr>
            </w:pPr>
          </w:p>
        </w:tc>
      </w:tr>
      <w:tr w14:paraId="0CAF7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7" w:hRule="atLeast"/>
        </w:trPr>
        <w:tc>
          <w:tcPr>
            <w:tcW w:w="4361" w:type="dxa"/>
            <w:gridSpan w:val="2"/>
            <w:noWrap w:val="0"/>
            <w:vAlign w:val="center"/>
          </w:tcPr>
          <w:p w14:paraId="4E22ACF2">
            <w:pPr>
              <w:widowControl/>
              <w:spacing w:line="360" w:lineRule="auto"/>
              <w:jc w:val="center"/>
              <w:rPr>
                <w:rFonts w:ascii="宋体" w:hAnsi="宋体" w:cs="宋体"/>
                <w:sz w:val="24"/>
                <w:lang w:val="zh-CN"/>
              </w:rPr>
            </w:pPr>
            <w:r>
              <w:rPr>
                <w:rFonts w:hint="eastAsia" w:ascii="宋体" w:hAnsi="宋体" w:cs="宋体"/>
                <w:sz w:val="24"/>
                <w:lang w:val="zh-CN"/>
              </w:rPr>
              <w:t>投标总价（人民币，大写）</w:t>
            </w:r>
          </w:p>
        </w:tc>
        <w:tc>
          <w:tcPr>
            <w:tcW w:w="5303" w:type="dxa"/>
            <w:gridSpan w:val="2"/>
            <w:noWrap w:val="0"/>
            <w:vAlign w:val="center"/>
          </w:tcPr>
          <w:p w14:paraId="1B6C3F62">
            <w:pPr>
              <w:widowControl/>
              <w:spacing w:line="360" w:lineRule="auto"/>
              <w:jc w:val="left"/>
              <w:rPr>
                <w:rFonts w:ascii="宋体" w:hAnsi="宋体" w:cs="宋体"/>
                <w:sz w:val="24"/>
                <w:lang w:val="zh-CN"/>
              </w:rPr>
            </w:pPr>
            <w:r>
              <w:rPr>
                <w:rFonts w:hint="eastAsia" w:ascii="宋体" w:hAnsi="宋体" w:cs="宋体"/>
                <w:sz w:val="24"/>
                <w:lang w:val="zh-CN"/>
              </w:rPr>
              <w:t xml:space="preserve">                         元</w:t>
            </w:r>
          </w:p>
        </w:tc>
      </w:tr>
    </w:tbl>
    <w:p w14:paraId="33077D07">
      <w:pPr>
        <w:widowControl/>
        <w:spacing w:line="360" w:lineRule="auto"/>
        <w:jc w:val="left"/>
        <w:rPr>
          <w:rFonts w:ascii="宋体" w:hAnsi="宋体" w:cs="宋体"/>
          <w:sz w:val="24"/>
          <w:lang w:val="zh-CN"/>
        </w:rPr>
      </w:pPr>
      <w:r>
        <w:rPr>
          <w:rFonts w:hint="eastAsia" w:ascii="宋体" w:hAnsi="宋体" w:cs="宋体"/>
          <w:sz w:val="24"/>
          <w:lang w:val="zh-CN"/>
        </w:rPr>
        <w:t>供应商名称:</w:t>
      </w:r>
      <w:r>
        <w:rPr>
          <w:rFonts w:hint="eastAsia" w:ascii="宋体" w:hAnsi="宋体" w:cs="宋体"/>
          <w:sz w:val="24"/>
          <w:u w:val="single"/>
          <w:lang w:val="zh-CN"/>
        </w:rPr>
        <w:t xml:space="preserve">                                                  </w:t>
      </w:r>
      <w:r>
        <w:rPr>
          <w:rFonts w:hint="eastAsia" w:ascii="宋体" w:hAnsi="宋体" w:cs="宋体"/>
          <w:sz w:val="24"/>
          <w:lang w:val="zh-CN"/>
        </w:rPr>
        <w:t>（盖章）</w:t>
      </w:r>
    </w:p>
    <w:p w14:paraId="75C577D7">
      <w:pPr>
        <w:widowControl/>
        <w:spacing w:line="360" w:lineRule="auto"/>
        <w:jc w:val="left"/>
        <w:rPr>
          <w:rFonts w:ascii="宋体" w:cs="宋体"/>
          <w:b/>
          <w:color w:val="000000"/>
          <w:sz w:val="24"/>
          <w:lang w:val="zh-CN"/>
        </w:rPr>
      </w:pPr>
    </w:p>
    <w:p w14:paraId="5F5D766D">
      <w:pPr>
        <w:pStyle w:val="239"/>
        <w:ind w:firstLine="400"/>
        <w:rPr>
          <w:lang w:val="zh-CN"/>
        </w:rPr>
      </w:pPr>
    </w:p>
    <w:p w14:paraId="42AD45AE">
      <w:pPr>
        <w:widowControl/>
        <w:spacing w:line="360" w:lineRule="auto"/>
        <w:jc w:val="left"/>
        <w:rPr>
          <w:rFonts w:ascii="宋体" w:cs="宋体"/>
          <w:b/>
          <w:color w:val="000000"/>
          <w:sz w:val="24"/>
          <w:lang w:val="zh-CN"/>
        </w:rPr>
      </w:pPr>
    </w:p>
    <w:p w14:paraId="62FCB202">
      <w:pPr>
        <w:widowControl/>
        <w:spacing w:line="360" w:lineRule="auto"/>
        <w:jc w:val="left"/>
        <w:rPr>
          <w:rFonts w:ascii="宋体" w:cs="宋体"/>
          <w:b/>
          <w:color w:val="000000"/>
          <w:sz w:val="24"/>
          <w:lang w:val="zh-CN"/>
        </w:rPr>
      </w:pPr>
      <w:r>
        <w:rPr>
          <w:rFonts w:hint="eastAsia" w:ascii="宋体" w:cs="宋体"/>
          <w:b/>
          <w:color w:val="000000"/>
          <w:sz w:val="24"/>
          <w:lang w:val="zh-CN"/>
        </w:rPr>
        <w:t>目录四、资格证明文件</w:t>
      </w:r>
    </w:p>
    <w:p w14:paraId="73378799">
      <w:pPr>
        <w:spacing w:line="360" w:lineRule="auto"/>
        <w:jc w:val="center"/>
        <w:outlineLvl w:val="0"/>
        <w:rPr>
          <w:rFonts w:ascii="宋体" w:hAnsi="宋体"/>
          <w:b/>
          <w:sz w:val="32"/>
          <w:szCs w:val="32"/>
        </w:rPr>
      </w:pPr>
      <w:bookmarkStart w:id="17" w:name="_Toc489655335"/>
      <w:r>
        <w:rPr>
          <w:rFonts w:hint="eastAsia" w:ascii="宋体" w:hAnsi="宋体"/>
          <w:b/>
          <w:sz w:val="32"/>
          <w:szCs w:val="32"/>
        </w:rPr>
        <w:t>资格证明文件</w:t>
      </w:r>
      <w:bookmarkEnd w:id="17"/>
    </w:p>
    <w:p w14:paraId="7B4DCA50">
      <w:pPr>
        <w:shd w:val="clear" w:color="auto" w:fill="FFFFFF"/>
        <w:spacing w:line="360" w:lineRule="auto"/>
        <w:ind w:firstLine="480"/>
        <w:jc w:val="center"/>
        <w:rPr>
          <w:rFonts w:ascii="宋体" w:hAnsi="宋体"/>
          <w:b/>
          <w:bCs/>
          <w:sz w:val="28"/>
          <w:szCs w:val="28"/>
        </w:rPr>
      </w:pPr>
      <w:r>
        <w:rPr>
          <w:rFonts w:hint="eastAsia"/>
          <w:sz w:val="24"/>
        </w:rPr>
        <w:t>格式自拟</w:t>
      </w:r>
    </w:p>
    <w:p w14:paraId="596A1510">
      <w:pPr>
        <w:widowControl/>
        <w:spacing w:line="240" w:lineRule="atLeast"/>
        <w:jc w:val="left"/>
        <w:rPr>
          <w:rFonts w:ascii="宋体" w:cs="宋体"/>
          <w:b/>
          <w:color w:val="000000"/>
          <w:sz w:val="24"/>
          <w:lang w:val="zh-CN"/>
        </w:rPr>
      </w:pPr>
    </w:p>
    <w:p w14:paraId="79AA095E">
      <w:pPr>
        <w:rPr>
          <w:rFonts w:ascii="宋体" w:cs="宋体"/>
          <w:b/>
          <w:color w:val="000000"/>
          <w:sz w:val="24"/>
          <w:lang w:val="zh-CN"/>
        </w:rPr>
      </w:pPr>
      <w:r>
        <w:rPr>
          <w:rFonts w:hint="eastAsia" w:ascii="宋体" w:cs="宋体"/>
          <w:b/>
          <w:color w:val="000000"/>
          <w:sz w:val="24"/>
          <w:lang w:val="zh-CN"/>
        </w:rPr>
        <w:br w:type="page" w:clear="all"/>
      </w:r>
    </w:p>
    <w:p w14:paraId="7E06FEF8">
      <w:pPr>
        <w:widowControl/>
        <w:spacing w:line="240" w:lineRule="atLeast"/>
        <w:jc w:val="left"/>
        <w:rPr>
          <w:rFonts w:ascii="宋体" w:cs="宋体"/>
          <w:b/>
          <w:color w:val="000000"/>
          <w:sz w:val="24"/>
          <w:lang w:val="zh-CN"/>
        </w:rPr>
      </w:pPr>
      <w:r>
        <w:rPr>
          <w:rFonts w:hint="eastAsia" w:ascii="宋体" w:cs="宋体"/>
          <w:b/>
          <w:color w:val="000000"/>
          <w:sz w:val="24"/>
          <w:lang w:val="zh-CN"/>
        </w:rPr>
        <w:t>目录五、分项报价表格式</w:t>
      </w:r>
    </w:p>
    <w:p w14:paraId="2F9F1D75">
      <w:pPr>
        <w:widowControl/>
        <w:spacing w:line="240" w:lineRule="atLeast"/>
        <w:jc w:val="left"/>
        <w:rPr>
          <w:rFonts w:ascii="黑体" w:hAnsi="宋体" w:eastAsia="黑体" w:cs="宋体"/>
          <w:sz w:val="36"/>
          <w:szCs w:val="36"/>
          <w:lang w:val="zh-CN"/>
        </w:rPr>
      </w:pPr>
      <w:r>
        <w:rPr>
          <w:rFonts w:hint="eastAsia" w:ascii="宋体" w:cs="宋体"/>
          <w:b/>
          <w:color w:val="000000"/>
          <w:szCs w:val="21"/>
          <w:lang w:val="zh-CN"/>
        </w:rPr>
        <w:t xml:space="preserve">                      </w:t>
      </w:r>
      <w:r>
        <w:rPr>
          <w:rFonts w:hint="eastAsia" w:ascii="宋体" w:cs="宋体"/>
          <w:b/>
          <w:szCs w:val="21"/>
          <w:lang w:val="zh-CN"/>
        </w:rPr>
        <w:t xml:space="preserve"> </w:t>
      </w:r>
      <w:r>
        <w:rPr>
          <w:rFonts w:hint="eastAsia" w:ascii="宋体" w:cs="宋体"/>
          <w:b/>
          <w:sz w:val="32"/>
          <w:szCs w:val="32"/>
          <w:lang w:val="zh-CN"/>
        </w:rPr>
        <w:t xml:space="preserve">   </w:t>
      </w:r>
      <w:r>
        <w:rPr>
          <w:rFonts w:hint="eastAsia" w:ascii="黑体" w:hAnsi="宋体" w:eastAsia="黑体" w:cs="宋体"/>
          <w:sz w:val="32"/>
          <w:szCs w:val="32"/>
          <w:lang w:val="zh-CN"/>
        </w:rPr>
        <w:t>分 项 报 价 表</w:t>
      </w:r>
    </w:p>
    <w:tbl>
      <w:tblPr>
        <w:tblStyle w:val="28"/>
        <w:tblW w:w="9520" w:type="dxa"/>
        <w:tblInd w:w="-15" w:type="dxa"/>
        <w:tblLayout w:type="autofit"/>
        <w:tblCellMar>
          <w:top w:w="0" w:type="dxa"/>
          <w:left w:w="108" w:type="dxa"/>
          <w:bottom w:w="0" w:type="dxa"/>
          <w:right w:w="108" w:type="dxa"/>
        </w:tblCellMar>
      </w:tblPr>
      <w:tblGrid>
        <w:gridCol w:w="560"/>
        <w:gridCol w:w="1180"/>
        <w:gridCol w:w="1760"/>
        <w:gridCol w:w="980"/>
        <w:gridCol w:w="740"/>
        <w:gridCol w:w="1000"/>
        <w:gridCol w:w="741"/>
        <w:gridCol w:w="1649"/>
        <w:gridCol w:w="940"/>
      </w:tblGrid>
      <w:tr w14:paraId="7189CC15">
        <w:tblPrEx>
          <w:tblCellMar>
            <w:top w:w="0" w:type="dxa"/>
            <w:left w:w="108" w:type="dxa"/>
            <w:bottom w:w="0" w:type="dxa"/>
            <w:right w:w="108" w:type="dxa"/>
          </w:tblCellMar>
        </w:tblPrEx>
        <w:trPr>
          <w:trHeight w:val="420" w:hRule="atLeast"/>
        </w:trPr>
        <w:tc>
          <w:tcPr>
            <w:tcW w:w="560" w:type="dxa"/>
            <w:vMerge w:val="restart"/>
            <w:tcBorders>
              <w:top w:val="single" w:color="000000" w:sz="4" w:space="0"/>
              <w:left w:val="single" w:color="000000" w:sz="4" w:space="0"/>
              <w:bottom w:val="single" w:color="000000" w:sz="4" w:space="0"/>
              <w:right w:val="single" w:color="000000" w:sz="4" w:space="0"/>
            </w:tcBorders>
            <w:noWrap/>
            <w:vAlign w:val="center"/>
          </w:tcPr>
          <w:p w14:paraId="6471C3A3">
            <w:pPr>
              <w:widowControl/>
              <w:jc w:val="center"/>
              <w:rPr>
                <w:rFonts w:ascii="宋体" w:hAnsi="宋体" w:cs="宋体"/>
                <w:color w:val="000000"/>
                <w:szCs w:val="21"/>
              </w:rPr>
            </w:pPr>
            <w:r>
              <w:rPr>
                <w:rFonts w:hint="eastAsia" w:ascii="宋体" w:hAnsi="宋体" w:cs="宋体"/>
                <w:color w:val="000000"/>
                <w:szCs w:val="21"/>
              </w:rPr>
              <w:t>序号</w:t>
            </w:r>
          </w:p>
        </w:tc>
        <w:tc>
          <w:tcPr>
            <w:tcW w:w="1180" w:type="dxa"/>
            <w:vMerge w:val="restart"/>
            <w:tcBorders>
              <w:top w:val="single" w:color="000000" w:sz="4" w:space="0"/>
              <w:left w:val="single" w:color="000000" w:sz="4" w:space="0"/>
              <w:bottom w:val="single" w:color="000000" w:sz="4" w:space="0"/>
              <w:right w:val="single" w:color="000000" w:sz="4" w:space="0"/>
            </w:tcBorders>
            <w:noWrap/>
            <w:vAlign w:val="center"/>
          </w:tcPr>
          <w:p w14:paraId="76FB34A1">
            <w:pPr>
              <w:widowControl/>
              <w:jc w:val="center"/>
              <w:rPr>
                <w:rFonts w:ascii="宋体" w:hAnsi="宋体" w:cs="宋体"/>
                <w:b/>
                <w:bCs/>
                <w:color w:val="000000"/>
                <w:szCs w:val="21"/>
              </w:rPr>
            </w:pPr>
            <w:r>
              <w:rPr>
                <w:rFonts w:hint="eastAsia" w:ascii="宋体" w:hAnsi="宋体" w:cs="宋体"/>
                <w:b/>
                <w:bCs/>
                <w:color w:val="000000"/>
                <w:szCs w:val="21"/>
              </w:rPr>
              <w:t>项目名称</w:t>
            </w:r>
          </w:p>
        </w:tc>
        <w:tc>
          <w:tcPr>
            <w:tcW w:w="1760" w:type="dxa"/>
            <w:vMerge w:val="restart"/>
            <w:tcBorders>
              <w:top w:val="single" w:color="000000" w:sz="4" w:space="0"/>
              <w:left w:val="single" w:color="000000" w:sz="4" w:space="0"/>
              <w:bottom w:val="single" w:color="000000" w:sz="4" w:space="0"/>
              <w:right w:val="single" w:color="000000" w:sz="4" w:space="0"/>
            </w:tcBorders>
            <w:noWrap w:val="0"/>
            <w:vAlign w:val="center"/>
          </w:tcPr>
          <w:p w14:paraId="2A2A7292">
            <w:pPr>
              <w:widowControl/>
              <w:jc w:val="center"/>
              <w:rPr>
                <w:rFonts w:ascii="宋体" w:hAnsi="宋体" w:cs="宋体"/>
                <w:b/>
                <w:bCs/>
                <w:color w:val="000000"/>
                <w:szCs w:val="21"/>
              </w:rPr>
            </w:pPr>
            <w:r>
              <w:rPr>
                <w:rFonts w:hint="eastAsia" w:ascii="宋体" w:hAnsi="宋体" w:cs="宋体"/>
                <w:b/>
                <w:bCs/>
                <w:color w:val="000000"/>
                <w:szCs w:val="21"/>
              </w:rPr>
              <w:t>具体措施</w:t>
            </w:r>
          </w:p>
        </w:tc>
        <w:tc>
          <w:tcPr>
            <w:tcW w:w="980" w:type="dxa"/>
            <w:vMerge w:val="restart"/>
            <w:tcBorders>
              <w:top w:val="single" w:color="000000" w:sz="4" w:space="0"/>
              <w:left w:val="single" w:color="000000" w:sz="4" w:space="0"/>
              <w:bottom w:val="single" w:color="000000" w:sz="4" w:space="0"/>
              <w:right w:val="single" w:color="000000" w:sz="4" w:space="0"/>
            </w:tcBorders>
            <w:noWrap/>
            <w:vAlign w:val="center"/>
          </w:tcPr>
          <w:p w14:paraId="2077DE8C">
            <w:pPr>
              <w:widowControl/>
              <w:jc w:val="center"/>
              <w:rPr>
                <w:rFonts w:ascii="宋体" w:hAnsi="宋体" w:cs="宋体"/>
                <w:b/>
                <w:bCs/>
                <w:color w:val="000000"/>
                <w:szCs w:val="21"/>
              </w:rPr>
            </w:pPr>
            <w:r>
              <w:rPr>
                <w:rFonts w:hint="eastAsia" w:ascii="宋体" w:hAnsi="宋体" w:cs="宋体"/>
                <w:b/>
                <w:bCs/>
                <w:color w:val="000000"/>
                <w:szCs w:val="21"/>
              </w:rPr>
              <w:t>频次</w:t>
            </w:r>
          </w:p>
        </w:tc>
        <w:tc>
          <w:tcPr>
            <w:tcW w:w="740" w:type="dxa"/>
            <w:vMerge w:val="restart"/>
            <w:tcBorders>
              <w:top w:val="single" w:color="000000" w:sz="4" w:space="0"/>
              <w:left w:val="single" w:color="000000" w:sz="4" w:space="0"/>
              <w:bottom w:val="single" w:color="000000" w:sz="4" w:space="0"/>
              <w:right w:val="single" w:color="000000" w:sz="4" w:space="0"/>
            </w:tcBorders>
            <w:noWrap/>
            <w:vAlign w:val="center"/>
          </w:tcPr>
          <w:p w14:paraId="6B33AE4E">
            <w:pPr>
              <w:widowControl/>
              <w:jc w:val="center"/>
              <w:rPr>
                <w:rFonts w:ascii="宋体" w:hAnsi="宋体" w:cs="宋体"/>
                <w:b/>
                <w:bCs/>
                <w:color w:val="000000"/>
                <w:szCs w:val="21"/>
              </w:rPr>
            </w:pPr>
            <w:r>
              <w:rPr>
                <w:rFonts w:hint="eastAsia" w:ascii="宋体" w:hAnsi="宋体" w:cs="宋体"/>
                <w:b/>
                <w:bCs/>
                <w:color w:val="000000"/>
                <w:szCs w:val="21"/>
              </w:rPr>
              <w:t>单位</w:t>
            </w:r>
          </w:p>
        </w:tc>
        <w:tc>
          <w:tcPr>
            <w:tcW w:w="1000" w:type="dxa"/>
            <w:tcBorders>
              <w:top w:val="single" w:color="000000" w:sz="4" w:space="0"/>
              <w:left w:val="nil"/>
              <w:bottom w:val="single" w:color="000000" w:sz="4" w:space="0"/>
              <w:right w:val="single" w:color="000000" w:sz="4" w:space="0"/>
            </w:tcBorders>
            <w:noWrap/>
            <w:vAlign w:val="center"/>
          </w:tcPr>
          <w:p w14:paraId="4E4D8B34">
            <w:pPr>
              <w:widowControl/>
              <w:jc w:val="center"/>
              <w:rPr>
                <w:rFonts w:ascii="宋体" w:hAnsi="宋体" w:cs="宋体"/>
                <w:b/>
                <w:bCs/>
                <w:color w:val="000000"/>
                <w:szCs w:val="21"/>
              </w:rPr>
            </w:pPr>
            <w:r>
              <w:rPr>
                <w:rFonts w:hint="eastAsia" w:ascii="宋体" w:hAnsi="宋体" w:cs="宋体"/>
                <w:b/>
                <w:bCs/>
                <w:color w:val="000000"/>
                <w:szCs w:val="21"/>
              </w:rPr>
              <w:t>单价</w:t>
            </w:r>
          </w:p>
        </w:tc>
        <w:tc>
          <w:tcPr>
            <w:tcW w:w="2390" w:type="dxa"/>
            <w:gridSpan w:val="2"/>
            <w:tcBorders>
              <w:top w:val="single" w:color="000000" w:sz="4" w:space="0"/>
              <w:left w:val="nil"/>
              <w:bottom w:val="single" w:color="000000" w:sz="4" w:space="0"/>
              <w:right w:val="single" w:color="000000" w:sz="4" w:space="0"/>
            </w:tcBorders>
            <w:noWrap/>
            <w:vAlign w:val="center"/>
          </w:tcPr>
          <w:p w14:paraId="322987F7">
            <w:pPr>
              <w:widowControl/>
              <w:jc w:val="center"/>
              <w:rPr>
                <w:rFonts w:ascii="宋体" w:hAnsi="宋体" w:cs="宋体"/>
                <w:color w:val="000000"/>
                <w:szCs w:val="21"/>
              </w:rPr>
            </w:pPr>
            <w:r>
              <w:rPr>
                <w:rFonts w:hint="eastAsia" w:ascii="宋体" w:hAnsi="宋体" w:cs="宋体"/>
                <w:color w:val="000000"/>
                <w:szCs w:val="21"/>
              </w:rPr>
              <w:t>合计</w:t>
            </w:r>
          </w:p>
        </w:tc>
        <w:tc>
          <w:tcPr>
            <w:tcW w:w="940" w:type="dxa"/>
            <w:tcBorders>
              <w:top w:val="single" w:color="000000" w:sz="4" w:space="0"/>
              <w:left w:val="nil"/>
              <w:bottom w:val="single" w:color="000000" w:sz="4" w:space="0"/>
              <w:right w:val="single" w:color="000000" w:sz="4" w:space="0"/>
            </w:tcBorders>
            <w:noWrap/>
            <w:vAlign w:val="center"/>
          </w:tcPr>
          <w:p w14:paraId="5B7482D5">
            <w:pPr>
              <w:widowControl/>
              <w:jc w:val="center"/>
              <w:rPr>
                <w:rFonts w:ascii="宋体" w:hAnsi="宋体" w:cs="宋体"/>
                <w:color w:val="000000"/>
                <w:szCs w:val="21"/>
              </w:rPr>
            </w:pPr>
            <w:r>
              <w:rPr>
                <w:rFonts w:hint="eastAsia" w:ascii="宋体" w:hAnsi="宋体" w:cs="宋体"/>
                <w:color w:val="000000"/>
                <w:szCs w:val="21"/>
              </w:rPr>
              <w:t>备注</w:t>
            </w:r>
          </w:p>
        </w:tc>
      </w:tr>
      <w:tr w14:paraId="6B97380A">
        <w:tblPrEx>
          <w:tblCellMar>
            <w:top w:w="0" w:type="dxa"/>
            <w:left w:w="108" w:type="dxa"/>
            <w:bottom w:w="0" w:type="dxa"/>
            <w:right w:w="108" w:type="dxa"/>
          </w:tblCellMar>
        </w:tblPrEx>
        <w:trPr>
          <w:trHeight w:val="420" w:hRule="atLeast"/>
        </w:trPr>
        <w:tc>
          <w:tcPr>
            <w:tcW w:w="5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8D9B67">
            <w:pPr>
              <w:widowControl/>
              <w:jc w:val="left"/>
              <w:rPr>
                <w:rFonts w:ascii="宋体" w:hAnsi="宋体" w:cs="宋体"/>
                <w:color w:val="000000"/>
                <w:szCs w:val="21"/>
              </w:rPr>
            </w:pPr>
          </w:p>
        </w:tc>
        <w:tc>
          <w:tcPr>
            <w:tcW w:w="11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028F8F">
            <w:pPr>
              <w:widowControl/>
              <w:jc w:val="left"/>
              <w:rPr>
                <w:rFonts w:ascii="宋体" w:hAnsi="宋体" w:cs="宋体"/>
                <w:b/>
                <w:bCs/>
                <w:color w:val="000000"/>
                <w:szCs w:val="21"/>
              </w:rPr>
            </w:pPr>
          </w:p>
        </w:tc>
        <w:tc>
          <w:tcPr>
            <w:tcW w:w="17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A2C2AC">
            <w:pPr>
              <w:widowControl/>
              <w:jc w:val="left"/>
              <w:rPr>
                <w:rFonts w:ascii="宋体" w:hAnsi="宋体" w:cs="宋体"/>
                <w:b/>
                <w:bCs/>
                <w:color w:val="000000"/>
                <w:szCs w:val="21"/>
              </w:rPr>
            </w:pPr>
          </w:p>
        </w:tc>
        <w:tc>
          <w:tcPr>
            <w:tcW w:w="9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349228">
            <w:pPr>
              <w:widowControl/>
              <w:jc w:val="left"/>
              <w:rPr>
                <w:rFonts w:ascii="宋体" w:hAnsi="宋体" w:cs="宋体"/>
                <w:b/>
                <w:bCs/>
                <w:color w:val="000000"/>
                <w:szCs w:val="21"/>
              </w:rPr>
            </w:pPr>
          </w:p>
        </w:tc>
        <w:tc>
          <w:tcPr>
            <w:tcW w:w="7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77629A">
            <w:pPr>
              <w:widowControl/>
              <w:jc w:val="left"/>
              <w:rPr>
                <w:rFonts w:ascii="宋体" w:hAnsi="宋体" w:cs="宋体"/>
                <w:b/>
                <w:bCs/>
                <w:color w:val="000000"/>
                <w:szCs w:val="21"/>
              </w:rPr>
            </w:pPr>
          </w:p>
        </w:tc>
        <w:tc>
          <w:tcPr>
            <w:tcW w:w="1000" w:type="dxa"/>
            <w:tcBorders>
              <w:top w:val="nil"/>
              <w:left w:val="nil"/>
              <w:bottom w:val="single" w:color="000000" w:sz="4" w:space="0"/>
              <w:right w:val="single" w:color="000000" w:sz="4" w:space="0"/>
            </w:tcBorders>
            <w:noWrap/>
            <w:vAlign w:val="center"/>
          </w:tcPr>
          <w:p w14:paraId="42DB5E61">
            <w:pPr>
              <w:widowControl/>
              <w:jc w:val="center"/>
              <w:rPr>
                <w:rFonts w:ascii="宋体" w:hAnsi="宋体" w:cs="宋体"/>
                <w:b/>
                <w:bCs/>
                <w:color w:val="000000"/>
                <w:szCs w:val="21"/>
              </w:rPr>
            </w:pPr>
            <w:r>
              <w:rPr>
                <w:rFonts w:hint="eastAsia" w:ascii="宋体" w:hAnsi="宋体" w:cs="宋体"/>
                <w:b/>
                <w:bCs/>
                <w:color w:val="000000"/>
                <w:szCs w:val="21"/>
              </w:rPr>
              <w:t>（万元）</w:t>
            </w:r>
          </w:p>
        </w:tc>
        <w:tc>
          <w:tcPr>
            <w:tcW w:w="711" w:type="dxa"/>
            <w:tcBorders>
              <w:top w:val="nil"/>
              <w:left w:val="nil"/>
              <w:bottom w:val="single" w:color="000000" w:sz="4" w:space="0"/>
              <w:right w:val="single" w:color="000000" w:sz="4" w:space="0"/>
            </w:tcBorders>
            <w:noWrap/>
            <w:vAlign w:val="center"/>
          </w:tcPr>
          <w:p w14:paraId="0B96C3F4">
            <w:pPr>
              <w:widowControl/>
              <w:jc w:val="center"/>
              <w:rPr>
                <w:rFonts w:ascii="宋体" w:hAnsi="宋体" w:cs="宋体"/>
                <w:color w:val="000000"/>
                <w:szCs w:val="21"/>
              </w:rPr>
            </w:pPr>
            <w:r>
              <w:rPr>
                <w:rFonts w:hint="eastAsia" w:ascii="宋体" w:hAnsi="宋体" w:cs="宋体"/>
                <w:color w:val="000000"/>
                <w:szCs w:val="21"/>
              </w:rPr>
              <w:t>数量</w:t>
            </w:r>
          </w:p>
        </w:tc>
        <w:tc>
          <w:tcPr>
            <w:tcW w:w="1649" w:type="dxa"/>
            <w:tcBorders>
              <w:top w:val="nil"/>
              <w:left w:val="nil"/>
              <w:bottom w:val="single" w:color="000000" w:sz="4" w:space="0"/>
              <w:right w:val="single" w:color="000000" w:sz="4" w:space="0"/>
            </w:tcBorders>
            <w:noWrap/>
            <w:vAlign w:val="center"/>
          </w:tcPr>
          <w:p w14:paraId="0B589253">
            <w:pPr>
              <w:widowControl/>
              <w:jc w:val="center"/>
              <w:rPr>
                <w:rFonts w:ascii="宋体" w:hAnsi="宋体" w:cs="宋体"/>
                <w:color w:val="000000"/>
                <w:szCs w:val="21"/>
              </w:rPr>
            </w:pPr>
            <w:r>
              <w:rPr>
                <w:rFonts w:hint="eastAsia" w:ascii="宋体" w:hAnsi="宋体" w:cs="宋体"/>
                <w:color w:val="000000"/>
                <w:szCs w:val="21"/>
              </w:rPr>
              <w:t>费用（单价*数量）（万元）</w:t>
            </w:r>
          </w:p>
        </w:tc>
        <w:tc>
          <w:tcPr>
            <w:tcW w:w="940" w:type="dxa"/>
            <w:tcBorders>
              <w:top w:val="nil"/>
              <w:left w:val="nil"/>
              <w:bottom w:val="single" w:color="000000" w:sz="4" w:space="0"/>
              <w:right w:val="single" w:color="000000" w:sz="4" w:space="0"/>
            </w:tcBorders>
            <w:noWrap/>
            <w:vAlign w:val="center"/>
          </w:tcPr>
          <w:p w14:paraId="76E78AF8">
            <w:pPr>
              <w:widowControl/>
              <w:jc w:val="center"/>
              <w:rPr>
                <w:rFonts w:ascii="宋体" w:hAnsi="宋体" w:cs="宋体"/>
                <w:color w:val="000000"/>
                <w:szCs w:val="21"/>
              </w:rPr>
            </w:pPr>
            <w:r>
              <w:rPr>
                <w:rFonts w:hint="eastAsia" w:ascii="宋体" w:hAnsi="宋体" w:cs="宋体"/>
                <w:color w:val="000000"/>
                <w:szCs w:val="21"/>
              </w:rPr>
              <w:t>　</w:t>
            </w:r>
          </w:p>
        </w:tc>
      </w:tr>
      <w:tr w14:paraId="293EF8E4">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noWrap/>
            <w:vAlign w:val="center"/>
          </w:tcPr>
          <w:p w14:paraId="1E248B20">
            <w:pPr>
              <w:widowControl/>
              <w:jc w:val="center"/>
              <w:rPr>
                <w:rFonts w:ascii="宋体" w:hAnsi="宋体" w:cs="宋体"/>
                <w:color w:val="000000"/>
                <w:szCs w:val="21"/>
              </w:rPr>
            </w:pPr>
            <w:r>
              <w:rPr>
                <w:rFonts w:hint="eastAsia" w:ascii="宋体" w:hAnsi="宋体" w:cs="宋体"/>
                <w:color w:val="000000"/>
                <w:szCs w:val="21"/>
              </w:rPr>
              <w:t>1</w:t>
            </w:r>
          </w:p>
        </w:tc>
        <w:tc>
          <w:tcPr>
            <w:tcW w:w="1180" w:type="dxa"/>
            <w:tcBorders>
              <w:top w:val="nil"/>
              <w:left w:val="nil"/>
              <w:bottom w:val="single" w:color="000000" w:sz="4" w:space="0"/>
              <w:right w:val="single" w:color="000000" w:sz="4" w:space="0"/>
            </w:tcBorders>
            <w:noWrap/>
            <w:vAlign w:val="center"/>
          </w:tcPr>
          <w:p w14:paraId="7C1545DF">
            <w:pPr>
              <w:widowControl/>
              <w:jc w:val="center"/>
              <w:rPr>
                <w:rFonts w:ascii="宋体" w:hAnsi="宋体" w:cs="宋体"/>
                <w:color w:val="000000"/>
                <w:szCs w:val="21"/>
              </w:rPr>
            </w:pPr>
            <w:r>
              <w:rPr>
                <w:rFonts w:hint="eastAsia" w:ascii="宋体" w:hAnsi="宋体" w:cs="宋体"/>
                <w:color w:val="000000"/>
                <w:szCs w:val="21"/>
              </w:rPr>
              <w:t>方案编制</w:t>
            </w:r>
          </w:p>
        </w:tc>
        <w:tc>
          <w:tcPr>
            <w:tcW w:w="1760" w:type="dxa"/>
            <w:tcBorders>
              <w:top w:val="nil"/>
              <w:left w:val="nil"/>
              <w:bottom w:val="single" w:color="000000" w:sz="4" w:space="0"/>
              <w:right w:val="single" w:color="000000" w:sz="4" w:space="0"/>
            </w:tcBorders>
            <w:noWrap w:val="0"/>
            <w:vAlign w:val="center"/>
          </w:tcPr>
          <w:p w14:paraId="14D4580C">
            <w:pPr>
              <w:widowControl/>
              <w:jc w:val="center"/>
              <w:rPr>
                <w:rFonts w:ascii="宋体" w:hAnsi="宋体" w:cs="宋体"/>
                <w:color w:val="000000"/>
                <w:szCs w:val="21"/>
              </w:rPr>
            </w:pPr>
            <w:r>
              <w:rPr>
                <w:rFonts w:hint="eastAsia" w:ascii="宋体" w:hAnsi="宋体" w:cs="宋体"/>
                <w:color w:val="000000"/>
                <w:szCs w:val="21"/>
              </w:rPr>
              <w:t>方案制定及指导</w:t>
            </w:r>
          </w:p>
        </w:tc>
        <w:tc>
          <w:tcPr>
            <w:tcW w:w="980" w:type="dxa"/>
            <w:tcBorders>
              <w:top w:val="nil"/>
              <w:left w:val="nil"/>
              <w:bottom w:val="single" w:color="000000" w:sz="4" w:space="0"/>
              <w:right w:val="single" w:color="000000" w:sz="4" w:space="0"/>
            </w:tcBorders>
            <w:noWrap/>
            <w:vAlign w:val="center"/>
          </w:tcPr>
          <w:p w14:paraId="0F4D4FF8">
            <w:pPr>
              <w:widowControl/>
              <w:jc w:val="center"/>
              <w:rPr>
                <w:rFonts w:ascii="宋体" w:hAnsi="宋体" w:cs="宋体"/>
                <w:color w:val="000000"/>
                <w:szCs w:val="21"/>
              </w:rPr>
            </w:pPr>
            <w:r>
              <w:rPr>
                <w:rFonts w:hint="eastAsia" w:ascii="宋体" w:hAnsi="宋体" w:cs="宋体"/>
                <w:color w:val="000000"/>
                <w:szCs w:val="21"/>
              </w:rPr>
              <w:t>1次/年</w:t>
            </w:r>
          </w:p>
        </w:tc>
        <w:tc>
          <w:tcPr>
            <w:tcW w:w="740" w:type="dxa"/>
            <w:tcBorders>
              <w:top w:val="nil"/>
              <w:left w:val="nil"/>
              <w:bottom w:val="single" w:color="000000" w:sz="4" w:space="0"/>
              <w:right w:val="single" w:color="000000" w:sz="4" w:space="0"/>
            </w:tcBorders>
            <w:noWrap/>
            <w:vAlign w:val="center"/>
          </w:tcPr>
          <w:p w14:paraId="794338BC">
            <w:pPr>
              <w:widowControl/>
              <w:jc w:val="center"/>
              <w:rPr>
                <w:rFonts w:ascii="宋体" w:hAnsi="宋体" w:cs="宋体"/>
                <w:color w:val="000000"/>
                <w:szCs w:val="21"/>
              </w:rPr>
            </w:pPr>
            <w:r>
              <w:rPr>
                <w:rFonts w:hint="eastAsia" w:ascii="宋体" w:hAnsi="宋体" w:cs="宋体"/>
                <w:color w:val="000000"/>
                <w:szCs w:val="21"/>
              </w:rPr>
              <w:t>次</w:t>
            </w:r>
          </w:p>
        </w:tc>
        <w:tc>
          <w:tcPr>
            <w:tcW w:w="1000" w:type="dxa"/>
            <w:tcBorders>
              <w:top w:val="nil"/>
              <w:left w:val="nil"/>
              <w:bottom w:val="single" w:color="000000" w:sz="4" w:space="0"/>
              <w:right w:val="single" w:color="000000" w:sz="4" w:space="0"/>
            </w:tcBorders>
            <w:noWrap/>
            <w:vAlign w:val="center"/>
          </w:tcPr>
          <w:p w14:paraId="5E949724">
            <w:pPr>
              <w:widowControl/>
              <w:jc w:val="center"/>
              <w:rPr>
                <w:rFonts w:ascii="宋体" w:hAnsi="宋体" w:cs="宋体"/>
                <w:color w:val="000000"/>
                <w:szCs w:val="21"/>
              </w:rPr>
            </w:pPr>
          </w:p>
        </w:tc>
        <w:tc>
          <w:tcPr>
            <w:tcW w:w="711" w:type="dxa"/>
            <w:tcBorders>
              <w:top w:val="nil"/>
              <w:left w:val="nil"/>
              <w:bottom w:val="single" w:color="000000" w:sz="4" w:space="0"/>
              <w:right w:val="single" w:color="000000" w:sz="4" w:space="0"/>
            </w:tcBorders>
            <w:noWrap/>
            <w:vAlign w:val="center"/>
          </w:tcPr>
          <w:p w14:paraId="59783365">
            <w:pPr>
              <w:widowControl/>
              <w:jc w:val="center"/>
              <w:rPr>
                <w:rFonts w:ascii="宋体" w:hAnsi="宋体" w:cs="宋体"/>
                <w:color w:val="000000"/>
                <w:szCs w:val="21"/>
              </w:rPr>
            </w:pPr>
            <w:r>
              <w:rPr>
                <w:rFonts w:hint="eastAsia" w:ascii="宋体" w:hAnsi="宋体" w:cs="宋体"/>
                <w:color w:val="000000"/>
                <w:szCs w:val="21"/>
              </w:rPr>
              <w:t>2</w:t>
            </w:r>
          </w:p>
        </w:tc>
        <w:tc>
          <w:tcPr>
            <w:tcW w:w="1649" w:type="dxa"/>
            <w:tcBorders>
              <w:top w:val="nil"/>
              <w:left w:val="nil"/>
              <w:bottom w:val="single" w:color="000000" w:sz="4" w:space="0"/>
              <w:right w:val="single" w:color="000000" w:sz="4" w:space="0"/>
            </w:tcBorders>
            <w:noWrap/>
            <w:vAlign w:val="center"/>
          </w:tcPr>
          <w:p w14:paraId="10CF63DF">
            <w:pPr>
              <w:widowControl/>
              <w:jc w:val="center"/>
              <w:rPr>
                <w:rFonts w:ascii="宋体" w:hAnsi="宋体" w:cs="宋体"/>
                <w:color w:val="000000"/>
                <w:szCs w:val="21"/>
              </w:rPr>
            </w:pPr>
          </w:p>
        </w:tc>
        <w:tc>
          <w:tcPr>
            <w:tcW w:w="940" w:type="dxa"/>
            <w:tcBorders>
              <w:top w:val="nil"/>
              <w:left w:val="nil"/>
              <w:bottom w:val="single" w:color="000000" w:sz="4" w:space="0"/>
              <w:right w:val="single" w:color="000000" w:sz="4" w:space="0"/>
            </w:tcBorders>
            <w:noWrap/>
            <w:vAlign w:val="center"/>
          </w:tcPr>
          <w:p w14:paraId="6CBA4662">
            <w:pPr>
              <w:widowControl/>
              <w:jc w:val="center"/>
              <w:rPr>
                <w:rFonts w:ascii="宋体" w:hAnsi="宋体" w:cs="宋体"/>
                <w:color w:val="000000"/>
                <w:szCs w:val="21"/>
              </w:rPr>
            </w:pPr>
            <w:r>
              <w:rPr>
                <w:rFonts w:hint="eastAsia" w:ascii="宋体" w:hAnsi="宋体" w:cs="宋体"/>
                <w:color w:val="000000"/>
                <w:szCs w:val="21"/>
              </w:rPr>
              <w:t>　</w:t>
            </w:r>
          </w:p>
        </w:tc>
      </w:tr>
      <w:tr w14:paraId="50B7E852">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noWrap/>
            <w:vAlign w:val="center"/>
          </w:tcPr>
          <w:p w14:paraId="5D422378">
            <w:pPr>
              <w:widowControl/>
              <w:jc w:val="center"/>
              <w:rPr>
                <w:rFonts w:ascii="宋体" w:hAnsi="宋体" w:cs="宋体"/>
                <w:color w:val="000000"/>
                <w:szCs w:val="21"/>
              </w:rPr>
            </w:pPr>
            <w:r>
              <w:rPr>
                <w:rFonts w:hint="eastAsia" w:ascii="宋体" w:hAnsi="宋体" w:cs="宋体"/>
                <w:color w:val="000000"/>
                <w:szCs w:val="21"/>
              </w:rPr>
              <w:t>2</w:t>
            </w:r>
          </w:p>
        </w:tc>
        <w:tc>
          <w:tcPr>
            <w:tcW w:w="1180" w:type="dxa"/>
            <w:vMerge w:val="restart"/>
            <w:tcBorders>
              <w:top w:val="nil"/>
              <w:left w:val="single" w:color="000000" w:sz="4" w:space="0"/>
              <w:bottom w:val="single" w:color="000000" w:sz="4" w:space="0"/>
              <w:right w:val="single" w:color="000000" w:sz="4" w:space="0"/>
            </w:tcBorders>
            <w:noWrap/>
            <w:vAlign w:val="center"/>
          </w:tcPr>
          <w:p w14:paraId="4CDBF80B">
            <w:pPr>
              <w:widowControl/>
              <w:jc w:val="center"/>
              <w:rPr>
                <w:rFonts w:ascii="宋体" w:hAnsi="宋体" w:cs="宋体"/>
                <w:color w:val="000000"/>
                <w:szCs w:val="21"/>
              </w:rPr>
            </w:pPr>
            <w:r>
              <w:rPr>
                <w:rFonts w:hint="eastAsia" w:ascii="宋体" w:hAnsi="宋体" w:cs="宋体"/>
                <w:color w:val="000000"/>
                <w:szCs w:val="21"/>
              </w:rPr>
              <w:t>普查监测</w:t>
            </w:r>
          </w:p>
        </w:tc>
        <w:tc>
          <w:tcPr>
            <w:tcW w:w="1760" w:type="dxa"/>
            <w:tcBorders>
              <w:top w:val="nil"/>
              <w:left w:val="nil"/>
              <w:bottom w:val="single" w:color="000000" w:sz="4" w:space="0"/>
              <w:right w:val="single" w:color="000000" w:sz="4" w:space="0"/>
            </w:tcBorders>
            <w:noWrap w:val="0"/>
            <w:vAlign w:val="center"/>
          </w:tcPr>
          <w:p w14:paraId="6F70B538">
            <w:pPr>
              <w:widowControl/>
              <w:jc w:val="center"/>
              <w:rPr>
                <w:rFonts w:ascii="宋体" w:hAnsi="宋体" w:cs="宋体"/>
                <w:szCs w:val="21"/>
              </w:rPr>
            </w:pPr>
            <w:r>
              <w:rPr>
                <w:rFonts w:hint="eastAsia" w:ascii="宋体" w:hAnsi="宋体" w:cs="宋体"/>
                <w:szCs w:val="21"/>
              </w:rPr>
              <w:t>日常监测</w:t>
            </w:r>
          </w:p>
        </w:tc>
        <w:tc>
          <w:tcPr>
            <w:tcW w:w="980" w:type="dxa"/>
            <w:tcBorders>
              <w:top w:val="nil"/>
              <w:left w:val="nil"/>
              <w:bottom w:val="single" w:color="000000" w:sz="4" w:space="0"/>
              <w:right w:val="single" w:color="000000" w:sz="4" w:space="0"/>
            </w:tcBorders>
            <w:noWrap/>
            <w:vAlign w:val="center"/>
          </w:tcPr>
          <w:p w14:paraId="51BB4232">
            <w:pPr>
              <w:widowControl/>
              <w:jc w:val="center"/>
              <w:rPr>
                <w:szCs w:val="21"/>
              </w:rPr>
            </w:pPr>
            <w:r>
              <w:rPr>
                <w:szCs w:val="21"/>
              </w:rPr>
              <w:t>1</w:t>
            </w:r>
            <w:r>
              <w:rPr>
                <w:rFonts w:hint="eastAsia" w:ascii="宋体" w:hAnsi="宋体"/>
                <w:szCs w:val="21"/>
              </w:rPr>
              <w:t>次</w:t>
            </w:r>
            <w:r>
              <w:rPr>
                <w:szCs w:val="21"/>
              </w:rPr>
              <w:t>/</w:t>
            </w:r>
            <w:r>
              <w:rPr>
                <w:rFonts w:hint="eastAsia" w:ascii="宋体" w:hAnsi="宋体"/>
                <w:szCs w:val="21"/>
              </w:rPr>
              <w:t>月</w:t>
            </w:r>
          </w:p>
        </w:tc>
        <w:tc>
          <w:tcPr>
            <w:tcW w:w="740" w:type="dxa"/>
            <w:tcBorders>
              <w:top w:val="nil"/>
              <w:left w:val="nil"/>
              <w:bottom w:val="single" w:color="000000" w:sz="4" w:space="0"/>
              <w:right w:val="single" w:color="000000" w:sz="4" w:space="0"/>
            </w:tcBorders>
            <w:noWrap/>
            <w:vAlign w:val="center"/>
          </w:tcPr>
          <w:p w14:paraId="18B62240">
            <w:pPr>
              <w:widowControl/>
              <w:jc w:val="center"/>
              <w:rPr>
                <w:rFonts w:ascii="宋体" w:hAnsi="宋体" w:cs="宋体"/>
                <w:szCs w:val="21"/>
              </w:rPr>
            </w:pPr>
            <w:r>
              <w:rPr>
                <w:rFonts w:hint="eastAsia" w:ascii="宋体" w:hAnsi="宋体" w:cs="宋体"/>
                <w:szCs w:val="21"/>
              </w:rPr>
              <w:t>次</w:t>
            </w:r>
          </w:p>
        </w:tc>
        <w:tc>
          <w:tcPr>
            <w:tcW w:w="1000" w:type="dxa"/>
            <w:tcBorders>
              <w:top w:val="nil"/>
              <w:left w:val="nil"/>
              <w:bottom w:val="single" w:color="000000" w:sz="4" w:space="0"/>
              <w:right w:val="single" w:color="000000" w:sz="4" w:space="0"/>
            </w:tcBorders>
            <w:noWrap/>
            <w:vAlign w:val="center"/>
          </w:tcPr>
          <w:p w14:paraId="5CE12E5A">
            <w:pPr>
              <w:widowControl/>
              <w:jc w:val="center"/>
              <w:rPr>
                <w:rFonts w:ascii="宋体" w:hAnsi="宋体" w:cs="宋体"/>
                <w:szCs w:val="21"/>
              </w:rPr>
            </w:pPr>
          </w:p>
        </w:tc>
        <w:tc>
          <w:tcPr>
            <w:tcW w:w="711" w:type="dxa"/>
            <w:tcBorders>
              <w:top w:val="nil"/>
              <w:left w:val="nil"/>
              <w:bottom w:val="single" w:color="000000" w:sz="4" w:space="0"/>
              <w:right w:val="single" w:color="000000" w:sz="4" w:space="0"/>
            </w:tcBorders>
            <w:noWrap/>
            <w:vAlign w:val="center"/>
          </w:tcPr>
          <w:p w14:paraId="1FD4AC4B">
            <w:pPr>
              <w:widowControl/>
              <w:jc w:val="center"/>
              <w:rPr>
                <w:rFonts w:ascii="宋体" w:hAnsi="宋体" w:cs="宋体"/>
                <w:szCs w:val="21"/>
              </w:rPr>
            </w:pPr>
            <w:r>
              <w:rPr>
                <w:rFonts w:hint="eastAsia" w:ascii="宋体" w:hAnsi="宋体" w:cs="宋体"/>
                <w:szCs w:val="21"/>
              </w:rPr>
              <w:t>22</w:t>
            </w:r>
          </w:p>
        </w:tc>
        <w:tc>
          <w:tcPr>
            <w:tcW w:w="1649" w:type="dxa"/>
            <w:tcBorders>
              <w:top w:val="nil"/>
              <w:left w:val="nil"/>
              <w:bottom w:val="single" w:color="000000" w:sz="4" w:space="0"/>
              <w:right w:val="single" w:color="000000" w:sz="4" w:space="0"/>
            </w:tcBorders>
            <w:noWrap/>
            <w:vAlign w:val="center"/>
          </w:tcPr>
          <w:p w14:paraId="3E787BAD">
            <w:pPr>
              <w:widowControl/>
              <w:jc w:val="center"/>
              <w:rPr>
                <w:rFonts w:ascii="宋体" w:hAnsi="宋体" w:cs="宋体"/>
                <w:szCs w:val="21"/>
              </w:rPr>
            </w:pPr>
          </w:p>
        </w:tc>
        <w:tc>
          <w:tcPr>
            <w:tcW w:w="940" w:type="dxa"/>
            <w:tcBorders>
              <w:top w:val="nil"/>
              <w:left w:val="nil"/>
              <w:bottom w:val="single" w:color="000000" w:sz="4" w:space="0"/>
              <w:right w:val="single" w:color="000000" w:sz="4" w:space="0"/>
            </w:tcBorders>
            <w:noWrap/>
            <w:vAlign w:val="center"/>
          </w:tcPr>
          <w:p w14:paraId="655DD76B">
            <w:pPr>
              <w:widowControl/>
              <w:jc w:val="center"/>
              <w:rPr>
                <w:rFonts w:ascii="宋体" w:hAnsi="宋体" w:cs="宋体"/>
                <w:color w:val="0000FF"/>
                <w:szCs w:val="21"/>
              </w:rPr>
            </w:pPr>
            <w:r>
              <w:rPr>
                <w:rFonts w:hint="eastAsia" w:ascii="宋体" w:hAnsi="宋体" w:cs="宋体"/>
                <w:color w:val="0000FF"/>
                <w:szCs w:val="21"/>
              </w:rPr>
              <w:t>　</w:t>
            </w:r>
          </w:p>
        </w:tc>
      </w:tr>
      <w:tr w14:paraId="439F4A48">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noWrap/>
            <w:vAlign w:val="center"/>
          </w:tcPr>
          <w:p w14:paraId="408A9481">
            <w:pPr>
              <w:widowControl/>
              <w:jc w:val="center"/>
              <w:rPr>
                <w:rFonts w:ascii="宋体" w:hAnsi="宋体" w:cs="宋体"/>
                <w:color w:val="000000"/>
                <w:szCs w:val="21"/>
              </w:rPr>
            </w:pPr>
            <w:r>
              <w:rPr>
                <w:rFonts w:hint="eastAsia" w:ascii="宋体" w:hAnsi="宋体" w:cs="宋体"/>
                <w:color w:val="000000"/>
                <w:szCs w:val="21"/>
              </w:rPr>
              <w:t>3</w:t>
            </w:r>
          </w:p>
        </w:tc>
        <w:tc>
          <w:tcPr>
            <w:tcW w:w="1180" w:type="dxa"/>
            <w:vMerge w:val="continue"/>
            <w:tcBorders>
              <w:top w:val="nil"/>
              <w:left w:val="single" w:color="000000" w:sz="4" w:space="0"/>
              <w:bottom w:val="single" w:color="000000" w:sz="4" w:space="0"/>
              <w:right w:val="single" w:color="000000" w:sz="4" w:space="0"/>
            </w:tcBorders>
            <w:noWrap w:val="0"/>
            <w:vAlign w:val="center"/>
          </w:tcPr>
          <w:p w14:paraId="1957F02F">
            <w:pPr>
              <w:widowControl/>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0"/>
            <w:vAlign w:val="center"/>
          </w:tcPr>
          <w:p w14:paraId="74A93658">
            <w:pPr>
              <w:widowControl/>
              <w:jc w:val="center"/>
              <w:rPr>
                <w:rFonts w:ascii="宋体" w:hAnsi="宋体" w:cs="宋体"/>
                <w:szCs w:val="21"/>
              </w:rPr>
            </w:pPr>
            <w:r>
              <w:rPr>
                <w:rFonts w:hint="eastAsia" w:ascii="宋体" w:hAnsi="宋体" w:cs="宋体"/>
                <w:szCs w:val="21"/>
              </w:rPr>
              <w:t>专项普查</w:t>
            </w:r>
          </w:p>
        </w:tc>
        <w:tc>
          <w:tcPr>
            <w:tcW w:w="980" w:type="dxa"/>
            <w:tcBorders>
              <w:top w:val="nil"/>
              <w:left w:val="nil"/>
              <w:bottom w:val="single" w:color="000000" w:sz="4" w:space="0"/>
              <w:right w:val="single" w:color="000000" w:sz="4" w:space="0"/>
            </w:tcBorders>
            <w:noWrap/>
            <w:vAlign w:val="center"/>
          </w:tcPr>
          <w:p w14:paraId="09384467">
            <w:pPr>
              <w:widowControl/>
              <w:jc w:val="center"/>
              <w:rPr>
                <w:szCs w:val="21"/>
              </w:rPr>
            </w:pPr>
            <w:r>
              <w:rPr>
                <w:szCs w:val="21"/>
              </w:rPr>
              <w:t>1</w:t>
            </w:r>
            <w:r>
              <w:rPr>
                <w:rFonts w:hint="eastAsia" w:ascii="宋体" w:hAnsi="宋体"/>
                <w:szCs w:val="21"/>
              </w:rPr>
              <w:t>次</w:t>
            </w:r>
            <w:r>
              <w:rPr>
                <w:szCs w:val="21"/>
              </w:rPr>
              <w:t>/</w:t>
            </w:r>
            <w:r>
              <w:rPr>
                <w:rFonts w:hint="eastAsia" w:ascii="宋体" w:hAnsi="宋体"/>
                <w:szCs w:val="21"/>
              </w:rPr>
              <w:t>年</w:t>
            </w:r>
          </w:p>
        </w:tc>
        <w:tc>
          <w:tcPr>
            <w:tcW w:w="740" w:type="dxa"/>
            <w:tcBorders>
              <w:top w:val="nil"/>
              <w:left w:val="nil"/>
              <w:bottom w:val="single" w:color="000000" w:sz="4" w:space="0"/>
              <w:right w:val="single" w:color="000000" w:sz="4" w:space="0"/>
            </w:tcBorders>
            <w:noWrap/>
            <w:vAlign w:val="center"/>
          </w:tcPr>
          <w:p w14:paraId="6491B064">
            <w:pPr>
              <w:widowControl/>
              <w:jc w:val="center"/>
              <w:rPr>
                <w:rFonts w:ascii="宋体" w:hAnsi="宋体" w:cs="宋体"/>
                <w:szCs w:val="21"/>
              </w:rPr>
            </w:pPr>
            <w:r>
              <w:rPr>
                <w:rFonts w:hint="eastAsia" w:ascii="宋体" w:hAnsi="宋体" w:cs="宋体"/>
                <w:szCs w:val="21"/>
              </w:rPr>
              <w:t>次</w:t>
            </w:r>
          </w:p>
        </w:tc>
        <w:tc>
          <w:tcPr>
            <w:tcW w:w="1000" w:type="dxa"/>
            <w:tcBorders>
              <w:top w:val="nil"/>
              <w:left w:val="nil"/>
              <w:bottom w:val="single" w:color="000000" w:sz="4" w:space="0"/>
              <w:right w:val="single" w:color="000000" w:sz="4" w:space="0"/>
            </w:tcBorders>
            <w:noWrap/>
            <w:vAlign w:val="center"/>
          </w:tcPr>
          <w:p w14:paraId="104A919A">
            <w:pPr>
              <w:widowControl/>
              <w:jc w:val="center"/>
              <w:rPr>
                <w:rFonts w:ascii="宋体" w:hAnsi="宋体" w:cs="宋体"/>
                <w:szCs w:val="21"/>
              </w:rPr>
            </w:pPr>
          </w:p>
        </w:tc>
        <w:tc>
          <w:tcPr>
            <w:tcW w:w="711" w:type="dxa"/>
            <w:tcBorders>
              <w:top w:val="nil"/>
              <w:left w:val="nil"/>
              <w:bottom w:val="single" w:color="000000" w:sz="4" w:space="0"/>
              <w:right w:val="single" w:color="000000" w:sz="4" w:space="0"/>
            </w:tcBorders>
            <w:noWrap/>
            <w:vAlign w:val="center"/>
          </w:tcPr>
          <w:p w14:paraId="0BF0FA0E">
            <w:pPr>
              <w:widowControl/>
              <w:jc w:val="center"/>
              <w:rPr>
                <w:rFonts w:ascii="宋体" w:hAnsi="宋体" w:cs="宋体"/>
                <w:szCs w:val="21"/>
              </w:rPr>
            </w:pPr>
            <w:r>
              <w:rPr>
                <w:rFonts w:hint="eastAsia" w:ascii="宋体" w:hAnsi="宋体" w:cs="宋体"/>
                <w:szCs w:val="21"/>
              </w:rPr>
              <w:t>2</w:t>
            </w:r>
          </w:p>
        </w:tc>
        <w:tc>
          <w:tcPr>
            <w:tcW w:w="1649" w:type="dxa"/>
            <w:tcBorders>
              <w:top w:val="nil"/>
              <w:left w:val="nil"/>
              <w:bottom w:val="single" w:color="000000" w:sz="4" w:space="0"/>
              <w:right w:val="single" w:color="000000" w:sz="4" w:space="0"/>
            </w:tcBorders>
            <w:noWrap/>
            <w:vAlign w:val="center"/>
          </w:tcPr>
          <w:p w14:paraId="242DFBD1">
            <w:pPr>
              <w:widowControl/>
              <w:jc w:val="center"/>
              <w:rPr>
                <w:rFonts w:ascii="宋体" w:hAnsi="宋体" w:cs="宋体"/>
                <w:szCs w:val="21"/>
              </w:rPr>
            </w:pPr>
          </w:p>
        </w:tc>
        <w:tc>
          <w:tcPr>
            <w:tcW w:w="940" w:type="dxa"/>
            <w:tcBorders>
              <w:top w:val="nil"/>
              <w:left w:val="nil"/>
              <w:bottom w:val="single" w:color="000000" w:sz="4" w:space="0"/>
              <w:right w:val="single" w:color="000000" w:sz="4" w:space="0"/>
            </w:tcBorders>
            <w:noWrap/>
            <w:vAlign w:val="center"/>
          </w:tcPr>
          <w:p w14:paraId="3FC171B5">
            <w:pPr>
              <w:widowControl/>
              <w:jc w:val="center"/>
              <w:rPr>
                <w:rFonts w:ascii="宋体" w:hAnsi="宋体" w:cs="宋体"/>
                <w:color w:val="000000"/>
                <w:szCs w:val="21"/>
              </w:rPr>
            </w:pPr>
            <w:r>
              <w:rPr>
                <w:rFonts w:hint="eastAsia" w:ascii="宋体" w:hAnsi="宋体" w:cs="宋体"/>
                <w:color w:val="000000"/>
                <w:szCs w:val="21"/>
              </w:rPr>
              <w:t>　</w:t>
            </w:r>
          </w:p>
        </w:tc>
      </w:tr>
      <w:tr w14:paraId="2BC47EB5">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noWrap/>
            <w:vAlign w:val="center"/>
          </w:tcPr>
          <w:p w14:paraId="156283F3">
            <w:pPr>
              <w:widowControl/>
              <w:jc w:val="center"/>
              <w:rPr>
                <w:rFonts w:ascii="宋体" w:hAnsi="宋体" w:cs="宋体"/>
                <w:color w:val="000000"/>
                <w:szCs w:val="21"/>
              </w:rPr>
            </w:pPr>
            <w:r>
              <w:rPr>
                <w:rFonts w:hint="eastAsia" w:ascii="宋体" w:hAnsi="宋体" w:cs="宋体"/>
                <w:color w:val="000000"/>
                <w:szCs w:val="21"/>
              </w:rPr>
              <w:t>4</w:t>
            </w:r>
          </w:p>
        </w:tc>
        <w:tc>
          <w:tcPr>
            <w:tcW w:w="1180" w:type="dxa"/>
            <w:vMerge w:val="continue"/>
            <w:tcBorders>
              <w:top w:val="nil"/>
              <w:left w:val="single" w:color="000000" w:sz="4" w:space="0"/>
              <w:bottom w:val="single" w:color="000000" w:sz="4" w:space="0"/>
              <w:right w:val="single" w:color="000000" w:sz="4" w:space="0"/>
            </w:tcBorders>
            <w:noWrap w:val="0"/>
            <w:vAlign w:val="center"/>
          </w:tcPr>
          <w:p w14:paraId="5CB5AD5C">
            <w:pPr>
              <w:widowControl/>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0"/>
            <w:vAlign w:val="center"/>
          </w:tcPr>
          <w:p w14:paraId="04B8C0AD">
            <w:pPr>
              <w:widowControl/>
              <w:jc w:val="center"/>
              <w:rPr>
                <w:rFonts w:ascii="宋体" w:hAnsi="宋体" w:cs="宋体"/>
                <w:szCs w:val="21"/>
              </w:rPr>
            </w:pPr>
            <w:r>
              <w:rPr>
                <w:rFonts w:hint="eastAsia" w:ascii="宋体" w:hAnsi="宋体" w:cs="宋体"/>
                <w:szCs w:val="21"/>
              </w:rPr>
              <w:t>天牛诱捕</w:t>
            </w:r>
          </w:p>
        </w:tc>
        <w:tc>
          <w:tcPr>
            <w:tcW w:w="980" w:type="dxa"/>
            <w:tcBorders>
              <w:top w:val="nil"/>
              <w:left w:val="nil"/>
              <w:bottom w:val="single" w:color="000000" w:sz="4" w:space="0"/>
              <w:right w:val="single" w:color="000000" w:sz="4" w:space="0"/>
            </w:tcBorders>
            <w:noWrap/>
            <w:vAlign w:val="center"/>
          </w:tcPr>
          <w:p w14:paraId="172F91E4">
            <w:pPr>
              <w:widowControl/>
              <w:jc w:val="center"/>
              <w:rPr>
                <w:szCs w:val="21"/>
              </w:rPr>
            </w:pPr>
            <w:r>
              <w:rPr>
                <w:szCs w:val="21"/>
              </w:rPr>
              <w:t>24</w:t>
            </w:r>
            <w:r>
              <w:rPr>
                <w:rFonts w:hint="eastAsia" w:ascii="宋体" w:hAnsi="宋体"/>
                <w:szCs w:val="21"/>
              </w:rPr>
              <w:t>次</w:t>
            </w:r>
            <w:r>
              <w:rPr>
                <w:szCs w:val="21"/>
              </w:rPr>
              <w:t>/</w:t>
            </w:r>
            <w:r>
              <w:rPr>
                <w:rFonts w:hint="eastAsia" w:ascii="宋体" w:hAnsi="宋体"/>
                <w:szCs w:val="21"/>
              </w:rPr>
              <w:t>年</w:t>
            </w:r>
          </w:p>
        </w:tc>
        <w:tc>
          <w:tcPr>
            <w:tcW w:w="740" w:type="dxa"/>
            <w:tcBorders>
              <w:top w:val="nil"/>
              <w:left w:val="nil"/>
              <w:bottom w:val="single" w:color="000000" w:sz="4" w:space="0"/>
              <w:right w:val="single" w:color="000000" w:sz="4" w:space="0"/>
            </w:tcBorders>
            <w:noWrap/>
            <w:vAlign w:val="center"/>
          </w:tcPr>
          <w:p w14:paraId="2FC8E8EF">
            <w:pPr>
              <w:widowControl/>
              <w:jc w:val="center"/>
              <w:rPr>
                <w:rFonts w:ascii="宋体" w:hAnsi="宋体" w:cs="宋体"/>
                <w:szCs w:val="21"/>
              </w:rPr>
            </w:pPr>
            <w:r>
              <w:rPr>
                <w:rFonts w:hint="eastAsia" w:ascii="宋体" w:hAnsi="宋体" w:cs="宋体"/>
                <w:szCs w:val="21"/>
              </w:rPr>
              <w:t>个</w:t>
            </w:r>
          </w:p>
        </w:tc>
        <w:tc>
          <w:tcPr>
            <w:tcW w:w="1000" w:type="dxa"/>
            <w:tcBorders>
              <w:top w:val="nil"/>
              <w:left w:val="nil"/>
              <w:bottom w:val="single" w:color="000000" w:sz="4" w:space="0"/>
              <w:right w:val="single" w:color="000000" w:sz="4" w:space="0"/>
            </w:tcBorders>
            <w:noWrap/>
            <w:vAlign w:val="center"/>
          </w:tcPr>
          <w:p w14:paraId="4B6D7CE5">
            <w:pPr>
              <w:widowControl/>
              <w:jc w:val="center"/>
              <w:rPr>
                <w:rFonts w:ascii="宋体" w:hAnsi="宋体" w:cs="宋体"/>
                <w:szCs w:val="21"/>
              </w:rPr>
            </w:pPr>
          </w:p>
        </w:tc>
        <w:tc>
          <w:tcPr>
            <w:tcW w:w="711" w:type="dxa"/>
            <w:tcBorders>
              <w:top w:val="nil"/>
              <w:left w:val="nil"/>
              <w:bottom w:val="single" w:color="000000" w:sz="4" w:space="0"/>
              <w:right w:val="single" w:color="000000" w:sz="4" w:space="0"/>
            </w:tcBorders>
            <w:noWrap/>
            <w:vAlign w:val="center"/>
          </w:tcPr>
          <w:p w14:paraId="0242F4F5">
            <w:pPr>
              <w:widowControl/>
              <w:jc w:val="center"/>
              <w:rPr>
                <w:rFonts w:ascii="宋体" w:hAnsi="宋体" w:cs="宋体"/>
                <w:szCs w:val="21"/>
              </w:rPr>
            </w:pPr>
            <w:r>
              <w:rPr>
                <w:rFonts w:hint="eastAsia" w:ascii="宋体" w:hAnsi="宋体" w:cs="宋体"/>
                <w:szCs w:val="21"/>
              </w:rPr>
              <w:t>100</w:t>
            </w:r>
          </w:p>
        </w:tc>
        <w:tc>
          <w:tcPr>
            <w:tcW w:w="1649" w:type="dxa"/>
            <w:tcBorders>
              <w:top w:val="nil"/>
              <w:left w:val="nil"/>
              <w:bottom w:val="single" w:color="000000" w:sz="4" w:space="0"/>
              <w:right w:val="single" w:color="000000" w:sz="4" w:space="0"/>
            </w:tcBorders>
            <w:noWrap/>
            <w:vAlign w:val="center"/>
          </w:tcPr>
          <w:p w14:paraId="395AEF4B">
            <w:pPr>
              <w:widowControl/>
              <w:jc w:val="center"/>
              <w:rPr>
                <w:rFonts w:ascii="宋体" w:hAnsi="宋体" w:cs="宋体"/>
                <w:szCs w:val="21"/>
              </w:rPr>
            </w:pPr>
          </w:p>
        </w:tc>
        <w:tc>
          <w:tcPr>
            <w:tcW w:w="940" w:type="dxa"/>
            <w:tcBorders>
              <w:top w:val="nil"/>
              <w:left w:val="nil"/>
              <w:bottom w:val="single" w:color="000000" w:sz="4" w:space="0"/>
              <w:right w:val="single" w:color="000000" w:sz="4" w:space="0"/>
            </w:tcBorders>
            <w:noWrap/>
            <w:vAlign w:val="center"/>
          </w:tcPr>
          <w:p w14:paraId="00707F1D">
            <w:pPr>
              <w:widowControl/>
              <w:jc w:val="center"/>
              <w:rPr>
                <w:rFonts w:ascii="宋体" w:hAnsi="宋体" w:cs="宋体"/>
                <w:color w:val="0000FF"/>
                <w:szCs w:val="21"/>
              </w:rPr>
            </w:pPr>
            <w:r>
              <w:rPr>
                <w:rFonts w:hint="eastAsia" w:ascii="宋体" w:hAnsi="宋体" w:cs="宋体"/>
                <w:color w:val="0000FF"/>
                <w:szCs w:val="21"/>
              </w:rPr>
              <w:t>　</w:t>
            </w:r>
          </w:p>
        </w:tc>
      </w:tr>
      <w:tr w14:paraId="26E2A845">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noWrap/>
            <w:vAlign w:val="center"/>
          </w:tcPr>
          <w:p w14:paraId="0C1B1BDF">
            <w:pPr>
              <w:widowControl/>
              <w:jc w:val="center"/>
              <w:rPr>
                <w:rFonts w:ascii="宋体" w:hAnsi="宋体" w:cs="宋体"/>
                <w:color w:val="000000"/>
                <w:szCs w:val="21"/>
              </w:rPr>
            </w:pPr>
            <w:r>
              <w:rPr>
                <w:rFonts w:hint="eastAsia" w:ascii="宋体" w:hAnsi="宋体" w:cs="宋体"/>
                <w:color w:val="000000"/>
                <w:szCs w:val="21"/>
              </w:rPr>
              <w:t>5</w:t>
            </w:r>
          </w:p>
        </w:tc>
        <w:tc>
          <w:tcPr>
            <w:tcW w:w="1180" w:type="dxa"/>
            <w:vMerge w:val="continue"/>
            <w:tcBorders>
              <w:top w:val="nil"/>
              <w:left w:val="single" w:color="000000" w:sz="4" w:space="0"/>
              <w:bottom w:val="single" w:color="000000" w:sz="4" w:space="0"/>
              <w:right w:val="single" w:color="000000" w:sz="4" w:space="0"/>
            </w:tcBorders>
            <w:noWrap w:val="0"/>
            <w:vAlign w:val="center"/>
          </w:tcPr>
          <w:p w14:paraId="65E5CEE5">
            <w:pPr>
              <w:widowControl/>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0"/>
            <w:vAlign w:val="center"/>
          </w:tcPr>
          <w:p w14:paraId="1067904D">
            <w:pPr>
              <w:widowControl/>
              <w:jc w:val="center"/>
              <w:rPr>
                <w:rFonts w:ascii="宋体" w:hAnsi="宋体" w:cs="宋体"/>
                <w:color w:val="000000"/>
                <w:szCs w:val="21"/>
              </w:rPr>
            </w:pPr>
            <w:r>
              <w:rPr>
                <w:rFonts w:hint="eastAsia" w:ascii="宋体" w:hAnsi="宋体" w:cs="宋体"/>
                <w:color w:val="000000"/>
                <w:szCs w:val="21"/>
              </w:rPr>
              <w:t>取样及疫情鉴定</w:t>
            </w:r>
          </w:p>
        </w:tc>
        <w:tc>
          <w:tcPr>
            <w:tcW w:w="980" w:type="dxa"/>
            <w:tcBorders>
              <w:top w:val="nil"/>
              <w:left w:val="nil"/>
              <w:bottom w:val="single" w:color="000000" w:sz="4" w:space="0"/>
              <w:right w:val="single" w:color="000000" w:sz="4" w:space="0"/>
            </w:tcBorders>
            <w:noWrap/>
            <w:vAlign w:val="center"/>
          </w:tcPr>
          <w:p w14:paraId="29868C87">
            <w:pPr>
              <w:widowControl/>
              <w:jc w:val="center"/>
              <w:rPr>
                <w:color w:val="000000"/>
                <w:szCs w:val="21"/>
              </w:rPr>
            </w:pPr>
            <w:r>
              <w:rPr>
                <w:color w:val="000000"/>
                <w:szCs w:val="21"/>
              </w:rPr>
              <w:t>　</w:t>
            </w:r>
          </w:p>
        </w:tc>
        <w:tc>
          <w:tcPr>
            <w:tcW w:w="740" w:type="dxa"/>
            <w:tcBorders>
              <w:top w:val="nil"/>
              <w:left w:val="nil"/>
              <w:bottom w:val="single" w:color="000000" w:sz="4" w:space="0"/>
              <w:right w:val="single" w:color="000000" w:sz="4" w:space="0"/>
            </w:tcBorders>
            <w:noWrap/>
            <w:vAlign w:val="center"/>
          </w:tcPr>
          <w:p w14:paraId="2D0FA626">
            <w:pPr>
              <w:widowControl/>
              <w:jc w:val="center"/>
              <w:rPr>
                <w:rFonts w:ascii="宋体" w:hAnsi="宋体" w:cs="宋体"/>
                <w:color w:val="000000"/>
                <w:szCs w:val="21"/>
              </w:rPr>
            </w:pPr>
            <w:r>
              <w:rPr>
                <w:rFonts w:hint="eastAsia" w:ascii="宋体" w:hAnsi="宋体" w:cs="宋体"/>
                <w:color w:val="000000"/>
                <w:szCs w:val="21"/>
              </w:rPr>
              <w:t>　</w:t>
            </w:r>
          </w:p>
        </w:tc>
        <w:tc>
          <w:tcPr>
            <w:tcW w:w="1000" w:type="dxa"/>
            <w:tcBorders>
              <w:top w:val="nil"/>
              <w:left w:val="nil"/>
              <w:bottom w:val="single" w:color="000000" w:sz="4" w:space="0"/>
              <w:right w:val="single" w:color="000000" w:sz="4" w:space="0"/>
            </w:tcBorders>
            <w:noWrap/>
            <w:vAlign w:val="center"/>
          </w:tcPr>
          <w:p w14:paraId="227C8F05">
            <w:pPr>
              <w:widowControl/>
              <w:jc w:val="center"/>
              <w:rPr>
                <w:rFonts w:ascii="宋体" w:hAnsi="宋体" w:cs="宋体"/>
                <w:color w:val="000000"/>
                <w:szCs w:val="21"/>
              </w:rPr>
            </w:pPr>
          </w:p>
        </w:tc>
        <w:tc>
          <w:tcPr>
            <w:tcW w:w="711" w:type="dxa"/>
            <w:tcBorders>
              <w:top w:val="nil"/>
              <w:left w:val="nil"/>
              <w:bottom w:val="single" w:color="000000" w:sz="4" w:space="0"/>
              <w:right w:val="single" w:color="000000" w:sz="4" w:space="0"/>
            </w:tcBorders>
            <w:noWrap/>
            <w:vAlign w:val="center"/>
          </w:tcPr>
          <w:p w14:paraId="59AA230F">
            <w:pPr>
              <w:widowControl/>
              <w:jc w:val="center"/>
              <w:rPr>
                <w:rFonts w:ascii="宋体" w:hAnsi="宋体" w:cs="宋体"/>
                <w:color w:val="000000"/>
                <w:szCs w:val="21"/>
              </w:rPr>
            </w:pPr>
            <w:r>
              <w:rPr>
                <w:rFonts w:hint="eastAsia" w:ascii="宋体" w:hAnsi="宋体" w:cs="宋体"/>
                <w:color w:val="000000"/>
                <w:szCs w:val="21"/>
              </w:rPr>
              <w:t>　</w:t>
            </w:r>
          </w:p>
        </w:tc>
        <w:tc>
          <w:tcPr>
            <w:tcW w:w="1649" w:type="dxa"/>
            <w:tcBorders>
              <w:top w:val="nil"/>
              <w:left w:val="nil"/>
              <w:bottom w:val="single" w:color="000000" w:sz="4" w:space="0"/>
              <w:right w:val="single" w:color="000000" w:sz="4" w:space="0"/>
            </w:tcBorders>
            <w:noWrap/>
            <w:vAlign w:val="center"/>
          </w:tcPr>
          <w:p w14:paraId="555003BE">
            <w:pPr>
              <w:widowControl/>
              <w:jc w:val="center"/>
              <w:rPr>
                <w:rFonts w:ascii="宋体" w:hAnsi="宋体" w:cs="宋体"/>
                <w:color w:val="000000"/>
                <w:szCs w:val="21"/>
              </w:rPr>
            </w:pPr>
          </w:p>
        </w:tc>
        <w:tc>
          <w:tcPr>
            <w:tcW w:w="940" w:type="dxa"/>
            <w:tcBorders>
              <w:top w:val="nil"/>
              <w:left w:val="nil"/>
              <w:bottom w:val="single" w:color="000000" w:sz="4" w:space="0"/>
              <w:right w:val="single" w:color="000000" w:sz="4" w:space="0"/>
            </w:tcBorders>
            <w:noWrap/>
            <w:vAlign w:val="center"/>
          </w:tcPr>
          <w:p w14:paraId="1A7FB438">
            <w:pPr>
              <w:widowControl/>
              <w:jc w:val="center"/>
              <w:rPr>
                <w:rFonts w:ascii="宋体" w:hAnsi="宋体" w:cs="宋体"/>
                <w:color w:val="000000"/>
                <w:szCs w:val="21"/>
              </w:rPr>
            </w:pPr>
            <w:r>
              <w:rPr>
                <w:rFonts w:hint="eastAsia" w:ascii="宋体" w:hAnsi="宋体" w:cs="宋体"/>
                <w:color w:val="000000"/>
                <w:szCs w:val="21"/>
              </w:rPr>
              <w:t>　</w:t>
            </w:r>
          </w:p>
        </w:tc>
      </w:tr>
      <w:tr w14:paraId="588A14E0">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noWrap/>
            <w:vAlign w:val="center"/>
          </w:tcPr>
          <w:p w14:paraId="67155C7D">
            <w:pPr>
              <w:widowControl/>
              <w:jc w:val="center"/>
              <w:rPr>
                <w:rFonts w:ascii="宋体" w:hAnsi="宋体" w:cs="宋体"/>
                <w:color w:val="000000"/>
                <w:szCs w:val="21"/>
              </w:rPr>
            </w:pPr>
            <w:r>
              <w:rPr>
                <w:rFonts w:hint="eastAsia" w:ascii="宋体" w:hAnsi="宋体" w:cs="宋体"/>
                <w:color w:val="000000"/>
                <w:szCs w:val="21"/>
              </w:rPr>
              <w:t>6</w:t>
            </w:r>
          </w:p>
        </w:tc>
        <w:tc>
          <w:tcPr>
            <w:tcW w:w="1180" w:type="dxa"/>
            <w:vMerge w:val="restart"/>
            <w:tcBorders>
              <w:top w:val="nil"/>
              <w:left w:val="single" w:color="000000" w:sz="4" w:space="0"/>
              <w:bottom w:val="nil"/>
              <w:right w:val="single" w:color="000000" w:sz="4" w:space="0"/>
            </w:tcBorders>
            <w:noWrap w:val="0"/>
            <w:vAlign w:val="center"/>
          </w:tcPr>
          <w:p w14:paraId="7D64E625">
            <w:pPr>
              <w:widowControl/>
              <w:jc w:val="center"/>
              <w:rPr>
                <w:rFonts w:ascii="宋体" w:hAnsi="宋体" w:cs="宋体"/>
                <w:color w:val="000000"/>
                <w:szCs w:val="21"/>
              </w:rPr>
            </w:pPr>
            <w:r>
              <w:rPr>
                <w:rFonts w:hint="eastAsia" w:ascii="宋体" w:hAnsi="宋体" w:cs="宋体"/>
                <w:color w:val="000000"/>
                <w:szCs w:val="21"/>
              </w:rPr>
              <w:t>疫情防控</w:t>
            </w:r>
          </w:p>
        </w:tc>
        <w:tc>
          <w:tcPr>
            <w:tcW w:w="1760" w:type="dxa"/>
            <w:tcBorders>
              <w:top w:val="nil"/>
              <w:left w:val="nil"/>
              <w:bottom w:val="single" w:color="000000" w:sz="4" w:space="0"/>
              <w:right w:val="single" w:color="000000" w:sz="4" w:space="0"/>
            </w:tcBorders>
            <w:noWrap w:val="0"/>
            <w:vAlign w:val="center"/>
          </w:tcPr>
          <w:p w14:paraId="6B4E9EB9">
            <w:pPr>
              <w:widowControl/>
              <w:jc w:val="center"/>
              <w:rPr>
                <w:rFonts w:ascii="宋体" w:hAnsi="宋体" w:cs="宋体"/>
                <w:color w:val="000000"/>
                <w:szCs w:val="21"/>
              </w:rPr>
            </w:pPr>
            <w:r>
              <w:rPr>
                <w:rFonts w:hint="eastAsia" w:ascii="宋体" w:hAnsi="宋体" w:cs="宋体"/>
                <w:color w:val="000000"/>
                <w:szCs w:val="21"/>
              </w:rPr>
              <w:t>疫木除治</w:t>
            </w:r>
          </w:p>
        </w:tc>
        <w:tc>
          <w:tcPr>
            <w:tcW w:w="980" w:type="dxa"/>
            <w:tcBorders>
              <w:top w:val="nil"/>
              <w:left w:val="nil"/>
              <w:bottom w:val="single" w:color="000000" w:sz="4" w:space="0"/>
              <w:right w:val="single" w:color="000000" w:sz="4" w:space="0"/>
            </w:tcBorders>
            <w:noWrap/>
            <w:vAlign w:val="center"/>
          </w:tcPr>
          <w:p w14:paraId="72AD1E20">
            <w:pPr>
              <w:widowControl/>
              <w:jc w:val="center"/>
              <w:rPr>
                <w:color w:val="000000"/>
                <w:szCs w:val="21"/>
              </w:rPr>
            </w:pPr>
            <w:r>
              <w:rPr>
                <w:color w:val="000000"/>
                <w:szCs w:val="21"/>
              </w:rPr>
              <w:t>　</w:t>
            </w:r>
          </w:p>
        </w:tc>
        <w:tc>
          <w:tcPr>
            <w:tcW w:w="740" w:type="dxa"/>
            <w:tcBorders>
              <w:top w:val="nil"/>
              <w:left w:val="nil"/>
              <w:bottom w:val="single" w:color="000000" w:sz="4" w:space="0"/>
              <w:right w:val="single" w:color="000000" w:sz="4" w:space="0"/>
            </w:tcBorders>
            <w:noWrap/>
            <w:vAlign w:val="center"/>
          </w:tcPr>
          <w:p w14:paraId="1AB8E200">
            <w:pPr>
              <w:widowControl/>
              <w:jc w:val="center"/>
              <w:rPr>
                <w:rFonts w:ascii="宋体" w:hAnsi="宋体" w:cs="宋体"/>
                <w:color w:val="000000"/>
                <w:szCs w:val="21"/>
              </w:rPr>
            </w:pPr>
            <w:r>
              <w:rPr>
                <w:rFonts w:hint="eastAsia" w:ascii="宋体" w:hAnsi="宋体" w:cs="宋体"/>
                <w:color w:val="000000"/>
                <w:szCs w:val="21"/>
              </w:rPr>
              <w:t>株</w:t>
            </w:r>
          </w:p>
        </w:tc>
        <w:tc>
          <w:tcPr>
            <w:tcW w:w="1000" w:type="dxa"/>
            <w:tcBorders>
              <w:top w:val="nil"/>
              <w:left w:val="nil"/>
              <w:bottom w:val="single" w:color="000000" w:sz="4" w:space="0"/>
              <w:right w:val="single" w:color="000000" w:sz="4" w:space="0"/>
            </w:tcBorders>
            <w:noWrap/>
            <w:vAlign w:val="center"/>
          </w:tcPr>
          <w:p w14:paraId="688BAB56">
            <w:pPr>
              <w:widowControl/>
              <w:jc w:val="center"/>
              <w:rPr>
                <w:rFonts w:ascii="宋体" w:hAnsi="宋体" w:cs="宋体"/>
                <w:color w:val="000000"/>
                <w:szCs w:val="21"/>
              </w:rPr>
            </w:pPr>
          </w:p>
        </w:tc>
        <w:tc>
          <w:tcPr>
            <w:tcW w:w="711" w:type="dxa"/>
            <w:tcBorders>
              <w:top w:val="nil"/>
              <w:left w:val="nil"/>
              <w:bottom w:val="single" w:color="000000" w:sz="4" w:space="0"/>
              <w:right w:val="single" w:color="000000" w:sz="4" w:space="0"/>
            </w:tcBorders>
            <w:noWrap/>
            <w:vAlign w:val="center"/>
          </w:tcPr>
          <w:p w14:paraId="4E6F6AC9">
            <w:pPr>
              <w:widowControl/>
              <w:jc w:val="center"/>
              <w:rPr>
                <w:rFonts w:ascii="宋体" w:hAnsi="宋体" w:cs="宋体"/>
                <w:color w:val="000000"/>
                <w:szCs w:val="21"/>
              </w:rPr>
            </w:pPr>
            <w:r>
              <w:rPr>
                <w:rFonts w:hint="eastAsia" w:ascii="宋体" w:hAnsi="宋体" w:cs="宋体"/>
                <w:color w:val="000000"/>
                <w:szCs w:val="21"/>
              </w:rPr>
              <w:t>600</w:t>
            </w:r>
          </w:p>
        </w:tc>
        <w:tc>
          <w:tcPr>
            <w:tcW w:w="1649" w:type="dxa"/>
            <w:tcBorders>
              <w:top w:val="nil"/>
              <w:left w:val="nil"/>
              <w:bottom w:val="single" w:color="000000" w:sz="4" w:space="0"/>
              <w:right w:val="single" w:color="000000" w:sz="4" w:space="0"/>
            </w:tcBorders>
            <w:noWrap/>
            <w:vAlign w:val="center"/>
          </w:tcPr>
          <w:p w14:paraId="54DE6E21">
            <w:pPr>
              <w:widowControl/>
              <w:jc w:val="center"/>
              <w:rPr>
                <w:rFonts w:ascii="宋体" w:hAnsi="宋体" w:cs="宋体"/>
                <w:color w:val="000000"/>
                <w:szCs w:val="21"/>
              </w:rPr>
            </w:pPr>
          </w:p>
        </w:tc>
        <w:tc>
          <w:tcPr>
            <w:tcW w:w="940" w:type="dxa"/>
            <w:tcBorders>
              <w:top w:val="nil"/>
              <w:left w:val="nil"/>
              <w:bottom w:val="single" w:color="000000" w:sz="4" w:space="0"/>
              <w:right w:val="single" w:color="000000" w:sz="4" w:space="0"/>
            </w:tcBorders>
            <w:noWrap/>
            <w:vAlign w:val="center"/>
          </w:tcPr>
          <w:p w14:paraId="5A4495E4">
            <w:pPr>
              <w:widowControl/>
              <w:jc w:val="center"/>
              <w:rPr>
                <w:rFonts w:ascii="宋体" w:hAnsi="宋体" w:cs="宋体"/>
                <w:color w:val="000000"/>
                <w:szCs w:val="21"/>
              </w:rPr>
            </w:pPr>
            <w:r>
              <w:rPr>
                <w:rFonts w:hint="eastAsia" w:ascii="宋体" w:hAnsi="宋体" w:cs="宋体"/>
                <w:color w:val="000000"/>
                <w:szCs w:val="21"/>
              </w:rPr>
              <w:t>　</w:t>
            </w:r>
          </w:p>
        </w:tc>
      </w:tr>
      <w:tr w14:paraId="060B9DFA">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noWrap/>
            <w:vAlign w:val="center"/>
          </w:tcPr>
          <w:p w14:paraId="4D03E96D">
            <w:pPr>
              <w:widowControl/>
              <w:jc w:val="center"/>
              <w:rPr>
                <w:rFonts w:ascii="宋体" w:hAnsi="宋体" w:cs="宋体"/>
                <w:color w:val="000000"/>
                <w:szCs w:val="21"/>
              </w:rPr>
            </w:pPr>
            <w:r>
              <w:rPr>
                <w:rFonts w:hint="eastAsia" w:ascii="宋体" w:hAnsi="宋体" w:cs="宋体"/>
                <w:color w:val="000000"/>
                <w:szCs w:val="21"/>
              </w:rPr>
              <w:t>7</w:t>
            </w:r>
          </w:p>
        </w:tc>
        <w:tc>
          <w:tcPr>
            <w:tcW w:w="1180" w:type="dxa"/>
            <w:vMerge w:val="continue"/>
            <w:tcBorders>
              <w:top w:val="nil"/>
              <w:left w:val="single" w:color="000000" w:sz="4" w:space="0"/>
              <w:bottom w:val="nil"/>
              <w:right w:val="single" w:color="000000" w:sz="4" w:space="0"/>
            </w:tcBorders>
            <w:noWrap w:val="0"/>
            <w:vAlign w:val="center"/>
          </w:tcPr>
          <w:p w14:paraId="59EF5D57">
            <w:pPr>
              <w:widowControl/>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0"/>
            <w:vAlign w:val="center"/>
          </w:tcPr>
          <w:p w14:paraId="146EDB44">
            <w:pPr>
              <w:widowControl/>
              <w:jc w:val="center"/>
              <w:rPr>
                <w:rFonts w:ascii="宋体" w:hAnsi="宋体" w:cs="宋体"/>
                <w:color w:val="000000"/>
                <w:szCs w:val="21"/>
              </w:rPr>
            </w:pPr>
            <w:r>
              <w:rPr>
                <w:rFonts w:hint="eastAsia" w:ascii="宋体" w:hAnsi="宋体" w:cs="宋体"/>
                <w:color w:val="000000"/>
                <w:szCs w:val="21"/>
              </w:rPr>
              <w:t>打孔注药</w:t>
            </w:r>
          </w:p>
        </w:tc>
        <w:tc>
          <w:tcPr>
            <w:tcW w:w="980" w:type="dxa"/>
            <w:tcBorders>
              <w:top w:val="nil"/>
              <w:left w:val="nil"/>
              <w:bottom w:val="single" w:color="000000" w:sz="4" w:space="0"/>
              <w:right w:val="single" w:color="000000" w:sz="4" w:space="0"/>
            </w:tcBorders>
            <w:noWrap/>
            <w:vAlign w:val="center"/>
          </w:tcPr>
          <w:p w14:paraId="3D108C44">
            <w:pPr>
              <w:widowControl/>
              <w:jc w:val="center"/>
              <w:rPr>
                <w:color w:val="000000"/>
                <w:szCs w:val="21"/>
              </w:rPr>
            </w:pPr>
            <w:r>
              <w:rPr>
                <w:color w:val="000000"/>
                <w:szCs w:val="21"/>
              </w:rPr>
              <w:t>1</w:t>
            </w:r>
            <w:r>
              <w:rPr>
                <w:rFonts w:hint="eastAsia" w:ascii="宋体" w:hAnsi="宋体"/>
                <w:color w:val="000000"/>
                <w:szCs w:val="21"/>
              </w:rPr>
              <w:t>次</w:t>
            </w:r>
          </w:p>
        </w:tc>
        <w:tc>
          <w:tcPr>
            <w:tcW w:w="740" w:type="dxa"/>
            <w:tcBorders>
              <w:top w:val="nil"/>
              <w:left w:val="nil"/>
              <w:bottom w:val="single" w:color="000000" w:sz="4" w:space="0"/>
              <w:right w:val="single" w:color="000000" w:sz="4" w:space="0"/>
            </w:tcBorders>
            <w:noWrap/>
            <w:vAlign w:val="center"/>
          </w:tcPr>
          <w:p w14:paraId="2FD57191">
            <w:pPr>
              <w:widowControl/>
              <w:jc w:val="center"/>
              <w:rPr>
                <w:rFonts w:ascii="宋体" w:hAnsi="宋体" w:cs="宋体"/>
                <w:color w:val="000000"/>
                <w:szCs w:val="21"/>
              </w:rPr>
            </w:pPr>
            <w:r>
              <w:rPr>
                <w:rFonts w:hint="eastAsia" w:ascii="宋体" w:hAnsi="宋体" w:cs="宋体"/>
                <w:color w:val="000000"/>
                <w:szCs w:val="21"/>
              </w:rPr>
              <w:t>株</w:t>
            </w:r>
          </w:p>
        </w:tc>
        <w:tc>
          <w:tcPr>
            <w:tcW w:w="1000" w:type="dxa"/>
            <w:tcBorders>
              <w:top w:val="nil"/>
              <w:left w:val="nil"/>
              <w:bottom w:val="single" w:color="000000" w:sz="4" w:space="0"/>
              <w:right w:val="single" w:color="000000" w:sz="4" w:space="0"/>
            </w:tcBorders>
            <w:noWrap/>
            <w:vAlign w:val="center"/>
          </w:tcPr>
          <w:p w14:paraId="1E7367C3">
            <w:pPr>
              <w:widowControl/>
              <w:jc w:val="center"/>
              <w:rPr>
                <w:rFonts w:ascii="宋体" w:hAnsi="宋体" w:cs="宋体"/>
                <w:color w:val="000000"/>
                <w:szCs w:val="21"/>
              </w:rPr>
            </w:pPr>
          </w:p>
        </w:tc>
        <w:tc>
          <w:tcPr>
            <w:tcW w:w="711" w:type="dxa"/>
            <w:tcBorders>
              <w:top w:val="nil"/>
              <w:left w:val="nil"/>
              <w:bottom w:val="single" w:color="000000" w:sz="4" w:space="0"/>
              <w:right w:val="single" w:color="000000" w:sz="4" w:space="0"/>
            </w:tcBorders>
            <w:noWrap/>
            <w:vAlign w:val="center"/>
          </w:tcPr>
          <w:p w14:paraId="19BD4E91">
            <w:pPr>
              <w:widowControl/>
              <w:jc w:val="center"/>
              <w:rPr>
                <w:rFonts w:ascii="宋体" w:hAnsi="宋体" w:cs="宋体"/>
                <w:color w:val="000000"/>
                <w:szCs w:val="21"/>
              </w:rPr>
            </w:pPr>
            <w:r>
              <w:rPr>
                <w:rFonts w:hint="eastAsia" w:ascii="宋体" w:hAnsi="宋体" w:cs="宋体"/>
                <w:color w:val="000000"/>
                <w:szCs w:val="21"/>
              </w:rPr>
              <w:t>34000</w:t>
            </w:r>
          </w:p>
        </w:tc>
        <w:tc>
          <w:tcPr>
            <w:tcW w:w="1649" w:type="dxa"/>
            <w:tcBorders>
              <w:top w:val="nil"/>
              <w:left w:val="nil"/>
              <w:bottom w:val="single" w:color="000000" w:sz="4" w:space="0"/>
              <w:right w:val="single" w:color="000000" w:sz="4" w:space="0"/>
            </w:tcBorders>
            <w:noWrap/>
            <w:vAlign w:val="center"/>
          </w:tcPr>
          <w:p w14:paraId="2F0C9DCD">
            <w:pPr>
              <w:widowControl/>
              <w:jc w:val="center"/>
              <w:rPr>
                <w:rFonts w:ascii="宋体" w:hAnsi="宋体" w:cs="宋体"/>
                <w:color w:val="000000"/>
                <w:szCs w:val="21"/>
              </w:rPr>
            </w:pPr>
          </w:p>
        </w:tc>
        <w:tc>
          <w:tcPr>
            <w:tcW w:w="940" w:type="dxa"/>
            <w:tcBorders>
              <w:top w:val="nil"/>
              <w:left w:val="nil"/>
              <w:bottom w:val="single" w:color="000000" w:sz="4" w:space="0"/>
              <w:right w:val="single" w:color="000000" w:sz="4" w:space="0"/>
            </w:tcBorders>
            <w:noWrap/>
            <w:vAlign w:val="center"/>
          </w:tcPr>
          <w:p w14:paraId="3289B642">
            <w:pPr>
              <w:widowControl/>
              <w:jc w:val="center"/>
              <w:rPr>
                <w:rFonts w:ascii="宋体" w:hAnsi="宋体" w:cs="宋体"/>
                <w:color w:val="000000"/>
                <w:szCs w:val="21"/>
              </w:rPr>
            </w:pPr>
            <w:r>
              <w:rPr>
                <w:rFonts w:hint="eastAsia" w:ascii="宋体" w:hAnsi="宋体" w:cs="宋体"/>
                <w:color w:val="000000"/>
                <w:szCs w:val="21"/>
              </w:rPr>
              <w:t>　</w:t>
            </w:r>
          </w:p>
        </w:tc>
      </w:tr>
      <w:tr w14:paraId="43F541D9">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noWrap/>
            <w:vAlign w:val="center"/>
          </w:tcPr>
          <w:p w14:paraId="469A16E5">
            <w:pPr>
              <w:widowControl/>
              <w:jc w:val="center"/>
              <w:rPr>
                <w:rFonts w:ascii="宋体" w:hAnsi="宋体" w:cs="宋体"/>
                <w:color w:val="000000"/>
                <w:szCs w:val="21"/>
              </w:rPr>
            </w:pPr>
            <w:r>
              <w:rPr>
                <w:rFonts w:hint="eastAsia" w:ascii="宋体" w:hAnsi="宋体" w:cs="宋体"/>
                <w:color w:val="000000"/>
                <w:szCs w:val="21"/>
              </w:rPr>
              <w:t>8</w:t>
            </w:r>
          </w:p>
        </w:tc>
        <w:tc>
          <w:tcPr>
            <w:tcW w:w="1180" w:type="dxa"/>
            <w:vMerge w:val="continue"/>
            <w:tcBorders>
              <w:top w:val="nil"/>
              <w:left w:val="single" w:color="000000" w:sz="4" w:space="0"/>
              <w:bottom w:val="nil"/>
              <w:right w:val="single" w:color="000000" w:sz="4" w:space="0"/>
            </w:tcBorders>
            <w:noWrap w:val="0"/>
            <w:vAlign w:val="center"/>
          </w:tcPr>
          <w:p w14:paraId="0FC014CA">
            <w:pPr>
              <w:widowControl/>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0"/>
            <w:vAlign w:val="center"/>
          </w:tcPr>
          <w:p w14:paraId="5BB70A3B">
            <w:pPr>
              <w:widowControl/>
              <w:jc w:val="center"/>
              <w:rPr>
                <w:rFonts w:ascii="宋体" w:hAnsi="宋体" w:cs="宋体"/>
                <w:color w:val="000000"/>
                <w:szCs w:val="21"/>
              </w:rPr>
            </w:pPr>
            <w:r>
              <w:rPr>
                <w:rFonts w:hint="eastAsia" w:ascii="宋体" w:hAnsi="宋体" w:cs="宋体"/>
                <w:color w:val="000000"/>
                <w:szCs w:val="21"/>
              </w:rPr>
              <w:t>生物防治</w:t>
            </w:r>
          </w:p>
        </w:tc>
        <w:tc>
          <w:tcPr>
            <w:tcW w:w="980" w:type="dxa"/>
            <w:tcBorders>
              <w:top w:val="nil"/>
              <w:left w:val="nil"/>
              <w:bottom w:val="single" w:color="000000" w:sz="4" w:space="0"/>
              <w:right w:val="single" w:color="000000" w:sz="4" w:space="0"/>
            </w:tcBorders>
            <w:noWrap/>
            <w:vAlign w:val="center"/>
          </w:tcPr>
          <w:p w14:paraId="7BDAD0D4">
            <w:pPr>
              <w:widowControl/>
              <w:jc w:val="center"/>
              <w:rPr>
                <w:color w:val="000000"/>
                <w:szCs w:val="21"/>
              </w:rPr>
            </w:pPr>
            <w:r>
              <w:rPr>
                <w:color w:val="000000"/>
                <w:szCs w:val="21"/>
              </w:rPr>
              <w:t>1</w:t>
            </w:r>
            <w:r>
              <w:rPr>
                <w:rFonts w:hint="eastAsia" w:ascii="宋体" w:hAnsi="宋体"/>
                <w:color w:val="000000"/>
                <w:szCs w:val="21"/>
              </w:rPr>
              <w:t>次</w:t>
            </w:r>
            <w:r>
              <w:rPr>
                <w:color w:val="000000"/>
                <w:szCs w:val="21"/>
              </w:rPr>
              <w:t>/</w:t>
            </w:r>
            <w:r>
              <w:rPr>
                <w:rFonts w:hint="eastAsia" w:ascii="宋体" w:hAnsi="宋体"/>
                <w:color w:val="000000"/>
                <w:szCs w:val="21"/>
              </w:rPr>
              <w:t>年</w:t>
            </w:r>
          </w:p>
        </w:tc>
        <w:tc>
          <w:tcPr>
            <w:tcW w:w="740" w:type="dxa"/>
            <w:tcBorders>
              <w:top w:val="nil"/>
              <w:left w:val="nil"/>
              <w:bottom w:val="single" w:color="000000" w:sz="4" w:space="0"/>
              <w:right w:val="single" w:color="000000" w:sz="4" w:space="0"/>
            </w:tcBorders>
            <w:noWrap/>
            <w:vAlign w:val="center"/>
          </w:tcPr>
          <w:p w14:paraId="76DFC623">
            <w:pPr>
              <w:widowControl/>
              <w:jc w:val="center"/>
              <w:rPr>
                <w:rFonts w:ascii="宋体" w:hAnsi="宋体" w:cs="宋体"/>
                <w:color w:val="000000"/>
                <w:szCs w:val="21"/>
              </w:rPr>
            </w:pPr>
            <w:r>
              <w:rPr>
                <w:rFonts w:hint="eastAsia" w:ascii="宋体" w:hAnsi="宋体" w:cs="宋体"/>
                <w:color w:val="000000"/>
                <w:szCs w:val="21"/>
              </w:rPr>
              <w:t>亩次</w:t>
            </w:r>
          </w:p>
        </w:tc>
        <w:tc>
          <w:tcPr>
            <w:tcW w:w="1000" w:type="dxa"/>
            <w:tcBorders>
              <w:top w:val="nil"/>
              <w:left w:val="nil"/>
              <w:bottom w:val="single" w:color="000000" w:sz="4" w:space="0"/>
              <w:right w:val="single" w:color="000000" w:sz="4" w:space="0"/>
            </w:tcBorders>
            <w:noWrap/>
            <w:vAlign w:val="center"/>
          </w:tcPr>
          <w:p w14:paraId="5D64E395">
            <w:pPr>
              <w:widowControl/>
              <w:jc w:val="center"/>
              <w:rPr>
                <w:rFonts w:ascii="宋体" w:hAnsi="宋体" w:cs="宋体"/>
                <w:color w:val="000000"/>
                <w:szCs w:val="21"/>
              </w:rPr>
            </w:pPr>
          </w:p>
        </w:tc>
        <w:tc>
          <w:tcPr>
            <w:tcW w:w="711" w:type="dxa"/>
            <w:tcBorders>
              <w:top w:val="nil"/>
              <w:left w:val="nil"/>
              <w:bottom w:val="single" w:color="000000" w:sz="4" w:space="0"/>
              <w:right w:val="single" w:color="000000" w:sz="4" w:space="0"/>
            </w:tcBorders>
            <w:noWrap/>
            <w:vAlign w:val="center"/>
          </w:tcPr>
          <w:p w14:paraId="344960AF">
            <w:pPr>
              <w:widowControl/>
              <w:jc w:val="center"/>
              <w:rPr>
                <w:rFonts w:ascii="宋体" w:hAnsi="宋体" w:cs="宋体"/>
                <w:color w:val="000000"/>
                <w:szCs w:val="21"/>
              </w:rPr>
            </w:pPr>
            <w:r>
              <w:rPr>
                <w:rFonts w:hint="eastAsia" w:ascii="宋体" w:hAnsi="宋体" w:cs="宋体"/>
                <w:color w:val="000000"/>
                <w:szCs w:val="21"/>
              </w:rPr>
              <w:t>4000</w:t>
            </w:r>
          </w:p>
        </w:tc>
        <w:tc>
          <w:tcPr>
            <w:tcW w:w="1649" w:type="dxa"/>
            <w:tcBorders>
              <w:top w:val="nil"/>
              <w:left w:val="nil"/>
              <w:bottom w:val="single" w:color="000000" w:sz="4" w:space="0"/>
              <w:right w:val="single" w:color="000000" w:sz="4" w:space="0"/>
            </w:tcBorders>
            <w:noWrap/>
            <w:vAlign w:val="center"/>
          </w:tcPr>
          <w:p w14:paraId="036F2868">
            <w:pPr>
              <w:widowControl/>
              <w:jc w:val="center"/>
              <w:rPr>
                <w:rFonts w:ascii="宋体" w:hAnsi="宋体" w:cs="宋体"/>
                <w:color w:val="000000"/>
                <w:szCs w:val="21"/>
              </w:rPr>
            </w:pPr>
          </w:p>
        </w:tc>
        <w:tc>
          <w:tcPr>
            <w:tcW w:w="940" w:type="dxa"/>
            <w:tcBorders>
              <w:top w:val="nil"/>
              <w:left w:val="nil"/>
              <w:bottom w:val="single" w:color="000000" w:sz="4" w:space="0"/>
              <w:right w:val="single" w:color="000000" w:sz="4" w:space="0"/>
            </w:tcBorders>
            <w:noWrap/>
            <w:vAlign w:val="center"/>
          </w:tcPr>
          <w:p w14:paraId="62DFF17F">
            <w:pPr>
              <w:widowControl/>
              <w:jc w:val="center"/>
              <w:rPr>
                <w:rFonts w:ascii="宋体" w:hAnsi="宋体" w:cs="宋体"/>
                <w:color w:val="000000"/>
                <w:szCs w:val="21"/>
              </w:rPr>
            </w:pPr>
            <w:r>
              <w:rPr>
                <w:rFonts w:hint="eastAsia" w:ascii="宋体" w:hAnsi="宋体" w:cs="宋体"/>
                <w:color w:val="000000"/>
                <w:szCs w:val="21"/>
              </w:rPr>
              <w:t>　</w:t>
            </w:r>
          </w:p>
        </w:tc>
      </w:tr>
      <w:tr w14:paraId="5263BE79">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noWrap/>
            <w:vAlign w:val="center"/>
          </w:tcPr>
          <w:p w14:paraId="4FFFF294">
            <w:pPr>
              <w:widowControl/>
              <w:jc w:val="center"/>
              <w:rPr>
                <w:rFonts w:ascii="宋体" w:hAnsi="宋体" w:cs="宋体"/>
                <w:color w:val="000000"/>
                <w:szCs w:val="21"/>
              </w:rPr>
            </w:pPr>
            <w:r>
              <w:rPr>
                <w:rFonts w:hint="eastAsia" w:ascii="宋体" w:hAnsi="宋体" w:cs="宋体"/>
                <w:color w:val="000000"/>
                <w:szCs w:val="21"/>
              </w:rPr>
              <w:t>9</w:t>
            </w:r>
          </w:p>
        </w:tc>
        <w:tc>
          <w:tcPr>
            <w:tcW w:w="1180" w:type="dxa"/>
            <w:vMerge w:val="continue"/>
            <w:tcBorders>
              <w:top w:val="nil"/>
              <w:left w:val="single" w:color="000000" w:sz="4" w:space="0"/>
              <w:bottom w:val="nil"/>
              <w:right w:val="single" w:color="000000" w:sz="4" w:space="0"/>
            </w:tcBorders>
            <w:noWrap w:val="0"/>
            <w:vAlign w:val="center"/>
          </w:tcPr>
          <w:p w14:paraId="77ACF2B1">
            <w:pPr>
              <w:widowControl/>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0"/>
            <w:vAlign w:val="center"/>
          </w:tcPr>
          <w:p w14:paraId="1F701A82">
            <w:pPr>
              <w:widowControl/>
              <w:jc w:val="center"/>
              <w:rPr>
                <w:rFonts w:ascii="宋体" w:hAnsi="宋体" w:cs="宋体"/>
                <w:color w:val="000000"/>
                <w:szCs w:val="21"/>
              </w:rPr>
            </w:pPr>
            <w:r>
              <w:rPr>
                <w:rFonts w:hint="eastAsia" w:ascii="宋体" w:hAnsi="宋体" w:cs="宋体"/>
                <w:color w:val="000000"/>
                <w:szCs w:val="21"/>
              </w:rPr>
              <w:t>药剂防治</w:t>
            </w:r>
          </w:p>
        </w:tc>
        <w:tc>
          <w:tcPr>
            <w:tcW w:w="980" w:type="dxa"/>
            <w:tcBorders>
              <w:top w:val="nil"/>
              <w:left w:val="nil"/>
              <w:bottom w:val="single" w:color="000000" w:sz="4" w:space="0"/>
              <w:right w:val="single" w:color="000000" w:sz="4" w:space="0"/>
            </w:tcBorders>
            <w:noWrap/>
            <w:vAlign w:val="center"/>
          </w:tcPr>
          <w:p w14:paraId="04F9E66A">
            <w:pPr>
              <w:widowControl/>
              <w:jc w:val="center"/>
              <w:rPr>
                <w:color w:val="000000"/>
                <w:szCs w:val="21"/>
              </w:rPr>
            </w:pPr>
            <w:r>
              <w:rPr>
                <w:color w:val="000000"/>
                <w:szCs w:val="21"/>
              </w:rPr>
              <w:t>2</w:t>
            </w:r>
            <w:r>
              <w:rPr>
                <w:rFonts w:hint="eastAsia" w:ascii="宋体" w:hAnsi="宋体"/>
                <w:color w:val="000000"/>
                <w:szCs w:val="21"/>
              </w:rPr>
              <w:t>次</w:t>
            </w:r>
            <w:r>
              <w:rPr>
                <w:color w:val="000000"/>
                <w:szCs w:val="21"/>
              </w:rPr>
              <w:t>/</w:t>
            </w:r>
            <w:r>
              <w:rPr>
                <w:rFonts w:hint="eastAsia" w:ascii="宋体" w:hAnsi="宋体"/>
                <w:color w:val="000000"/>
                <w:szCs w:val="21"/>
              </w:rPr>
              <w:t>年</w:t>
            </w:r>
          </w:p>
        </w:tc>
        <w:tc>
          <w:tcPr>
            <w:tcW w:w="740" w:type="dxa"/>
            <w:tcBorders>
              <w:top w:val="nil"/>
              <w:left w:val="nil"/>
              <w:bottom w:val="single" w:color="000000" w:sz="4" w:space="0"/>
              <w:right w:val="single" w:color="000000" w:sz="4" w:space="0"/>
            </w:tcBorders>
            <w:noWrap/>
            <w:vAlign w:val="center"/>
          </w:tcPr>
          <w:p w14:paraId="50502889">
            <w:pPr>
              <w:widowControl/>
              <w:jc w:val="center"/>
              <w:rPr>
                <w:rFonts w:ascii="宋体" w:hAnsi="宋体" w:cs="宋体"/>
                <w:color w:val="000000"/>
                <w:szCs w:val="21"/>
              </w:rPr>
            </w:pPr>
            <w:r>
              <w:rPr>
                <w:rFonts w:hint="eastAsia" w:ascii="宋体" w:hAnsi="宋体" w:cs="宋体"/>
                <w:color w:val="000000"/>
                <w:szCs w:val="21"/>
              </w:rPr>
              <w:t>亩次</w:t>
            </w:r>
          </w:p>
        </w:tc>
        <w:tc>
          <w:tcPr>
            <w:tcW w:w="1000" w:type="dxa"/>
            <w:tcBorders>
              <w:top w:val="nil"/>
              <w:left w:val="nil"/>
              <w:bottom w:val="single" w:color="000000" w:sz="4" w:space="0"/>
              <w:right w:val="single" w:color="000000" w:sz="4" w:space="0"/>
            </w:tcBorders>
            <w:noWrap/>
            <w:vAlign w:val="center"/>
          </w:tcPr>
          <w:p w14:paraId="6C2C3E1D">
            <w:pPr>
              <w:widowControl/>
              <w:jc w:val="center"/>
              <w:rPr>
                <w:rFonts w:ascii="宋体" w:hAnsi="宋体" w:cs="宋体"/>
                <w:color w:val="000000"/>
                <w:szCs w:val="21"/>
              </w:rPr>
            </w:pPr>
          </w:p>
        </w:tc>
        <w:tc>
          <w:tcPr>
            <w:tcW w:w="711" w:type="dxa"/>
            <w:tcBorders>
              <w:top w:val="nil"/>
              <w:left w:val="nil"/>
              <w:bottom w:val="single" w:color="000000" w:sz="4" w:space="0"/>
              <w:right w:val="single" w:color="000000" w:sz="4" w:space="0"/>
            </w:tcBorders>
            <w:noWrap/>
            <w:vAlign w:val="center"/>
          </w:tcPr>
          <w:p w14:paraId="1B85720E">
            <w:pPr>
              <w:widowControl/>
              <w:jc w:val="center"/>
              <w:rPr>
                <w:rFonts w:ascii="宋体" w:hAnsi="宋体" w:cs="宋体"/>
                <w:color w:val="000000"/>
                <w:szCs w:val="21"/>
              </w:rPr>
            </w:pPr>
            <w:r>
              <w:rPr>
                <w:rFonts w:hint="eastAsia" w:ascii="宋体" w:hAnsi="宋体" w:cs="宋体"/>
                <w:color w:val="000000"/>
                <w:szCs w:val="21"/>
              </w:rPr>
              <w:t>5000</w:t>
            </w:r>
          </w:p>
        </w:tc>
        <w:tc>
          <w:tcPr>
            <w:tcW w:w="1649" w:type="dxa"/>
            <w:tcBorders>
              <w:top w:val="nil"/>
              <w:left w:val="nil"/>
              <w:bottom w:val="single" w:color="000000" w:sz="4" w:space="0"/>
              <w:right w:val="single" w:color="000000" w:sz="4" w:space="0"/>
            </w:tcBorders>
            <w:noWrap/>
            <w:vAlign w:val="center"/>
          </w:tcPr>
          <w:p w14:paraId="1F81FC00">
            <w:pPr>
              <w:widowControl/>
              <w:jc w:val="center"/>
              <w:rPr>
                <w:rFonts w:ascii="宋体" w:hAnsi="宋体" w:cs="宋体"/>
                <w:color w:val="000000"/>
                <w:szCs w:val="21"/>
              </w:rPr>
            </w:pPr>
          </w:p>
        </w:tc>
        <w:tc>
          <w:tcPr>
            <w:tcW w:w="940" w:type="dxa"/>
            <w:tcBorders>
              <w:top w:val="nil"/>
              <w:left w:val="nil"/>
              <w:bottom w:val="single" w:color="000000" w:sz="4" w:space="0"/>
              <w:right w:val="single" w:color="000000" w:sz="4" w:space="0"/>
            </w:tcBorders>
            <w:noWrap/>
            <w:vAlign w:val="center"/>
          </w:tcPr>
          <w:p w14:paraId="5FFDBFFC">
            <w:pPr>
              <w:widowControl/>
              <w:jc w:val="center"/>
              <w:rPr>
                <w:rFonts w:ascii="宋体" w:hAnsi="宋体" w:cs="宋体"/>
                <w:color w:val="000000"/>
                <w:szCs w:val="21"/>
              </w:rPr>
            </w:pPr>
            <w:r>
              <w:rPr>
                <w:rFonts w:hint="eastAsia" w:ascii="宋体" w:hAnsi="宋体" w:cs="宋体"/>
                <w:color w:val="000000"/>
                <w:szCs w:val="21"/>
              </w:rPr>
              <w:t>　</w:t>
            </w:r>
          </w:p>
        </w:tc>
      </w:tr>
      <w:tr w14:paraId="1F5D6AFE">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noWrap/>
            <w:vAlign w:val="center"/>
          </w:tcPr>
          <w:p w14:paraId="67058E20">
            <w:pPr>
              <w:widowControl/>
              <w:jc w:val="center"/>
              <w:rPr>
                <w:rFonts w:ascii="宋体" w:hAnsi="宋体" w:cs="宋体"/>
                <w:color w:val="000000"/>
                <w:szCs w:val="21"/>
              </w:rPr>
            </w:pPr>
            <w:r>
              <w:rPr>
                <w:rFonts w:hint="eastAsia" w:ascii="宋体" w:hAnsi="宋体" w:cs="宋体"/>
                <w:color w:val="000000"/>
                <w:szCs w:val="21"/>
              </w:rPr>
              <w:t>10</w:t>
            </w:r>
          </w:p>
        </w:tc>
        <w:tc>
          <w:tcPr>
            <w:tcW w:w="1180" w:type="dxa"/>
            <w:vMerge w:val="restart"/>
            <w:tcBorders>
              <w:top w:val="single" w:color="000000" w:sz="4" w:space="0"/>
              <w:left w:val="single" w:color="000000" w:sz="4" w:space="0"/>
              <w:bottom w:val="single" w:color="000000" w:sz="4" w:space="0"/>
              <w:right w:val="single" w:color="000000" w:sz="4" w:space="0"/>
            </w:tcBorders>
            <w:noWrap/>
            <w:vAlign w:val="center"/>
          </w:tcPr>
          <w:p w14:paraId="2EE26607">
            <w:pPr>
              <w:widowControl/>
              <w:jc w:val="center"/>
              <w:rPr>
                <w:rFonts w:ascii="宋体" w:hAnsi="宋体" w:cs="宋体"/>
                <w:color w:val="000000"/>
                <w:szCs w:val="21"/>
              </w:rPr>
            </w:pPr>
            <w:r>
              <w:rPr>
                <w:rFonts w:hint="eastAsia" w:ascii="宋体" w:hAnsi="宋体" w:cs="宋体"/>
                <w:color w:val="000000"/>
                <w:szCs w:val="21"/>
              </w:rPr>
              <w:t>综合管理</w:t>
            </w:r>
          </w:p>
        </w:tc>
        <w:tc>
          <w:tcPr>
            <w:tcW w:w="1760" w:type="dxa"/>
            <w:tcBorders>
              <w:top w:val="nil"/>
              <w:left w:val="nil"/>
              <w:bottom w:val="single" w:color="000000" w:sz="4" w:space="0"/>
              <w:right w:val="single" w:color="000000" w:sz="4" w:space="0"/>
            </w:tcBorders>
            <w:noWrap w:val="0"/>
            <w:vAlign w:val="center"/>
          </w:tcPr>
          <w:p w14:paraId="406D07C3">
            <w:pPr>
              <w:widowControl/>
              <w:jc w:val="center"/>
              <w:rPr>
                <w:rFonts w:ascii="宋体" w:hAnsi="宋体" w:cs="宋体"/>
                <w:color w:val="000000"/>
                <w:szCs w:val="21"/>
              </w:rPr>
            </w:pPr>
            <w:r>
              <w:rPr>
                <w:rFonts w:hint="eastAsia" w:ascii="宋体" w:hAnsi="宋体" w:cs="宋体"/>
                <w:color w:val="000000"/>
                <w:szCs w:val="21"/>
              </w:rPr>
              <w:t>除治标识制作</w:t>
            </w:r>
          </w:p>
        </w:tc>
        <w:tc>
          <w:tcPr>
            <w:tcW w:w="980" w:type="dxa"/>
            <w:tcBorders>
              <w:top w:val="nil"/>
              <w:left w:val="nil"/>
              <w:bottom w:val="single" w:color="000000" w:sz="4" w:space="0"/>
              <w:right w:val="single" w:color="000000" w:sz="4" w:space="0"/>
            </w:tcBorders>
            <w:noWrap/>
            <w:vAlign w:val="center"/>
          </w:tcPr>
          <w:p w14:paraId="465FA87C">
            <w:pPr>
              <w:widowControl/>
              <w:jc w:val="center"/>
              <w:rPr>
                <w:color w:val="000000"/>
                <w:szCs w:val="21"/>
              </w:rPr>
            </w:pPr>
            <w:r>
              <w:rPr>
                <w:color w:val="000000"/>
                <w:szCs w:val="21"/>
              </w:rPr>
              <w:t>　</w:t>
            </w:r>
          </w:p>
        </w:tc>
        <w:tc>
          <w:tcPr>
            <w:tcW w:w="740" w:type="dxa"/>
            <w:tcBorders>
              <w:top w:val="nil"/>
              <w:left w:val="nil"/>
              <w:bottom w:val="single" w:color="000000" w:sz="4" w:space="0"/>
              <w:right w:val="single" w:color="000000" w:sz="4" w:space="0"/>
            </w:tcBorders>
            <w:noWrap/>
            <w:vAlign w:val="center"/>
          </w:tcPr>
          <w:p w14:paraId="0077233A">
            <w:pPr>
              <w:widowControl/>
              <w:jc w:val="center"/>
              <w:rPr>
                <w:rFonts w:ascii="宋体" w:hAnsi="宋体" w:cs="宋体"/>
                <w:color w:val="000000"/>
                <w:szCs w:val="21"/>
              </w:rPr>
            </w:pPr>
            <w:r>
              <w:rPr>
                <w:rFonts w:hint="eastAsia" w:ascii="宋体" w:hAnsi="宋体" w:cs="宋体"/>
                <w:color w:val="000000"/>
                <w:szCs w:val="21"/>
              </w:rPr>
              <w:t>　</w:t>
            </w:r>
          </w:p>
        </w:tc>
        <w:tc>
          <w:tcPr>
            <w:tcW w:w="1000" w:type="dxa"/>
            <w:tcBorders>
              <w:top w:val="nil"/>
              <w:left w:val="nil"/>
              <w:bottom w:val="single" w:color="000000" w:sz="4" w:space="0"/>
              <w:right w:val="single" w:color="000000" w:sz="4" w:space="0"/>
            </w:tcBorders>
            <w:noWrap/>
            <w:vAlign w:val="center"/>
          </w:tcPr>
          <w:p w14:paraId="57052453">
            <w:pPr>
              <w:widowControl/>
              <w:jc w:val="center"/>
              <w:rPr>
                <w:rFonts w:ascii="宋体" w:hAnsi="宋体" w:cs="宋体"/>
                <w:color w:val="000000"/>
                <w:szCs w:val="21"/>
              </w:rPr>
            </w:pPr>
          </w:p>
        </w:tc>
        <w:tc>
          <w:tcPr>
            <w:tcW w:w="711" w:type="dxa"/>
            <w:tcBorders>
              <w:top w:val="nil"/>
              <w:left w:val="nil"/>
              <w:bottom w:val="single" w:color="000000" w:sz="4" w:space="0"/>
              <w:right w:val="single" w:color="000000" w:sz="4" w:space="0"/>
            </w:tcBorders>
            <w:noWrap/>
            <w:vAlign w:val="center"/>
          </w:tcPr>
          <w:p w14:paraId="60A8EE12">
            <w:pPr>
              <w:widowControl/>
              <w:jc w:val="center"/>
              <w:rPr>
                <w:rFonts w:ascii="宋体" w:hAnsi="宋体" w:cs="宋体"/>
                <w:color w:val="000000"/>
                <w:szCs w:val="21"/>
              </w:rPr>
            </w:pPr>
            <w:r>
              <w:rPr>
                <w:rFonts w:hint="eastAsia" w:ascii="宋体" w:hAnsi="宋体" w:cs="宋体"/>
                <w:color w:val="000000"/>
                <w:szCs w:val="21"/>
              </w:rPr>
              <w:t>　</w:t>
            </w:r>
          </w:p>
        </w:tc>
        <w:tc>
          <w:tcPr>
            <w:tcW w:w="1649" w:type="dxa"/>
            <w:tcBorders>
              <w:top w:val="nil"/>
              <w:left w:val="nil"/>
              <w:bottom w:val="single" w:color="000000" w:sz="4" w:space="0"/>
              <w:right w:val="single" w:color="000000" w:sz="4" w:space="0"/>
            </w:tcBorders>
            <w:noWrap/>
            <w:vAlign w:val="center"/>
          </w:tcPr>
          <w:p w14:paraId="4FC75AA4">
            <w:pPr>
              <w:widowControl/>
              <w:jc w:val="center"/>
              <w:rPr>
                <w:rFonts w:ascii="宋体" w:hAnsi="宋体" w:cs="宋体"/>
                <w:color w:val="000000"/>
                <w:szCs w:val="21"/>
              </w:rPr>
            </w:pPr>
          </w:p>
        </w:tc>
        <w:tc>
          <w:tcPr>
            <w:tcW w:w="940" w:type="dxa"/>
            <w:tcBorders>
              <w:top w:val="nil"/>
              <w:left w:val="nil"/>
              <w:bottom w:val="single" w:color="000000" w:sz="4" w:space="0"/>
              <w:right w:val="single" w:color="000000" w:sz="4" w:space="0"/>
            </w:tcBorders>
            <w:noWrap/>
            <w:vAlign w:val="center"/>
          </w:tcPr>
          <w:p w14:paraId="5A0C4704">
            <w:pPr>
              <w:widowControl/>
              <w:jc w:val="center"/>
              <w:rPr>
                <w:rFonts w:ascii="宋体" w:hAnsi="宋体" w:cs="宋体"/>
                <w:color w:val="000000"/>
                <w:szCs w:val="21"/>
              </w:rPr>
            </w:pPr>
            <w:r>
              <w:rPr>
                <w:rFonts w:hint="eastAsia" w:ascii="宋体" w:hAnsi="宋体" w:cs="宋体"/>
                <w:color w:val="000000"/>
                <w:szCs w:val="21"/>
              </w:rPr>
              <w:t>　</w:t>
            </w:r>
          </w:p>
        </w:tc>
      </w:tr>
      <w:tr w14:paraId="5A55380E">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noWrap/>
            <w:vAlign w:val="center"/>
          </w:tcPr>
          <w:p w14:paraId="218C76CB">
            <w:pPr>
              <w:widowControl/>
              <w:jc w:val="center"/>
              <w:rPr>
                <w:rFonts w:ascii="宋体" w:hAnsi="宋体" w:cs="宋体"/>
                <w:color w:val="000000"/>
                <w:szCs w:val="21"/>
              </w:rPr>
            </w:pPr>
            <w:r>
              <w:rPr>
                <w:rFonts w:hint="eastAsia" w:ascii="宋体" w:hAnsi="宋体" w:cs="宋体"/>
                <w:color w:val="000000"/>
                <w:szCs w:val="21"/>
              </w:rPr>
              <w:t>11</w:t>
            </w:r>
          </w:p>
        </w:tc>
        <w:tc>
          <w:tcPr>
            <w:tcW w:w="11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60BDCE">
            <w:pPr>
              <w:widowControl/>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ign w:val="center"/>
          </w:tcPr>
          <w:p w14:paraId="5BE61530">
            <w:pPr>
              <w:widowControl/>
              <w:jc w:val="center"/>
              <w:rPr>
                <w:rFonts w:ascii="宋体" w:hAnsi="宋体" w:cs="宋体"/>
                <w:color w:val="000000"/>
                <w:szCs w:val="21"/>
              </w:rPr>
            </w:pPr>
            <w:r>
              <w:rPr>
                <w:rFonts w:hint="eastAsia" w:ascii="宋体" w:hAnsi="宋体" w:cs="宋体"/>
                <w:color w:val="000000"/>
                <w:szCs w:val="21"/>
              </w:rPr>
              <w:t>项目招标</w:t>
            </w:r>
          </w:p>
        </w:tc>
        <w:tc>
          <w:tcPr>
            <w:tcW w:w="980" w:type="dxa"/>
            <w:tcBorders>
              <w:top w:val="nil"/>
              <w:left w:val="nil"/>
              <w:bottom w:val="single" w:color="000000" w:sz="4" w:space="0"/>
              <w:right w:val="single" w:color="000000" w:sz="4" w:space="0"/>
            </w:tcBorders>
            <w:noWrap/>
            <w:vAlign w:val="center"/>
          </w:tcPr>
          <w:p w14:paraId="13C11C1E">
            <w:pPr>
              <w:widowControl/>
              <w:jc w:val="center"/>
              <w:rPr>
                <w:color w:val="000000"/>
                <w:szCs w:val="21"/>
              </w:rPr>
            </w:pPr>
            <w:r>
              <w:rPr>
                <w:color w:val="000000"/>
                <w:szCs w:val="21"/>
              </w:rPr>
              <w:t>1</w:t>
            </w:r>
            <w:r>
              <w:rPr>
                <w:rFonts w:hint="eastAsia" w:ascii="宋体" w:hAnsi="宋体"/>
                <w:color w:val="000000"/>
                <w:szCs w:val="21"/>
              </w:rPr>
              <w:t>次</w:t>
            </w:r>
            <w:r>
              <w:rPr>
                <w:color w:val="000000"/>
                <w:szCs w:val="21"/>
              </w:rPr>
              <w:t>/2</w:t>
            </w:r>
            <w:r>
              <w:rPr>
                <w:rFonts w:hint="eastAsia" w:ascii="宋体" w:hAnsi="宋体"/>
                <w:color w:val="000000"/>
                <w:szCs w:val="21"/>
              </w:rPr>
              <w:t>年</w:t>
            </w:r>
          </w:p>
        </w:tc>
        <w:tc>
          <w:tcPr>
            <w:tcW w:w="740" w:type="dxa"/>
            <w:tcBorders>
              <w:top w:val="nil"/>
              <w:left w:val="nil"/>
              <w:bottom w:val="single" w:color="000000" w:sz="4" w:space="0"/>
              <w:right w:val="single" w:color="000000" w:sz="4" w:space="0"/>
            </w:tcBorders>
            <w:noWrap/>
            <w:vAlign w:val="center"/>
          </w:tcPr>
          <w:p w14:paraId="2C392677">
            <w:pPr>
              <w:widowControl/>
              <w:jc w:val="center"/>
              <w:rPr>
                <w:rFonts w:ascii="宋体" w:hAnsi="宋体" w:cs="宋体"/>
                <w:color w:val="000000"/>
                <w:szCs w:val="21"/>
              </w:rPr>
            </w:pPr>
            <w:r>
              <w:rPr>
                <w:rFonts w:hint="eastAsia" w:ascii="宋体" w:hAnsi="宋体" w:cs="宋体"/>
                <w:color w:val="000000"/>
                <w:szCs w:val="21"/>
              </w:rPr>
              <w:t>次</w:t>
            </w:r>
          </w:p>
        </w:tc>
        <w:tc>
          <w:tcPr>
            <w:tcW w:w="1000" w:type="dxa"/>
            <w:tcBorders>
              <w:top w:val="nil"/>
              <w:left w:val="nil"/>
              <w:bottom w:val="single" w:color="000000" w:sz="4" w:space="0"/>
              <w:right w:val="single" w:color="000000" w:sz="4" w:space="0"/>
            </w:tcBorders>
            <w:noWrap/>
            <w:vAlign w:val="center"/>
          </w:tcPr>
          <w:p w14:paraId="2F412E50">
            <w:pPr>
              <w:widowControl/>
              <w:jc w:val="center"/>
              <w:rPr>
                <w:rFonts w:ascii="宋体" w:hAnsi="宋体" w:cs="宋体"/>
                <w:color w:val="000000"/>
                <w:szCs w:val="21"/>
              </w:rPr>
            </w:pPr>
          </w:p>
        </w:tc>
        <w:tc>
          <w:tcPr>
            <w:tcW w:w="711" w:type="dxa"/>
            <w:tcBorders>
              <w:top w:val="nil"/>
              <w:left w:val="nil"/>
              <w:bottom w:val="single" w:color="000000" w:sz="4" w:space="0"/>
              <w:right w:val="single" w:color="000000" w:sz="4" w:space="0"/>
            </w:tcBorders>
            <w:noWrap/>
            <w:vAlign w:val="center"/>
          </w:tcPr>
          <w:p w14:paraId="49158146">
            <w:pPr>
              <w:widowControl/>
              <w:jc w:val="center"/>
              <w:rPr>
                <w:rFonts w:ascii="宋体" w:hAnsi="宋体" w:cs="宋体"/>
                <w:color w:val="000000"/>
                <w:szCs w:val="21"/>
              </w:rPr>
            </w:pPr>
            <w:r>
              <w:rPr>
                <w:rFonts w:hint="eastAsia" w:ascii="宋体" w:hAnsi="宋体" w:cs="宋体"/>
                <w:color w:val="000000"/>
                <w:szCs w:val="21"/>
              </w:rPr>
              <w:t>1</w:t>
            </w:r>
          </w:p>
        </w:tc>
        <w:tc>
          <w:tcPr>
            <w:tcW w:w="1649" w:type="dxa"/>
            <w:tcBorders>
              <w:top w:val="nil"/>
              <w:left w:val="nil"/>
              <w:bottom w:val="single" w:color="000000" w:sz="4" w:space="0"/>
              <w:right w:val="single" w:color="000000" w:sz="4" w:space="0"/>
            </w:tcBorders>
            <w:noWrap/>
            <w:vAlign w:val="center"/>
          </w:tcPr>
          <w:p w14:paraId="30E37F43">
            <w:pPr>
              <w:widowControl/>
              <w:jc w:val="center"/>
              <w:rPr>
                <w:rFonts w:ascii="宋体" w:hAnsi="宋体" w:cs="宋体"/>
                <w:color w:val="000000"/>
                <w:szCs w:val="21"/>
              </w:rPr>
            </w:pPr>
          </w:p>
        </w:tc>
        <w:tc>
          <w:tcPr>
            <w:tcW w:w="940" w:type="dxa"/>
            <w:tcBorders>
              <w:top w:val="nil"/>
              <w:left w:val="nil"/>
              <w:bottom w:val="single" w:color="000000" w:sz="4" w:space="0"/>
              <w:right w:val="single" w:color="000000" w:sz="4" w:space="0"/>
            </w:tcBorders>
            <w:noWrap/>
            <w:vAlign w:val="center"/>
          </w:tcPr>
          <w:p w14:paraId="3DEE5423">
            <w:pPr>
              <w:widowControl/>
              <w:jc w:val="center"/>
              <w:rPr>
                <w:rFonts w:ascii="宋体" w:hAnsi="宋体" w:cs="宋体"/>
                <w:color w:val="000000"/>
                <w:szCs w:val="21"/>
              </w:rPr>
            </w:pPr>
            <w:r>
              <w:rPr>
                <w:rFonts w:hint="eastAsia" w:ascii="宋体" w:hAnsi="宋体" w:cs="宋体"/>
                <w:color w:val="000000"/>
                <w:szCs w:val="21"/>
              </w:rPr>
              <w:t>　</w:t>
            </w:r>
          </w:p>
        </w:tc>
      </w:tr>
      <w:tr w14:paraId="179FD71C">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noWrap/>
            <w:vAlign w:val="center"/>
          </w:tcPr>
          <w:p w14:paraId="6A3F5E96">
            <w:pPr>
              <w:widowControl/>
              <w:jc w:val="center"/>
              <w:rPr>
                <w:rFonts w:ascii="宋体" w:hAnsi="宋体" w:cs="宋体"/>
                <w:color w:val="000000"/>
                <w:szCs w:val="21"/>
              </w:rPr>
            </w:pPr>
            <w:r>
              <w:rPr>
                <w:rFonts w:hint="eastAsia" w:ascii="宋体" w:hAnsi="宋体" w:cs="宋体"/>
                <w:color w:val="000000"/>
                <w:szCs w:val="21"/>
              </w:rPr>
              <w:t>12</w:t>
            </w:r>
          </w:p>
        </w:tc>
        <w:tc>
          <w:tcPr>
            <w:tcW w:w="11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A390D7">
            <w:pPr>
              <w:widowControl/>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ign w:val="center"/>
          </w:tcPr>
          <w:p w14:paraId="75B5AB56">
            <w:pPr>
              <w:widowControl/>
              <w:jc w:val="center"/>
              <w:rPr>
                <w:rFonts w:ascii="宋体" w:hAnsi="宋体" w:cs="宋体"/>
                <w:color w:val="000000"/>
                <w:szCs w:val="21"/>
              </w:rPr>
            </w:pPr>
            <w:r>
              <w:rPr>
                <w:rFonts w:hint="eastAsia" w:ascii="宋体" w:hAnsi="宋体" w:cs="宋体"/>
                <w:color w:val="000000"/>
                <w:szCs w:val="21"/>
              </w:rPr>
              <w:t>项目审计</w:t>
            </w:r>
          </w:p>
        </w:tc>
        <w:tc>
          <w:tcPr>
            <w:tcW w:w="980" w:type="dxa"/>
            <w:tcBorders>
              <w:top w:val="nil"/>
              <w:left w:val="nil"/>
              <w:bottom w:val="single" w:color="000000" w:sz="4" w:space="0"/>
              <w:right w:val="single" w:color="000000" w:sz="4" w:space="0"/>
            </w:tcBorders>
            <w:noWrap/>
            <w:vAlign w:val="center"/>
          </w:tcPr>
          <w:p w14:paraId="28E36930">
            <w:pPr>
              <w:widowControl/>
              <w:jc w:val="center"/>
              <w:rPr>
                <w:color w:val="000000"/>
                <w:szCs w:val="21"/>
              </w:rPr>
            </w:pPr>
            <w:r>
              <w:rPr>
                <w:color w:val="000000"/>
                <w:szCs w:val="21"/>
              </w:rPr>
              <w:t>1</w:t>
            </w:r>
            <w:r>
              <w:rPr>
                <w:rFonts w:hint="eastAsia" w:ascii="宋体" w:hAnsi="宋体"/>
                <w:color w:val="000000"/>
                <w:szCs w:val="21"/>
              </w:rPr>
              <w:t>次</w:t>
            </w:r>
            <w:r>
              <w:rPr>
                <w:color w:val="000000"/>
                <w:szCs w:val="21"/>
              </w:rPr>
              <w:t>/</w:t>
            </w:r>
            <w:r>
              <w:rPr>
                <w:rFonts w:hint="eastAsia" w:ascii="宋体" w:hAnsi="宋体"/>
                <w:color w:val="000000"/>
                <w:szCs w:val="21"/>
              </w:rPr>
              <w:t>年</w:t>
            </w:r>
          </w:p>
        </w:tc>
        <w:tc>
          <w:tcPr>
            <w:tcW w:w="740" w:type="dxa"/>
            <w:tcBorders>
              <w:top w:val="nil"/>
              <w:left w:val="nil"/>
              <w:bottom w:val="single" w:color="000000" w:sz="4" w:space="0"/>
              <w:right w:val="single" w:color="000000" w:sz="4" w:space="0"/>
            </w:tcBorders>
            <w:noWrap/>
            <w:vAlign w:val="center"/>
          </w:tcPr>
          <w:p w14:paraId="7D762120">
            <w:pPr>
              <w:widowControl/>
              <w:jc w:val="center"/>
              <w:rPr>
                <w:rFonts w:ascii="宋体" w:hAnsi="宋体" w:cs="宋体"/>
                <w:color w:val="000000"/>
                <w:szCs w:val="21"/>
              </w:rPr>
            </w:pPr>
            <w:r>
              <w:rPr>
                <w:rFonts w:hint="eastAsia" w:ascii="宋体" w:hAnsi="宋体" w:cs="宋体"/>
                <w:color w:val="000000"/>
                <w:szCs w:val="21"/>
              </w:rPr>
              <w:t>次</w:t>
            </w:r>
          </w:p>
        </w:tc>
        <w:tc>
          <w:tcPr>
            <w:tcW w:w="1000" w:type="dxa"/>
            <w:tcBorders>
              <w:top w:val="nil"/>
              <w:left w:val="nil"/>
              <w:bottom w:val="single" w:color="000000" w:sz="4" w:space="0"/>
              <w:right w:val="single" w:color="000000" w:sz="4" w:space="0"/>
            </w:tcBorders>
            <w:noWrap/>
            <w:vAlign w:val="center"/>
          </w:tcPr>
          <w:p w14:paraId="4D8426E4">
            <w:pPr>
              <w:widowControl/>
              <w:jc w:val="center"/>
              <w:rPr>
                <w:rFonts w:ascii="宋体" w:hAnsi="宋体" w:cs="宋体"/>
                <w:color w:val="000000"/>
                <w:szCs w:val="21"/>
              </w:rPr>
            </w:pPr>
          </w:p>
        </w:tc>
        <w:tc>
          <w:tcPr>
            <w:tcW w:w="711" w:type="dxa"/>
            <w:tcBorders>
              <w:top w:val="nil"/>
              <w:left w:val="nil"/>
              <w:bottom w:val="single" w:color="000000" w:sz="4" w:space="0"/>
              <w:right w:val="single" w:color="000000" w:sz="4" w:space="0"/>
            </w:tcBorders>
            <w:noWrap/>
            <w:vAlign w:val="center"/>
          </w:tcPr>
          <w:p w14:paraId="4DE7CF07">
            <w:pPr>
              <w:widowControl/>
              <w:jc w:val="center"/>
              <w:rPr>
                <w:rFonts w:ascii="宋体" w:hAnsi="宋体" w:cs="宋体"/>
                <w:color w:val="000000"/>
                <w:szCs w:val="21"/>
              </w:rPr>
            </w:pPr>
            <w:r>
              <w:rPr>
                <w:rFonts w:hint="eastAsia" w:ascii="宋体" w:hAnsi="宋体" w:cs="宋体"/>
                <w:color w:val="000000"/>
                <w:szCs w:val="21"/>
              </w:rPr>
              <w:t>2</w:t>
            </w:r>
          </w:p>
        </w:tc>
        <w:tc>
          <w:tcPr>
            <w:tcW w:w="1649" w:type="dxa"/>
            <w:tcBorders>
              <w:top w:val="nil"/>
              <w:left w:val="nil"/>
              <w:bottom w:val="single" w:color="000000" w:sz="4" w:space="0"/>
              <w:right w:val="single" w:color="000000" w:sz="4" w:space="0"/>
            </w:tcBorders>
            <w:noWrap/>
            <w:vAlign w:val="center"/>
          </w:tcPr>
          <w:p w14:paraId="7BD6F31D">
            <w:pPr>
              <w:widowControl/>
              <w:jc w:val="center"/>
              <w:rPr>
                <w:rFonts w:ascii="宋体" w:hAnsi="宋体" w:cs="宋体"/>
                <w:color w:val="000000"/>
                <w:szCs w:val="21"/>
              </w:rPr>
            </w:pPr>
          </w:p>
        </w:tc>
        <w:tc>
          <w:tcPr>
            <w:tcW w:w="940" w:type="dxa"/>
            <w:tcBorders>
              <w:top w:val="nil"/>
              <w:left w:val="nil"/>
              <w:bottom w:val="single" w:color="000000" w:sz="4" w:space="0"/>
              <w:right w:val="single" w:color="000000" w:sz="4" w:space="0"/>
            </w:tcBorders>
            <w:noWrap/>
            <w:vAlign w:val="center"/>
          </w:tcPr>
          <w:p w14:paraId="72BC06DC">
            <w:pPr>
              <w:widowControl/>
              <w:jc w:val="center"/>
              <w:rPr>
                <w:rFonts w:ascii="宋体" w:hAnsi="宋体" w:cs="宋体"/>
                <w:color w:val="000000"/>
                <w:szCs w:val="21"/>
              </w:rPr>
            </w:pPr>
            <w:r>
              <w:rPr>
                <w:rFonts w:hint="eastAsia" w:ascii="宋体" w:hAnsi="宋体" w:cs="宋体"/>
                <w:color w:val="000000"/>
                <w:szCs w:val="21"/>
              </w:rPr>
              <w:t>　</w:t>
            </w:r>
          </w:p>
        </w:tc>
      </w:tr>
      <w:tr w14:paraId="60E258C4">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noWrap/>
            <w:vAlign w:val="center"/>
          </w:tcPr>
          <w:p w14:paraId="0CC6ABFA">
            <w:pPr>
              <w:widowControl/>
              <w:jc w:val="center"/>
              <w:rPr>
                <w:rFonts w:ascii="宋体" w:hAnsi="宋体" w:cs="宋体"/>
                <w:color w:val="000000"/>
                <w:szCs w:val="21"/>
              </w:rPr>
            </w:pPr>
            <w:r>
              <w:rPr>
                <w:rFonts w:hint="eastAsia" w:ascii="宋体" w:hAnsi="宋体" w:cs="宋体"/>
                <w:color w:val="000000"/>
                <w:szCs w:val="21"/>
              </w:rPr>
              <w:t>13</w:t>
            </w:r>
          </w:p>
        </w:tc>
        <w:tc>
          <w:tcPr>
            <w:tcW w:w="11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E85F3B">
            <w:pPr>
              <w:widowControl/>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ign w:val="center"/>
          </w:tcPr>
          <w:p w14:paraId="6A7B7D92">
            <w:pPr>
              <w:widowControl/>
              <w:jc w:val="center"/>
              <w:rPr>
                <w:rFonts w:ascii="宋体" w:hAnsi="宋体" w:cs="宋体"/>
                <w:color w:val="000000"/>
                <w:szCs w:val="21"/>
              </w:rPr>
            </w:pPr>
            <w:r>
              <w:rPr>
                <w:rFonts w:hint="eastAsia" w:ascii="宋体" w:hAnsi="宋体" w:cs="宋体"/>
                <w:color w:val="000000"/>
                <w:szCs w:val="21"/>
              </w:rPr>
              <w:t>项目验收</w:t>
            </w:r>
          </w:p>
        </w:tc>
        <w:tc>
          <w:tcPr>
            <w:tcW w:w="980" w:type="dxa"/>
            <w:tcBorders>
              <w:top w:val="nil"/>
              <w:left w:val="nil"/>
              <w:bottom w:val="single" w:color="000000" w:sz="4" w:space="0"/>
              <w:right w:val="single" w:color="000000" w:sz="4" w:space="0"/>
            </w:tcBorders>
            <w:noWrap/>
            <w:vAlign w:val="center"/>
          </w:tcPr>
          <w:p w14:paraId="19A36C8F">
            <w:pPr>
              <w:widowControl/>
              <w:jc w:val="center"/>
              <w:rPr>
                <w:color w:val="000000"/>
                <w:szCs w:val="21"/>
              </w:rPr>
            </w:pPr>
            <w:r>
              <w:rPr>
                <w:color w:val="000000"/>
                <w:szCs w:val="21"/>
              </w:rPr>
              <w:t>1</w:t>
            </w:r>
            <w:r>
              <w:rPr>
                <w:rFonts w:hint="eastAsia" w:ascii="宋体" w:hAnsi="宋体"/>
                <w:color w:val="000000"/>
                <w:szCs w:val="21"/>
              </w:rPr>
              <w:t>次</w:t>
            </w:r>
            <w:r>
              <w:rPr>
                <w:color w:val="000000"/>
                <w:szCs w:val="21"/>
              </w:rPr>
              <w:t>/</w:t>
            </w:r>
            <w:r>
              <w:rPr>
                <w:rFonts w:hint="eastAsia" w:ascii="宋体" w:hAnsi="宋体"/>
                <w:color w:val="000000"/>
                <w:szCs w:val="21"/>
              </w:rPr>
              <w:t>年</w:t>
            </w:r>
          </w:p>
        </w:tc>
        <w:tc>
          <w:tcPr>
            <w:tcW w:w="740" w:type="dxa"/>
            <w:tcBorders>
              <w:top w:val="nil"/>
              <w:left w:val="nil"/>
              <w:bottom w:val="single" w:color="000000" w:sz="4" w:space="0"/>
              <w:right w:val="single" w:color="000000" w:sz="4" w:space="0"/>
            </w:tcBorders>
            <w:noWrap/>
            <w:vAlign w:val="center"/>
          </w:tcPr>
          <w:p w14:paraId="666DE91A">
            <w:pPr>
              <w:widowControl/>
              <w:jc w:val="center"/>
              <w:rPr>
                <w:rFonts w:ascii="宋体" w:hAnsi="宋体" w:cs="宋体"/>
                <w:color w:val="000000"/>
                <w:szCs w:val="21"/>
              </w:rPr>
            </w:pPr>
            <w:r>
              <w:rPr>
                <w:rFonts w:hint="eastAsia" w:ascii="宋体" w:hAnsi="宋体" w:cs="宋体"/>
                <w:color w:val="000000"/>
                <w:szCs w:val="21"/>
              </w:rPr>
              <w:t>次</w:t>
            </w:r>
          </w:p>
        </w:tc>
        <w:tc>
          <w:tcPr>
            <w:tcW w:w="1000" w:type="dxa"/>
            <w:tcBorders>
              <w:top w:val="nil"/>
              <w:left w:val="nil"/>
              <w:bottom w:val="single" w:color="000000" w:sz="4" w:space="0"/>
              <w:right w:val="single" w:color="000000" w:sz="4" w:space="0"/>
            </w:tcBorders>
            <w:noWrap/>
            <w:vAlign w:val="center"/>
          </w:tcPr>
          <w:p w14:paraId="7DF3A0D2">
            <w:pPr>
              <w:widowControl/>
              <w:jc w:val="center"/>
              <w:rPr>
                <w:rFonts w:ascii="宋体" w:hAnsi="宋体" w:cs="宋体"/>
                <w:color w:val="000000"/>
                <w:szCs w:val="21"/>
              </w:rPr>
            </w:pPr>
          </w:p>
        </w:tc>
        <w:tc>
          <w:tcPr>
            <w:tcW w:w="711" w:type="dxa"/>
            <w:tcBorders>
              <w:top w:val="nil"/>
              <w:left w:val="nil"/>
              <w:bottom w:val="single" w:color="000000" w:sz="4" w:space="0"/>
              <w:right w:val="single" w:color="000000" w:sz="4" w:space="0"/>
            </w:tcBorders>
            <w:noWrap/>
            <w:vAlign w:val="center"/>
          </w:tcPr>
          <w:p w14:paraId="4EC9C9AC">
            <w:pPr>
              <w:widowControl/>
              <w:jc w:val="center"/>
              <w:rPr>
                <w:rFonts w:ascii="宋体" w:hAnsi="宋体" w:cs="宋体"/>
                <w:color w:val="000000"/>
                <w:szCs w:val="21"/>
              </w:rPr>
            </w:pPr>
            <w:r>
              <w:rPr>
                <w:rFonts w:hint="eastAsia" w:ascii="宋体" w:hAnsi="宋体" w:cs="宋体"/>
                <w:color w:val="000000"/>
                <w:szCs w:val="21"/>
              </w:rPr>
              <w:t>2</w:t>
            </w:r>
          </w:p>
        </w:tc>
        <w:tc>
          <w:tcPr>
            <w:tcW w:w="1649" w:type="dxa"/>
            <w:tcBorders>
              <w:top w:val="nil"/>
              <w:left w:val="nil"/>
              <w:bottom w:val="single" w:color="000000" w:sz="4" w:space="0"/>
              <w:right w:val="single" w:color="000000" w:sz="4" w:space="0"/>
            </w:tcBorders>
            <w:noWrap/>
            <w:vAlign w:val="center"/>
          </w:tcPr>
          <w:p w14:paraId="57E3CC98">
            <w:pPr>
              <w:widowControl/>
              <w:jc w:val="center"/>
              <w:rPr>
                <w:rFonts w:ascii="宋体" w:hAnsi="宋体" w:cs="宋体"/>
                <w:color w:val="000000"/>
                <w:szCs w:val="21"/>
              </w:rPr>
            </w:pPr>
          </w:p>
        </w:tc>
        <w:tc>
          <w:tcPr>
            <w:tcW w:w="940" w:type="dxa"/>
            <w:tcBorders>
              <w:top w:val="nil"/>
              <w:left w:val="nil"/>
              <w:bottom w:val="single" w:color="000000" w:sz="4" w:space="0"/>
              <w:right w:val="single" w:color="000000" w:sz="4" w:space="0"/>
            </w:tcBorders>
            <w:noWrap/>
            <w:vAlign w:val="center"/>
          </w:tcPr>
          <w:p w14:paraId="4413AB8D">
            <w:pPr>
              <w:widowControl/>
              <w:jc w:val="center"/>
              <w:rPr>
                <w:rFonts w:ascii="宋体" w:hAnsi="宋体" w:cs="宋体"/>
                <w:color w:val="000000"/>
                <w:szCs w:val="21"/>
              </w:rPr>
            </w:pPr>
            <w:r>
              <w:rPr>
                <w:rFonts w:hint="eastAsia" w:ascii="宋体" w:hAnsi="宋体" w:cs="宋体"/>
                <w:color w:val="000000"/>
                <w:szCs w:val="21"/>
              </w:rPr>
              <w:t>　</w:t>
            </w:r>
          </w:p>
        </w:tc>
      </w:tr>
      <w:tr w14:paraId="69199D30">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noWrap/>
            <w:vAlign w:val="center"/>
          </w:tcPr>
          <w:p w14:paraId="502F0579">
            <w:pPr>
              <w:widowControl/>
              <w:jc w:val="center"/>
              <w:rPr>
                <w:rFonts w:ascii="宋体" w:hAnsi="宋体" w:cs="宋体"/>
                <w:color w:val="000000"/>
                <w:szCs w:val="21"/>
              </w:rPr>
            </w:pPr>
            <w:r>
              <w:rPr>
                <w:rFonts w:hint="eastAsia" w:ascii="宋体" w:hAnsi="宋体" w:cs="宋体"/>
                <w:color w:val="000000"/>
                <w:szCs w:val="21"/>
              </w:rPr>
              <w:t>14</w:t>
            </w:r>
          </w:p>
        </w:tc>
        <w:tc>
          <w:tcPr>
            <w:tcW w:w="11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D44C20">
            <w:pPr>
              <w:widowControl/>
              <w:jc w:val="left"/>
              <w:rPr>
                <w:rFonts w:ascii="宋体" w:hAnsi="宋体" w:cs="宋体"/>
                <w:color w:val="000000"/>
                <w:szCs w:val="21"/>
              </w:rPr>
            </w:pPr>
          </w:p>
        </w:tc>
        <w:tc>
          <w:tcPr>
            <w:tcW w:w="1760" w:type="dxa"/>
            <w:tcBorders>
              <w:top w:val="nil"/>
              <w:left w:val="nil"/>
              <w:bottom w:val="single" w:color="000000" w:sz="4" w:space="0"/>
              <w:right w:val="single" w:color="000000" w:sz="4" w:space="0"/>
            </w:tcBorders>
            <w:noWrap/>
            <w:vAlign w:val="center"/>
          </w:tcPr>
          <w:p w14:paraId="213885A6">
            <w:pPr>
              <w:widowControl/>
              <w:jc w:val="center"/>
              <w:rPr>
                <w:rFonts w:ascii="宋体" w:hAnsi="宋体" w:cs="宋体"/>
                <w:color w:val="000000"/>
                <w:szCs w:val="21"/>
              </w:rPr>
            </w:pPr>
            <w:r>
              <w:rPr>
                <w:rFonts w:hint="eastAsia" w:ascii="宋体" w:hAnsi="宋体" w:cs="宋体"/>
                <w:color w:val="000000"/>
                <w:szCs w:val="21"/>
              </w:rPr>
              <w:t>其他</w:t>
            </w:r>
          </w:p>
        </w:tc>
        <w:tc>
          <w:tcPr>
            <w:tcW w:w="980" w:type="dxa"/>
            <w:tcBorders>
              <w:top w:val="nil"/>
              <w:left w:val="nil"/>
              <w:bottom w:val="single" w:color="000000" w:sz="4" w:space="0"/>
              <w:right w:val="single" w:color="000000" w:sz="4" w:space="0"/>
            </w:tcBorders>
            <w:noWrap/>
            <w:vAlign w:val="center"/>
          </w:tcPr>
          <w:p w14:paraId="617F055E">
            <w:pPr>
              <w:widowControl/>
              <w:jc w:val="center"/>
              <w:rPr>
                <w:rFonts w:ascii="宋体" w:hAnsi="宋体" w:cs="宋体"/>
                <w:color w:val="000000"/>
                <w:szCs w:val="21"/>
              </w:rPr>
            </w:pPr>
            <w:r>
              <w:rPr>
                <w:rFonts w:hint="eastAsia" w:ascii="宋体" w:hAnsi="宋体" w:cs="宋体"/>
                <w:color w:val="000000"/>
                <w:szCs w:val="21"/>
              </w:rPr>
              <w:t>　</w:t>
            </w:r>
          </w:p>
        </w:tc>
        <w:tc>
          <w:tcPr>
            <w:tcW w:w="740" w:type="dxa"/>
            <w:tcBorders>
              <w:top w:val="nil"/>
              <w:left w:val="nil"/>
              <w:bottom w:val="single" w:color="000000" w:sz="4" w:space="0"/>
              <w:right w:val="single" w:color="000000" w:sz="4" w:space="0"/>
            </w:tcBorders>
            <w:noWrap/>
            <w:vAlign w:val="center"/>
          </w:tcPr>
          <w:p w14:paraId="6D495B0B">
            <w:pPr>
              <w:widowControl/>
              <w:jc w:val="center"/>
              <w:rPr>
                <w:rFonts w:ascii="宋体" w:hAnsi="宋体" w:cs="宋体"/>
                <w:color w:val="000000"/>
                <w:szCs w:val="21"/>
              </w:rPr>
            </w:pPr>
            <w:r>
              <w:rPr>
                <w:rFonts w:hint="eastAsia" w:ascii="宋体" w:hAnsi="宋体" w:cs="宋体"/>
                <w:color w:val="000000"/>
                <w:szCs w:val="21"/>
              </w:rPr>
              <w:t>　</w:t>
            </w:r>
          </w:p>
        </w:tc>
        <w:tc>
          <w:tcPr>
            <w:tcW w:w="1000" w:type="dxa"/>
            <w:tcBorders>
              <w:top w:val="nil"/>
              <w:left w:val="nil"/>
              <w:bottom w:val="single" w:color="000000" w:sz="4" w:space="0"/>
              <w:right w:val="single" w:color="000000" w:sz="4" w:space="0"/>
            </w:tcBorders>
            <w:noWrap/>
            <w:vAlign w:val="center"/>
          </w:tcPr>
          <w:p w14:paraId="57EE3829">
            <w:pPr>
              <w:widowControl/>
              <w:jc w:val="center"/>
              <w:rPr>
                <w:rFonts w:ascii="宋体" w:hAnsi="宋体" w:cs="宋体"/>
                <w:color w:val="000000"/>
                <w:szCs w:val="21"/>
              </w:rPr>
            </w:pPr>
          </w:p>
        </w:tc>
        <w:tc>
          <w:tcPr>
            <w:tcW w:w="711" w:type="dxa"/>
            <w:tcBorders>
              <w:top w:val="nil"/>
              <w:left w:val="nil"/>
              <w:bottom w:val="single" w:color="000000" w:sz="4" w:space="0"/>
              <w:right w:val="single" w:color="000000" w:sz="4" w:space="0"/>
            </w:tcBorders>
            <w:noWrap/>
            <w:vAlign w:val="center"/>
          </w:tcPr>
          <w:p w14:paraId="7593A568">
            <w:pPr>
              <w:widowControl/>
              <w:jc w:val="center"/>
              <w:rPr>
                <w:rFonts w:ascii="宋体" w:hAnsi="宋体" w:cs="宋体"/>
                <w:color w:val="000000"/>
                <w:szCs w:val="21"/>
              </w:rPr>
            </w:pPr>
            <w:r>
              <w:rPr>
                <w:rFonts w:hint="eastAsia" w:ascii="宋体" w:hAnsi="宋体" w:cs="宋体"/>
                <w:color w:val="000000"/>
                <w:szCs w:val="21"/>
              </w:rPr>
              <w:t>　</w:t>
            </w:r>
          </w:p>
        </w:tc>
        <w:tc>
          <w:tcPr>
            <w:tcW w:w="1649" w:type="dxa"/>
            <w:tcBorders>
              <w:top w:val="nil"/>
              <w:left w:val="nil"/>
              <w:bottom w:val="single" w:color="000000" w:sz="4" w:space="0"/>
              <w:right w:val="single" w:color="000000" w:sz="4" w:space="0"/>
            </w:tcBorders>
            <w:noWrap/>
            <w:vAlign w:val="center"/>
          </w:tcPr>
          <w:p w14:paraId="5E39A142">
            <w:pPr>
              <w:widowControl/>
              <w:jc w:val="center"/>
              <w:rPr>
                <w:rFonts w:ascii="宋体" w:hAnsi="宋体" w:cs="宋体"/>
                <w:color w:val="000000"/>
                <w:szCs w:val="21"/>
              </w:rPr>
            </w:pPr>
          </w:p>
        </w:tc>
        <w:tc>
          <w:tcPr>
            <w:tcW w:w="940" w:type="dxa"/>
            <w:tcBorders>
              <w:top w:val="nil"/>
              <w:left w:val="nil"/>
              <w:bottom w:val="single" w:color="000000" w:sz="4" w:space="0"/>
              <w:right w:val="single" w:color="000000" w:sz="4" w:space="0"/>
            </w:tcBorders>
            <w:noWrap/>
            <w:vAlign w:val="center"/>
          </w:tcPr>
          <w:p w14:paraId="156EA3D9">
            <w:pPr>
              <w:widowControl/>
              <w:jc w:val="center"/>
              <w:rPr>
                <w:rFonts w:ascii="宋体" w:hAnsi="宋体" w:cs="宋体"/>
                <w:color w:val="000000"/>
                <w:szCs w:val="21"/>
              </w:rPr>
            </w:pPr>
            <w:r>
              <w:rPr>
                <w:rFonts w:hint="eastAsia" w:ascii="宋体" w:hAnsi="宋体" w:cs="宋体"/>
                <w:color w:val="000000"/>
                <w:szCs w:val="21"/>
              </w:rPr>
              <w:t>　</w:t>
            </w:r>
          </w:p>
        </w:tc>
      </w:tr>
      <w:tr w14:paraId="7AD9DDCC">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noWrap/>
            <w:vAlign w:val="center"/>
          </w:tcPr>
          <w:p w14:paraId="5059FCA9">
            <w:pPr>
              <w:widowControl/>
              <w:jc w:val="center"/>
              <w:rPr>
                <w:rFonts w:ascii="宋体" w:hAnsi="宋体" w:cs="宋体"/>
                <w:color w:val="000000"/>
                <w:szCs w:val="21"/>
              </w:rPr>
            </w:pPr>
            <w:r>
              <w:rPr>
                <w:rFonts w:hint="eastAsia" w:ascii="宋体" w:hAnsi="宋体" w:cs="宋体"/>
                <w:color w:val="000000"/>
                <w:szCs w:val="21"/>
              </w:rPr>
              <w:t>　</w:t>
            </w:r>
          </w:p>
        </w:tc>
        <w:tc>
          <w:tcPr>
            <w:tcW w:w="1180" w:type="dxa"/>
            <w:tcBorders>
              <w:top w:val="nil"/>
              <w:left w:val="nil"/>
              <w:bottom w:val="single" w:color="000000" w:sz="4" w:space="0"/>
              <w:right w:val="single" w:color="000000" w:sz="4" w:space="0"/>
            </w:tcBorders>
            <w:noWrap/>
            <w:vAlign w:val="center"/>
          </w:tcPr>
          <w:p w14:paraId="2467224E">
            <w:pPr>
              <w:widowControl/>
              <w:jc w:val="center"/>
              <w:rPr>
                <w:rFonts w:ascii="宋体" w:hAnsi="宋体" w:cs="宋体"/>
                <w:color w:val="000000"/>
                <w:szCs w:val="21"/>
              </w:rPr>
            </w:pPr>
            <w:r>
              <w:rPr>
                <w:rFonts w:hint="eastAsia" w:ascii="宋体" w:hAnsi="宋体" w:cs="宋体"/>
                <w:color w:val="000000"/>
                <w:szCs w:val="21"/>
              </w:rPr>
              <w:t>合计（两年）</w:t>
            </w:r>
          </w:p>
        </w:tc>
        <w:tc>
          <w:tcPr>
            <w:tcW w:w="1760" w:type="dxa"/>
            <w:tcBorders>
              <w:top w:val="nil"/>
              <w:left w:val="nil"/>
              <w:bottom w:val="single" w:color="000000" w:sz="4" w:space="0"/>
              <w:right w:val="single" w:color="000000" w:sz="4" w:space="0"/>
            </w:tcBorders>
            <w:noWrap/>
            <w:vAlign w:val="center"/>
          </w:tcPr>
          <w:p w14:paraId="4E6B799A">
            <w:pPr>
              <w:widowControl/>
              <w:jc w:val="center"/>
              <w:rPr>
                <w:rFonts w:ascii="宋体" w:hAnsi="宋体" w:cs="宋体"/>
                <w:color w:val="000000"/>
                <w:szCs w:val="21"/>
              </w:rPr>
            </w:pPr>
            <w:r>
              <w:rPr>
                <w:rFonts w:hint="eastAsia" w:ascii="宋体" w:hAnsi="宋体" w:cs="宋体"/>
                <w:color w:val="000000"/>
                <w:szCs w:val="21"/>
              </w:rPr>
              <w:t>　</w:t>
            </w:r>
          </w:p>
        </w:tc>
        <w:tc>
          <w:tcPr>
            <w:tcW w:w="980" w:type="dxa"/>
            <w:tcBorders>
              <w:top w:val="nil"/>
              <w:left w:val="nil"/>
              <w:bottom w:val="single" w:color="000000" w:sz="4" w:space="0"/>
              <w:right w:val="single" w:color="000000" w:sz="4" w:space="0"/>
            </w:tcBorders>
            <w:noWrap/>
            <w:vAlign w:val="center"/>
          </w:tcPr>
          <w:p w14:paraId="13893517">
            <w:pPr>
              <w:widowControl/>
              <w:jc w:val="center"/>
              <w:rPr>
                <w:rFonts w:ascii="宋体" w:hAnsi="宋体" w:cs="宋体"/>
                <w:color w:val="000000"/>
                <w:szCs w:val="21"/>
              </w:rPr>
            </w:pPr>
            <w:r>
              <w:rPr>
                <w:rFonts w:hint="eastAsia" w:ascii="宋体" w:hAnsi="宋体" w:cs="宋体"/>
                <w:color w:val="000000"/>
                <w:szCs w:val="21"/>
              </w:rPr>
              <w:t>　</w:t>
            </w:r>
          </w:p>
        </w:tc>
        <w:tc>
          <w:tcPr>
            <w:tcW w:w="740" w:type="dxa"/>
            <w:tcBorders>
              <w:top w:val="nil"/>
              <w:left w:val="nil"/>
              <w:bottom w:val="single" w:color="000000" w:sz="4" w:space="0"/>
              <w:right w:val="single" w:color="000000" w:sz="4" w:space="0"/>
            </w:tcBorders>
            <w:noWrap/>
            <w:vAlign w:val="center"/>
          </w:tcPr>
          <w:p w14:paraId="22AD21AD">
            <w:pPr>
              <w:widowControl/>
              <w:jc w:val="center"/>
              <w:rPr>
                <w:rFonts w:ascii="宋体" w:hAnsi="宋体" w:cs="宋体"/>
                <w:color w:val="000000"/>
                <w:szCs w:val="21"/>
              </w:rPr>
            </w:pPr>
            <w:r>
              <w:rPr>
                <w:rFonts w:hint="eastAsia" w:ascii="宋体" w:hAnsi="宋体" w:cs="宋体"/>
                <w:color w:val="000000"/>
                <w:szCs w:val="21"/>
              </w:rPr>
              <w:t>　</w:t>
            </w:r>
          </w:p>
        </w:tc>
        <w:tc>
          <w:tcPr>
            <w:tcW w:w="1000" w:type="dxa"/>
            <w:tcBorders>
              <w:top w:val="nil"/>
              <w:left w:val="nil"/>
              <w:bottom w:val="single" w:color="000000" w:sz="4" w:space="0"/>
              <w:right w:val="single" w:color="000000" w:sz="4" w:space="0"/>
            </w:tcBorders>
            <w:noWrap/>
            <w:vAlign w:val="center"/>
          </w:tcPr>
          <w:p w14:paraId="3D2F43E9">
            <w:pPr>
              <w:widowControl/>
              <w:jc w:val="center"/>
              <w:rPr>
                <w:rFonts w:ascii="宋体" w:hAnsi="宋体" w:cs="宋体"/>
                <w:color w:val="000000"/>
                <w:szCs w:val="21"/>
              </w:rPr>
            </w:pPr>
          </w:p>
        </w:tc>
        <w:tc>
          <w:tcPr>
            <w:tcW w:w="711" w:type="dxa"/>
            <w:tcBorders>
              <w:top w:val="nil"/>
              <w:left w:val="nil"/>
              <w:bottom w:val="single" w:color="000000" w:sz="4" w:space="0"/>
              <w:right w:val="single" w:color="000000" w:sz="4" w:space="0"/>
            </w:tcBorders>
            <w:noWrap/>
            <w:vAlign w:val="center"/>
          </w:tcPr>
          <w:p w14:paraId="1DCC2869">
            <w:pPr>
              <w:widowControl/>
              <w:jc w:val="center"/>
              <w:rPr>
                <w:rFonts w:ascii="宋体" w:hAnsi="宋体" w:cs="宋体"/>
                <w:color w:val="000000"/>
                <w:szCs w:val="21"/>
              </w:rPr>
            </w:pPr>
            <w:r>
              <w:rPr>
                <w:rFonts w:hint="eastAsia" w:ascii="宋体" w:hAnsi="宋体" w:cs="宋体"/>
                <w:color w:val="000000"/>
                <w:szCs w:val="21"/>
              </w:rPr>
              <w:t>　</w:t>
            </w:r>
          </w:p>
        </w:tc>
        <w:tc>
          <w:tcPr>
            <w:tcW w:w="1649" w:type="dxa"/>
            <w:tcBorders>
              <w:top w:val="nil"/>
              <w:left w:val="nil"/>
              <w:bottom w:val="single" w:color="000000" w:sz="4" w:space="0"/>
              <w:right w:val="single" w:color="000000" w:sz="4" w:space="0"/>
            </w:tcBorders>
            <w:noWrap/>
            <w:vAlign w:val="center"/>
          </w:tcPr>
          <w:p w14:paraId="5026AB23">
            <w:pPr>
              <w:widowControl/>
              <w:jc w:val="center"/>
              <w:rPr>
                <w:rFonts w:ascii="宋体" w:hAnsi="宋体" w:cs="宋体"/>
                <w:color w:val="000000"/>
                <w:szCs w:val="21"/>
              </w:rPr>
            </w:pPr>
          </w:p>
        </w:tc>
        <w:tc>
          <w:tcPr>
            <w:tcW w:w="940" w:type="dxa"/>
            <w:tcBorders>
              <w:top w:val="nil"/>
              <w:left w:val="nil"/>
              <w:bottom w:val="single" w:color="000000" w:sz="4" w:space="0"/>
              <w:right w:val="single" w:color="000000" w:sz="4" w:space="0"/>
            </w:tcBorders>
            <w:noWrap/>
            <w:vAlign w:val="center"/>
          </w:tcPr>
          <w:p w14:paraId="0DE2D52E">
            <w:pPr>
              <w:widowControl/>
              <w:jc w:val="center"/>
              <w:rPr>
                <w:rFonts w:ascii="宋体" w:hAnsi="宋体" w:cs="宋体"/>
                <w:color w:val="000000"/>
                <w:szCs w:val="21"/>
              </w:rPr>
            </w:pPr>
            <w:r>
              <w:rPr>
                <w:rFonts w:hint="eastAsia" w:ascii="宋体" w:hAnsi="宋体" w:cs="宋体"/>
                <w:color w:val="000000"/>
                <w:szCs w:val="21"/>
              </w:rPr>
              <w:t>　</w:t>
            </w:r>
          </w:p>
        </w:tc>
      </w:tr>
    </w:tbl>
    <w:p w14:paraId="7F33C2EC">
      <w:pPr>
        <w:rPr>
          <w:rFonts w:hint="eastAsia"/>
        </w:rPr>
      </w:pPr>
    </w:p>
    <w:p w14:paraId="115999F7">
      <w:pPr>
        <w:rPr>
          <w:rFonts w:hint="eastAsia"/>
        </w:rPr>
      </w:pPr>
    </w:p>
    <w:p w14:paraId="0BFAF1F2"/>
    <w:p w14:paraId="237BECF1">
      <w:pPr>
        <w:widowControl/>
        <w:spacing w:line="360" w:lineRule="auto"/>
        <w:jc w:val="left"/>
        <w:rPr>
          <w:rFonts w:ascii="宋体" w:hAnsi="宋体" w:cs="宋体"/>
          <w:sz w:val="24"/>
          <w:lang w:val="zh-CN"/>
        </w:rPr>
      </w:pPr>
      <w:r>
        <w:rPr>
          <w:rFonts w:hint="eastAsia" w:ascii="宋体" w:hAnsi="宋体" w:cs="宋体"/>
          <w:sz w:val="24"/>
        </w:rPr>
        <w:t>注：供应商必须填写各分项费用，可根据实际情况自行调整。每项分项报价均包含该项措施的全部费用，</w:t>
      </w:r>
      <w:r>
        <w:rPr>
          <w:rFonts w:hint="eastAsia" w:ascii="宋体" w:hAnsi="宋体"/>
          <w:sz w:val="24"/>
        </w:rPr>
        <w:t>包括但不限于工程按规定所需的照片拍摄费用、技术资料、人员管理费用、调查费用、保险费用、验收费用、税费等。</w:t>
      </w:r>
    </w:p>
    <w:p w14:paraId="5BED12C8">
      <w:pPr>
        <w:widowControl/>
        <w:spacing w:line="360" w:lineRule="auto"/>
        <w:jc w:val="left"/>
        <w:rPr>
          <w:rFonts w:ascii="宋体" w:cs="宋体"/>
          <w:sz w:val="24"/>
          <w:lang w:val="zh-CN"/>
        </w:rPr>
      </w:pPr>
      <w:r>
        <w:rPr>
          <w:rFonts w:hint="eastAsia" w:ascii="宋体" w:hAnsi="宋体" w:cs="宋体"/>
          <w:sz w:val="24"/>
          <w:lang w:val="zh-CN"/>
        </w:rPr>
        <w:t>供应商名称：</w:t>
      </w:r>
      <w:r>
        <w:rPr>
          <w:rFonts w:ascii="宋体" w:hAnsi="宋体"/>
          <w:sz w:val="24"/>
          <w:u w:val="single"/>
          <w:lang w:val="zh-CN"/>
        </w:rPr>
        <w:t xml:space="preserve">                                                      </w:t>
      </w:r>
      <w:r>
        <w:rPr>
          <w:rFonts w:hint="eastAsia" w:ascii="宋体" w:hAnsi="宋体" w:cs="宋体"/>
          <w:sz w:val="24"/>
          <w:lang w:val="zh-CN"/>
        </w:rPr>
        <w:t>（盖章）</w:t>
      </w:r>
    </w:p>
    <w:p w14:paraId="4D7A7B53">
      <w:pPr>
        <w:widowControl/>
        <w:spacing w:line="360" w:lineRule="auto"/>
        <w:jc w:val="left"/>
        <w:rPr>
          <w:rFonts w:ascii="宋体" w:hAnsi="宋体" w:cs="宋体"/>
          <w:sz w:val="24"/>
          <w:lang w:val="zh-CN"/>
        </w:rPr>
      </w:pPr>
      <w:r>
        <w:rPr>
          <w:rFonts w:hint="eastAsia" w:cs="宋体"/>
          <w:sz w:val="24"/>
          <w:lang w:val="zh-CN"/>
        </w:rPr>
        <w:t>说明：1、</w:t>
      </w:r>
      <w:r>
        <w:rPr>
          <w:rFonts w:hint="eastAsia" w:ascii="宋体" w:hAnsi="宋体" w:cs="宋体"/>
          <w:sz w:val="24"/>
          <w:lang w:val="zh-CN"/>
        </w:rPr>
        <w:t>如果行数不够，请自行增加。</w:t>
      </w:r>
    </w:p>
    <w:p w14:paraId="64C1119A">
      <w:pPr>
        <w:widowControl/>
        <w:spacing w:line="240" w:lineRule="atLeast"/>
        <w:jc w:val="left"/>
        <w:rPr>
          <w:rFonts w:ascii="宋体" w:cs="宋体"/>
          <w:color w:val="000000"/>
          <w:sz w:val="24"/>
          <w:lang w:val="zh-CN"/>
        </w:rPr>
      </w:pPr>
      <w:r>
        <w:rPr>
          <w:rFonts w:hint="eastAsia" w:ascii="宋体" w:hAnsi="宋体" w:cs="宋体"/>
          <w:sz w:val="24"/>
          <w:lang w:val="zh-CN"/>
        </w:rPr>
        <w:t xml:space="preserve"> </w:t>
      </w:r>
    </w:p>
    <w:p w14:paraId="22E2C34E">
      <w:pPr>
        <w:widowControl/>
        <w:jc w:val="left"/>
        <w:rPr>
          <w:rFonts w:ascii="宋体" w:hAnsi="宋体" w:cs="宋体"/>
          <w:b/>
          <w:color w:val="000000"/>
          <w:sz w:val="24"/>
          <w:lang w:val="zh-CN"/>
        </w:rPr>
      </w:pPr>
      <w:bookmarkStart w:id="18" w:name="_Toc27951_WPSOffice_Level1"/>
      <w:r>
        <w:rPr>
          <w:rFonts w:hint="eastAsia" w:ascii="宋体" w:hAnsi="宋体" w:cs="宋体"/>
          <w:b/>
          <w:color w:val="000000"/>
          <w:sz w:val="24"/>
          <w:lang w:val="zh-CN"/>
        </w:rPr>
        <w:br w:type="page" w:clear="all"/>
      </w:r>
      <w:r>
        <w:rPr>
          <w:rFonts w:hint="eastAsia" w:ascii="宋体" w:hAnsi="宋体" w:cs="宋体"/>
          <w:b/>
          <w:color w:val="000000"/>
          <w:sz w:val="24"/>
          <w:lang w:val="zh-CN"/>
        </w:rPr>
        <w:t>目录</w:t>
      </w:r>
      <w:r>
        <w:rPr>
          <w:rFonts w:hint="eastAsia" w:ascii="宋体" w:hAnsi="宋体" w:cs="宋体"/>
          <w:b/>
          <w:color w:val="000000"/>
          <w:sz w:val="24"/>
        </w:rPr>
        <w:t>六</w:t>
      </w:r>
      <w:r>
        <w:rPr>
          <w:rFonts w:hint="eastAsia" w:ascii="宋体" w:hAnsi="宋体" w:cs="宋体"/>
          <w:b/>
          <w:color w:val="000000"/>
          <w:sz w:val="24"/>
          <w:lang w:val="zh-CN"/>
        </w:rPr>
        <w:t>、商务条款偏离表</w:t>
      </w:r>
      <w:bookmarkEnd w:id="18"/>
    </w:p>
    <w:p w14:paraId="2B4D9A84">
      <w:pPr>
        <w:widowControl/>
        <w:ind w:left="420"/>
        <w:jc w:val="center"/>
        <w:rPr>
          <w:rFonts w:ascii="宋体" w:hAnsi="宋体" w:cs="宋体"/>
          <w:b/>
          <w:color w:val="000000"/>
          <w:sz w:val="24"/>
          <w:lang w:val="zh-CN"/>
        </w:rPr>
      </w:pPr>
      <w:bookmarkStart w:id="19" w:name="_Toc32559_WPSOffice_Level2"/>
      <w:r>
        <w:rPr>
          <w:rFonts w:hint="eastAsia" w:ascii="宋体" w:hAnsi="宋体" w:cs="宋体"/>
          <w:b/>
          <w:color w:val="000000"/>
          <w:sz w:val="24"/>
          <w:lang w:val="zh-CN"/>
        </w:rPr>
        <w:t>商务条款偏离表</w:t>
      </w:r>
      <w:bookmarkEnd w:id="19"/>
    </w:p>
    <w:p w14:paraId="2FEC7767">
      <w:pPr>
        <w:rPr>
          <w:rFonts w:ascii="宋体" w:hAnsi="宋体"/>
          <w:b/>
          <w:bCs/>
          <w:sz w:val="24"/>
          <w:u w:val="single"/>
        </w:rPr>
      </w:pPr>
      <w:r>
        <w:rPr>
          <w:rFonts w:hint="eastAsia" w:ascii="宋体" w:hAnsi="宋体"/>
          <w:b/>
          <w:sz w:val="24"/>
          <w:u w:val="single"/>
        </w:rPr>
        <w:t>项目名称：紫金山松材线虫病无疫情成果巩固项目</w:t>
      </w:r>
    </w:p>
    <w:p w14:paraId="2BCE84F7">
      <w:pPr>
        <w:widowControl/>
        <w:rPr>
          <w:rFonts w:ascii="黑体" w:hAnsi="宋体" w:eastAsia="黑体" w:cs="宋体"/>
          <w:sz w:val="24"/>
          <w:lang w:val="zh-CN"/>
        </w:rPr>
      </w:pPr>
      <w:r>
        <w:rPr>
          <w:rFonts w:hint="eastAsia" w:ascii="宋体" w:hAnsi="宋体"/>
          <w:b/>
          <w:sz w:val="24"/>
          <w:u w:val="single"/>
        </w:rPr>
        <w:t>项目编号:</w:t>
      </w:r>
      <w:r>
        <w:rPr>
          <w:rFonts w:hint="eastAsia" w:ascii="宋体" w:hAnsi="宋体"/>
          <w:b/>
          <w:bCs/>
          <w:sz w:val="24"/>
          <w:u w:val="single"/>
        </w:rPr>
        <w:t xml:space="preserve"> </w:t>
      </w:r>
      <w:r>
        <w:rPr>
          <w:rFonts w:hint="eastAsia" w:ascii="宋体"/>
          <w:b/>
          <w:sz w:val="24"/>
          <w:u w:val="single"/>
          <w:lang w:val="zh-CN"/>
        </w:rPr>
        <w:t>JSZC-320100-NJJK-G2026-0003</w:t>
      </w:r>
    </w:p>
    <w:tbl>
      <w:tblPr>
        <w:tblStyle w:val="28"/>
        <w:tblpPr w:leftFromText="180" w:rightFromText="180" w:vertAnchor="text" w:horzAnchor="page" w:tblpX="1479" w:tblpY="314"/>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 w:type="dxa"/>
          <w:bottom w:w="0" w:type="dxa"/>
          <w:right w:w="10" w:type="dxa"/>
        </w:tblCellMar>
      </w:tblPr>
      <w:tblGrid>
        <w:gridCol w:w="910"/>
        <w:gridCol w:w="1839"/>
        <w:gridCol w:w="2700"/>
        <w:gridCol w:w="1620"/>
        <w:gridCol w:w="385"/>
        <w:gridCol w:w="1516"/>
      </w:tblGrid>
      <w:tr w14:paraId="17884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trPr>
        <w:tc>
          <w:tcPr>
            <w:tcW w:w="910" w:type="dxa"/>
            <w:noWrap w:val="0"/>
            <w:vAlign w:val="center"/>
          </w:tcPr>
          <w:p w14:paraId="2802EB38">
            <w:pPr>
              <w:widowControl/>
              <w:jc w:val="center"/>
              <w:rPr>
                <w:rFonts w:ascii="宋体" w:hAnsi="宋体" w:cs="宋体"/>
                <w:sz w:val="24"/>
                <w:lang w:val="zh-CN"/>
              </w:rPr>
            </w:pPr>
            <w:r>
              <w:rPr>
                <w:rFonts w:hint="eastAsia" w:ascii="宋体" w:hAnsi="宋体" w:cs="宋体"/>
                <w:sz w:val="24"/>
                <w:lang w:val="zh-CN"/>
              </w:rPr>
              <w:t>序号</w:t>
            </w:r>
          </w:p>
        </w:tc>
        <w:tc>
          <w:tcPr>
            <w:tcW w:w="1839" w:type="dxa"/>
            <w:noWrap w:val="0"/>
            <w:vAlign w:val="center"/>
          </w:tcPr>
          <w:p w14:paraId="2514EE89">
            <w:pPr>
              <w:widowControl/>
              <w:jc w:val="center"/>
              <w:rPr>
                <w:rFonts w:ascii="宋体" w:hAnsi="宋体" w:cs="宋体"/>
                <w:sz w:val="24"/>
                <w:lang w:val="zh-CN"/>
              </w:rPr>
            </w:pPr>
            <w:r>
              <w:rPr>
                <w:rFonts w:hint="eastAsia" w:ascii="宋体" w:hAnsi="宋体" w:cs="宋体"/>
                <w:sz w:val="24"/>
                <w:lang w:val="zh-CN"/>
              </w:rPr>
              <w:t>采购文件条目号</w:t>
            </w:r>
          </w:p>
        </w:tc>
        <w:tc>
          <w:tcPr>
            <w:tcW w:w="2700" w:type="dxa"/>
            <w:noWrap w:val="0"/>
            <w:vAlign w:val="center"/>
          </w:tcPr>
          <w:p w14:paraId="56B39A6E">
            <w:pPr>
              <w:widowControl/>
              <w:jc w:val="center"/>
              <w:rPr>
                <w:rFonts w:ascii="宋体" w:hAnsi="宋体" w:cs="宋体"/>
                <w:sz w:val="24"/>
                <w:lang w:val="zh-CN"/>
              </w:rPr>
            </w:pPr>
            <w:r>
              <w:rPr>
                <w:rFonts w:hint="eastAsia" w:ascii="宋体" w:hAnsi="宋体" w:cs="宋体"/>
                <w:sz w:val="24"/>
                <w:lang w:val="zh-CN"/>
              </w:rPr>
              <w:t>采购文件要求的商务条款</w:t>
            </w:r>
          </w:p>
        </w:tc>
        <w:tc>
          <w:tcPr>
            <w:tcW w:w="2005" w:type="dxa"/>
            <w:gridSpan w:val="2"/>
            <w:noWrap w:val="0"/>
            <w:vAlign w:val="center"/>
          </w:tcPr>
          <w:p w14:paraId="2BCEE15B">
            <w:pPr>
              <w:widowControl/>
              <w:jc w:val="center"/>
              <w:rPr>
                <w:rFonts w:ascii="宋体" w:hAnsi="宋体" w:cs="宋体"/>
                <w:sz w:val="24"/>
                <w:lang w:val="zh-CN"/>
              </w:rPr>
            </w:pPr>
            <w:r>
              <w:rPr>
                <w:rFonts w:hint="eastAsia" w:ascii="宋体" w:hAnsi="宋体" w:cs="宋体"/>
                <w:sz w:val="24"/>
              </w:rPr>
              <w:t>投标</w:t>
            </w:r>
            <w:r>
              <w:rPr>
                <w:rFonts w:hint="eastAsia" w:ascii="宋体" w:hAnsi="宋体" w:cs="宋体"/>
                <w:sz w:val="24"/>
                <w:lang w:val="zh-CN"/>
              </w:rPr>
              <w:t>响应</w:t>
            </w:r>
          </w:p>
        </w:tc>
        <w:tc>
          <w:tcPr>
            <w:tcW w:w="1516" w:type="dxa"/>
            <w:noWrap w:val="0"/>
            <w:vAlign w:val="center"/>
          </w:tcPr>
          <w:p w14:paraId="190415E2">
            <w:pPr>
              <w:widowControl/>
              <w:jc w:val="center"/>
              <w:rPr>
                <w:rFonts w:ascii="宋体" w:hAnsi="宋体" w:cs="宋体"/>
                <w:sz w:val="24"/>
                <w:lang w:val="zh-CN"/>
              </w:rPr>
            </w:pPr>
            <w:r>
              <w:rPr>
                <w:rFonts w:hint="eastAsia" w:ascii="宋体" w:hAnsi="宋体" w:cs="宋体"/>
                <w:sz w:val="24"/>
                <w:lang w:val="zh-CN"/>
              </w:rPr>
              <w:t>偏离</w:t>
            </w:r>
          </w:p>
        </w:tc>
      </w:tr>
      <w:tr w14:paraId="4C1D3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trPr>
        <w:tc>
          <w:tcPr>
            <w:tcW w:w="910" w:type="dxa"/>
            <w:noWrap w:val="0"/>
            <w:vAlign w:val="center"/>
          </w:tcPr>
          <w:p w14:paraId="2DE1D414">
            <w:pPr>
              <w:widowControl/>
              <w:jc w:val="center"/>
              <w:rPr>
                <w:rFonts w:ascii="宋体" w:hAnsi="宋体" w:cs="宋体"/>
                <w:sz w:val="24"/>
                <w:lang w:val="zh-CN"/>
              </w:rPr>
            </w:pPr>
          </w:p>
        </w:tc>
        <w:tc>
          <w:tcPr>
            <w:tcW w:w="1839" w:type="dxa"/>
            <w:noWrap w:val="0"/>
            <w:vAlign w:val="center"/>
          </w:tcPr>
          <w:p w14:paraId="7FBF804F">
            <w:pPr>
              <w:widowControl/>
              <w:jc w:val="center"/>
              <w:rPr>
                <w:rFonts w:ascii="宋体" w:hAnsi="宋体" w:cs="宋体"/>
                <w:sz w:val="24"/>
                <w:lang w:val="zh-CN"/>
              </w:rPr>
            </w:pPr>
          </w:p>
        </w:tc>
        <w:tc>
          <w:tcPr>
            <w:tcW w:w="2700" w:type="dxa"/>
            <w:noWrap w:val="0"/>
            <w:vAlign w:val="center"/>
          </w:tcPr>
          <w:p w14:paraId="36B0FAD1">
            <w:pPr>
              <w:widowControl/>
              <w:jc w:val="center"/>
              <w:rPr>
                <w:rFonts w:ascii="宋体" w:hAnsi="宋体" w:cs="宋体"/>
                <w:sz w:val="24"/>
                <w:lang w:val="zh-CN"/>
              </w:rPr>
            </w:pPr>
          </w:p>
        </w:tc>
        <w:tc>
          <w:tcPr>
            <w:tcW w:w="2005" w:type="dxa"/>
            <w:gridSpan w:val="2"/>
            <w:noWrap w:val="0"/>
            <w:vAlign w:val="center"/>
          </w:tcPr>
          <w:p w14:paraId="19A0B34C">
            <w:pPr>
              <w:widowControl/>
              <w:jc w:val="center"/>
              <w:rPr>
                <w:rFonts w:ascii="宋体" w:hAnsi="宋体" w:cs="宋体"/>
                <w:sz w:val="24"/>
                <w:lang w:val="zh-CN"/>
              </w:rPr>
            </w:pPr>
          </w:p>
        </w:tc>
        <w:tc>
          <w:tcPr>
            <w:tcW w:w="1516" w:type="dxa"/>
            <w:noWrap w:val="0"/>
            <w:vAlign w:val="center"/>
          </w:tcPr>
          <w:p w14:paraId="36C39140">
            <w:pPr>
              <w:widowControl/>
              <w:jc w:val="center"/>
              <w:rPr>
                <w:rFonts w:ascii="宋体" w:hAnsi="宋体" w:cs="宋体"/>
                <w:sz w:val="24"/>
                <w:lang w:val="zh-CN"/>
              </w:rPr>
            </w:pPr>
          </w:p>
        </w:tc>
      </w:tr>
      <w:tr w14:paraId="3241A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trPr>
        <w:tc>
          <w:tcPr>
            <w:tcW w:w="910" w:type="dxa"/>
            <w:noWrap w:val="0"/>
            <w:vAlign w:val="center"/>
          </w:tcPr>
          <w:p w14:paraId="7562D53F">
            <w:pPr>
              <w:widowControl/>
              <w:jc w:val="center"/>
              <w:rPr>
                <w:rFonts w:ascii="宋体" w:hAnsi="宋体" w:cs="宋体"/>
                <w:sz w:val="24"/>
                <w:lang w:val="zh-CN"/>
              </w:rPr>
            </w:pPr>
          </w:p>
        </w:tc>
        <w:tc>
          <w:tcPr>
            <w:tcW w:w="1839" w:type="dxa"/>
            <w:noWrap w:val="0"/>
            <w:vAlign w:val="center"/>
          </w:tcPr>
          <w:p w14:paraId="6F6C9F39">
            <w:pPr>
              <w:widowControl/>
              <w:jc w:val="center"/>
              <w:rPr>
                <w:rFonts w:ascii="宋体" w:hAnsi="宋体" w:cs="宋体"/>
                <w:sz w:val="24"/>
                <w:lang w:val="zh-CN"/>
              </w:rPr>
            </w:pPr>
          </w:p>
        </w:tc>
        <w:tc>
          <w:tcPr>
            <w:tcW w:w="2700" w:type="dxa"/>
            <w:noWrap w:val="0"/>
            <w:vAlign w:val="center"/>
          </w:tcPr>
          <w:p w14:paraId="389FEC3B">
            <w:pPr>
              <w:widowControl/>
              <w:jc w:val="center"/>
              <w:rPr>
                <w:rFonts w:ascii="宋体" w:hAnsi="宋体" w:cs="宋体"/>
                <w:sz w:val="24"/>
                <w:lang w:val="zh-CN"/>
              </w:rPr>
            </w:pPr>
          </w:p>
        </w:tc>
        <w:tc>
          <w:tcPr>
            <w:tcW w:w="2005" w:type="dxa"/>
            <w:gridSpan w:val="2"/>
            <w:noWrap w:val="0"/>
            <w:vAlign w:val="center"/>
          </w:tcPr>
          <w:p w14:paraId="2CFE1AF0">
            <w:pPr>
              <w:widowControl/>
              <w:jc w:val="center"/>
              <w:rPr>
                <w:rFonts w:ascii="宋体" w:hAnsi="宋体" w:cs="宋体"/>
                <w:sz w:val="24"/>
                <w:lang w:val="zh-CN"/>
              </w:rPr>
            </w:pPr>
          </w:p>
        </w:tc>
        <w:tc>
          <w:tcPr>
            <w:tcW w:w="1516" w:type="dxa"/>
            <w:noWrap w:val="0"/>
            <w:vAlign w:val="center"/>
          </w:tcPr>
          <w:p w14:paraId="61DDBB90">
            <w:pPr>
              <w:widowControl/>
              <w:jc w:val="center"/>
              <w:rPr>
                <w:rFonts w:ascii="宋体" w:hAnsi="宋体" w:cs="宋体"/>
                <w:sz w:val="24"/>
                <w:lang w:val="zh-CN"/>
              </w:rPr>
            </w:pPr>
          </w:p>
        </w:tc>
      </w:tr>
      <w:tr w14:paraId="1C1A9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trPr>
        <w:tc>
          <w:tcPr>
            <w:tcW w:w="910" w:type="dxa"/>
            <w:noWrap w:val="0"/>
            <w:vAlign w:val="center"/>
          </w:tcPr>
          <w:p w14:paraId="2F3D8300">
            <w:pPr>
              <w:widowControl/>
              <w:jc w:val="center"/>
              <w:rPr>
                <w:rFonts w:ascii="宋体" w:hAnsi="宋体" w:cs="宋体"/>
                <w:sz w:val="24"/>
                <w:lang w:val="zh-CN"/>
              </w:rPr>
            </w:pPr>
          </w:p>
        </w:tc>
        <w:tc>
          <w:tcPr>
            <w:tcW w:w="1839" w:type="dxa"/>
            <w:noWrap w:val="0"/>
            <w:vAlign w:val="center"/>
          </w:tcPr>
          <w:p w14:paraId="78FE3E73">
            <w:pPr>
              <w:widowControl/>
              <w:jc w:val="center"/>
              <w:rPr>
                <w:rFonts w:ascii="宋体" w:hAnsi="宋体" w:cs="宋体"/>
                <w:sz w:val="24"/>
                <w:lang w:val="zh-CN"/>
              </w:rPr>
            </w:pPr>
          </w:p>
        </w:tc>
        <w:tc>
          <w:tcPr>
            <w:tcW w:w="2700" w:type="dxa"/>
            <w:noWrap w:val="0"/>
            <w:vAlign w:val="center"/>
          </w:tcPr>
          <w:p w14:paraId="01E19016">
            <w:pPr>
              <w:widowControl/>
              <w:jc w:val="center"/>
              <w:rPr>
                <w:rFonts w:ascii="宋体" w:hAnsi="宋体" w:cs="宋体"/>
                <w:sz w:val="24"/>
                <w:lang w:val="zh-CN"/>
              </w:rPr>
            </w:pPr>
          </w:p>
        </w:tc>
        <w:tc>
          <w:tcPr>
            <w:tcW w:w="2005" w:type="dxa"/>
            <w:gridSpan w:val="2"/>
            <w:noWrap w:val="0"/>
            <w:vAlign w:val="center"/>
          </w:tcPr>
          <w:p w14:paraId="4FF56229">
            <w:pPr>
              <w:widowControl/>
              <w:jc w:val="center"/>
              <w:rPr>
                <w:rFonts w:ascii="宋体" w:hAnsi="宋体" w:cs="宋体"/>
                <w:sz w:val="24"/>
                <w:lang w:val="zh-CN"/>
              </w:rPr>
            </w:pPr>
          </w:p>
        </w:tc>
        <w:tc>
          <w:tcPr>
            <w:tcW w:w="1516" w:type="dxa"/>
            <w:noWrap w:val="0"/>
            <w:vAlign w:val="center"/>
          </w:tcPr>
          <w:p w14:paraId="29AB8810">
            <w:pPr>
              <w:widowControl/>
              <w:jc w:val="center"/>
              <w:rPr>
                <w:rFonts w:ascii="宋体" w:hAnsi="宋体" w:cs="宋体"/>
                <w:sz w:val="24"/>
                <w:lang w:val="zh-CN"/>
              </w:rPr>
            </w:pPr>
          </w:p>
        </w:tc>
      </w:tr>
      <w:tr w14:paraId="702AA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trPr>
        <w:tc>
          <w:tcPr>
            <w:tcW w:w="910" w:type="dxa"/>
            <w:noWrap w:val="0"/>
            <w:vAlign w:val="center"/>
          </w:tcPr>
          <w:p w14:paraId="20170283">
            <w:pPr>
              <w:widowControl/>
              <w:jc w:val="center"/>
              <w:rPr>
                <w:rFonts w:ascii="宋体" w:hAnsi="宋体" w:cs="宋体"/>
                <w:sz w:val="24"/>
                <w:lang w:val="zh-CN"/>
              </w:rPr>
            </w:pPr>
          </w:p>
        </w:tc>
        <w:tc>
          <w:tcPr>
            <w:tcW w:w="1839" w:type="dxa"/>
            <w:noWrap w:val="0"/>
            <w:vAlign w:val="center"/>
          </w:tcPr>
          <w:p w14:paraId="478163C1">
            <w:pPr>
              <w:widowControl/>
              <w:jc w:val="center"/>
              <w:rPr>
                <w:rFonts w:ascii="宋体" w:hAnsi="宋体" w:cs="宋体"/>
                <w:sz w:val="24"/>
                <w:lang w:val="zh-CN"/>
              </w:rPr>
            </w:pPr>
          </w:p>
        </w:tc>
        <w:tc>
          <w:tcPr>
            <w:tcW w:w="2700" w:type="dxa"/>
            <w:noWrap w:val="0"/>
            <w:vAlign w:val="center"/>
          </w:tcPr>
          <w:p w14:paraId="4B8EE835">
            <w:pPr>
              <w:widowControl/>
              <w:jc w:val="center"/>
              <w:rPr>
                <w:rFonts w:ascii="宋体" w:hAnsi="宋体" w:cs="宋体"/>
                <w:sz w:val="24"/>
                <w:lang w:val="zh-CN"/>
              </w:rPr>
            </w:pPr>
          </w:p>
        </w:tc>
        <w:tc>
          <w:tcPr>
            <w:tcW w:w="2005" w:type="dxa"/>
            <w:gridSpan w:val="2"/>
            <w:noWrap w:val="0"/>
            <w:vAlign w:val="center"/>
          </w:tcPr>
          <w:p w14:paraId="727DFA7E">
            <w:pPr>
              <w:widowControl/>
              <w:jc w:val="center"/>
              <w:rPr>
                <w:rFonts w:ascii="宋体" w:hAnsi="宋体" w:cs="宋体"/>
                <w:sz w:val="24"/>
                <w:lang w:val="zh-CN"/>
              </w:rPr>
            </w:pPr>
          </w:p>
        </w:tc>
        <w:tc>
          <w:tcPr>
            <w:tcW w:w="1516" w:type="dxa"/>
            <w:noWrap w:val="0"/>
            <w:vAlign w:val="center"/>
          </w:tcPr>
          <w:p w14:paraId="73982A42">
            <w:pPr>
              <w:widowControl/>
              <w:jc w:val="center"/>
              <w:rPr>
                <w:rFonts w:ascii="宋体" w:hAnsi="宋体" w:cs="宋体"/>
                <w:sz w:val="24"/>
                <w:lang w:val="zh-CN"/>
              </w:rPr>
            </w:pPr>
          </w:p>
        </w:tc>
      </w:tr>
      <w:tr w14:paraId="64019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trPr>
        <w:tc>
          <w:tcPr>
            <w:tcW w:w="910" w:type="dxa"/>
            <w:noWrap w:val="0"/>
            <w:vAlign w:val="center"/>
          </w:tcPr>
          <w:p w14:paraId="69FE819F">
            <w:pPr>
              <w:widowControl/>
              <w:jc w:val="center"/>
              <w:rPr>
                <w:rFonts w:ascii="宋体" w:hAnsi="宋体" w:cs="宋体"/>
                <w:sz w:val="24"/>
                <w:lang w:val="zh-CN"/>
              </w:rPr>
            </w:pPr>
          </w:p>
        </w:tc>
        <w:tc>
          <w:tcPr>
            <w:tcW w:w="1839" w:type="dxa"/>
            <w:noWrap w:val="0"/>
            <w:vAlign w:val="center"/>
          </w:tcPr>
          <w:p w14:paraId="170B123E">
            <w:pPr>
              <w:widowControl/>
              <w:jc w:val="center"/>
              <w:rPr>
                <w:rFonts w:ascii="宋体" w:hAnsi="宋体" w:cs="宋体"/>
                <w:sz w:val="24"/>
                <w:lang w:val="zh-CN"/>
              </w:rPr>
            </w:pPr>
          </w:p>
        </w:tc>
        <w:tc>
          <w:tcPr>
            <w:tcW w:w="2700" w:type="dxa"/>
            <w:noWrap w:val="0"/>
            <w:vAlign w:val="center"/>
          </w:tcPr>
          <w:p w14:paraId="1CDC4685">
            <w:pPr>
              <w:widowControl/>
              <w:jc w:val="center"/>
              <w:rPr>
                <w:rFonts w:ascii="宋体" w:hAnsi="宋体" w:cs="宋体"/>
                <w:sz w:val="24"/>
                <w:lang w:val="zh-CN"/>
              </w:rPr>
            </w:pPr>
          </w:p>
        </w:tc>
        <w:tc>
          <w:tcPr>
            <w:tcW w:w="2005" w:type="dxa"/>
            <w:gridSpan w:val="2"/>
            <w:noWrap w:val="0"/>
            <w:vAlign w:val="center"/>
          </w:tcPr>
          <w:p w14:paraId="0286ABA5">
            <w:pPr>
              <w:widowControl/>
              <w:jc w:val="center"/>
              <w:rPr>
                <w:rFonts w:ascii="宋体" w:hAnsi="宋体" w:cs="宋体"/>
                <w:sz w:val="24"/>
                <w:lang w:val="zh-CN"/>
              </w:rPr>
            </w:pPr>
          </w:p>
        </w:tc>
        <w:tc>
          <w:tcPr>
            <w:tcW w:w="1516" w:type="dxa"/>
            <w:noWrap w:val="0"/>
            <w:vAlign w:val="center"/>
          </w:tcPr>
          <w:p w14:paraId="764DDD18">
            <w:pPr>
              <w:widowControl/>
              <w:jc w:val="center"/>
              <w:rPr>
                <w:rFonts w:ascii="宋体" w:hAnsi="宋体" w:cs="宋体"/>
                <w:sz w:val="24"/>
                <w:lang w:val="zh-CN"/>
              </w:rPr>
            </w:pPr>
          </w:p>
        </w:tc>
      </w:tr>
      <w:tr w14:paraId="119FA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c>
          <w:tcPr>
            <w:tcW w:w="910" w:type="dxa"/>
            <w:noWrap w:val="0"/>
            <w:vAlign w:val="center"/>
          </w:tcPr>
          <w:p w14:paraId="42FC3323">
            <w:pPr>
              <w:widowControl/>
              <w:jc w:val="left"/>
              <w:rPr>
                <w:rFonts w:ascii="宋体" w:hAnsi="宋体" w:cs="Arial"/>
                <w:sz w:val="24"/>
              </w:rPr>
            </w:pPr>
          </w:p>
        </w:tc>
        <w:tc>
          <w:tcPr>
            <w:tcW w:w="1839" w:type="dxa"/>
            <w:noWrap w:val="0"/>
            <w:vAlign w:val="center"/>
          </w:tcPr>
          <w:p w14:paraId="1F37A307">
            <w:pPr>
              <w:widowControl/>
              <w:jc w:val="left"/>
              <w:rPr>
                <w:rFonts w:ascii="宋体" w:hAnsi="宋体" w:cs="Arial"/>
                <w:sz w:val="24"/>
              </w:rPr>
            </w:pPr>
          </w:p>
        </w:tc>
        <w:tc>
          <w:tcPr>
            <w:tcW w:w="2700" w:type="dxa"/>
            <w:noWrap w:val="0"/>
            <w:vAlign w:val="center"/>
          </w:tcPr>
          <w:p w14:paraId="5DE3D58F">
            <w:pPr>
              <w:widowControl/>
              <w:jc w:val="left"/>
              <w:rPr>
                <w:rFonts w:ascii="宋体" w:hAnsi="宋体" w:cs="Arial"/>
                <w:sz w:val="24"/>
              </w:rPr>
            </w:pPr>
          </w:p>
        </w:tc>
        <w:tc>
          <w:tcPr>
            <w:tcW w:w="1620" w:type="dxa"/>
            <w:noWrap w:val="0"/>
            <w:vAlign w:val="center"/>
          </w:tcPr>
          <w:p w14:paraId="39523DA2">
            <w:pPr>
              <w:widowControl/>
              <w:jc w:val="left"/>
              <w:rPr>
                <w:rFonts w:ascii="宋体" w:hAnsi="宋体" w:cs="Arial"/>
                <w:sz w:val="24"/>
              </w:rPr>
            </w:pPr>
          </w:p>
        </w:tc>
        <w:tc>
          <w:tcPr>
            <w:tcW w:w="385" w:type="dxa"/>
            <w:noWrap w:val="0"/>
            <w:vAlign w:val="center"/>
          </w:tcPr>
          <w:p w14:paraId="6026226E">
            <w:pPr>
              <w:widowControl/>
              <w:jc w:val="left"/>
              <w:rPr>
                <w:rFonts w:ascii="宋体" w:hAnsi="宋体" w:cs="Arial"/>
                <w:sz w:val="24"/>
              </w:rPr>
            </w:pPr>
          </w:p>
        </w:tc>
        <w:tc>
          <w:tcPr>
            <w:tcW w:w="1516" w:type="dxa"/>
            <w:noWrap w:val="0"/>
            <w:vAlign w:val="center"/>
          </w:tcPr>
          <w:p w14:paraId="47C6CF29">
            <w:pPr>
              <w:widowControl/>
              <w:jc w:val="left"/>
              <w:rPr>
                <w:rFonts w:ascii="宋体" w:hAnsi="宋体" w:cs="Arial"/>
                <w:sz w:val="24"/>
              </w:rPr>
            </w:pPr>
          </w:p>
        </w:tc>
      </w:tr>
    </w:tbl>
    <w:p w14:paraId="11B7C8FB">
      <w:pPr>
        <w:widowControl/>
        <w:spacing w:line="360" w:lineRule="auto"/>
        <w:jc w:val="left"/>
        <w:rPr>
          <w:rFonts w:ascii="宋体" w:hAnsi="宋体" w:cs="宋体"/>
          <w:color w:val="000000"/>
          <w:sz w:val="24"/>
          <w:lang w:val="zh-CN"/>
        </w:rPr>
      </w:pPr>
      <w:r>
        <w:rPr>
          <w:rFonts w:hint="eastAsia" w:ascii="宋体" w:hAnsi="宋体" w:cs="宋体"/>
          <w:sz w:val="24"/>
          <w:lang w:val="zh-CN"/>
        </w:rPr>
        <w:t>供应商名称:</w:t>
      </w:r>
      <w:r>
        <w:rPr>
          <w:rFonts w:hint="eastAsia" w:ascii="宋体" w:hAnsi="宋体" w:cs="宋体"/>
          <w:sz w:val="24"/>
          <w:u w:val="single"/>
          <w:lang w:val="zh-CN"/>
        </w:rPr>
        <w:t xml:space="preserve">            </w:t>
      </w:r>
      <w:r>
        <w:rPr>
          <w:rFonts w:hint="eastAsia" w:ascii="宋体" w:hAnsi="宋体" w:cs="宋体"/>
          <w:color w:val="000000"/>
          <w:sz w:val="24"/>
          <w:u w:val="single"/>
          <w:lang w:val="zh-CN"/>
        </w:rPr>
        <w:t xml:space="preserve">                                      </w:t>
      </w:r>
      <w:r>
        <w:rPr>
          <w:rFonts w:hint="eastAsia" w:ascii="宋体" w:hAnsi="宋体" w:cs="宋体"/>
          <w:color w:val="000000"/>
          <w:sz w:val="24"/>
          <w:lang w:val="zh-CN"/>
        </w:rPr>
        <w:t>（盖章）</w:t>
      </w:r>
    </w:p>
    <w:p w14:paraId="1DE522CF">
      <w:pPr>
        <w:widowControl/>
        <w:jc w:val="left"/>
        <w:rPr>
          <w:rFonts w:ascii="宋体" w:hAnsi="宋体" w:cs="宋体"/>
          <w:color w:val="000000"/>
          <w:sz w:val="24"/>
          <w:lang w:val="zh-CN"/>
        </w:rPr>
      </w:pPr>
      <w:r>
        <w:rPr>
          <w:rFonts w:hint="eastAsia" w:ascii="宋体" w:hAnsi="宋体"/>
          <w:sz w:val="24"/>
        </w:rPr>
        <w:t>法人代表或授权代表签字：                             日    期：：   年  月  日</w:t>
      </w:r>
    </w:p>
    <w:p w14:paraId="7F47EA47">
      <w:pPr>
        <w:widowControl/>
        <w:spacing w:line="360" w:lineRule="auto"/>
        <w:jc w:val="left"/>
        <w:rPr>
          <w:rFonts w:ascii="宋体" w:hAnsi="宋体" w:cs="宋体"/>
          <w:color w:val="000000"/>
          <w:sz w:val="24"/>
          <w:lang w:val="zh-CN"/>
        </w:rPr>
        <w:sectPr>
          <w:pgSz w:w="11906" w:h="16838"/>
          <w:pgMar w:top="1417" w:right="1417" w:bottom="1020" w:left="1417" w:header="851" w:footer="992" w:gutter="0"/>
          <w:cols w:space="1701" w:num="1"/>
          <w:titlePg/>
          <w:docGrid w:linePitch="360" w:charSpace="0"/>
        </w:sectPr>
      </w:pPr>
      <w:r>
        <w:rPr>
          <w:rFonts w:hint="eastAsia" w:ascii="宋体" w:hAnsi="宋体" w:cs="宋体"/>
          <w:color w:val="000000"/>
          <w:sz w:val="24"/>
          <w:lang w:val="zh-CN"/>
        </w:rPr>
        <w:t>说明：如果行、列数不够，请自行增加。</w:t>
      </w:r>
    </w:p>
    <w:p w14:paraId="2E7D0B6A">
      <w:pPr>
        <w:widowControl/>
        <w:spacing w:line="240" w:lineRule="atLeast"/>
        <w:jc w:val="left"/>
        <w:rPr>
          <w:rFonts w:ascii="宋体" w:cs="宋体"/>
          <w:color w:val="000000"/>
          <w:sz w:val="24"/>
          <w:lang w:val="zh-CN"/>
        </w:rPr>
      </w:pPr>
    </w:p>
    <w:p w14:paraId="7BB224F0">
      <w:pPr>
        <w:widowControl/>
        <w:spacing w:line="240" w:lineRule="atLeast"/>
        <w:jc w:val="left"/>
        <w:rPr>
          <w:rFonts w:ascii="宋体" w:cs="宋体"/>
          <w:b/>
          <w:color w:val="000000"/>
          <w:szCs w:val="21"/>
          <w:lang w:val="zh-CN"/>
        </w:rPr>
      </w:pPr>
      <w:r>
        <w:rPr>
          <w:rFonts w:hint="eastAsia" w:ascii="宋体" w:cs="宋体"/>
          <w:b/>
          <w:color w:val="000000"/>
          <w:sz w:val="24"/>
          <w:lang w:val="zh-CN"/>
        </w:rPr>
        <w:t>目录</w:t>
      </w:r>
      <w:r>
        <w:rPr>
          <w:rFonts w:hint="eastAsia" w:ascii="宋体" w:cs="宋体"/>
          <w:b/>
          <w:color w:val="000000"/>
          <w:sz w:val="24"/>
        </w:rPr>
        <w:t>七</w:t>
      </w:r>
      <w:r>
        <w:rPr>
          <w:rFonts w:hint="eastAsia" w:ascii="宋体" w:cs="宋体"/>
          <w:b/>
          <w:color w:val="000000"/>
          <w:sz w:val="24"/>
          <w:lang w:val="zh-CN"/>
        </w:rPr>
        <w:t>、服务方案</w:t>
      </w:r>
    </w:p>
    <w:p w14:paraId="76E5B4A1">
      <w:pPr>
        <w:widowControl/>
        <w:spacing w:line="240" w:lineRule="atLeast"/>
        <w:jc w:val="left"/>
        <w:rPr>
          <w:rFonts w:ascii="宋体" w:cs="宋体"/>
          <w:b/>
          <w:color w:val="000000"/>
          <w:szCs w:val="21"/>
          <w:lang w:val="zh-CN"/>
        </w:rPr>
      </w:pPr>
    </w:p>
    <w:p w14:paraId="786FF647">
      <w:pPr>
        <w:widowControl/>
        <w:spacing w:line="240" w:lineRule="atLeast"/>
        <w:jc w:val="center"/>
        <w:rPr>
          <w:rFonts w:ascii="黑体" w:hAnsi="宋体" w:eastAsia="黑体" w:cs="宋体"/>
          <w:sz w:val="36"/>
          <w:szCs w:val="36"/>
          <w:lang w:val="zh-CN"/>
        </w:rPr>
      </w:pPr>
      <w:r>
        <w:rPr>
          <w:rFonts w:hint="eastAsia" w:ascii="黑体" w:hAnsi="宋体" w:eastAsia="黑体" w:cs="宋体"/>
          <w:sz w:val="36"/>
          <w:szCs w:val="36"/>
          <w:lang w:val="zh-CN"/>
        </w:rPr>
        <w:t>服务方案</w:t>
      </w:r>
    </w:p>
    <w:p w14:paraId="7D39A4A0">
      <w:pPr>
        <w:widowControl/>
        <w:spacing w:line="240" w:lineRule="atLeast"/>
        <w:jc w:val="left"/>
        <w:rPr>
          <w:rFonts w:ascii="宋体" w:cs="宋体"/>
          <w:b/>
          <w:color w:val="000000"/>
          <w:szCs w:val="21"/>
          <w:lang w:val="zh-CN"/>
        </w:rPr>
      </w:pPr>
    </w:p>
    <w:p w14:paraId="7AB27CA5">
      <w:pPr>
        <w:widowControl/>
        <w:spacing w:line="240" w:lineRule="atLeast"/>
        <w:jc w:val="left"/>
        <w:rPr>
          <w:rFonts w:ascii="宋体" w:cs="宋体"/>
          <w:color w:val="000000"/>
          <w:szCs w:val="21"/>
          <w:lang w:val="zh-CN"/>
        </w:rPr>
      </w:pPr>
    </w:p>
    <w:p w14:paraId="32A7BFFA">
      <w:pPr>
        <w:spacing w:line="240" w:lineRule="atLeast"/>
        <w:rPr>
          <w:b/>
          <w:color w:val="000000"/>
        </w:rPr>
      </w:pPr>
    </w:p>
    <w:p w14:paraId="42CF63DE">
      <w:pPr>
        <w:spacing w:line="240" w:lineRule="atLeast"/>
        <w:rPr>
          <w:b/>
          <w:sz w:val="24"/>
        </w:rPr>
      </w:pPr>
      <w:r>
        <w:rPr>
          <w:rFonts w:hint="eastAsia"/>
          <w:b/>
          <w:sz w:val="24"/>
        </w:rPr>
        <w:t>目录八、投标需要的其他证明文件及材料</w:t>
      </w:r>
    </w:p>
    <w:p w14:paraId="15E43A99">
      <w:pPr>
        <w:spacing w:line="240" w:lineRule="atLeast"/>
        <w:rPr>
          <w:b/>
        </w:rPr>
      </w:pPr>
    </w:p>
    <w:p w14:paraId="1E43C4AE">
      <w:pPr>
        <w:spacing w:line="240" w:lineRule="atLeast"/>
        <w:rPr>
          <w:rFonts w:ascii="黑体" w:hAnsi="宋体" w:eastAsia="黑体" w:cs="宋体"/>
          <w:color w:val="000000"/>
          <w:sz w:val="36"/>
          <w:szCs w:val="36"/>
          <w:lang w:val="zh-CN"/>
        </w:rPr>
      </w:pPr>
      <w:r>
        <w:rPr>
          <w:rFonts w:hint="eastAsia" w:ascii="宋体" w:hAnsi="宋体"/>
          <w:sz w:val="28"/>
          <w:szCs w:val="28"/>
        </w:rPr>
        <w:t xml:space="preserve">             </w:t>
      </w:r>
      <w:r>
        <w:rPr>
          <w:rFonts w:hint="eastAsia" w:ascii="黑体" w:hAnsi="宋体" w:eastAsia="黑体" w:cs="宋体"/>
          <w:sz w:val="36"/>
          <w:szCs w:val="36"/>
          <w:lang w:val="zh-CN"/>
        </w:rPr>
        <w:t>投标需要的其他证明文件及材料（若有）</w:t>
      </w:r>
    </w:p>
    <w:p w14:paraId="1C8ABDEC">
      <w:pPr>
        <w:spacing w:before="50" w:after="50" w:line="360" w:lineRule="auto"/>
        <w:rPr>
          <w:b/>
          <w:color w:val="000000"/>
          <w:sz w:val="24"/>
        </w:rPr>
      </w:pPr>
      <w:r>
        <w:rPr>
          <w:b/>
          <w:color w:val="000000"/>
          <w:sz w:val="24"/>
        </w:rPr>
        <w:br w:type="page" w:clear="all"/>
      </w:r>
      <w:r>
        <w:rPr>
          <w:rFonts w:hint="eastAsia"/>
          <w:b/>
          <w:color w:val="000000"/>
          <w:sz w:val="24"/>
        </w:rPr>
        <w:t>目录九、资格性和符合性审查响应对照表</w:t>
      </w:r>
    </w:p>
    <w:p w14:paraId="6B549765">
      <w:pPr>
        <w:spacing w:before="50" w:after="50" w:line="360" w:lineRule="auto"/>
        <w:ind w:firstLine="352"/>
        <w:rPr>
          <w:rFonts w:ascii="黑体" w:eastAsia="黑体"/>
          <w:color w:val="000000"/>
          <w:sz w:val="36"/>
          <w:szCs w:val="36"/>
        </w:rPr>
      </w:pPr>
      <w:r>
        <w:rPr>
          <w:rFonts w:hint="eastAsia" w:ascii="黑体" w:eastAsia="黑体"/>
          <w:color w:val="000000"/>
          <w:sz w:val="36"/>
          <w:szCs w:val="36"/>
        </w:rPr>
        <w:t xml:space="preserve">          资格性和符合性审查响应对照表</w:t>
      </w:r>
    </w:p>
    <w:p w14:paraId="17A73D5C">
      <w:pPr>
        <w:spacing w:before="50" w:after="50" w:line="360" w:lineRule="auto"/>
        <w:ind w:firstLine="235"/>
        <w:rPr>
          <w:rFonts w:hint="eastAsia" w:eastAsia="宋体"/>
          <w:sz w:val="24"/>
          <w:u w:val="single"/>
          <w:lang w:eastAsia="zh-CN"/>
        </w:rPr>
      </w:pPr>
      <w:r>
        <w:rPr>
          <w:rFonts w:hint="eastAsia"/>
          <w:color w:val="000000"/>
          <w:sz w:val="24"/>
        </w:rPr>
        <w:t xml:space="preserve">项目名称：                            </w:t>
      </w:r>
      <w:r>
        <w:rPr>
          <w:rFonts w:hint="eastAsia"/>
          <w:sz w:val="24"/>
        </w:rPr>
        <w:t>项目编号：</w:t>
      </w:r>
      <w:r>
        <w:rPr>
          <w:rFonts w:hint="eastAsia"/>
          <w:sz w:val="24"/>
          <w:u w:val="single"/>
          <w:lang w:eastAsia="zh-CN"/>
        </w:rPr>
        <w:t>JSZC-320100-NJJK-G2026-0003</w:t>
      </w:r>
    </w:p>
    <w:tbl>
      <w:tblPr>
        <w:tblStyle w:val="2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785"/>
      </w:tblGrid>
      <w:tr w14:paraId="6D3D8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6F5186C9">
            <w:pPr>
              <w:spacing w:line="360" w:lineRule="auto"/>
              <w:jc w:val="center"/>
              <w:rPr>
                <w:color w:val="000000"/>
                <w:sz w:val="24"/>
              </w:rPr>
            </w:pPr>
            <w:r>
              <w:rPr>
                <w:rFonts w:hint="eastAsia"/>
                <w:color w:val="000000"/>
                <w:sz w:val="24"/>
              </w:rPr>
              <w:t>序号</w:t>
            </w:r>
          </w:p>
        </w:tc>
        <w:tc>
          <w:tcPr>
            <w:tcW w:w="5447" w:type="dxa"/>
            <w:noWrap w:val="0"/>
            <w:vAlign w:val="center"/>
          </w:tcPr>
          <w:p w14:paraId="7A1C5299">
            <w:pPr>
              <w:spacing w:line="360" w:lineRule="auto"/>
              <w:jc w:val="center"/>
              <w:rPr>
                <w:b/>
                <w:color w:val="000000"/>
                <w:sz w:val="24"/>
              </w:rPr>
            </w:pPr>
            <w:r>
              <w:rPr>
                <w:rFonts w:hint="eastAsia"/>
                <w:b/>
                <w:color w:val="000000"/>
                <w:sz w:val="24"/>
              </w:rPr>
              <w:t>资格性审查响应内容</w:t>
            </w:r>
          </w:p>
        </w:tc>
        <w:tc>
          <w:tcPr>
            <w:tcW w:w="1680" w:type="dxa"/>
            <w:noWrap w:val="0"/>
            <w:vAlign w:val="center"/>
          </w:tcPr>
          <w:p w14:paraId="12231C04">
            <w:pPr>
              <w:spacing w:line="360" w:lineRule="auto"/>
              <w:jc w:val="center"/>
              <w:rPr>
                <w:color w:val="000000"/>
                <w:sz w:val="24"/>
              </w:rPr>
            </w:pPr>
            <w:r>
              <w:rPr>
                <w:rFonts w:hint="eastAsia"/>
                <w:color w:val="000000"/>
                <w:sz w:val="24"/>
              </w:rPr>
              <w:t>是否响应</w:t>
            </w:r>
          </w:p>
          <w:p w14:paraId="61B1D041">
            <w:pPr>
              <w:spacing w:line="360" w:lineRule="auto"/>
              <w:jc w:val="center"/>
              <w:rPr>
                <w:color w:val="000000"/>
                <w:sz w:val="24"/>
              </w:rPr>
            </w:pPr>
            <w:r>
              <w:rPr>
                <w:rFonts w:hint="eastAsia"/>
                <w:color w:val="000000"/>
                <w:sz w:val="24"/>
              </w:rPr>
              <w:t>（填是或者否）</w:t>
            </w:r>
          </w:p>
        </w:tc>
        <w:tc>
          <w:tcPr>
            <w:tcW w:w="1785" w:type="dxa"/>
            <w:noWrap w:val="0"/>
            <w:vAlign w:val="center"/>
          </w:tcPr>
          <w:p w14:paraId="03B68BA8">
            <w:pPr>
              <w:spacing w:line="360" w:lineRule="auto"/>
              <w:jc w:val="center"/>
              <w:rPr>
                <w:color w:val="000000"/>
                <w:sz w:val="24"/>
              </w:rPr>
            </w:pPr>
            <w:r>
              <w:rPr>
                <w:rFonts w:hint="eastAsia" w:ascii="宋体" w:cs="宋体"/>
                <w:color w:val="000000"/>
                <w:sz w:val="24"/>
                <w:lang w:val="zh-CN"/>
              </w:rPr>
              <w:t>招标文件</w:t>
            </w:r>
            <w:r>
              <w:rPr>
                <w:rFonts w:hint="eastAsia"/>
                <w:color w:val="000000"/>
                <w:sz w:val="24"/>
              </w:rPr>
              <w:t>中的</w:t>
            </w:r>
          </w:p>
          <w:p w14:paraId="1FB3C233">
            <w:pPr>
              <w:spacing w:line="360" w:lineRule="auto"/>
              <w:jc w:val="center"/>
              <w:rPr>
                <w:color w:val="000000"/>
                <w:sz w:val="24"/>
              </w:rPr>
            </w:pPr>
            <w:r>
              <w:rPr>
                <w:rFonts w:hint="eastAsia"/>
                <w:color w:val="000000"/>
                <w:sz w:val="24"/>
              </w:rPr>
              <w:t>页码位置</w:t>
            </w:r>
          </w:p>
        </w:tc>
      </w:tr>
      <w:tr w14:paraId="342CE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76E20E16">
            <w:pPr>
              <w:spacing w:line="360" w:lineRule="auto"/>
              <w:rPr>
                <w:color w:val="000000"/>
                <w:sz w:val="24"/>
              </w:rPr>
            </w:pPr>
            <w:r>
              <w:rPr>
                <w:rFonts w:hint="eastAsia"/>
                <w:color w:val="000000"/>
                <w:sz w:val="24"/>
              </w:rPr>
              <w:t>1</w:t>
            </w:r>
          </w:p>
        </w:tc>
        <w:tc>
          <w:tcPr>
            <w:tcW w:w="5447" w:type="dxa"/>
            <w:noWrap w:val="0"/>
            <w:vAlign w:val="center"/>
          </w:tcPr>
          <w:p w14:paraId="4D5C6E79">
            <w:pPr>
              <w:spacing w:line="360" w:lineRule="auto"/>
              <w:rPr>
                <w:color w:val="000000"/>
                <w:sz w:val="24"/>
              </w:rPr>
            </w:pPr>
          </w:p>
        </w:tc>
        <w:tc>
          <w:tcPr>
            <w:tcW w:w="1680" w:type="dxa"/>
            <w:noWrap w:val="0"/>
            <w:vAlign w:val="center"/>
          </w:tcPr>
          <w:p w14:paraId="46AF9FB0">
            <w:pPr>
              <w:spacing w:line="360" w:lineRule="auto"/>
              <w:rPr>
                <w:color w:val="000000"/>
                <w:sz w:val="24"/>
              </w:rPr>
            </w:pPr>
          </w:p>
        </w:tc>
        <w:tc>
          <w:tcPr>
            <w:tcW w:w="1785" w:type="dxa"/>
            <w:noWrap w:val="0"/>
            <w:vAlign w:val="center"/>
          </w:tcPr>
          <w:p w14:paraId="5C7B3282">
            <w:pPr>
              <w:spacing w:line="360" w:lineRule="auto"/>
              <w:rPr>
                <w:color w:val="000000"/>
                <w:sz w:val="24"/>
              </w:rPr>
            </w:pPr>
          </w:p>
        </w:tc>
      </w:tr>
      <w:tr w14:paraId="7FE57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3F1814FA">
            <w:pPr>
              <w:spacing w:line="360" w:lineRule="auto"/>
              <w:rPr>
                <w:color w:val="000000"/>
                <w:sz w:val="24"/>
              </w:rPr>
            </w:pPr>
            <w:r>
              <w:rPr>
                <w:rFonts w:hint="eastAsia"/>
                <w:color w:val="000000"/>
                <w:sz w:val="24"/>
              </w:rPr>
              <w:t>2</w:t>
            </w:r>
          </w:p>
        </w:tc>
        <w:tc>
          <w:tcPr>
            <w:tcW w:w="5447" w:type="dxa"/>
            <w:noWrap w:val="0"/>
            <w:vAlign w:val="center"/>
          </w:tcPr>
          <w:p w14:paraId="7CDE359F">
            <w:pPr>
              <w:spacing w:line="360" w:lineRule="auto"/>
              <w:rPr>
                <w:color w:val="000000"/>
                <w:sz w:val="24"/>
              </w:rPr>
            </w:pPr>
          </w:p>
        </w:tc>
        <w:tc>
          <w:tcPr>
            <w:tcW w:w="1680" w:type="dxa"/>
            <w:noWrap w:val="0"/>
            <w:vAlign w:val="center"/>
          </w:tcPr>
          <w:p w14:paraId="053B9678">
            <w:pPr>
              <w:spacing w:line="360" w:lineRule="auto"/>
              <w:rPr>
                <w:color w:val="000000"/>
                <w:sz w:val="24"/>
              </w:rPr>
            </w:pPr>
          </w:p>
        </w:tc>
        <w:tc>
          <w:tcPr>
            <w:tcW w:w="1785" w:type="dxa"/>
            <w:noWrap w:val="0"/>
            <w:vAlign w:val="center"/>
          </w:tcPr>
          <w:p w14:paraId="1FDC2591">
            <w:pPr>
              <w:spacing w:line="360" w:lineRule="auto"/>
              <w:rPr>
                <w:color w:val="000000"/>
                <w:sz w:val="24"/>
              </w:rPr>
            </w:pPr>
          </w:p>
        </w:tc>
      </w:tr>
      <w:tr w14:paraId="44845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38CBF43B">
            <w:pPr>
              <w:spacing w:line="360" w:lineRule="auto"/>
              <w:rPr>
                <w:color w:val="000000"/>
                <w:sz w:val="24"/>
              </w:rPr>
            </w:pPr>
            <w:r>
              <w:rPr>
                <w:rFonts w:hint="eastAsia"/>
                <w:color w:val="000000"/>
                <w:sz w:val="24"/>
              </w:rPr>
              <w:t>3</w:t>
            </w:r>
          </w:p>
        </w:tc>
        <w:tc>
          <w:tcPr>
            <w:tcW w:w="5447" w:type="dxa"/>
            <w:noWrap w:val="0"/>
            <w:vAlign w:val="center"/>
          </w:tcPr>
          <w:p w14:paraId="3DDE328E">
            <w:pPr>
              <w:spacing w:line="360" w:lineRule="auto"/>
              <w:rPr>
                <w:color w:val="000000"/>
                <w:sz w:val="24"/>
              </w:rPr>
            </w:pPr>
          </w:p>
        </w:tc>
        <w:tc>
          <w:tcPr>
            <w:tcW w:w="1680" w:type="dxa"/>
            <w:noWrap w:val="0"/>
            <w:vAlign w:val="center"/>
          </w:tcPr>
          <w:p w14:paraId="0B007F4C">
            <w:pPr>
              <w:spacing w:line="360" w:lineRule="auto"/>
              <w:rPr>
                <w:color w:val="000000"/>
                <w:sz w:val="24"/>
              </w:rPr>
            </w:pPr>
          </w:p>
        </w:tc>
        <w:tc>
          <w:tcPr>
            <w:tcW w:w="1785" w:type="dxa"/>
            <w:noWrap w:val="0"/>
            <w:vAlign w:val="center"/>
          </w:tcPr>
          <w:p w14:paraId="78EC34FF">
            <w:pPr>
              <w:spacing w:line="360" w:lineRule="auto"/>
              <w:rPr>
                <w:color w:val="000000"/>
                <w:sz w:val="24"/>
              </w:rPr>
            </w:pPr>
          </w:p>
        </w:tc>
      </w:tr>
      <w:tr w14:paraId="61525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646" w:type="dxa"/>
            <w:noWrap w:val="0"/>
            <w:vAlign w:val="center"/>
          </w:tcPr>
          <w:p w14:paraId="19ED3DC9">
            <w:pPr>
              <w:spacing w:line="360" w:lineRule="auto"/>
              <w:rPr>
                <w:color w:val="000000"/>
                <w:sz w:val="24"/>
              </w:rPr>
            </w:pPr>
            <w:r>
              <w:rPr>
                <w:rFonts w:hint="eastAsia"/>
                <w:color w:val="000000"/>
                <w:sz w:val="24"/>
              </w:rPr>
              <w:t>..</w:t>
            </w:r>
          </w:p>
        </w:tc>
        <w:tc>
          <w:tcPr>
            <w:tcW w:w="5447" w:type="dxa"/>
            <w:noWrap w:val="0"/>
            <w:vAlign w:val="center"/>
          </w:tcPr>
          <w:p w14:paraId="2D177075">
            <w:pPr>
              <w:spacing w:line="360" w:lineRule="auto"/>
              <w:rPr>
                <w:color w:val="000000"/>
                <w:sz w:val="24"/>
              </w:rPr>
            </w:pPr>
          </w:p>
        </w:tc>
        <w:tc>
          <w:tcPr>
            <w:tcW w:w="1680" w:type="dxa"/>
            <w:noWrap w:val="0"/>
            <w:vAlign w:val="center"/>
          </w:tcPr>
          <w:p w14:paraId="06FD4120">
            <w:pPr>
              <w:spacing w:line="360" w:lineRule="auto"/>
              <w:rPr>
                <w:color w:val="000000"/>
                <w:sz w:val="24"/>
              </w:rPr>
            </w:pPr>
          </w:p>
        </w:tc>
        <w:tc>
          <w:tcPr>
            <w:tcW w:w="1785" w:type="dxa"/>
            <w:noWrap w:val="0"/>
            <w:vAlign w:val="center"/>
          </w:tcPr>
          <w:p w14:paraId="20618D08">
            <w:pPr>
              <w:spacing w:line="360" w:lineRule="auto"/>
              <w:rPr>
                <w:color w:val="000000"/>
                <w:sz w:val="24"/>
              </w:rPr>
            </w:pPr>
          </w:p>
        </w:tc>
      </w:tr>
      <w:tr w14:paraId="3F4D5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646" w:type="dxa"/>
            <w:noWrap w:val="0"/>
            <w:vAlign w:val="center"/>
          </w:tcPr>
          <w:p w14:paraId="6157FFA8">
            <w:pPr>
              <w:spacing w:line="360" w:lineRule="auto"/>
              <w:rPr>
                <w:color w:val="000000"/>
                <w:sz w:val="24"/>
              </w:rPr>
            </w:pPr>
            <w:r>
              <w:rPr>
                <w:rFonts w:hint="eastAsia"/>
                <w:color w:val="000000"/>
                <w:sz w:val="24"/>
              </w:rPr>
              <w:t>..</w:t>
            </w:r>
          </w:p>
        </w:tc>
        <w:tc>
          <w:tcPr>
            <w:tcW w:w="5447" w:type="dxa"/>
            <w:noWrap w:val="0"/>
            <w:vAlign w:val="center"/>
          </w:tcPr>
          <w:p w14:paraId="6D10E51D">
            <w:pPr>
              <w:spacing w:line="360" w:lineRule="auto"/>
              <w:rPr>
                <w:color w:val="000000"/>
                <w:sz w:val="24"/>
              </w:rPr>
            </w:pPr>
          </w:p>
        </w:tc>
        <w:tc>
          <w:tcPr>
            <w:tcW w:w="1680" w:type="dxa"/>
            <w:noWrap w:val="0"/>
            <w:vAlign w:val="center"/>
          </w:tcPr>
          <w:p w14:paraId="1959DD29">
            <w:pPr>
              <w:spacing w:line="360" w:lineRule="auto"/>
              <w:rPr>
                <w:color w:val="000000"/>
                <w:sz w:val="24"/>
              </w:rPr>
            </w:pPr>
          </w:p>
        </w:tc>
        <w:tc>
          <w:tcPr>
            <w:tcW w:w="1785" w:type="dxa"/>
            <w:noWrap w:val="0"/>
            <w:vAlign w:val="center"/>
          </w:tcPr>
          <w:p w14:paraId="6BBC2926">
            <w:pPr>
              <w:spacing w:line="360" w:lineRule="auto"/>
              <w:rPr>
                <w:color w:val="000000"/>
                <w:sz w:val="24"/>
              </w:rPr>
            </w:pPr>
          </w:p>
        </w:tc>
      </w:tr>
      <w:tr w14:paraId="47FC9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646" w:type="dxa"/>
            <w:noWrap w:val="0"/>
            <w:vAlign w:val="center"/>
          </w:tcPr>
          <w:p w14:paraId="2E2CB543">
            <w:pPr>
              <w:spacing w:line="360" w:lineRule="auto"/>
              <w:jc w:val="center"/>
              <w:rPr>
                <w:color w:val="000000"/>
                <w:sz w:val="24"/>
              </w:rPr>
            </w:pPr>
            <w:r>
              <w:rPr>
                <w:rFonts w:hint="eastAsia"/>
                <w:color w:val="000000"/>
                <w:sz w:val="24"/>
              </w:rPr>
              <w:t>序号</w:t>
            </w:r>
          </w:p>
        </w:tc>
        <w:tc>
          <w:tcPr>
            <w:tcW w:w="5447" w:type="dxa"/>
            <w:noWrap w:val="0"/>
            <w:vAlign w:val="center"/>
          </w:tcPr>
          <w:p w14:paraId="74A673C7">
            <w:pPr>
              <w:spacing w:line="360" w:lineRule="auto"/>
              <w:jc w:val="center"/>
              <w:rPr>
                <w:b/>
                <w:color w:val="000000"/>
                <w:sz w:val="24"/>
              </w:rPr>
            </w:pPr>
            <w:r>
              <w:rPr>
                <w:rFonts w:hint="eastAsia"/>
                <w:b/>
                <w:color w:val="000000"/>
                <w:sz w:val="24"/>
              </w:rPr>
              <w:t>符合性审查响应内容</w:t>
            </w:r>
          </w:p>
        </w:tc>
        <w:tc>
          <w:tcPr>
            <w:tcW w:w="1680" w:type="dxa"/>
            <w:noWrap w:val="0"/>
            <w:vAlign w:val="center"/>
          </w:tcPr>
          <w:p w14:paraId="71D551C9">
            <w:pPr>
              <w:spacing w:line="360" w:lineRule="auto"/>
              <w:jc w:val="center"/>
              <w:rPr>
                <w:color w:val="000000"/>
                <w:sz w:val="24"/>
              </w:rPr>
            </w:pPr>
            <w:r>
              <w:rPr>
                <w:rFonts w:hint="eastAsia"/>
                <w:color w:val="000000"/>
                <w:sz w:val="24"/>
              </w:rPr>
              <w:t>是否响应</w:t>
            </w:r>
          </w:p>
          <w:p w14:paraId="264EA0A4">
            <w:pPr>
              <w:spacing w:line="360" w:lineRule="auto"/>
              <w:jc w:val="center"/>
              <w:rPr>
                <w:color w:val="000000"/>
                <w:sz w:val="24"/>
              </w:rPr>
            </w:pPr>
            <w:r>
              <w:rPr>
                <w:rFonts w:hint="eastAsia"/>
                <w:color w:val="000000"/>
                <w:sz w:val="24"/>
              </w:rPr>
              <w:t>（填是或者否）</w:t>
            </w:r>
          </w:p>
        </w:tc>
        <w:tc>
          <w:tcPr>
            <w:tcW w:w="1785" w:type="dxa"/>
            <w:noWrap w:val="0"/>
            <w:vAlign w:val="center"/>
          </w:tcPr>
          <w:p w14:paraId="28237C25">
            <w:pPr>
              <w:spacing w:line="360" w:lineRule="auto"/>
              <w:jc w:val="center"/>
              <w:rPr>
                <w:color w:val="000000"/>
                <w:sz w:val="24"/>
              </w:rPr>
            </w:pPr>
            <w:r>
              <w:rPr>
                <w:rFonts w:hint="eastAsia" w:ascii="宋体" w:cs="宋体"/>
                <w:color w:val="000000"/>
                <w:sz w:val="24"/>
                <w:lang w:val="zh-CN"/>
              </w:rPr>
              <w:t>招标文件</w:t>
            </w:r>
            <w:r>
              <w:rPr>
                <w:rFonts w:hint="eastAsia"/>
                <w:color w:val="000000"/>
                <w:sz w:val="24"/>
              </w:rPr>
              <w:t>中的</w:t>
            </w:r>
          </w:p>
          <w:p w14:paraId="130A4473">
            <w:pPr>
              <w:spacing w:line="360" w:lineRule="auto"/>
              <w:jc w:val="center"/>
              <w:rPr>
                <w:color w:val="000000"/>
                <w:sz w:val="24"/>
              </w:rPr>
            </w:pPr>
            <w:r>
              <w:rPr>
                <w:rFonts w:hint="eastAsia"/>
                <w:color w:val="000000"/>
                <w:sz w:val="24"/>
              </w:rPr>
              <w:t>页码位置</w:t>
            </w:r>
          </w:p>
        </w:tc>
      </w:tr>
      <w:tr w14:paraId="4E874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646" w:type="dxa"/>
            <w:noWrap w:val="0"/>
            <w:vAlign w:val="center"/>
          </w:tcPr>
          <w:p w14:paraId="3076D3A3">
            <w:pPr>
              <w:spacing w:line="360" w:lineRule="auto"/>
              <w:rPr>
                <w:color w:val="000000"/>
                <w:sz w:val="24"/>
              </w:rPr>
            </w:pPr>
            <w:r>
              <w:rPr>
                <w:rFonts w:hint="eastAsia"/>
                <w:color w:val="000000"/>
                <w:sz w:val="24"/>
              </w:rPr>
              <w:t>..</w:t>
            </w:r>
          </w:p>
        </w:tc>
        <w:tc>
          <w:tcPr>
            <w:tcW w:w="5447" w:type="dxa"/>
            <w:noWrap w:val="0"/>
            <w:vAlign w:val="center"/>
          </w:tcPr>
          <w:p w14:paraId="60EB83DF">
            <w:pPr>
              <w:spacing w:line="360" w:lineRule="auto"/>
              <w:rPr>
                <w:color w:val="000000"/>
                <w:sz w:val="24"/>
              </w:rPr>
            </w:pPr>
          </w:p>
        </w:tc>
        <w:tc>
          <w:tcPr>
            <w:tcW w:w="1680" w:type="dxa"/>
            <w:noWrap w:val="0"/>
            <w:vAlign w:val="center"/>
          </w:tcPr>
          <w:p w14:paraId="2B824765">
            <w:pPr>
              <w:spacing w:line="360" w:lineRule="auto"/>
              <w:rPr>
                <w:color w:val="000000"/>
                <w:sz w:val="24"/>
              </w:rPr>
            </w:pPr>
          </w:p>
        </w:tc>
        <w:tc>
          <w:tcPr>
            <w:tcW w:w="1785" w:type="dxa"/>
            <w:noWrap w:val="0"/>
            <w:vAlign w:val="center"/>
          </w:tcPr>
          <w:p w14:paraId="79456A63">
            <w:pPr>
              <w:spacing w:line="360" w:lineRule="auto"/>
              <w:rPr>
                <w:color w:val="000000"/>
                <w:sz w:val="24"/>
              </w:rPr>
            </w:pPr>
          </w:p>
        </w:tc>
      </w:tr>
      <w:tr w14:paraId="035FD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46" w:type="dxa"/>
            <w:noWrap w:val="0"/>
            <w:vAlign w:val="center"/>
          </w:tcPr>
          <w:p w14:paraId="1F6F3C40">
            <w:pPr>
              <w:spacing w:line="360" w:lineRule="auto"/>
              <w:rPr>
                <w:color w:val="000000"/>
                <w:sz w:val="24"/>
              </w:rPr>
            </w:pPr>
            <w:r>
              <w:rPr>
                <w:rFonts w:hint="eastAsia"/>
                <w:color w:val="000000"/>
                <w:sz w:val="24"/>
              </w:rPr>
              <w:t>..</w:t>
            </w:r>
          </w:p>
        </w:tc>
        <w:tc>
          <w:tcPr>
            <w:tcW w:w="5447" w:type="dxa"/>
            <w:noWrap w:val="0"/>
            <w:vAlign w:val="center"/>
          </w:tcPr>
          <w:p w14:paraId="21DD1D58">
            <w:pPr>
              <w:spacing w:line="360" w:lineRule="auto"/>
              <w:rPr>
                <w:color w:val="000000"/>
                <w:sz w:val="24"/>
              </w:rPr>
            </w:pPr>
          </w:p>
        </w:tc>
        <w:tc>
          <w:tcPr>
            <w:tcW w:w="1680" w:type="dxa"/>
            <w:noWrap w:val="0"/>
            <w:vAlign w:val="center"/>
          </w:tcPr>
          <w:p w14:paraId="15FC43F0">
            <w:pPr>
              <w:spacing w:line="360" w:lineRule="auto"/>
              <w:rPr>
                <w:color w:val="000000"/>
                <w:sz w:val="24"/>
              </w:rPr>
            </w:pPr>
          </w:p>
        </w:tc>
        <w:tc>
          <w:tcPr>
            <w:tcW w:w="1785" w:type="dxa"/>
            <w:noWrap w:val="0"/>
            <w:vAlign w:val="center"/>
          </w:tcPr>
          <w:p w14:paraId="50F5904C">
            <w:pPr>
              <w:spacing w:line="360" w:lineRule="auto"/>
              <w:rPr>
                <w:color w:val="000000"/>
                <w:sz w:val="24"/>
              </w:rPr>
            </w:pPr>
          </w:p>
        </w:tc>
      </w:tr>
      <w:tr w14:paraId="2445C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46" w:type="dxa"/>
            <w:noWrap w:val="0"/>
            <w:vAlign w:val="center"/>
          </w:tcPr>
          <w:p w14:paraId="19E8B178">
            <w:pPr>
              <w:spacing w:line="360" w:lineRule="auto"/>
              <w:rPr>
                <w:color w:val="000000"/>
                <w:sz w:val="24"/>
              </w:rPr>
            </w:pPr>
            <w:r>
              <w:rPr>
                <w:rFonts w:hint="eastAsia"/>
                <w:color w:val="000000"/>
                <w:sz w:val="24"/>
              </w:rPr>
              <w:t>..</w:t>
            </w:r>
          </w:p>
        </w:tc>
        <w:tc>
          <w:tcPr>
            <w:tcW w:w="5447" w:type="dxa"/>
            <w:noWrap w:val="0"/>
            <w:vAlign w:val="center"/>
          </w:tcPr>
          <w:p w14:paraId="4E0CCC49">
            <w:pPr>
              <w:spacing w:line="360" w:lineRule="auto"/>
              <w:rPr>
                <w:color w:val="000000"/>
                <w:sz w:val="24"/>
              </w:rPr>
            </w:pPr>
          </w:p>
        </w:tc>
        <w:tc>
          <w:tcPr>
            <w:tcW w:w="1680" w:type="dxa"/>
            <w:noWrap w:val="0"/>
            <w:vAlign w:val="center"/>
          </w:tcPr>
          <w:p w14:paraId="096FF0AF">
            <w:pPr>
              <w:spacing w:line="360" w:lineRule="auto"/>
              <w:rPr>
                <w:color w:val="000000"/>
                <w:sz w:val="24"/>
              </w:rPr>
            </w:pPr>
          </w:p>
        </w:tc>
        <w:tc>
          <w:tcPr>
            <w:tcW w:w="1785" w:type="dxa"/>
            <w:noWrap w:val="0"/>
            <w:vAlign w:val="center"/>
          </w:tcPr>
          <w:p w14:paraId="3E38A2A6">
            <w:pPr>
              <w:spacing w:line="360" w:lineRule="auto"/>
              <w:rPr>
                <w:color w:val="000000"/>
                <w:sz w:val="24"/>
              </w:rPr>
            </w:pPr>
          </w:p>
        </w:tc>
      </w:tr>
      <w:tr w14:paraId="1AD39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46" w:type="dxa"/>
            <w:noWrap w:val="0"/>
            <w:vAlign w:val="center"/>
          </w:tcPr>
          <w:p w14:paraId="797C276A">
            <w:pPr>
              <w:spacing w:line="360" w:lineRule="auto"/>
              <w:rPr>
                <w:color w:val="000000"/>
                <w:sz w:val="24"/>
              </w:rPr>
            </w:pPr>
            <w:r>
              <w:rPr>
                <w:rFonts w:hint="eastAsia"/>
                <w:color w:val="000000"/>
                <w:sz w:val="24"/>
              </w:rPr>
              <w:t>..</w:t>
            </w:r>
          </w:p>
        </w:tc>
        <w:tc>
          <w:tcPr>
            <w:tcW w:w="5447" w:type="dxa"/>
            <w:noWrap w:val="0"/>
            <w:vAlign w:val="center"/>
          </w:tcPr>
          <w:p w14:paraId="0C751661">
            <w:pPr>
              <w:spacing w:line="360" w:lineRule="auto"/>
              <w:rPr>
                <w:color w:val="000000"/>
                <w:sz w:val="24"/>
              </w:rPr>
            </w:pPr>
          </w:p>
        </w:tc>
        <w:tc>
          <w:tcPr>
            <w:tcW w:w="1680" w:type="dxa"/>
            <w:noWrap w:val="0"/>
            <w:vAlign w:val="center"/>
          </w:tcPr>
          <w:p w14:paraId="7797E240">
            <w:pPr>
              <w:spacing w:line="360" w:lineRule="auto"/>
              <w:rPr>
                <w:color w:val="000000"/>
                <w:sz w:val="24"/>
              </w:rPr>
            </w:pPr>
          </w:p>
        </w:tc>
        <w:tc>
          <w:tcPr>
            <w:tcW w:w="1785" w:type="dxa"/>
            <w:noWrap w:val="0"/>
            <w:vAlign w:val="center"/>
          </w:tcPr>
          <w:p w14:paraId="41D8FD26">
            <w:pPr>
              <w:spacing w:line="360" w:lineRule="auto"/>
              <w:rPr>
                <w:color w:val="000000"/>
                <w:sz w:val="24"/>
              </w:rPr>
            </w:pPr>
          </w:p>
        </w:tc>
      </w:tr>
      <w:tr w14:paraId="261CD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6" w:type="dxa"/>
            <w:noWrap w:val="0"/>
            <w:vAlign w:val="center"/>
          </w:tcPr>
          <w:p w14:paraId="0B5373DA">
            <w:pPr>
              <w:spacing w:line="360" w:lineRule="auto"/>
              <w:rPr>
                <w:color w:val="000000"/>
                <w:sz w:val="24"/>
              </w:rPr>
            </w:pPr>
            <w:r>
              <w:rPr>
                <w:rFonts w:hint="eastAsia"/>
                <w:color w:val="000000"/>
                <w:sz w:val="24"/>
              </w:rPr>
              <w:t>..</w:t>
            </w:r>
          </w:p>
        </w:tc>
        <w:tc>
          <w:tcPr>
            <w:tcW w:w="5447" w:type="dxa"/>
            <w:noWrap w:val="0"/>
            <w:vAlign w:val="center"/>
          </w:tcPr>
          <w:p w14:paraId="3AC27789">
            <w:pPr>
              <w:spacing w:line="360" w:lineRule="auto"/>
              <w:rPr>
                <w:color w:val="000000"/>
                <w:sz w:val="24"/>
              </w:rPr>
            </w:pPr>
            <w:r>
              <w:rPr>
                <w:rFonts w:hint="eastAsia"/>
                <w:color w:val="000000"/>
                <w:sz w:val="24"/>
              </w:rPr>
              <w:t>招标文件中的其他实质性要求</w:t>
            </w:r>
          </w:p>
        </w:tc>
        <w:tc>
          <w:tcPr>
            <w:tcW w:w="1680" w:type="dxa"/>
            <w:noWrap w:val="0"/>
            <w:vAlign w:val="center"/>
          </w:tcPr>
          <w:p w14:paraId="6ED907AD">
            <w:pPr>
              <w:spacing w:line="360" w:lineRule="auto"/>
              <w:rPr>
                <w:color w:val="000000"/>
                <w:sz w:val="24"/>
              </w:rPr>
            </w:pPr>
          </w:p>
        </w:tc>
        <w:tc>
          <w:tcPr>
            <w:tcW w:w="1785" w:type="dxa"/>
            <w:noWrap w:val="0"/>
            <w:vAlign w:val="center"/>
          </w:tcPr>
          <w:p w14:paraId="07F391B0">
            <w:pPr>
              <w:spacing w:line="360" w:lineRule="auto"/>
              <w:rPr>
                <w:color w:val="000000"/>
                <w:sz w:val="24"/>
              </w:rPr>
            </w:pPr>
          </w:p>
        </w:tc>
      </w:tr>
    </w:tbl>
    <w:p w14:paraId="6A549563">
      <w:pPr>
        <w:widowControl/>
        <w:spacing w:line="360" w:lineRule="auto"/>
        <w:jc w:val="left"/>
        <w:rPr>
          <w:rFonts w:ascii="宋体" w:cs="宋体"/>
          <w:color w:val="000000"/>
          <w:sz w:val="24"/>
          <w:lang w:val="zh-CN"/>
        </w:rPr>
      </w:pPr>
      <w:r>
        <w:rPr>
          <w:rFonts w:hint="eastAsia" w:ascii="宋体" w:hAnsi="宋体" w:cs="宋体"/>
          <w:color w:val="000000"/>
          <w:sz w:val="24"/>
          <w:lang w:val="zh-CN"/>
        </w:rPr>
        <w:t>供应商名称：</w:t>
      </w:r>
      <w:r>
        <w:rPr>
          <w:rFonts w:ascii="宋体" w:hAnsi="宋体"/>
          <w:color w:val="000000"/>
          <w:sz w:val="24"/>
          <w:u w:val="single"/>
          <w:lang w:val="zh-CN"/>
        </w:rPr>
        <w:t xml:space="preserve">                                                      </w:t>
      </w:r>
      <w:r>
        <w:rPr>
          <w:rFonts w:hint="eastAsia" w:ascii="宋体" w:hAnsi="宋体" w:cs="宋体"/>
          <w:color w:val="000000"/>
          <w:sz w:val="24"/>
          <w:lang w:val="zh-CN"/>
        </w:rPr>
        <w:t>（盖章）</w:t>
      </w:r>
    </w:p>
    <w:p w14:paraId="056451D6">
      <w:pPr>
        <w:widowControl/>
        <w:spacing w:line="360" w:lineRule="auto"/>
        <w:jc w:val="left"/>
        <w:rPr>
          <w:rFonts w:ascii="宋体" w:cs="宋体"/>
          <w:color w:val="000000"/>
          <w:sz w:val="24"/>
          <w:lang w:val="zh-CN"/>
        </w:rPr>
      </w:pPr>
      <w:r>
        <w:rPr>
          <w:rFonts w:hint="eastAsia" w:ascii="宋体" w:hAnsi="宋体" w:cs="宋体"/>
          <w:color w:val="000000"/>
          <w:sz w:val="24"/>
          <w:lang w:val="zh-CN"/>
        </w:rPr>
        <w:t>说明：如果行数不够，请自行增加。</w:t>
      </w:r>
    </w:p>
    <w:p w14:paraId="4C1C4240">
      <w:pPr>
        <w:spacing w:line="240" w:lineRule="atLeast"/>
        <w:rPr>
          <w:b/>
          <w:sz w:val="24"/>
        </w:rPr>
      </w:pPr>
    </w:p>
    <w:p w14:paraId="31D0052F">
      <w:pPr>
        <w:spacing w:line="240" w:lineRule="atLeast"/>
        <w:rPr>
          <w:b/>
          <w:sz w:val="24"/>
        </w:rPr>
      </w:pPr>
    </w:p>
    <w:p w14:paraId="2EF6B37E">
      <w:pPr>
        <w:spacing w:line="240" w:lineRule="atLeast"/>
        <w:rPr>
          <w:b/>
          <w:sz w:val="24"/>
        </w:rPr>
      </w:pPr>
    </w:p>
    <w:p w14:paraId="46A1C098">
      <w:pPr>
        <w:spacing w:line="240" w:lineRule="atLeast"/>
        <w:rPr>
          <w:b/>
          <w:sz w:val="24"/>
        </w:rPr>
      </w:pPr>
    </w:p>
    <w:p w14:paraId="4A73C835">
      <w:pPr>
        <w:spacing w:line="240" w:lineRule="atLeast"/>
        <w:rPr>
          <w:b/>
          <w:sz w:val="24"/>
        </w:rPr>
      </w:pPr>
    </w:p>
    <w:p w14:paraId="67021700">
      <w:pPr>
        <w:spacing w:line="240" w:lineRule="atLeast"/>
        <w:rPr>
          <w:b/>
          <w:sz w:val="24"/>
        </w:rPr>
      </w:pPr>
      <w:r>
        <w:rPr>
          <w:b/>
          <w:sz w:val="24"/>
        </w:rPr>
        <w:br w:type="page" w:clear="all"/>
      </w:r>
    </w:p>
    <w:p w14:paraId="48DE9AD1">
      <w:pPr>
        <w:spacing w:line="360" w:lineRule="auto"/>
        <w:rPr>
          <w:b/>
          <w:sz w:val="24"/>
        </w:rPr>
      </w:pPr>
      <w:r>
        <w:rPr>
          <w:rFonts w:hint="eastAsia"/>
          <w:b/>
          <w:sz w:val="24"/>
        </w:rPr>
        <w:t>附件一、</w:t>
      </w:r>
      <w:r>
        <w:rPr>
          <w:rFonts w:hint="eastAsia"/>
          <w:b/>
          <w:color w:val="000000"/>
          <w:sz w:val="24"/>
        </w:rPr>
        <w:t>中小企业声明函格式</w:t>
      </w:r>
    </w:p>
    <w:p w14:paraId="6386249B">
      <w:pPr>
        <w:spacing w:line="360" w:lineRule="auto"/>
        <w:jc w:val="center"/>
        <w:rPr>
          <w:rFonts w:ascii="黑体" w:eastAsia="黑体"/>
          <w:color w:val="000000"/>
          <w:sz w:val="36"/>
          <w:szCs w:val="36"/>
        </w:rPr>
      </w:pPr>
      <w:r>
        <w:rPr>
          <w:rFonts w:hint="eastAsia" w:ascii="黑体" w:eastAsia="黑体"/>
          <w:color w:val="000000"/>
          <w:sz w:val="36"/>
          <w:szCs w:val="36"/>
        </w:rPr>
        <w:t>中小企业声明函</w:t>
      </w:r>
    </w:p>
    <w:p w14:paraId="72A9ED11">
      <w:pPr>
        <w:spacing w:line="360" w:lineRule="auto"/>
        <w:ind w:firstLine="480"/>
        <w:rPr>
          <w:rFonts w:ascii="宋体" w:hAnsi="宋体" w:cs="宋体"/>
          <w:sz w:val="24"/>
        </w:rPr>
      </w:pPr>
      <w:r>
        <w:rPr>
          <w:rFonts w:ascii="宋体" w:hAnsi="宋体" w:cs="宋体"/>
          <w:sz w:val="24"/>
        </w:rPr>
        <w:t>本公司郑重声明，根据《政府采购促进中小企业发展管理办法》（财库【2020】 46 号）的规定，本公司参加</w:t>
      </w:r>
      <w:r>
        <w:rPr>
          <w:rFonts w:ascii="宋体" w:hAnsi="宋体" w:cs="宋体"/>
          <w:sz w:val="24"/>
          <w:u w:val="single"/>
        </w:rPr>
        <w:t>（采购人单位名称）</w:t>
      </w:r>
      <w:r>
        <w:rPr>
          <w:rFonts w:ascii="宋体" w:hAnsi="宋体" w:cs="宋体"/>
          <w:sz w:val="24"/>
        </w:rPr>
        <w:t>的</w:t>
      </w:r>
      <w:r>
        <w:rPr>
          <w:rFonts w:ascii="宋体" w:hAnsi="宋体" w:cs="宋体"/>
          <w:sz w:val="24"/>
          <w:u w:val="single"/>
        </w:rPr>
        <w:t>（项目名称）</w:t>
      </w:r>
      <w:r>
        <w:rPr>
          <w:rFonts w:ascii="宋体" w:hAnsi="宋体" w:cs="宋体"/>
          <w:sz w:val="24"/>
        </w:rPr>
        <w:t xml:space="preserve">采购活动，服务全部由符合政策要求的中小企业承接）。相关企业（含联合体中的中小企业、签订分包意向协议的中小企业）的具体情况如下： </w:t>
      </w:r>
    </w:p>
    <w:p w14:paraId="5F7EB136">
      <w:pPr>
        <w:spacing w:line="360" w:lineRule="auto"/>
        <w:ind w:firstLine="480"/>
        <w:rPr>
          <w:rFonts w:ascii="宋体" w:hAnsi="宋体" w:cs="宋体"/>
          <w:sz w:val="24"/>
        </w:rPr>
      </w:pPr>
      <w:r>
        <w:rPr>
          <w:rFonts w:ascii="宋体" w:hAnsi="宋体" w:cs="宋体"/>
          <w:sz w:val="24"/>
        </w:rPr>
        <w:t>1、</w:t>
      </w:r>
      <w:r>
        <w:rPr>
          <w:rFonts w:ascii="宋体" w:hAnsi="宋体" w:cs="宋体"/>
          <w:sz w:val="24"/>
          <w:u w:val="single"/>
        </w:rPr>
        <w:t>（标的名称）</w:t>
      </w:r>
      <w:r>
        <w:rPr>
          <w:rFonts w:ascii="宋体" w:hAnsi="宋体" w:cs="宋体"/>
          <w:sz w:val="24"/>
        </w:rPr>
        <w:t>，属于</w:t>
      </w:r>
      <w:r>
        <w:rPr>
          <w:rFonts w:hint="eastAsia" w:ascii="宋体" w:hAnsi="宋体" w:cs="宋体"/>
          <w:sz w:val="24"/>
          <w:u w:val="single"/>
        </w:rPr>
        <w:t>农、林、牧、渔业</w:t>
      </w:r>
      <w:r>
        <w:rPr>
          <w:rFonts w:ascii="宋体" w:hAnsi="宋体" w:cs="宋体"/>
          <w:sz w:val="24"/>
        </w:rPr>
        <w:t>；承建（承接）企业为</w:t>
      </w:r>
      <w:r>
        <w:rPr>
          <w:rFonts w:ascii="宋体" w:hAnsi="宋体" w:cs="宋体"/>
          <w:sz w:val="24"/>
          <w:u w:val="single"/>
        </w:rPr>
        <w:t>（企业名称）</w:t>
      </w:r>
      <w:r>
        <w:rPr>
          <w:rFonts w:ascii="宋体" w:hAnsi="宋体" w:cs="宋体"/>
          <w:sz w:val="24"/>
        </w:rPr>
        <w:t xml:space="preserve">， 从业人员__人，营业收入为__万元，资产总额为__万元，属于（中型企业、小型企业、微型企业）； </w:t>
      </w:r>
    </w:p>
    <w:p w14:paraId="7565A766">
      <w:pPr>
        <w:spacing w:line="360" w:lineRule="auto"/>
        <w:ind w:firstLine="480"/>
        <w:rPr>
          <w:rFonts w:ascii="宋体" w:hAnsi="宋体" w:cs="宋体"/>
          <w:sz w:val="24"/>
        </w:rPr>
      </w:pPr>
      <w:r>
        <w:rPr>
          <w:rFonts w:ascii="宋体" w:hAnsi="宋体" w:cs="宋体"/>
          <w:sz w:val="24"/>
        </w:rPr>
        <w:t>2、</w:t>
      </w:r>
      <w:r>
        <w:rPr>
          <w:rFonts w:ascii="宋体" w:hAnsi="宋体" w:cs="宋体"/>
          <w:sz w:val="24"/>
          <w:u w:val="single"/>
        </w:rPr>
        <w:t>（标的名称）</w:t>
      </w:r>
      <w:r>
        <w:rPr>
          <w:rFonts w:ascii="宋体" w:hAnsi="宋体" w:cs="宋体"/>
          <w:sz w:val="24"/>
        </w:rPr>
        <w:t>，属于</w:t>
      </w:r>
      <w:r>
        <w:rPr>
          <w:rFonts w:hint="eastAsia" w:ascii="宋体" w:hAnsi="宋体" w:cs="宋体"/>
          <w:sz w:val="24"/>
          <w:u w:val="single"/>
        </w:rPr>
        <w:t>农、林、牧、渔业</w:t>
      </w:r>
      <w:r>
        <w:rPr>
          <w:rFonts w:ascii="宋体" w:hAnsi="宋体" w:cs="宋体"/>
          <w:sz w:val="24"/>
        </w:rPr>
        <w:t>；承建（承接）企业为</w:t>
      </w:r>
      <w:r>
        <w:rPr>
          <w:rFonts w:ascii="宋体" w:hAnsi="宋体" w:cs="宋体"/>
          <w:sz w:val="24"/>
          <w:u w:val="single"/>
        </w:rPr>
        <w:t>（企业名称）</w:t>
      </w:r>
      <w:r>
        <w:rPr>
          <w:rFonts w:ascii="宋体" w:hAnsi="宋体" w:cs="宋体"/>
          <w:sz w:val="24"/>
        </w:rPr>
        <w:t>，从业人员__人，营业收入为__万元，资产总额为__万元，属于（中型企业、小型企业、微型 企业）</w:t>
      </w:r>
      <w:r>
        <w:rPr>
          <w:rFonts w:hint="eastAsia" w:ascii="宋体" w:hAnsi="宋体" w:cs="宋体"/>
          <w:sz w:val="24"/>
        </w:rPr>
        <w:t>（联合）</w:t>
      </w:r>
      <w:r>
        <w:rPr>
          <w:rFonts w:ascii="宋体" w:hAnsi="宋体" w:cs="宋体"/>
          <w:sz w:val="24"/>
        </w:rPr>
        <w:t>；</w:t>
      </w:r>
    </w:p>
    <w:p w14:paraId="36B30DD6">
      <w:pPr>
        <w:spacing w:line="360" w:lineRule="auto"/>
        <w:ind w:firstLine="480"/>
        <w:rPr>
          <w:rFonts w:ascii="宋体" w:hAnsi="宋体" w:cs="宋体"/>
          <w:sz w:val="24"/>
        </w:rPr>
      </w:pPr>
      <w:r>
        <w:rPr>
          <w:rFonts w:ascii="宋体" w:hAnsi="宋体" w:cs="宋体"/>
          <w:sz w:val="24"/>
        </w:rPr>
        <w:t>以上企业，不属于大企业的分支机构，不存在控股股东为大企业的情形，也不存在与大企业的负责人为同一人的情形。</w:t>
      </w:r>
    </w:p>
    <w:p w14:paraId="3C915E5F">
      <w:pPr>
        <w:spacing w:line="360" w:lineRule="auto"/>
        <w:ind w:firstLine="480"/>
        <w:rPr>
          <w:rFonts w:ascii="宋体" w:hAnsi="宋体" w:cs="宋体"/>
          <w:sz w:val="24"/>
        </w:rPr>
      </w:pPr>
      <w:r>
        <w:rPr>
          <w:rFonts w:ascii="宋体" w:hAnsi="宋体" w:cs="宋体"/>
          <w:sz w:val="24"/>
        </w:rPr>
        <w:t xml:space="preserve">本企业对上述声明内容的真实性负责。如有虚假，将依法承担相应责任。 </w:t>
      </w:r>
    </w:p>
    <w:p w14:paraId="5B78F29C">
      <w:pPr>
        <w:spacing w:line="360" w:lineRule="auto"/>
        <w:ind w:firstLine="480"/>
        <w:jc w:val="right"/>
        <w:rPr>
          <w:rFonts w:ascii="宋体" w:hAnsi="宋体" w:cs="宋体"/>
          <w:sz w:val="24"/>
        </w:rPr>
      </w:pPr>
      <w:r>
        <w:rPr>
          <w:rFonts w:ascii="宋体" w:hAnsi="宋体" w:cs="宋体"/>
          <w:sz w:val="24"/>
        </w:rPr>
        <w:t xml:space="preserve">企业名称：__________ </w:t>
      </w:r>
    </w:p>
    <w:p w14:paraId="12D079FA">
      <w:pPr>
        <w:spacing w:line="360" w:lineRule="auto"/>
        <w:jc w:val="right"/>
        <w:rPr>
          <w:b/>
          <w:sz w:val="24"/>
        </w:rPr>
      </w:pPr>
      <w:r>
        <w:rPr>
          <w:rFonts w:hint="eastAsia" w:ascii="宋体" w:hAnsi="宋体" w:cs="宋体"/>
          <w:sz w:val="24"/>
        </w:rPr>
        <w:t xml:space="preserve">         </w:t>
      </w:r>
      <w:r>
        <w:rPr>
          <w:rFonts w:ascii="宋体" w:hAnsi="宋体" w:cs="宋体"/>
          <w:sz w:val="24"/>
        </w:rPr>
        <w:t>日期 ：__________</w:t>
      </w:r>
    </w:p>
    <w:p w14:paraId="74A5E00D">
      <w:pPr>
        <w:spacing w:line="360" w:lineRule="auto"/>
        <w:rPr>
          <w:b/>
          <w:sz w:val="24"/>
        </w:rPr>
      </w:pPr>
    </w:p>
    <w:p w14:paraId="1ECB80B1">
      <w:pPr>
        <w:spacing w:line="360" w:lineRule="auto"/>
        <w:rPr>
          <w:b/>
          <w:sz w:val="24"/>
        </w:rPr>
      </w:pPr>
    </w:p>
    <w:p w14:paraId="1A300DA4">
      <w:pPr>
        <w:spacing w:line="360" w:lineRule="auto"/>
        <w:rPr>
          <w:b/>
          <w:sz w:val="24"/>
        </w:rPr>
      </w:pPr>
    </w:p>
    <w:p w14:paraId="629B3CF6">
      <w:pPr>
        <w:spacing w:line="360" w:lineRule="auto"/>
        <w:rPr>
          <w:b/>
          <w:sz w:val="24"/>
        </w:rPr>
      </w:pPr>
    </w:p>
    <w:p w14:paraId="534E0E3A">
      <w:pPr>
        <w:spacing w:line="360" w:lineRule="auto"/>
        <w:rPr>
          <w:b/>
          <w:sz w:val="24"/>
        </w:rPr>
      </w:pPr>
    </w:p>
    <w:p w14:paraId="2A08B22F">
      <w:pPr>
        <w:spacing w:line="360" w:lineRule="auto"/>
        <w:rPr>
          <w:b/>
          <w:sz w:val="24"/>
        </w:rPr>
      </w:pPr>
    </w:p>
    <w:p w14:paraId="64A22DD5">
      <w:pPr>
        <w:spacing w:line="360" w:lineRule="auto"/>
        <w:rPr>
          <w:b/>
          <w:sz w:val="24"/>
        </w:rPr>
      </w:pPr>
    </w:p>
    <w:p w14:paraId="131226F5">
      <w:pPr>
        <w:spacing w:line="360" w:lineRule="auto"/>
        <w:rPr>
          <w:b/>
          <w:sz w:val="24"/>
        </w:rPr>
      </w:pPr>
    </w:p>
    <w:p w14:paraId="146B20A5">
      <w:pPr>
        <w:spacing w:line="360" w:lineRule="auto"/>
        <w:rPr>
          <w:b/>
          <w:sz w:val="24"/>
        </w:rPr>
      </w:pPr>
    </w:p>
    <w:p w14:paraId="57E463E9">
      <w:pPr>
        <w:spacing w:line="360" w:lineRule="auto"/>
        <w:rPr>
          <w:b/>
          <w:sz w:val="24"/>
        </w:rPr>
      </w:pPr>
    </w:p>
    <w:p w14:paraId="28592B6D">
      <w:pPr>
        <w:spacing w:line="360" w:lineRule="auto"/>
        <w:rPr>
          <w:b/>
          <w:sz w:val="24"/>
        </w:rPr>
      </w:pPr>
    </w:p>
    <w:p w14:paraId="05E14BE1">
      <w:pPr>
        <w:spacing w:line="360" w:lineRule="auto"/>
        <w:rPr>
          <w:b/>
          <w:sz w:val="24"/>
        </w:rPr>
      </w:pPr>
    </w:p>
    <w:p w14:paraId="0D1BAD27">
      <w:pPr>
        <w:spacing w:line="360" w:lineRule="auto"/>
        <w:rPr>
          <w:b/>
          <w:sz w:val="24"/>
        </w:rPr>
      </w:pPr>
    </w:p>
    <w:p w14:paraId="0EB90911">
      <w:pPr>
        <w:rPr>
          <w:b/>
          <w:sz w:val="24"/>
        </w:rPr>
      </w:pPr>
      <w:r>
        <w:rPr>
          <w:rFonts w:hint="eastAsia"/>
          <w:b/>
          <w:sz w:val="24"/>
        </w:rPr>
        <w:br w:type="page" w:clear="all"/>
      </w:r>
    </w:p>
    <w:p w14:paraId="4B580084">
      <w:pPr>
        <w:spacing w:line="360" w:lineRule="auto"/>
        <w:rPr>
          <w:b/>
          <w:sz w:val="24"/>
        </w:rPr>
      </w:pPr>
      <w:r>
        <w:rPr>
          <w:rFonts w:hint="eastAsia"/>
          <w:b/>
          <w:sz w:val="24"/>
        </w:rPr>
        <w:t>附件二、残疾人福利性单位声明函格式</w:t>
      </w:r>
    </w:p>
    <w:p w14:paraId="2B7A12DE">
      <w:pPr>
        <w:jc w:val="center"/>
        <w:rPr>
          <w:b/>
          <w:bCs/>
          <w:sz w:val="24"/>
        </w:rPr>
      </w:pPr>
      <w:r>
        <w:rPr>
          <w:rFonts w:hint="eastAsia" w:ascii="黑体" w:eastAsia="黑体"/>
          <w:b/>
          <w:bCs/>
          <w:sz w:val="32"/>
          <w:szCs w:val="32"/>
        </w:rPr>
        <w:t>残疾人福利性单位声明函声明</w:t>
      </w:r>
    </w:p>
    <w:p w14:paraId="4DBB3534">
      <w:pPr>
        <w:spacing w:line="360" w:lineRule="auto"/>
        <w:rPr>
          <w:sz w:val="24"/>
        </w:rPr>
      </w:pPr>
      <w:r>
        <w:rPr>
          <w:rFonts w:hint="eastAsia" w:ascii="宋体"/>
          <w:sz w:val="24"/>
          <w:lang w:val="zh-CN"/>
        </w:rPr>
        <w:t>中山陵园管理局</w:t>
      </w:r>
      <w:r>
        <w:rPr>
          <w:rFonts w:hint="eastAsia"/>
          <w:sz w:val="24"/>
        </w:rPr>
        <w:t>：</w:t>
      </w:r>
    </w:p>
    <w:p w14:paraId="27BB46A6">
      <w:pPr>
        <w:spacing w:line="360" w:lineRule="auto"/>
        <w:ind w:firstLine="420"/>
        <w:rPr>
          <w:sz w:val="24"/>
        </w:rPr>
      </w:pPr>
      <w:r>
        <w:rPr>
          <w:rFonts w:hint="eastAsia"/>
          <w:sz w:val="24"/>
        </w:rPr>
        <w:t xml:space="preserve">    我单位 </w:t>
      </w:r>
      <w:r>
        <w:rPr>
          <w:rFonts w:hint="eastAsia"/>
          <w:sz w:val="24"/>
          <w:u w:val="single"/>
        </w:rPr>
        <w:t xml:space="preserve">                      （供应商名称）</w:t>
      </w:r>
      <w:r>
        <w:rPr>
          <w:rFonts w:hint="eastAsia"/>
          <w:sz w:val="24"/>
        </w:rPr>
        <w:t>郑重声明，本公司为残疾人福利性单位。即，本单位同时满足以下条件：</w:t>
      </w:r>
    </w:p>
    <w:p w14:paraId="362970A2">
      <w:pPr>
        <w:shd w:val="clear" w:color="auto" w:fill="FFFFFF"/>
        <w:spacing w:before="100" w:beforeAutospacing="1" w:after="100" w:afterAutospacing="1"/>
        <w:ind w:firstLine="600"/>
        <w:rPr>
          <w:sz w:val="24"/>
        </w:rPr>
      </w:pPr>
      <w:r>
        <w:rPr>
          <w:rFonts w:hint="eastAsia"/>
          <w:sz w:val="24"/>
        </w:rPr>
        <w:t>1、安置的残疾人占本单位在职职工人数的比例不低于25%（含25%），并且安置的残疾人人数不少于10人（含10人）；</w:t>
      </w:r>
    </w:p>
    <w:p w14:paraId="1CC8A9FA">
      <w:pPr>
        <w:widowControl/>
        <w:shd w:val="clear" w:color="auto" w:fill="FFFFFF"/>
        <w:spacing w:before="100" w:beforeAutospacing="1" w:after="100" w:afterAutospacing="1"/>
        <w:jc w:val="left"/>
        <w:rPr>
          <w:sz w:val="24"/>
        </w:rPr>
      </w:pPr>
      <w:r>
        <w:rPr>
          <w:rFonts w:hint="eastAsia"/>
          <w:sz w:val="24"/>
        </w:rPr>
        <w:t>　　2、依法与安置的每位残疾人签订了30日历天以上（含30日历天）的劳动合同或服务协议；</w:t>
      </w:r>
    </w:p>
    <w:p w14:paraId="598DD938">
      <w:pPr>
        <w:widowControl/>
        <w:shd w:val="clear" w:color="auto" w:fill="FFFFFF"/>
        <w:spacing w:before="100" w:beforeAutospacing="1" w:after="100" w:afterAutospacing="1"/>
        <w:jc w:val="left"/>
        <w:rPr>
          <w:sz w:val="24"/>
        </w:rPr>
      </w:pPr>
      <w:r>
        <w:rPr>
          <w:rFonts w:hint="eastAsia"/>
          <w:sz w:val="24"/>
        </w:rPr>
        <w:t>　　3、为安置的每位残疾人按月足额缴纳了基本养老保险、基本医疗保险、失业保险、工伤保险和生育保险等社会保险费；</w:t>
      </w:r>
    </w:p>
    <w:p w14:paraId="1CEF1A16">
      <w:pPr>
        <w:widowControl/>
        <w:shd w:val="clear" w:color="auto" w:fill="FFFFFF"/>
        <w:spacing w:before="100" w:beforeAutospacing="1" w:after="100" w:afterAutospacing="1"/>
        <w:jc w:val="left"/>
        <w:rPr>
          <w:sz w:val="24"/>
        </w:rPr>
      </w:pPr>
      <w:r>
        <w:rPr>
          <w:rFonts w:hint="eastAsia"/>
          <w:sz w:val="24"/>
        </w:rPr>
        <w:t>　　4、通过银行等金融机构向安置的每位残疾人，按月支付了不低于单位所在区县适用的经省级人民政府批准的月最低工资标准的工资；</w:t>
      </w:r>
    </w:p>
    <w:p w14:paraId="41A42E2F">
      <w:pPr>
        <w:widowControl/>
        <w:shd w:val="clear" w:color="auto" w:fill="FFFFFF"/>
        <w:spacing w:before="100" w:beforeAutospacing="1" w:after="100" w:afterAutospacing="1"/>
        <w:jc w:val="left"/>
        <w:rPr>
          <w:sz w:val="24"/>
        </w:rPr>
      </w:pPr>
      <w:r>
        <w:rPr>
          <w:rFonts w:hint="eastAsia"/>
          <w:sz w:val="24"/>
        </w:rPr>
        <w:t>　　5、本单位参加______（项目编号）_______________（项目名称）采购活动提供本单位制造的货物、承担的工程或者服务（以下简称产品），或者提供其他残疾人福利性单位制造的货物（不包括使用非残疾人福利性单位注册商标的货物）。</w:t>
      </w:r>
    </w:p>
    <w:p w14:paraId="0BD23D9D">
      <w:pPr>
        <w:spacing w:line="360" w:lineRule="auto"/>
        <w:ind w:firstLine="420"/>
        <w:rPr>
          <w:sz w:val="24"/>
        </w:rPr>
      </w:pPr>
      <w:r>
        <w:rPr>
          <w:rFonts w:hint="eastAsia"/>
          <w:sz w:val="24"/>
        </w:rPr>
        <w:t>本单位对上述声明的真实性负责。如有虚假，将依法承担相应责任。</w:t>
      </w:r>
    </w:p>
    <w:p w14:paraId="40B3A3B4">
      <w:pPr>
        <w:spacing w:line="360" w:lineRule="auto"/>
        <w:rPr>
          <w:sz w:val="24"/>
        </w:rPr>
      </w:pPr>
    </w:p>
    <w:p w14:paraId="79B638B8">
      <w:pPr>
        <w:spacing w:line="360" w:lineRule="auto"/>
        <w:ind w:firstLine="4800"/>
        <w:rPr>
          <w:sz w:val="24"/>
        </w:rPr>
      </w:pPr>
      <w:r>
        <w:rPr>
          <w:rFonts w:hint="eastAsia"/>
          <w:sz w:val="24"/>
        </w:rPr>
        <w:t>单位名称（盖章）：</w:t>
      </w:r>
    </w:p>
    <w:p w14:paraId="77F26FF9">
      <w:pPr>
        <w:spacing w:line="360" w:lineRule="auto"/>
        <w:ind w:firstLine="4800"/>
        <w:rPr>
          <w:sz w:val="24"/>
        </w:rPr>
      </w:pPr>
      <w:r>
        <w:rPr>
          <w:rFonts w:hint="eastAsia"/>
          <w:sz w:val="24"/>
        </w:rPr>
        <w:t>日　　　　　　期：</w:t>
      </w:r>
    </w:p>
    <w:p w14:paraId="23E32520">
      <w:pPr>
        <w:spacing w:line="360" w:lineRule="auto"/>
        <w:rPr>
          <w:sz w:val="24"/>
        </w:rPr>
      </w:pPr>
    </w:p>
    <w:p w14:paraId="2E2E77B0">
      <w:pPr>
        <w:widowControl/>
        <w:spacing w:line="240" w:lineRule="atLeast"/>
        <w:rPr>
          <w:b/>
          <w:sz w:val="24"/>
        </w:rPr>
      </w:pPr>
    </w:p>
    <w:p w14:paraId="4079F567">
      <w:pPr>
        <w:widowControl/>
        <w:spacing w:line="240" w:lineRule="atLeast"/>
        <w:rPr>
          <w:b/>
          <w:sz w:val="24"/>
        </w:rPr>
      </w:pPr>
    </w:p>
    <w:p w14:paraId="7E8B26C0">
      <w:pPr>
        <w:widowControl/>
        <w:spacing w:line="240" w:lineRule="atLeast"/>
        <w:rPr>
          <w:b/>
          <w:sz w:val="24"/>
        </w:rPr>
      </w:pPr>
    </w:p>
    <w:p w14:paraId="6FE41DDA">
      <w:pPr>
        <w:widowControl/>
        <w:spacing w:line="240" w:lineRule="atLeast"/>
        <w:rPr>
          <w:b/>
          <w:sz w:val="24"/>
        </w:rPr>
      </w:pPr>
    </w:p>
    <w:p w14:paraId="33088A2B">
      <w:pPr>
        <w:widowControl/>
        <w:spacing w:line="240" w:lineRule="atLeast"/>
        <w:rPr>
          <w:b/>
          <w:sz w:val="24"/>
        </w:rPr>
      </w:pPr>
    </w:p>
    <w:p w14:paraId="6A9CFF35">
      <w:pPr>
        <w:widowControl/>
        <w:spacing w:line="240" w:lineRule="atLeast"/>
        <w:rPr>
          <w:b/>
          <w:sz w:val="24"/>
        </w:rPr>
      </w:pPr>
    </w:p>
    <w:p w14:paraId="1FB005E3">
      <w:pPr>
        <w:widowControl/>
        <w:spacing w:line="240" w:lineRule="atLeast"/>
        <w:rPr>
          <w:b/>
          <w:sz w:val="24"/>
        </w:rPr>
      </w:pPr>
    </w:p>
    <w:p w14:paraId="60B5C583">
      <w:pPr>
        <w:widowControl/>
        <w:spacing w:line="240" w:lineRule="atLeast"/>
        <w:rPr>
          <w:b/>
          <w:sz w:val="24"/>
        </w:rPr>
      </w:pPr>
    </w:p>
    <w:p w14:paraId="65684FFE">
      <w:pPr>
        <w:widowControl/>
        <w:spacing w:line="240" w:lineRule="atLeast"/>
        <w:rPr>
          <w:b/>
          <w:sz w:val="24"/>
        </w:rPr>
      </w:pPr>
    </w:p>
    <w:p w14:paraId="4258C629">
      <w:pPr>
        <w:widowControl/>
        <w:spacing w:line="240" w:lineRule="atLeast"/>
        <w:rPr>
          <w:b/>
          <w:sz w:val="24"/>
        </w:rPr>
      </w:pPr>
    </w:p>
    <w:p w14:paraId="1A2B7137">
      <w:pPr>
        <w:widowControl/>
        <w:spacing w:line="240" w:lineRule="atLeast"/>
        <w:rPr>
          <w:b/>
          <w:sz w:val="24"/>
        </w:rPr>
      </w:pPr>
    </w:p>
    <w:p w14:paraId="56D61B16">
      <w:pPr>
        <w:widowControl/>
        <w:spacing w:line="240" w:lineRule="atLeast"/>
        <w:rPr>
          <w:b/>
          <w:sz w:val="24"/>
        </w:rPr>
      </w:pPr>
    </w:p>
    <w:p w14:paraId="61203C4E">
      <w:pPr>
        <w:widowControl/>
        <w:spacing w:line="240" w:lineRule="atLeast"/>
        <w:rPr>
          <w:b/>
          <w:sz w:val="24"/>
        </w:rPr>
      </w:pPr>
    </w:p>
    <w:p w14:paraId="7722CFD7">
      <w:pPr>
        <w:widowControl/>
        <w:spacing w:line="240" w:lineRule="atLeast"/>
        <w:rPr>
          <w:b/>
          <w:sz w:val="24"/>
        </w:rPr>
      </w:pPr>
    </w:p>
    <w:p w14:paraId="56C807C3">
      <w:pPr>
        <w:rPr>
          <w:b/>
          <w:sz w:val="24"/>
        </w:rPr>
      </w:pPr>
      <w:r>
        <w:rPr>
          <w:rFonts w:hint="eastAsia"/>
          <w:b/>
          <w:sz w:val="24"/>
        </w:rPr>
        <w:br w:type="page" w:clear="all"/>
      </w:r>
    </w:p>
    <w:p w14:paraId="3E9AF576">
      <w:pPr>
        <w:widowControl/>
        <w:spacing w:line="240" w:lineRule="atLeast"/>
        <w:rPr>
          <w:b/>
          <w:sz w:val="24"/>
        </w:rPr>
      </w:pPr>
      <w:r>
        <w:rPr>
          <w:rFonts w:hint="eastAsia"/>
          <w:b/>
          <w:sz w:val="24"/>
        </w:rPr>
        <w:t>附件三、无重大违法记录声明格式</w:t>
      </w:r>
    </w:p>
    <w:p w14:paraId="52ECCE01">
      <w:pPr>
        <w:widowControl/>
        <w:spacing w:line="240" w:lineRule="atLeast"/>
        <w:rPr>
          <w:b/>
          <w:sz w:val="24"/>
        </w:rPr>
      </w:pPr>
    </w:p>
    <w:p w14:paraId="2242DD62">
      <w:pPr>
        <w:jc w:val="center"/>
        <w:rPr>
          <w:rFonts w:ascii="黑体" w:eastAsia="黑体"/>
          <w:sz w:val="24"/>
        </w:rPr>
      </w:pPr>
      <w:r>
        <w:rPr>
          <w:rFonts w:hint="eastAsia" w:ascii="黑体" w:eastAsia="黑体"/>
          <w:sz w:val="24"/>
        </w:rPr>
        <w:t>无重大违法记录声明</w:t>
      </w:r>
    </w:p>
    <w:p w14:paraId="3B3A0889">
      <w:pPr>
        <w:spacing w:line="360" w:lineRule="auto"/>
        <w:rPr>
          <w:sz w:val="24"/>
        </w:rPr>
      </w:pPr>
    </w:p>
    <w:p w14:paraId="5A9988E4">
      <w:pPr>
        <w:spacing w:line="360" w:lineRule="auto"/>
        <w:rPr>
          <w:sz w:val="24"/>
        </w:rPr>
      </w:pPr>
      <w:r>
        <w:rPr>
          <w:rFonts w:hint="eastAsia" w:ascii="宋体"/>
          <w:sz w:val="24"/>
        </w:rPr>
        <w:t>中山陵园管理局</w:t>
      </w:r>
      <w:r>
        <w:rPr>
          <w:rFonts w:hint="eastAsia"/>
          <w:sz w:val="24"/>
        </w:rPr>
        <w:t>：</w:t>
      </w:r>
    </w:p>
    <w:p w14:paraId="2D2DC55F">
      <w:pPr>
        <w:spacing w:line="360" w:lineRule="auto"/>
        <w:rPr>
          <w:sz w:val="24"/>
        </w:rPr>
      </w:pPr>
      <w:r>
        <w:rPr>
          <w:rFonts w:hint="eastAsia"/>
          <w:sz w:val="24"/>
        </w:rPr>
        <w:t xml:space="preserve">    我单位</w:t>
      </w:r>
      <w:r>
        <w:rPr>
          <w:rFonts w:hint="eastAsia"/>
          <w:sz w:val="24"/>
          <w:u w:val="single"/>
        </w:rPr>
        <w:t xml:space="preserve">                                       </w:t>
      </w:r>
      <w:r>
        <w:rPr>
          <w:rFonts w:hint="eastAsia"/>
          <w:sz w:val="24"/>
        </w:rPr>
        <w:t>（供应商名称）郑重声明：</w:t>
      </w:r>
    </w:p>
    <w:p w14:paraId="25C3C539">
      <w:pPr>
        <w:spacing w:line="360" w:lineRule="auto"/>
        <w:rPr>
          <w:sz w:val="24"/>
        </w:rPr>
      </w:pPr>
      <w:r>
        <w:rPr>
          <w:rFonts w:hint="eastAsia"/>
          <w:sz w:val="24"/>
        </w:rPr>
        <w:t xml:space="preserve">    参加政府采购活动前3年内在经营活动中</w:t>
      </w:r>
      <w:r>
        <w:rPr>
          <w:rFonts w:hint="eastAsia"/>
          <w:sz w:val="24"/>
          <w:u w:val="single"/>
        </w:rPr>
        <w:t xml:space="preserve">        </w:t>
      </w:r>
      <w:r>
        <w:rPr>
          <w:rFonts w:hint="eastAsia"/>
          <w:sz w:val="24"/>
        </w:rPr>
        <w:t>（在下划线上如实填写：有或没有）重大违法记录。</w:t>
      </w:r>
    </w:p>
    <w:p w14:paraId="02C97C0E">
      <w:pPr>
        <w:spacing w:line="360" w:lineRule="auto"/>
        <w:rPr>
          <w:sz w:val="24"/>
        </w:rPr>
      </w:pPr>
      <w:r>
        <w:rPr>
          <w:rFonts w:hint="eastAsia"/>
          <w:sz w:val="24"/>
        </w:rPr>
        <w:t xml:space="preserve">    （说明：政府采购法第二十二条第一款第五项所称重大违法记录，是指供应商因违法经营受到刑事处罚或者责令停产停业、吊销许可证或者执照、较大数额罚款等行政处罚。）</w:t>
      </w:r>
    </w:p>
    <w:p w14:paraId="2FB14991">
      <w:pPr>
        <w:spacing w:line="360" w:lineRule="auto"/>
        <w:rPr>
          <w:sz w:val="24"/>
        </w:rPr>
      </w:pPr>
      <w:r>
        <w:rPr>
          <w:rFonts w:hint="eastAsia"/>
          <w:sz w:val="24"/>
        </w:rPr>
        <w:t xml:space="preserve">                                    </w:t>
      </w:r>
    </w:p>
    <w:p w14:paraId="0078FC54">
      <w:pPr>
        <w:spacing w:line="360" w:lineRule="auto"/>
        <w:rPr>
          <w:sz w:val="24"/>
        </w:rPr>
      </w:pPr>
      <w:r>
        <w:rPr>
          <w:rFonts w:hint="eastAsia"/>
          <w:sz w:val="24"/>
        </w:rPr>
        <w:t xml:space="preserve">                                                声明人：（公章）</w:t>
      </w:r>
    </w:p>
    <w:p w14:paraId="3E0A0DF9">
      <w:pPr>
        <w:spacing w:line="360" w:lineRule="auto"/>
        <w:rPr>
          <w:sz w:val="24"/>
        </w:rPr>
      </w:pPr>
      <w:r>
        <w:rPr>
          <w:rFonts w:hint="eastAsia"/>
          <w:sz w:val="24"/>
        </w:rPr>
        <w:t xml:space="preserve">                                                年     月    日</w:t>
      </w:r>
    </w:p>
    <w:p w14:paraId="1717CA20">
      <w:pPr>
        <w:spacing w:line="360" w:lineRule="auto"/>
        <w:rPr>
          <w:sz w:val="24"/>
        </w:rPr>
      </w:pPr>
    </w:p>
    <w:p w14:paraId="4486A1E0">
      <w:pPr>
        <w:spacing w:line="360" w:lineRule="auto"/>
        <w:rPr>
          <w:sz w:val="24"/>
        </w:rPr>
      </w:pPr>
    </w:p>
    <w:p w14:paraId="6C0A016D">
      <w:pPr>
        <w:pStyle w:val="252"/>
        <w:rPr>
          <w:sz w:val="24"/>
          <w:szCs w:val="24"/>
        </w:rPr>
      </w:pPr>
    </w:p>
    <w:p w14:paraId="222BDF75">
      <w:pPr>
        <w:pStyle w:val="252"/>
        <w:rPr>
          <w:sz w:val="24"/>
          <w:szCs w:val="24"/>
        </w:rPr>
      </w:pPr>
    </w:p>
    <w:p w14:paraId="6C203401">
      <w:pPr>
        <w:pStyle w:val="252"/>
        <w:rPr>
          <w:sz w:val="24"/>
          <w:szCs w:val="24"/>
        </w:rPr>
      </w:pPr>
    </w:p>
    <w:p w14:paraId="6FBA38CD">
      <w:pPr>
        <w:spacing w:line="360" w:lineRule="auto"/>
        <w:rPr>
          <w:b/>
          <w:sz w:val="24"/>
        </w:rPr>
      </w:pPr>
      <w:r>
        <w:rPr>
          <w:b/>
          <w:sz w:val="24"/>
        </w:rPr>
        <w:br w:type="page" w:clear="all"/>
      </w:r>
      <w:r>
        <w:rPr>
          <w:rFonts w:hint="eastAsia"/>
          <w:b/>
          <w:sz w:val="24"/>
        </w:rPr>
        <w:t>附件四、具备履行合同所必需的设备和专业技术能力的声明格式及证明材料</w:t>
      </w:r>
    </w:p>
    <w:p w14:paraId="7B06F7D2">
      <w:pPr>
        <w:spacing w:line="360" w:lineRule="auto"/>
        <w:rPr>
          <w:rFonts w:ascii="黑体" w:eastAsia="黑体"/>
          <w:sz w:val="24"/>
        </w:rPr>
      </w:pPr>
      <w:r>
        <w:rPr>
          <w:rFonts w:hint="eastAsia" w:ascii="黑体" w:eastAsia="黑体"/>
          <w:sz w:val="24"/>
        </w:rPr>
        <w:t xml:space="preserve">  </w:t>
      </w:r>
      <w:r>
        <w:rPr>
          <w:rFonts w:hint="eastAsia" w:ascii="黑体" w:eastAsia="黑体"/>
          <w:b/>
          <w:bCs/>
          <w:sz w:val="32"/>
          <w:szCs w:val="32"/>
        </w:rPr>
        <w:t>具备履行合同所必需的设备和专业技术能力的声明格式</w:t>
      </w:r>
    </w:p>
    <w:p w14:paraId="70F1D7F9">
      <w:pPr>
        <w:spacing w:line="360" w:lineRule="auto"/>
        <w:rPr>
          <w:sz w:val="24"/>
        </w:rPr>
      </w:pPr>
      <w:r>
        <w:rPr>
          <w:rFonts w:hint="eastAsia" w:ascii="宋体"/>
          <w:sz w:val="24"/>
        </w:rPr>
        <w:t>中山陵园管理局</w:t>
      </w:r>
      <w:r>
        <w:rPr>
          <w:rFonts w:hint="eastAsia"/>
          <w:sz w:val="24"/>
        </w:rPr>
        <w:t>：</w:t>
      </w:r>
    </w:p>
    <w:p w14:paraId="127F90D5">
      <w:pPr>
        <w:spacing w:line="460" w:lineRule="exact"/>
        <w:ind w:firstLine="492"/>
        <w:rPr>
          <w:sz w:val="24"/>
        </w:rPr>
      </w:pPr>
      <w:r>
        <w:rPr>
          <w:rFonts w:hint="eastAsia"/>
          <w:sz w:val="24"/>
        </w:rPr>
        <w:t>我单位</w:t>
      </w:r>
      <w:r>
        <w:rPr>
          <w:rFonts w:hint="eastAsia"/>
          <w:b/>
          <w:bCs/>
          <w:sz w:val="24"/>
          <w:u w:val="single"/>
        </w:rPr>
        <w:t xml:space="preserve">                             </w:t>
      </w:r>
      <w:r>
        <w:rPr>
          <w:rFonts w:hint="eastAsia"/>
          <w:sz w:val="24"/>
        </w:rPr>
        <w:t>（供应商名称）郑重声明：我公司具备履行本项采购合同所必需的设备和专业技术能力，为履行本项采购合同我单位具备如下主要设备和主要专业技术能力：</w:t>
      </w:r>
    </w:p>
    <w:p w14:paraId="0002D58C">
      <w:pPr>
        <w:spacing w:line="460" w:lineRule="exact"/>
        <w:ind w:firstLine="492"/>
        <w:rPr>
          <w:sz w:val="24"/>
        </w:rPr>
      </w:pPr>
      <w:r>
        <w:rPr>
          <w:rFonts w:hint="eastAsia"/>
          <w:sz w:val="24"/>
        </w:rPr>
        <w:t>主要设备有：</w:t>
      </w:r>
      <w:r>
        <w:rPr>
          <w:rFonts w:hint="eastAsia"/>
          <w:b/>
          <w:bCs/>
          <w:sz w:val="24"/>
          <w:u w:val="single"/>
        </w:rPr>
        <w:t xml:space="preserve">                             </w:t>
      </w:r>
      <w:r>
        <w:rPr>
          <w:rFonts w:hint="eastAsia"/>
          <w:sz w:val="24"/>
        </w:rPr>
        <w:t>。( 若有 )</w:t>
      </w:r>
    </w:p>
    <w:p w14:paraId="612E9968">
      <w:pPr>
        <w:spacing w:line="460" w:lineRule="exact"/>
        <w:ind w:firstLine="492"/>
        <w:rPr>
          <w:sz w:val="24"/>
        </w:rPr>
      </w:pPr>
      <w:r>
        <w:rPr>
          <w:rFonts w:hint="eastAsia"/>
          <w:sz w:val="24"/>
        </w:rPr>
        <w:t>主要专业技术能力有：</w:t>
      </w:r>
      <w:r>
        <w:rPr>
          <w:rFonts w:hint="eastAsia"/>
          <w:b/>
          <w:bCs/>
          <w:sz w:val="24"/>
          <w:u w:val="single"/>
        </w:rPr>
        <w:t xml:space="preserve">                             </w:t>
      </w:r>
      <w:r>
        <w:rPr>
          <w:rFonts w:hint="eastAsia"/>
          <w:sz w:val="24"/>
        </w:rPr>
        <w:t>。( 若有 )</w:t>
      </w:r>
    </w:p>
    <w:p w14:paraId="0D5A9D4C">
      <w:pPr>
        <w:spacing w:line="360" w:lineRule="auto"/>
        <w:rPr>
          <w:sz w:val="24"/>
        </w:rPr>
      </w:pPr>
      <w:r>
        <w:rPr>
          <w:rFonts w:hint="eastAsia"/>
          <w:sz w:val="24"/>
        </w:rPr>
        <w:t xml:space="preserve">                                      </w:t>
      </w:r>
    </w:p>
    <w:p w14:paraId="2098C5CA">
      <w:pPr>
        <w:spacing w:line="360" w:lineRule="auto"/>
        <w:rPr>
          <w:sz w:val="24"/>
        </w:rPr>
      </w:pPr>
    </w:p>
    <w:p w14:paraId="738DF9C5">
      <w:pPr>
        <w:spacing w:line="360" w:lineRule="auto"/>
        <w:rPr>
          <w:sz w:val="24"/>
        </w:rPr>
      </w:pPr>
      <w:r>
        <w:rPr>
          <w:rFonts w:hint="eastAsia"/>
          <w:sz w:val="24"/>
        </w:rPr>
        <w:t xml:space="preserve">                                           声明人：（公章）</w:t>
      </w:r>
    </w:p>
    <w:p w14:paraId="524656B3">
      <w:pPr>
        <w:spacing w:line="460" w:lineRule="exact"/>
        <w:rPr>
          <w:sz w:val="24"/>
        </w:rPr>
      </w:pPr>
      <w:r>
        <w:rPr>
          <w:rFonts w:hint="eastAsia" w:ascii="宋体" w:hAnsi="宋体"/>
          <w:bCs/>
          <w:sz w:val="24"/>
        </w:rPr>
        <w:t xml:space="preserve">                                           </w:t>
      </w:r>
      <w:r>
        <w:rPr>
          <w:rFonts w:hint="eastAsia"/>
          <w:sz w:val="24"/>
        </w:rPr>
        <w:t>日期：______年    月    日</w:t>
      </w:r>
    </w:p>
    <w:p w14:paraId="14DB09D3">
      <w:pPr>
        <w:spacing w:line="460" w:lineRule="exact"/>
        <w:ind w:firstLine="492"/>
        <w:rPr>
          <w:sz w:val="24"/>
        </w:rPr>
        <w:sectPr>
          <w:pgSz w:w="11906" w:h="16838"/>
          <w:pgMar w:top="1417" w:right="1417" w:bottom="1020" w:left="1417" w:header="851" w:footer="992" w:gutter="0"/>
          <w:cols w:space="1701" w:num="1"/>
          <w:titlePg/>
          <w:docGrid w:linePitch="360" w:charSpace="0"/>
        </w:sectPr>
      </w:pPr>
      <w:r>
        <w:rPr>
          <w:rFonts w:hint="eastAsia"/>
          <w:sz w:val="24"/>
        </w:rPr>
        <w:t>其他证明材料及文件：（如果供应商认为需要提供的话）</w:t>
      </w:r>
    </w:p>
    <w:p w14:paraId="56C1A291">
      <w:pPr>
        <w:spacing w:line="460" w:lineRule="exact"/>
        <w:rPr>
          <w:b/>
          <w:sz w:val="24"/>
        </w:rPr>
      </w:pPr>
      <w:r>
        <w:rPr>
          <w:rFonts w:hint="eastAsia"/>
          <w:b/>
          <w:sz w:val="24"/>
        </w:rPr>
        <w:t>附件五、南京市政府采购供应商信用记录表暨信用承诺书</w:t>
      </w:r>
    </w:p>
    <w:p w14:paraId="463E8304">
      <w:pPr>
        <w:spacing w:line="460" w:lineRule="exact"/>
        <w:jc w:val="center"/>
        <w:rPr>
          <w:rFonts w:ascii="黑体" w:eastAsia="黑体"/>
          <w:b/>
          <w:bCs/>
          <w:sz w:val="28"/>
          <w:szCs w:val="28"/>
        </w:rPr>
      </w:pPr>
      <w:r>
        <w:rPr>
          <w:rFonts w:hint="eastAsia" w:ascii="黑体" w:eastAsia="黑体"/>
          <w:b/>
          <w:bCs/>
          <w:sz w:val="28"/>
          <w:szCs w:val="28"/>
        </w:rPr>
        <w:t>南京市政府采购供应商信用记录表暨信用承诺书（以网上下载为准）</w:t>
      </w:r>
    </w:p>
    <w:p w14:paraId="329D2635">
      <w:pPr>
        <w:spacing w:line="460" w:lineRule="exact"/>
        <w:ind w:firstLine="1265"/>
        <w:rPr>
          <w:rFonts w:ascii="宋体" w:hAnsi="宋体" w:cs="宋体"/>
        </w:rPr>
      </w:pPr>
      <w:r>
        <w:rPr>
          <w:rFonts w:hint="eastAsia" w:ascii="黑体" w:eastAsia="黑体"/>
          <w:b/>
          <w:bCs/>
          <w:sz w:val="28"/>
          <w:szCs w:val="28"/>
        </w:rPr>
        <w:t xml:space="preserve">                                   </w:t>
      </w:r>
      <w:r>
        <w:rPr>
          <w:rFonts w:hint="eastAsia" w:ascii="宋体" w:hAnsi="宋体" w:cs="宋体"/>
          <w:sz w:val="28"/>
          <w:szCs w:val="28"/>
        </w:rPr>
        <w:t xml:space="preserve"> 20 年 月 日</w:t>
      </w:r>
    </w:p>
    <w:tbl>
      <w:tblPr>
        <w:tblStyle w:val="2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05"/>
        <w:gridCol w:w="2098"/>
        <w:gridCol w:w="2712"/>
        <w:gridCol w:w="1824"/>
      </w:tblGrid>
      <w:tr w14:paraId="0F218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trPr>
        <w:tc>
          <w:tcPr>
            <w:tcW w:w="2405" w:type="dxa"/>
            <w:noWrap w:val="0"/>
            <w:vAlign w:val="center"/>
          </w:tcPr>
          <w:p w14:paraId="6100A610">
            <w:pPr>
              <w:spacing w:line="360" w:lineRule="auto"/>
              <w:rPr>
                <w:b/>
                <w:sz w:val="24"/>
              </w:rPr>
            </w:pPr>
            <w:r>
              <w:rPr>
                <w:rFonts w:hint="eastAsia"/>
                <w:b/>
                <w:sz w:val="24"/>
              </w:rPr>
              <w:t>单位名称</w:t>
            </w:r>
          </w:p>
        </w:tc>
        <w:tc>
          <w:tcPr>
            <w:tcW w:w="2098" w:type="dxa"/>
            <w:noWrap w:val="0"/>
            <w:vAlign w:val="center"/>
          </w:tcPr>
          <w:p w14:paraId="171B5DA0">
            <w:pPr>
              <w:spacing w:line="360" w:lineRule="auto"/>
              <w:rPr>
                <w:b/>
                <w:sz w:val="24"/>
              </w:rPr>
            </w:pPr>
          </w:p>
        </w:tc>
        <w:tc>
          <w:tcPr>
            <w:tcW w:w="2712" w:type="dxa"/>
            <w:noWrap w:val="0"/>
            <w:vAlign w:val="center"/>
          </w:tcPr>
          <w:p w14:paraId="6DCDC156">
            <w:pPr>
              <w:spacing w:line="360" w:lineRule="auto"/>
              <w:rPr>
                <w:b/>
                <w:sz w:val="24"/>
              </w:rPr>
            </w:pPr>
            <w:r>
              <w:rPr>
                <w:b/>
                <w:sz w:val="24"/>
              </w:rPr>
              <w:t>统一社会信用代码</w:t>
            </w:r>
          </w:p>
        </w:tc>
        <w:tc>
          <w:tcPr>
            <w:tcW w:w="1824" w:type="dxa"/>
            <w:noWrap w:val="0"/>
            <w:vAlign w:val="center"/>
          </w:tcPr>
          <w:p w14:paraId="596D8641">
            <w:pPr>
              <w:spacing w:line="360" w:lineRule="auto"/>
              <w:rPr>
                <w:b/>
                <w:sz w:val="24"/>
              </w:rPr>
            </w:pPr>
          </w:p>
        </w:tc>
      </w:tr>
      <w:tr w14:paraId="2E24C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2405" w:type="dxa"/>
            <w:noWrap w:val="0"/>
            <w:vAlign w:val="center"/>
          </w:tcPr>
          <w:p w14:paraId="464E3C5B">
            <w:pPr>
              <w:spacing w:line="360" w:lineRule="auto"/>
              <w:rPr>
                <w:b/>
                <w:sz w:val="24"/>
              </w:rPr>
            </w:pPr>
            <w:r>
              <w:rPr>
                <w:b/>
                <w:sz w:val="24"/>
              </w:rPr>
              <w:t>法定代表人</w:t>
            </w:r>
          </w:p>
        </w:tc>
        <w:tc>
          <w:tcPr>
            <w:tcW w:w="2098" w:type="dxa"/>
            <w:noWrap w:val="0"/>
            <w:vAlign w:val="center"/>
          </w:tcPr>
          <w:p w14:paraId="13F4D5CF">
            <w:pPr>
              <w:spacing w:line="360" w:lineRule="auto"/>
              <w:rPr>
                <w:b/>
                <w:sz w:val="24"/>
              </w:rPr>
            </w:pPr>
          </w:p>
        </w:tc>
        <w:tc>
          <w:tcPr>
            <w:tcW w:w="2712" w:type="dxa"/>
            <w:noWrap w:val="0"/>
            <w:vAlign w:val="center"/>
          </w:tcPr>
          <w:p w14:paraId="716DD8BB">
            <w:pPr>
              <w:spacing w:line="360" w:lineRule="auto"/>
              <w:rPr>
                <w:b/>
                <w:sz w:val="24"/>
              </w:rPr>
            </w:pPr>
            <w:r>
              <w:rPr>
                <w:b/>
                <w:sz w:val="24"/>
              </w:rPr>
              <w:t>联系人</w:t>
            </w:r>
          </w:p>
        </w:tc>
        <w:tc>
          <w:tcPr>
            <w:tcW w:w="1824" w:type="dxa"/>
            <w:noWrap w:val="0"/>
            <w:vAlign w:val="center"/>
          </w:tcPr>
          <w:p w14:paraId="3FD4003E">
            <w:pPr>
              <w:spacing w:line="360" w:lineRule="auto"/>
              <w:rPr>
                <w:b/>
                <w:sz w:val="24"/>
              </w:rPr>
            </w:pPr>
          </w:p>
        </w:tc>
      </w:tr>
      <w:tr w14:paraId="3E7C1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2405" w:type="dxa"/>
            <w:noWrap w:val="0"/>
            <w:vAlign w:val="center"/>
          </w:tcPr>
          <w:p w14:paraId="2CFDAD8A">
            <w:pPr>
              <w:spacing w:line="360" w:lineRule="auto"/>
              <w:rPr>
                <w:b/>
                <w:sz w:val="24"/>
              </w:rPr>
            </w:pPr>
            <w:r>
              <w:rPr>
                <w:b/>
                <w:sz w:val="24"/>
              </w:rPr>
              <w:t>联系地址</w:t>
            </w:r>
          </w:p>
        </w:tc>
        <w:tc>
          <w:tcPr>
            <w:tcW w:w="2098" w:type="dxa"/>
            <w:noWrap w:val="0"/>
            <w:vAlign w:val="center"/>
          </w:tcPr>
          <w:p w14:paraId="07D051A9">
            <w:pPr>
              <w:spacing w:line="360" w:lineRule="auto"/>
              <w:rPr>
                <w:b/>
                <w:sz w:val="24"/>
              </w:rPr>
            </w:pPr>
          </w:p>
        </w:tc>
        <w:tc>
          <w:tcPr>
            <w:tcW w:w="2712" w:type="dxa"/>
            <w:noWrap w:val="0"/>
            <w:vAlign w:val="center"/>
          </w:tcPr>
          <w:p w14:paraId="61A41EE0">
            <w:pPr>
              <w:spacing w:line="360" w:lineRule="auto"/>
              <w:rPr>
                <w:b/>
                <w:sz w:val="24"/>
              </w:rPr>
            </w:pPr>
            <w:r>
              <w:rPr>
                <w:b/>
                <w:sz w:val="24"/>
              </w:rPr>
              <w:t>联系电话</w:t>
            </w:r>
          </w:p>
        </w:tc>
        <w:tc>
          <w:tcPr>
            <w:tcW w:w="1824" w:type="dxa"/>
            <w:noWrap w:val="0"/>
            <w:vAlign w:val="center"/>
          </w:tcPr>
          <w:p w14:paraId="4D6F8D8F">
            <w:pPr>
              <w:spacing w:line="360" w:lineRule="auto"/>
              <w:rPr>
                <w:b/>
                <w:sz w:val="24"/>
              </w:rPr>
            </w:pPr>
          </w:p>
        </w:tc>
      </w:tr>
      <w:tr w14:paraId="7F766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3" w:hRule="atLeast"/>
        </w:trPr>
        <w:tc>
          <w:tcPr>
            <w:tcW w:w="2405" w:type="dxa"/>
            <w:noWrap w:val="0"/>
            <w:vAlign w:val="center"/>
          </w:tcPr>
          <w:p w14:paraId="74BE7850">
            <w:pPr>
              <w:spacing w:line="360" w:lineRule="auto"/>
              <w:rPr>
                <w:b/>
                <w:sz w:val="24"/>
              </w:rPr>
            </w:pPr>
            <w:r>
              <w:rPr>
                <w:b/>
                <w:sz w:val="24"/>
              </w:rPr>
              <w:t>诚信档案记录情况</w:t>
            </w:r>
          </w:p>
        </w:tc>
        <w:tc>
          <w:tcPr>
            <w:tcW w:w="6634" w:type="dxa"/>
            <w:gridSpan w:val="3"/>
            <w:noWrap w:val="0"/>
            <w:vAlign w:val="center"/>
          </w:tcPr>
          <w:p w14:paraId="760CE912">
            <w:pPr>
              <w:spacing w:line="360" w:lineRule="auto"/>
              <w:rPr>
                <w:b/>
                <w:sz w:val="24"/>
              </w:rPr>
            </w:pPr>
          </w:p>
        </w:tc>
      </w:tr>
      <w:tr w14:paraId="3387E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05" w:type="dxa"/>
            <w:noWrap w:val="0"/>
            <w:vAlign w:val="center"/>
          </w:tcPr>
          <w:p w14:paraId="578670F2">
            <w:pPr>
              <w:spacing w:line="360" w:lineRule="auto"/>
              <w:rPr>
                <w:sz w:val="24"/>
              </w:rPr>
            </w:pPr>
            <w:r>
              <w:rPr>
                <w:rFonts w:ascii="Calibri" w:hAnsi="Calibri"/>
                <w:b/>
                <w:bCs/>
                <w:sz w:val="24"/>
              </w:rPr>
              <w:t>信用承诺</w:t>
            </w:r>
          </w:p>
        </w:tc>
        <w:tc>
          <w:tcPr>
            <w:tcW w:w="6634" w:type="dxa"/>
            <w:gridSpan w:val="3"/>
            <w:noWrap w:val="0"/>
            <w:vAlign w:val="top"/>
          </w:tcPr>
          <w:p w14:paraId="6E99FE9E">
            <w:pPr>
              <w:spacing w:line="360" w:lineRule="auto"/>
              <w:rPr>
                <w:sz w:val="24"/>
              </w:rPr>
            </w:pPr>
            <w:r>
              <w:rPr>
                <w:rFonts w:hint="eastAsia" w:ascii="Calibri" w:hAnsi="Calibri"/>
                <w:sz w:val="24"/>
              </w:rPr>
              <w:t>我公司自愿参加贵公司组织的本次采购活动，严格遵守《中华人民</w:t>
            </w:r>
            <w:r>
              <w:rPr>
                <w:rFonts w:hint="eastAsia" w:ascii="Calibri" w:hAnsi="Calibri"/>
                <w:sz w:val="24"/>
                <w:lang w:val="en-US" w:eastAsia="zh-CN"/>
              </w:rPr>
              <w:t>共和国</w:t>
            </w:r>
            <w:r>
              <w:rPr>
                <w:rFonts w:hint="eastAsia" w:ascii="Calibri" w:hAnsi="Calibri"/>
                <w:sz w:val="24"/>
              </w:rPr>
              <w:t>政府采购法》及相关法律法规，坚守公开、公平、公正和诚实信用的原则，依法诚信经营，无条件遵守本次政府采购活动的各项规定。我们郑</w:t>
            </w:r>
            <w:bookmarkStart w:id="20" w:name="_GoBack"/>
            <w:bookmarkEnd w:id="20"/>
            <w:r>
              <w:rPr>
                <w:rFonts w:hint="eastAsia" w:ascii="Calibri" w:hAnsi="Calibri"/>
                <w:sz w:val="24"/>
              </w:rPr>
              <w:t>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sz w:val="24"/>
              </w:rPr>
              <w:t>。</w:t>
            </w:r>
            <w:r>
              <w:rPr>
                <w:rFonts w:ascii="Calibri" w:hAnsi="Calibri"/>
                <w:sz w:val="24"/>
              </w:rPr>
              <w:br w:type="textWrapping" w:clear="all"/>
            </w:r>
            <w:r>
              <w:rPr>
                <w:rFonts w:ascii="Calibri" w:hAnsi="Calibri"/>
                <w:sz w:val="24"/>
              </w:rPr>
              <w:br w:type="textWrapping" w:clear="all"/>
            </w:r>
            <w:r>
              <w:rPr>
                <w:rFonts w:ascii="Calibri" w:hAnsi="Calibri"/>
                <w:sz w:val="24"/>
              </w:rPr>
              <w:br w:type="textWrapping" w:clear="all"/>
            </w:r>
            <w:r>
              <w:rPr>
                <w:rFonts w:hint="eastAsia" w:ascii="Calibri" w:hAnsi="Calibri"/>
                <w:sz w:val="24"/>
              </w:rPr>
              <w:t xml:space="preserve">                                 </w:t>
            </w:r>
            <w:r>
              <w:rPr>
                <w:rFonts w:ascii="Calibri" w:hAnsi="Calibri"/>
                <w:sz w:val="24"/>
              </w:rPr>
              <w:t>供应商名称（盖章）：</w:t>
            </w:r>
            <w:r>
              <w:rPr>
                <w:rFonts w:ascii="Calibri" w:hAnsi="Calibri"/>
                <w:sz w:val="24"/>
              </w:rPr>
              <w:br w:type="textWrapping" w:clear="all"/>
            </w:r>
            <w:r>
              <w:rPr>
                <w:rFonts w:ascii="Calibri" w:hAnsi="Calibri"/>
                <w:sz w:val="24"/>
              </w:rPr>
              <w:br w:type="textWrapping" w:clear="all"/>
            </w:r>
            <w:r>
              <w:rPr>
                <w:rFonts w:hint="eastAsia" w:ascii="Calibri" w:hAnsi="Calibri"/>
                <w:sz w:val="24"/>
              </w:rPr>
              <w:t xml:space="preserve">                                 </w:t>
            </w:r>
            <w:r>
              <w:rPr>
                <w:rFonts w:ascii="Calibri" w:hAnsi="Calibri"/>
                <w:sz w:val="24"/>
              </w:rPr>
              <w:t>法定代表人（签字）：</w:t>
            </w:r>
            <w:r>
              <w:rPr>
                <w:rFonts w:ascii="Calibri" w:hAnsi="Calibri"/>
                <w:sz w:val="24"/>
              </w:rPr>
              <w:br w:type="textWrapping" w:clear="all"/>
            </w:r>
            <w:r>
              <w:rPr>
                <w:rFonts w:hint="eastAsia" w:ascii="Calibri" w:hAnsi="Calibri"/>
                <w:sz w:val="24"/>
              </w:rPr>
              <w:t xml:space="preserve">                                  </w:t>
            </w:r>
            <w:r>
              <w:rPr>
                <w:rFonts w:ascii="Calibri" w:hAnsi="Calibri"/>
                <w:sz w:val="24"/>
              </w:rPr>
              <w:t>二〇</w:t>
            </w:r>
            <w:r>
              <w:rPr>
                <w:rFonts w:hint="eastAsia" w:ascii="Calibri" w:hAnsi="Calibri"/>
                <w:sz w:val="24"/>
              </w:rPr>
              <w:t xml:space="preserve">  </w:t>
            </w:r>
            <w:r>
              <w:rPr>
                <w:rFonts w:ascii="Calibri" w:hAnsi="Calibri"/>
                <w:sz w:val="24"/>
              </w:rPr>
              <w:t>年</w:t>
            </w:r>
            <w:r>
              <w:rPr>
                <w:rFonts w:hint="eastAsia" w:ascii="Calibri" w:hAnsi="Calibri"/>
                <w:sz w:val="24"/>
              </w:rPr>
              <w:t xml:space="preserve">  </w:t>
            </w:r>
            <w:r>
              <w:rPr>
                <w:rFonts w:ascii="Calibri" w:hAnsi="Calibri"/>
                <w:sz w:val="24"/>
              </w:rPr>
              <w:t>月</w:t>
            </w:r>
            <w:r>
              <w:rPr>
                <w:rFonts w:hint="eastAsia" w:ascii="Calibri" w:hAnsi="Calibri"/>
                <w:sz w:val="24"/>
              </w:rPr>
              <w:t xml:space="preserve">  </w:t>
            </w:r>
            <w:r>
              <w:rPr>
                <w:rFonts w:ascii="Calibri" w:hAnsi="Calibri"/>
                <w:sz w:val="24"/>
              </w:rPr>
              <w:t>日</w:t>
            </w:r>
          </w:p>
        </w:tc>
      </w:tr>
    </w:tbl>
    <w:p w14:paraId="79C28BFC">
      <w:pPr>
        <w:rPr>
          <w:rFonts w:ascii="Calibri" w:hAnsi="Calibri"/>
          <w:sz w:val="24"/>
        </w:rPr>
      </w:pPr>
      <w:r>
        <w:rPr>
          <w:rFonts w:hint="eastAsia" w:ascii="Calibri" w:hAnsi="Calibri"/>
          <w:sz w:val="24"/>
        </w:rPr>
        <w:t xml:space="preserve">    注：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中标（成交）供应商将在结果公告发布后7个工作日内向采购人提供相关材料核验（如投标时提供则无需再次提供）。</w:t>
      </w:r>
    </w:p>
    <w:p w14:paraId="0EFAFAC4">
      <w:pPr>
        <w:rPr>
          <w:rFonts w:hint="eastAsia"/>
          <w:szCs w:val="32"/>
        </w:rPr>
      </w:pPr>
    </w:p>
    <w:p w14:paraId="329181A2">
      <w:pPr>
        <w:rPr>
          <w:rFonts w:hint="eastAsia"/>
          <w:szCs w:val="32"/>
        </w:rPr>
      </w:pPr>
    </w:p>
    <w:p w14:paraId="3FC05CE0">
      <w:pPr>
        <w:rPr>
          <w:rFonts w:hint="eastAsia"/>
          <w:szCs w:val="32"/>
        </w:rPr>
      </w:pPr>
    </w:p>
    <w:p w14:paraId="6A9ACE06">
      <w:pPr>
        <w:rPr>
          <w:rFonts w:hint="eastAsia"/>
          <w:szCs w:val="32"/>
        </w:rPr>
      </w:pPr>
    </w:p>
    <w:p w14:paraId="70CA0957">
      <w:pPr>
        <w:rPr>
          <w:rFonts w:hint="eastAsia"/>
          <w:szCs w:val="32"/>
        </w:rPr>
      </w:pPr>
    </w:p>
    <w:p w14:paraId="2CC45832">
      <w:pPr>
        <w:rPr>
          <w:rFonts w:hint="eastAsia"/>
          <w:szCs w:val="32"/>
        </w:rPr>
      </w:pPr>
    </w:p>
    <w:p w14:paraId="1606941A">
      <w:pPr>
        <w:rPr>
          <w:rFonts w:hint="eastAsia"/>
          <w:szCs w:val="32"/>
        </w:rPr>
      </w:pPr>
    </w:p>
    <w:p w14:paraId="6A3E8167">
      <w:pPr>
        <w:rPr>
          <w:rFonts w:hint="eastAsia"/>
          <w:szCs w:val="32"/>
        </w:rPr>
      </w:pPr>
    </w:p>
    <w:p w14:paraId="56E0E004">
      <w:pPr>
        <w:rPr>
          <w:rFonts w:hint="eastAsia"/>
          <w:szCs w:val="32"/>
        </w:rPr>
      </w:pPr>
    </w:p>
    <w:p w14:paraId="6F14A1CF">
      <w:pPr>
        <w:rPr>
          <w:rFonts w:hint="eastAsia"/>
          <w:szCs w:val="32"/>
        </w:rPr>
      </w:pPr>
    </w:p>
    <w:p w14:paraId="76DEAFFD">
      <w:pPr>
        <w:rPr>
          <w:rFonts w:hint="eastAsia"/>
          <w:szCs w:val="32"/>
        </w:rPr>
      </w:pPr>
    </w:p>
    <w:p w14:paraId="17A85E77">
      <w:pPr>
        <w:rPr>
          <w:rFonts w:hint="eastAsia"/>
          <w:szCs w:val="32"/>
        </w:rPr>
      </w:pPr>
    </w:p>
    <w:p w14:paraId="5497F35A">
      <w:pPr>
        <w:rPr>
          <w:rFonts w:hint="eastAsia"/>
          <w:szCs w:val="32"/>
        </w:rPr>
      </w:pPr>
    </w:p>
    <w:p w14:paraId="183C4B7A">
      <w:pPr>
        <w:rPr>
          <w:rFonts w:hint="eastAsia"/>
          <w:szCs w:val="32"/>
        </w:rPr>
      </w:pPr>
    </w:p>
    <w:p w14:paraId="2C460994">
      <w:pPr>
        <w:rPr>
          <w:rFonts w:hint="eastAsia"/>
          <w:szCs w:val="32"/>
        </w:rPr>
      </w:pPr>
    </w:p>
    <w:sectPr>
      <w:footerReference r:id="rId9" w:type="default"/>
      <w:footerReference r:id="rId10" w:type="even"/>
      <w:pgSz w:w="11906" w:h="16838"/>
      <w:pgMar w:top="1418" w:right="1418" w:bottom="1418"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Courier New">
    <w:panose1 w:val="02070309020205020404"/>
    <w:charset w:val="00"/>
    <w:family w:val="auto"/>
    <w:pitch w:val="default"/>
    <w:sig w:usb0="E0002EFF" w:usb1="C0007843" w:usb2="00000009" w:usb3="00000000" w:csb0="400001FF" w:csb1="FFFF0000"/>
  </w:font>
  <w:font w:name="仿宋_GB2312">
    <w:altName w:val="仿宋"/>
    <w:panose1 w:val="02010609060101010101"/>
    <w:charset w:val="00"/>
    <w:family w:val="auto"/>
    <w:pitch w:val="default"/>
    <w:sig w:usb0="00000000" w:usb1="00000000" w:usb2="00000000" w:usb3="00000000" w:csb0="00000000" w:csb1="00000000"/>
  </w:font>
  <w:font w:name="monospace">
    <w:altName w:val="DejaVu Math TeX Gyre"/>
    <w:panose1 w:val="020B0503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时尚中黑简体">
    <w:altName w:val="黑体"/>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MS Gothic">
    <w:panose1 w:val="020B0609070205080204"/>
    <w:charset w:val="80"/>
    <w:family w:val="auto"/>
    <w:pitch w:val="default"/>
    <w:sig w:usb0="E00002FF" w:usb1="6AC7FDFB" w:usb2="08000012" w:usb3="00000000" w:csb0="4002009F" w:csb1="DFD70000"/>
  </w:font>
  <w:font w:name="创艺简魏碑">
    <w:altName w:val="DejaVu Math TeX Gyre"/>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方正小标宋简体">
    <w:altName w:val="方正舒体"/>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17BF6">
    <w:pPr>
      <w:pStyle w:val="26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6244050F">
                          <w:pPr>
                            <w:pStyle w:val="267"/>
                            <w:tabs>
                              <w:tab w:val="clear" w:pos="4153"/>
                              <w:tab w:val="clear" w:pos="8306"/>
                            </w:tabs>
                            <w:rPr>
                              <w:rStyle w:val="277"/>
                            </w:rPr>
                          </w:pPr>
                          <w:r>
                            <w:rPr>
                              <w:rStyle w:val="277"/>
                            </w:rPr>
                            <w:t xml:space="preserve">第 </w:t>
                          </w:r>
                          <w:r>
                            <w:rPr>
                              <w:rStyle w:val="277"/>
                            </w:rPr>
                            <w:fldChar w:fldCharType="begin"/>
                          </w:r>
                          <w:r>
                            <w:rPr>
                              <w:rStyle w:val="277"/>
                            </w:rPr>
                            <w:instrText xml:space="preserve"> PAGE  \* MERGEFORMAT </w:instrText>
                          </w:r>
                          <w:r>
                            <w:rPr>
                              <w:rStyle w:val="277"/>
                            </w:rPr>
                            <w:fldChar w:fldCharType="separate"/>
                          </w:r>
                          <w:r>
                            <w:rPr>
                              <w:rStyle w:val="277"/>
                            </w:rPr>
                            <w:t>1</w:t>
                          </w:r>
                          <w:r>
                            <w:rPr>
                              <w:rStyle w:val="277"/>
                            </w:rPr>
                            <w:fldChar w:fldCharType="end"/>
                          </w:r>
                          <w:r>
                            <w:rPr>
                              <w:rStyle w:val="277"/>
                            </w:rPr>
                            <w:t xml:space="preserve"> 页 共 </w:t>
                          </w:r>
                          <w:r>
                            <w:fldChar w:fldCharType="begin"/>
                          </w:r>
                          <w:r>
                            <w:instrText xml:space="preserve"> NUMPAGES  \* MERGEFORMAT </w:instrText>
                          </w:r>
                          <w:r>
                            <w:fldChar w:fldCharType="separate"/>
                          </w:r>
                          <w:r>
                            <w:rPr>
                              <w:rStyle w:val="277"/>
                            </w:rPr>
                            <w:t>1</w:t>
                          </w:r>
                          <w:r>
                            <w:fldChar w:fldCharType="end"/>
                          </w:r>
                          <w:r>
                            <w:rPr>
                              <w:rStyle w:val="277"/>
                            </w:rPr>
                            <w:t xml:space="preserve"> 页</w:t>
                          </w:r>
                        </w:p>
                        <w:p w14:paraId="43853851"/>
                        <w:p w14:paraId="639AFE6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6244050F">
                    <w:pPr>
                      <w:pStyle w:val="267"/>
                      <w:tabs>
                        <w:tab w:val="clear" w:pos="4153"/>
                        <w:tab w:val="clear" w:pos="8306"/>
                      </w:tabs>
                      <w:rPr>
                        <w:rStyle w:val="277"/>
                      </w:rPr>
                    </w:pPr>
                    <w:r>
                      <w:rPr>
                        <w:rStyle w:val="277"/>
                      </w:rPr>
                      <w:t xml:space="preserve">第 </w:t>
                    </w:r>
                    <w:r>
                      <w:rPr>
                        <w:rStyle w:val="277"/>
                      </w:rPr>
                      <w:fldChar w:fldCharType="begin"/>
                    </w:r>
                    <w:r>
                      <w:rPr>
                        <w:rStyle w:val="277"/>
                      </w:rPr>
                      <w:instrText xml:space="preserve"> PAGE  \* MERGEFORMAT </w:instrText>
                    </w:r>
                    <w:r>
                      <w:rPr>
                        <w:rStyle w:val="277"/>
                      </w:rPr>
                      <w:fldChar w:fldCharType="separate"/>
                    </w:r>
                    <w:r>
                      <w:rPr>
                        <w:rStyle w:val="277"/>
                      </w:rPr>
                      <w:t>1</w:t>
                    </w:r>
                    <w:r>
                      <w:rPr>
                        <w:rStyle w:val="277"/>
                      </w:rPr>
                      <w:fldChar w:fldCharType="end"/>
                    </w:r>
                    <w:r>
                      <w:rPr>
                        <w:rStyle w:val="277"/>
                      </w:rPr>
                      <w:t xml:space="preserve"> 页 共 </w:t>
                    </w:r>
                    <w:r>
                      <w:fldChar w:fldCharType="begin"/>
                    </w:r>
                    <w:r>
                      <w:instrText xml:space="preserve"> NUMPAGES  \* MERGEFORMAT </w:instrText>
                    </w:r>
                    <w:r>
                      <w:fldChar w:fldCharType="separate"/>
                    </w:r>
                    <w:r>
                      <w:rPr>
                        <w:rStyle w:val="277"/>
                      </w:rPr>
                      <w:t>1</w:t>
                    </w:r>
                    <w:r>
                      <w:fldChar w:fldCharType="end"/>
                    </w:r>
                    <w:r>
                      <w:rPr>
                        <w:rStyle w:val="277"/>
                      </w:rPr>
                      <w:t xml:space="preserve"> 页</w:t>
                    </w:r>
                  </w:p>
                  <w:p w14:paraId="43853851"/>
                  <w:p w14:paraId="639AFE6E"/>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777F4">
    <w:pPr>
      <w:pStyle w:val="267"/>
      <w:framePr w:wrap="around" w:vAnchor="text" w:hAnchor="margin" w:xAlign="center" w:y="1"/>
      <w:rPr>
        <w:rStyle w:val="277"/>
      </w:rPr>
    </w:pPr>
    <w:r>
      <w:fldChar w:fldCharType="begin"/>
    </w:r>
    <w:r>
      <w:rPr>
        <w:rStyle w:val="277"/>
      </w:rPr>
      <w:instrText xml:space="preserve">PAGE  </w:instrText>
    </w:r>
    <w:r>
      <w:fldChar w:fldCharType="separate"/>
    </w:r>
    <w:r>
      <w:rPr>
        <w:rStyle w:val="277"/>
      </w:rPr>
      <w:t>3</w:t>
    </w:r>
    <w:r>
      <w:fldChar w:fldCharType="end"/>
    </w:r>
  </w:p>
  <w:p w14:paraId="2A7E8BAD">
    <w:pPr>
      <w:pStyle w:val="26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25376">
    <w:pPr>
      <w:spacing w:line="230" w:lineRule="auto"/>
      <w:ind w:left="3813"/>
      <w:rPr>
        <w:sz w:val="17"/>
        <w:szCs w:val="17"/>
      </w:rPr>
    </w:pPr>
    <w:r>
      <w:rPr>
        <w:sz w:val="17"/>
        <w:szCs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500302C0">
                          <w:pPr>
                            <w:pStyle w:val="267"/>
                            <w:tabs>
                              <w:tab w:val="clear" w:pos="4153"/>
                              <w:tab w:val="clear" w:pos="8306"/>
                            </w:tabs>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p w14:paraId="797D7FA8"/>
                        <w:p w14:paraId="4566A12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CC2qgzcAQAAsQMAAA4AAAAA&#10;AAAAAQAgAAAAIgEAAGRycy9lMm9Eb2MueG1sUEsFBgAAAAAGAAYAWQEAAHAFAAAAAA==&#10;">
              <v:fill on="f" focussize="0,0"/>
              <v:stroke on="f" weight="1.25pt"/>
              <v:imagedata o:title=""/>
              <o:lock v:ext="edit" aspectratio="f"/>
              <v:textbox inset="0mm,0mm,0mm,0mm" style="mso-fit-shape-to-text:t;">
                <w:txbxContent>
                  <w:p w14:paraId="500302C0">
                    <w:pPr>
                      <w:pStyle w:val="267"/>
                      <w:tabs>
                        <w:tab w:val="clear" w:pos="4153"/>
                        <w:tab w:val="clear" w:pos="8306"/>
                      </w:tabs>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p w14:paraId="797D7FA8"/>
                  <w:p w14:paraId="4566A12A"/>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CA67E">
    <w:pPr>
      <w:pStyle w:val="26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0680167B">
                          <w:pPr>
                            <w:pStyle w:val="267"/>
                            <w:tabs>
                              <w:tab w:val="clear" w:pos="4153"/>
                              <w:tab w:val="clear" w:pos="8306"/>
                            </w:tabs>
                            <w:jc w:val="center"/>
                          </w:pPr>
                          <w:r>
                            <w:t xml:space="preserve">第 </w:t>
                          </w:r>
                          <w:r>
                            <w:fldChar w:fldCharType="begin"/>
                          </w:r>
                          <w:r>
                            <w:instrText xml:space="preserve"> PAGE  \* MERGEFORMAT </w:instrText>
                          </w:r>
                          <w:r>
                            <w:fldChar w:fldCharType="separate"/>
                          </w:r>
                          <w:r>
                            <w:t>35</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p w14:paraId="09FC72EB"/>
                        <w:p w14:paraId="40F10EA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hpgkvTAAAABQEAAA8AAAAAAAAA&#10;AQAgAAAAIgAAAGRycy9kb3ducmV2LnhtbFBLAQIUABQAAAAIAIdO4kALSQCy3QEAALEDAAAOAAAA&#10;AAAAAAEAIAAAACIBAABkcnMvZTJvRG9jLnhtbFBLBQYAAAAABgAGAFkBAABxBQAAAAA=&#10;">
              <v:fill on="f" focussize="0,0"/>
              <v:stroke on="f" weight="1.25pt"/>
              <v:imagedata o:title=""/>
              <o:lock v:ext="edit" aspectratio="f"/>
              <v:textbox inset="0mm,0mm,0mm,0mm" style="mso-fit-shape-to-text:t;">
                <w:txbxContent>
                  <w:p w14:paraId="0680167B">
                    <w:pPr>
                      <w:pStyle w:val="267"/>
                      <w:tabs>
                        <w:tab w:val="clear" w:pos="4153"/>
                        <w:tab w:val="clear" w:pos="8306"/>
                      </w:tabs>
                      <w:jc w:val="center"/>
                    </w:pPr>
                    <w:r>
                      <w:t xml:space="preserve">第 </w:t>
                    </w:r>
                    <w:r>
                      <w:fldChar w:fldCharType="begin"/>
                    </w:r>
                    <w:r>
                      <w:instrText xml:space="preserve"> PAGE  \* MERGEFORMAT </w:instrText>
                    </w:r>
                    <w:r>
                      <w:fldChar w:fldCharType="separate"/>
                    </w:r>
                    <w:r>
                      <w:t>35</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p w14:paraId="09FC72EB"/>
                  <w:p w14:paraId="40F10EA4"/>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A4159">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7AB9FB7E">
                          <w:pPr>
                            <w:pStyle w:val="267"/>
                            <w:tabs>
                              <w:tab w:val="clear" w:pos="4153"/>
                              <w:tab w:val="clear" w:pos="8306"/>
                            </w:tabs>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p w14:paraId="5582DEA1"/>
                        <w:p w14:paraId="5DB6F57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hpgkvTAAAABQEAAA8AAAAAAAAA&#10;AQAgAAAAIgAAAGRycy9kb3ducmV2LnhtbFBLAQIUABQAAAAIAIdO4kBYuLY93QEAALEDAAAOAAAA&#10;AAAAAAEAIAAAACIBAABkcnMvZTJvRG9jLnhtbFBLBQYAAAAABgAGAFkBAABxBQAAAAA=&#10;">
              <v:fill on="f" focussize="0,0"/>
              <v:stroke on="f" weight="1.25pt"/>
              <v:imagedata o:title=""/>
              <o:lock v:ext="edit" aspectratio="f"/>
              <v:textbox inset="0mm,0mm,0mm,0mm" style="mso-fit-shape-to-text:t;">
                <w:txbxContent>
                  <w:p w14:paraId="7AB9FB7E">
                    <w:pPr>
                      <w:pStyle w:val="267"/>
                      <w:tabs>
                        <w:tab w:val="clear" w:pos="4153"/>
                        <w:tab w:val="clear" w:pos="8306"/>
                      </w:tabs>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p w14:paraId="5582DEA1"/>
                  <w:p w14:paraId="5DB6F578"/>
                </w:txbxContent>
              </v:textbox>
            </v:shape>
          </w:pict>
        </mc:Fallback>
      </mc:AlternateContent>
    </w:r>
  </w:p>
  <w:p w14:paraId="135CA431"/>
  <w:p w14:paraId="5314C322"/>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71F32">
    <w:pPr>
      <w:pStyle w:val="216"/>
      <w:framePr w:wrap="around" w:vAnchor="text" w:hAnchor="margin" w:xAlign="right" w:y="1"/>
      <w:rPr>
        <w:rStyle w:val="235"/>
      </w:rPr>
    </w:pPr>
    <w:r>
      <w:rPr>
        <w:rStyle w:val="235"/>
      </w:rPr>
      <w:fldChar w:fldCharType="begin"/>
    </w:r>
    <w:r>
      <w:rPr>
        <w:rStyle w:val="235"/>
      </w:rPr>
      <w:instrText xml:space="preserve">PAGE  </w:instrText>
    </w:r>
    <w:r>
      <w:rPr>
        <w:rStyle w:val="235"/>
      </w:rPr>
      <w:fldChar w:fldCharType="separate"/>
    </w:r>
    <w:r>
      <w:rPr>
        <w:rStyle w:val="235"/>
      </w:rPr>
      <w:t>59</w:t>
    </w:r>
    <w:r>
      <w:rPr>
        <w:rStyle w:val="235"/>
      </w:rPr>
      <w:fldChar w:fldCharType="end"/>
    </w:r>
  </w:p>
  <w:p w14:paraId="423F9E28">
    <w:pPr>
      <w:pStyle w:val="21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1E5EE">
    <w:pPr>
      <w:pStyle w:val="216"/>
      <w:framePr w:wrap="around" w:vAnchor="text" w:hAnchor="margin" w:xAlign="right" w:y="1"/>
      <w:rPr>
        <w:rStyle w:val="235"/>
      </w:rPr>
    </w:pPr>
    <w:r>
      <w:rPr>
        <w:rStyle w:val="235"/>
      </w:rPr>
      <w:fldChar w:fldCharType="begin"/>
    </w:r>
    <w:r>
      <w:rPr>
        <w:rStyle w:val="235"/>
      </w:rPr>
      <w:instrText xml:space="preserve">PAGE  </w:instrText>
    </w:r>
    <w:r>
      <w:rPr>
        <w:rStyle w:val="235"/>
      </w:rPr>
      <w:fldChar w:fldCharType="end"/>
    </w:r>
  </w:p>
  <w:p w14:paraId="56457B79">
    <w:pPr>
      <w:pStyle w:val="21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9B74E">
    <w:pPr>
      <w:pStyle w:val="268"/>
      <w:jc w:val="both"/>
      <w:rPr>
        <w:rFonts w:ascii="方正舒体" w:eastAsia="方正舒体"/>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japaneseCounting"/>
      <w:lvlText w:val="%1、"/>
      <w:lvlJc w:val="left"/>
      <w:pPr>
        <w:tabs>
          <w:tab w:val="left" w:pos="2280"/>
        </w:tabs>
        <w:ind w:left="2280" w:hanging="720"/>
      </w:pPr>
      <w:rPr>
        <w:rFonts w:hint="eastAsia"/>
      </w:rPr>
    </w:lvl>
    <w:lvl w:ilvl="1" w:tentative="0">
      <w:start w:val="1"/>
      <w:numFmt w:val="lowerLetter"/>
      <w:lvlText w:val="%2)"/>
      <w:lvlJc w:val="left"/>
      <w:pPr>
        <w:tabs>
          <w:tab w:val="left" w:pos="2400"/>
        </w:tabs>
        <w:ind w:left="2400" w:hanging="420"/>
      </w:pPr>
    </w:lvl>
    <w:lvl w:ilvl="2" w:tentative="0">
      <w:start w:val="1"/>
      <w:numFmt w:val="lowerRoman"/>
      <w:lvlText w:val="%3."/>
      <w:lvlJc w:val="right"/>
      <w:pPr>
        <w:tabs>
          <w:tab w:val="left" w:pos="2820"/>
        </w:tabs>
        <w:ind w:left="2820" w:hanging="420"/>
      </w:pPr>
    </w:lvl>
    <w:lvl w:ilvl="3" w:tentative="0">
      <w:start w:val="1"/>
      <w:numFmt w:val="decimal"/>
      <w:lvlText w:val="%4."/>
      <w:lvlJc w:val="left"/>
      <w:pPr>
        <w:tabs>
          <w:tab w:val="left" w:pos="3240"/>
        </w:tabs>
        <w:ind w:left="3240" w:hanging="420"/>
      </w:pPr>
    </w:lvl>
    <w:lvl w:ilvl="4" w:tentative="0">
      <w:start w:val="1"/>
      <w:numFmt w:val="lowerLetter"/>
      <w:lvlText w:val="%5)"/>
      <w:lvlJc w:val="left"/>
      <w:pPr>
        <w:tabs>
          <w:tab w:val="left" w:pos="3660"/>
        </w:tabs>
        <w:ind w:left="3660" w:hanging="420"/>
      </w:pPr>
    </w:lvl>
    <w:lvl w:ilvl="5" w:tentative="0">
      <w:start w:val="1"/>
      <w:numFmt w:val="lowerRoman"/>
      <w:lvlText w:val="%6."/>
      <w:lvlJc w:val="right"/>
      <w:pPr>
        <w:tabs>
          <w:tab w:val="left" w:pos="4080"/>
        </w:tabs>
        <w:ind w:left="4080" w:hanging="420"/>
      </w:pPr>
    </w:lvl>
    <w:lvl w:ilvl="6" w:tentative="0">
      <w:start w:val="1"/>
      <w:numFmt w:val="decimal"/>
      <w:lvlText w:val="%7."/>
      <w:lvlJc w:val="left"/>
      <w:pPr>
        <w:tabs>
          <w:tab w:val="left" w:pos="4500"/>
        </w:tabs>
        <w:ind w:left="4500" w:hanging="420"/>
      </w:pPr>
    </w:lvl>
    <w:lvl w:ilvl="7" w:tentative="0">
      <w:start w:val="1"/>
      <w:numFmt w:val="lowerLetter"/>
      <w:lvlText w:val="%8)"/>
      <w:lvlJc w:val="left"/>
      <w:pPr>
        <w:tabs>
          <w:tab w:val="left" w:pos="4920"/>
        </w:tabs>
        <w:ind w:left="4920" w:hanging="420"/>
      </w:pPr>
    </w:lvl>
    <w:lvl w:ilvl="8" w:tentative="0">
      <w:start w:val="1"/>
      <w:numFmt w:val="lowerRoman"/>
      <w:lvlText w:val="%9."/>
      <w:lvlJc w:val="right"/>
      <w:pPr>
        <w:tabs>
          <w:tab w:val="left" w:pos="5340"/>
        </w:tabs>
        <w:ind w:left="5340" w:hanging="420"/>
      </w:pPr>
    </w:lvl>
  </w:abstractNum>
  <w:abstractNum w:abstractNumId="1">
    <w:nsid w:val="0053208E"/>
    <w:multiLevelType w:val="multilevel"/>
    <w:tmpl w:val="0053208E"/>
    <w:lvl w:ilvl="0" w:tentative="0">
      <w:start w:val="1"/>
      <w:numFmt w:val="bullet"/>
      <w:pStyle w:val="318"/>
      <w:lvlText w:val=""/>
      <w:lvlJc w:val="left"/>
      <w:pPr>
        <w:tabs>
          <w:tab w:val="left" w:pos="840"/>
        </w:tabs>
        <w:ind w:left="840" w:hanging="420"/>
      </w:pPr>
      <w:rPr>
        <w:rFonts w:ascii="Wingdings" w:hAnsi="Wingdings"/>
      </w:rPr>
    </w:lvl>
    <w:lvl w:ilvl="1" w:tentative="0">
      <w:start w:val="1"/>
      <w:numFmt w:val="bullet"/>
      <w:lvlText w:val=""/>
      <w:lvlJc w:val="left"/>
      <w:pPr>
        <w:tabs>
          <w:tab w:val="left" w:pos="1260"/>
        </w:tabs>
        <w:ind w:left="1260" w:hanging="420"/>
      </w:pPr>
      <w:rPr>
        <w:rFonts w:ascii="Wingdings" w:hAnsi="Wingdings"/>
      </w:rPr>
    </w:lvl>
    <w:lvl w:ilvl="2" w:tentative="0">
      <w:start w:val="1"/>
      <w:numFmt w:val="bullet"/>
      <w:lvlText w:val=""/>
      <w:lvlJc w:val="left"/>
      <w:pPr>
        <w:tabs>
          <w:tab w:val="left" w:pos="1680"/>
        </w:tabs>
        <w:ind w:left="1680" w:hanging="420"/>
      </w:pPr>
      <w:rPr>
        <w:rFonts w:ascii="Wingdings" w:hAnsi="Wingdings"/>
      </w:rPr>
    </w:lvl>
    <w:lvl w:ilvl="3" w:tentative="0">
      <w:start w:val="1"/>
      <w:numFmt w:val="bullet"/>
      <w:lvlText w:val=""/>
      <w:lvlJc w:val="left"/>
      <w:pPr>
        <w:tabs>
          <w:tab w:val="left" w:pos="2100"/>
        </w:tabs>
        <w:ind w:left="2100" w:hanging="420"/>
      </w:pPr>
      <w:rPr>
        <w:rFonts w:ascii="Wingdings" w:hAnsi="Wingdings"/>
      </w:rPr>
    </w:lvl>
    <w:lvl w:ilvl="4" w:tentative="0">
      <w:start w:val="1"/>
      <w:numFmt w:val="bullet"/>
      <w:lvlText w:val=""/>
      <w:lvlJc w:val="left"/>
      <w:pPr>
        <w:tabs>
          <w:tab w:val="left" w:pos="2520"/>
        </w:tabs>
        <w:ind w:left="2520" w:hanging="420"/>
      </w:pPr>
      <w:rPr>
        <w:rFonts w:ascii="Wingdings" w:hAnsi="Wingdings"/>
      </w:rPr>
    </w:lvl>
    <w:lvl w:ilvl="5" w:tentative="0">
      <w:start w:val="1"/>
      <w:numFmt w:val="bullet"/>
      <w:lvlText w:val=""/>
      <w:lvlJc w:val="left"/>
      <w:pPr>
        <w:tabs>
          <w:tab w:val="left" w:pos="2940"/>
        </w:tabs>
        <w:ind w:left="2940" w:hanging="420"/>
      </w:pPr>
      <w:rPr>
        <w:rFonts w:ascii="Wingdings" w:hAnsi="Wingdings"/>
      </w:rPr>
    </w:lvl>
    <w:lvl w:ilvl="6" w:tentative="0">
      <w:start w:val="1"/>
      <w:numFmt w:val="bullet"/>
      <w:lvlText w:val=""/>
      <w:lvlJc w:val="left"/>
      <w:pPr>
        <w:tabs>
          <w:tab w:val="left" w:pos="3360"/>
        </w:tabs>
        <w:ind w:left="3360" w:hanging="420"/>
      </w:pPr>
      <w:rPr>
        <w:rFonts w:ascii="Wingdings" w:hAnsi="Wingdings"/>
      </w:rPr>
    </w:lvl>
    <w:lvl w:ilvl="7" w:tentative="0">
      <w:start w:val="1"/>
      <w:numFmt w:val="bullet"/>
      <w:lvlText w:val=""/>
      <w:lvlJc w:val="left"/>
      <w:pPr>
        <w:tabs>
          <w:tab w:val="left" w:pos="3780"/>
        </w:tabs>
        <w:ind w:left="3780" w:hanging="420"/>
      </w:pPr>
      <w:rPr>
        <w:rFonts w:ascii="Wingdings" w:hAnsi="Wingdings"/>
      </w:rPr>
    </w:lvl>
    <w:lvl w:ilvl="8" w:tentative="0">
      <w:start w:val="1"/>
      <w:numFmt w:val="bullet"/>
      <w:lvlText w:val=""/>
      <w:lvlJc w:val="left"/>
      <w:pPr>
        <w:tabs>
          <w:tab w:val="left" w:pos="4200"/>
        </w:tabs>
        <w:ind w:left="4200" w:hanging="420"/>
      </w:pPr>
      <w:rPr>
        <w:rFonts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702B7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08"/>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uiPriority w:val="1"/>
  </w:style>
  <w:style w:type="table" w:default="1" w:styleId="28">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uiPriority w:val="39"/>
    <w:pPr>
      <w:spacing w:after="57"/>
      <w:ind w:left="1134" w:right="0" w:firstLine="0"/>
    </w:pPr>
  </w:style>
  <w:style w:type="paragraph" w:styleId="14">
    <w:name w:val="toc 3"/>
    <w:basedOn w:val="1"/>
    <w:next w:val="1"/>
    <w:unhideWhenUsed/>
    <w:uiPriority w:val="39"/>
    <w:pPr>
      <w:spacing w:after="57"/>
      <w:ind w:left="567" w:right="0" w:firstLine="0"/>
    </w:pPr>
  </w:style>
  <w:style w:type="paragraph" w:styleId="15">
    <w:name w:val="toc 8"/>
    <w:basedOn w:val="1"/>
    <w:next w:val="1"/>
    <w:unhideWhenUsed/>
    <w:uiPriority w:val="39"/>
    <w:pPr>
      <w:spacing w:after="57"/>
      <w:ind w:left="1984" w:right="0" w:firstLine="0"/>
    </w:pPr>
  </w:style>
  <w:style w:type="paragraph" w:styleId="16">
    <w:name w:val="endnote text"/>
    <w:basedOn w:val="1"/>
    <w:link w:val="180"/>
    <w:semiHidden/>
    <w:unhideWhenUsed/>
    <w:uiPriority w:val="99"/>
    <w:pPr>
      <w:spacing w:after="0" w:line="240" w:lineRule="auto"/>
    </w:pPr>
    <w:rPr>
      <w:sz w:val="20"/>
    </w:rPr>
  </w:style>
  <w:style w:type="paragraph" w:styleId="17">
    <w:name w:val="footer"/>
    <w:basedOn w:val="1"/>
    <w:link w:val="53"/>
    <w:unhideWhenUsed/>
    <w:uiPriority w:val="99"/>
    <w:pPr>
      <w:tabs>
        <w:tab w:val="center" w:pos="7143"/>
        <w:tab w:val="right" w:pos="14287"/>
      </w:tabs>
      <w:spacing w:after="0" w:line="240" w:lineRule="auto"/>
    </w:pPr>
  </w:style>
  <w:style w:type="paragraph" w:styleId="18">
    <w:name w:val="header"/>
    <w:basedOn w:val="1"/>
    <w:link w:val="51"/>
    <w:unhideWhenUsed/>
    <w:uiPriority w:val="99"/>
    <w:pPr>
      <w:tabs>
        <w:tab w:val="center" w:pos="7143"/>
        <w:tab w:val="right" w:pos="14287"/>
      </w:tabs>
      <w:spacing w:after="0" w:line="240" w:lineRule="auto"/>
    </w:pPr>
  </w:style>
  <w:style w:type="paragraph" w:styleId="19">
    <w:name w:val="toc 1"/>
    <w:basedOn w:val="1"/>
    <w:next w:val="1"/>
    <w:unhideWhenUsed/>
    <w:uiPriority w:val="39"/>
    <w:pPr>
      <w:spacing w:after="57"/>
      <w:ind w:left="0" w:right="0" w:firstLine="0"/>
    </w:pPr>
  </w:style>
  <w:style w:type="paragraph" w:styleId="20">
    <w:name w:val="toc 4"/>
    <w:basedOn w:val="1"/>
    <w:next w:val="1"/>
    <w:unhideWhenUsed/>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uiPriority w:val="99"/>
    <w:pPr>
      <w:spacing w:after="40" w:line="240" w:lineRule="auto"/>
    </w:pPr>
    <w:rPr>
      <w:sz w:val="18"/>
    </w:rPr>
  </w:style>
  <w:style w:type="paragraph" w:styleId="23">
    <w:name w:val="toc 6"/>
    <w:basedOn w:val="1"/>
    <w:next w:val="1"/>
    <w:unhideWhenUsed/>
    <w:uiPriority w:val="39"/>
    <w:pPr>
      <w:spacing w:after="57"/>
      <w:ind w:left="1417" w:right="0" w:firstLine="0"/>
    </w:pPr>
  </w:style>
  <w:style w:type="paragraph" w:styleId="24">
    <w:name w:val="table of figures"/>
    <w:basedOn w:val="1"/>
    <w:next w:val="1"/>
    <w:unhideWhenUsed/>
    <w:uiPriority w:val="99"/>
    <w:pPr>
      <w:spacing w:after="0" w:afterAutospacing="0"/>
    </w:pPr>
  </w:style>
  <w:style w:type="paragraph" w:styleId="25">
    <w:name w:val="toc 2"/>
    <w:basedOn w:val="1"/>
    <w:next w:val="1"/>
    <w:unhideWhenUsed/>
    <w:uiPriority w:val="39"/>
    <w:pPr>
      <w:spacing w:after="57"/>
      <w:ind w:left="283" w:right="0" w:firstLine="0"/>
    </w:pPr>
  </w:style>
  <w:style w:type="paragraph" w:styleId="26">
    <w:name w:val="toc 9"/>
    <w:basedOn w:val="1"/>
    <w:next w:val="1"/>
    <w:unhideWhenUsed/>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uiPriority w:val="99"/>
    <w:rPr>
      <w:vertAlign w:val="superscript"/>
    </w:rPr>
  </w:style>
  <w:style w:type="character" w:styleId="32">
    <w:name w:val="Hyperlink"/>
    <w:unhideWhenUsed/>
    <w:uiPriority w:val="99"/>
    <w:rPr>
      <w:color w:val="0000FF" w:themeColor="hyperlink"/>
      <w:u w:val="single"/>
    </w:rPr>
  </w:style>
  <w:style w:type="character" w:styleId="33">
    <w:name w:val="footnote reference"/>
    <w:unhideWhenUsed/>
    <w:uiPriority w:val="99"/>
    <w:rPr>
      <w:vertAlign w:val="superscript"/>
    </w:rPr>
  </w:style>
  <w:style w:type="character" w:customStyle="1" w:styleId="34">
    <w:name w:val="Heading 1 Char"/>
    <w:link w:val="2"/>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uiPriority w:val="9"/>
    <w:rPr>
      <w:rFonts w:ascii="Arial" w:hAnsi="Arial" w:eastAsia="Arial" w:cs="Arial"/>
      <w:sz w:val="30"/>
      <w:szCs w:val="30"/>
    </w:rPr>
  </w:style>
  <w:style w:type="character" w:customStyle="1" w:styleId="37">
    <w:name w:val="Heading 4 Char"/>
    <w:link w:val="5"/>
    <w:uiPriority w:val="9"/>
    <w:rPr>
      <w:rFonts w:ascii="Arial" w:hAnsi="Arial" w:eastAsia="Arial" w:cs="Arial"/>
      <w:b/>
      <w:bCs/>
      <w:sz w:val="26"/>
      <w:szCs w:val="26"/>
    </w:rPr>
  </w:style>
  <w:style w:type="character" w:customStyle="1" w:styleId="38">
    <w:name w:val="Heading 5 Char"/>
    <w:link w:val="6"/>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uiPriority w:val="9"/>
    <w:rPr>
      <w:rFonts w:ascii="Arial" w:hAnsi="Arial" w:eastAsia="Arial" w:cs="Arial"/>
      <w:b/>
      <w:bCs/>
      <w:i/>
      <w:iCs/>
      <w:sz w:val="22"/>
      <w:szCs w:val="22"/>
    </w:rPr>
  </w:style>
  <w:style w:type="character" w:customStyle="1" w:styleId="41">
    <w:name w:val="Heading 8 Char"/>
    <w:link w:val="9"/>
    <w:uiPriority w:val="9"/>
    <w:rPr>
      <w:rFonts w:ascii="Arial" w:hAnsi="Arial" w:eastAsia="Arial" w:cs="Arial"/>
      <w:i/>
      <w:iCs/>
      <w:sz w:val="22"/>
      <w:szCs w:val="22"/>
    </w:rPr>
  </w:style>
  <w:style w:type="character" w:customStyle="1" w:styleId="42">
    <w:name w:val="Heading 9 Char"/>
    <w:link w:val="10"/>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7"/>
    <w:uiPriority w:val="10"/>
    <w:rPr>
      <w:sz w:val="48"/>
      <w:szCs w:val="48"/>
    </w:rPr>
  </w:style>
  <w:style w:type="character" w:customStyle="1" w:styleId="46">
    <w:name w:val="Subtitle Char"/>
    <w:link w:val="21"/>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uiPriority w:val="30"/>
    <w:rPr>
      <w:i/>
    </w:rPr>
  </w:style>
  <w:style w:type="character" w:customStyle="1" w:styleId="51">
    <w:name w:val="Header Char"/>
    <w:link w:val="18"/>
    <w:uiPriority w:val="99"/>
  </w:style>
  <w:style w:type="character" w:customStyle="1" w:styleId="52">
    <w:name w:val="Footer Char"/>
    <w:link w:val="17"/>
    <w:uiPriority w:val="99"/>
  </w:style>
  <w:style w:type="character" w:customStyle="1" w:styleId="53">
    <w:name w:val="Caption Char"/>
    <w:link w:val="17"/>
    <w:uiPriority w:val="99"/>
  </w:style>
  <w:style w:type="table" w:customStyle="1" w:styleId="54">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6">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7">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8">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9">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0">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2">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3">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4">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5">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6">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7">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8">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9">
    <w:name w:val="List Table 1 Light"/>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uiPriority w:val="99"/>
    <w:pPr>
      <w:spacing w:after="0" w:line="240" w:lineRule="auto"/>
    </w:pP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uiPriority w:val="99"/>
    <w:pPr>
      <w:spacing w:after="0" w:line="240" w:lineRule="auto"/>
    </w:pP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uiPriority w:val="99"/>
    <w:pPr>
      <w:spacing w:after="0" w:line="240" w:lineRule="auto"/>
    </w:pP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uiPriority w:val="99"/>
    <w:pPr>
      <w:spacing w:after="0" w:line="240" w:lineRule="auto"/>
    </w:pP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uiPriority w:val="99"/>
    <w:pPr>
      <w:spacing w:after="0" w:line="240" w:lineRule="auto"/>
    </w:pP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5">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6">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7">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8">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9">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0">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1">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2">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3">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4">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5">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6">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7">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8">
    <w:name w:val="Lined - Accent"/>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uiPriority w:val="99"/>
    <w:pPr>
      <w:spacing w:after="0" w:line="240" w:lineRule="auto"/>
    </w:pPr>
    <w:rPr>
      <w:color w:val="404040"/>
    </w:rP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uiPriority w:val="99"/>
    <w:pPr>
      <w:spacing w:after="0" w:line="240" w:lineRule="auto"/>
    </w:pPr>
    <w:rPr>
      <w:color w:val="404040"/>
    </w:rP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uiPriority w:val="99"/>
    <w:pPr>
      <w:spacing w:after="0" w:line="240" w:lineRule="auto"/>
    </w:pPr>
    <w:rPr>
      <w:color w:val="404040"/>
    </w:rP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uiPriority w:val="99"/>
    <w:pPr>
      <w:spacing w:after="0" w:line="240" w:lineRule="auto"/>
    </w:pPr>
    <w:rPr>
      <w:color w:val="404040"/>
    </w:rP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uiPriority w:val="99"/>
    <w:pPr>
      <w:spacing w:after="0" w:line="240" w:lineRule="auto"/>
    </w:pPr>
    <w:rPr>
      <w:color w:val="404040"/>
    </w:rP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uiPriority w:val="99"/>
    <w:pPr>
      <w:spacing w:after="0" w:line="240" w:lineRule="auto"/>
    </w:pPr>
    <w:rPr>
      <w:color w:val="404040"/>
    </w:rP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uiPriority w:val="99"/>
    <w:rPr>
      <w:sz w:val="18"/>
    </w:rPr>
  </w:style>
  <w:style w:type="character" w:customStyle="1" w:styleId="180">
    <w:name w:val="Endnote Text Char"/>
    <w:link w:val="16"/>
    <w:uiPriority w:val="99"/>
    <w:rPr>
      <w:sz w:val="20"/>
    </w:rPr>
  </w:style>
  <w:style w:type="paragraph" w:customStyle="1" w:styleId="181">
    <w:name w:val="TOC Heading"/>
    <w:unhideWhenUsed/>
    <w:uiPriority w:val="39"/>
    <w:rPr>
      <w:rFonts w:hint="default" w:ascii="Times New Roman" w:hAnsi="Times New Roman" w:eastAsia="宋体" w:cs="Times New Roman"/>
    </w:rPr>
  </w:style>
  <w:style w:type="paragraph" w:customStyle="1" w:styleId="182">
    <w:name w:val="标题 112"/>
    <w:basedOn w:val="1"/>
    <w:next w:val="1"/>
    <w:link w:val="193"/>
    <w:qFormat/>
    <w:uiPriority w:val="9"/>
    <w:pPr>
      <w:keepNext/>
      <w:keepLines/>
      <w:spacing w:before="480" w:after="200"/>
      <w:outlineLvl w:val="0"/>
    </w:pPr>
    <w:rPr>
      <w:rFonts w:ascii="Arial" w:hAnsi="Arial" w:eastAsia="Arial" w:cs="Arial"/>
      <w:sz w:val="40"/>
      <w:szCs w:val="40"/>
    </w:rPr>
  </w:style>
  <w:style w:type="paragraph" w:customStyle="1" w:styleId="183">
    <w:name w:val="标题 211"/>
    <w:basedOn w:val="1"/>
    <w:next w:val="1"/>
    <w:link w:val="194"/>
    <w:qFormat/>
    <w:uiPriority w:val="9"/>
    <w:pPr>
      <w:keepNext/>
      <w:keepLines/>
      <w:spacing w:before="360" w:after="200"/>
      <w:outlineLvl w:val="1"/>
    </w:pPr>
    <w:rPr>
      <w:rFonts w:ascii="Arial" w:hAnsi="Arial" w:eastAsia="Arial" w:cs="Arial"/>
      <w:sz w:val="34"/>
      <w:szCs w:val="20"/>
    </w:rPr>
  </w:style>
  <w:style w:type="paragraph" w:customStyle="1" w:styleId="184">
    <w:name w:val="标题 311"/>
    <w:basedOn w:val="1"/>
    <w:next w:val="1"/>
    <w:link w:val="195"/>
    <w:qFormat/>
    <w:uiPriority w:val="9"/>
    <w:pPr>
      <w:keepNext/>
      <w:keepLines/>
      <w:spacing w:before="320" w:after="200"/>
      <w:outlineLvl w:val="2"/>
    </w:pPr>
    <w:rPr>
      <w:rFonts w:ascii="Arial" w:hAnsi="Arial" w:eastAsia="Arial" w:cs="Arial"/>
      <w:sz w:val="30"/>
      <w:szCs w:val="30"/>
    </w:rPr>
  </w:style>
  <w:style w:type="paragraph" w:customStyle="1" w:styleId="185">
    <w:name w:val="标题 411"/>
    <w:basedOn w:val="1"/>
    <w:next w:val="1"/>
    <w:link w:val="196"/>
    <w:qFormat/>
    <w:uiPriority w:val="9"/>
    <w:pPr>
      <w:keepNext/>
      <w:keepLines/>
      <w:spacing w:before="320" w:after="200"/>
      <w:outlineLvl w:val="3"/>
    </w:pPr>
    <w:rPr>
      <w:rFonts w:ascii="Arial" w:hAnsi="Arial" w:eastAsia="Arial" w:cs="Arial"/>
      <w:b/>
      <w:bCs/>
      <w:sz w:val="26"/>
      <w:szCs w:val="26"/>
    </w:rPr>
  </w:style>
  <w:style w:type="paragraph" w:customStyle="1" w:styleId="186">
    <w:name w:val="标题 511"/>
    <w:basedOn w:val="1"/>
    <w:next w:val="1"/>
    <w:link w:val="197"/>
    <w:qFormat/>
    <w:uiPriority w:val="9"/>
    <w:pPr>
      <w:keepNext/>
      <w:keepLines/>
      <w:spacing w:before="320" w:after="200"/>
      <w:outlineLvl w:val="4"/>
    </w:pPr>
    <w:rPr>
      <w:rFonts w:ascii="Arial" w:hAnsi="Arial" w:eastAsia="Arial" w:cs="Arial"/>
      <w:b/>
      <w:bCs/>
      <w:sz w:val="24"/>
    </w:rPr>
  </w:style>
  <w:style w:type="paragraph" w:customStyle="1" w:styleId="187">
    <w:name w:val="标题 611"/>
    <w:basedOn w:val="1"/>
    <w:next w:val="1"/>
    <w:link w:val="198"/>
    <w:qFormat/>
    <w:uiPriority w:val="9"/>
    <w:pPr>
      <w:keepNext/>
      <w:keepLines/>
      <w:spacing w:before="320" w:after="200"/>
      <w:outlineLvl w:val="5"/>
    </w:pPr>
    <w:rPr>
      <w:rFonts w:ascii="Arial" w:hAnsi="Arial" w:eastAsia="Arial" w:cs="Arial"/>
      <w:b/>
      <w:bCs/>
      <w:sz w:val="22"/>
      <w:szCs w:val="22"/>
    </w:rPr>
  </w:style>
  <w:style w:type="paragraph" w:customStyle="1" w:styleId="188">
    <w:name w:val="标题 711"/>
    <w:basedOn w:val="1"/>
    <w:next w:val="1"/>
    <w:link w:val="199"/>
    <w:qFormat/>
    <w:uiPriority w:val="9"/>
    <w:pPr>
      <w:keepNext/>
      <w:keepLines/>
      <w:spacing w:before="320" w:after="200"/>
      <w:outlineLvl w:val="6"/>
    </w:pPr>
    <w:rPr>
      <w:rFonts w:ascii="Arial" w:hAnsi="Arial" w:eastAsia="Arial" w:cs="Arial"/>
      <w:b/>
      <w:bCs/>
      <w:i/>
      <w:iCs/>
      <w:sz w:val="22"/>
      <w:szCs w:val="22"/>
    </w:rPr>
  </w:style>
  <w:style w:type="paragraph" w:customStyle="1" w:styleId="189">
    <w:name w:val="标题 811"/>
    <w:basedOn w:val="1"/>
    <w:next w:val="1"/>
    <w:link w:val="200"/>
    <w:qFormat/>
    <w:uiPriority w:val="9"/>
    <w:pPr>
      <w:keepNext/>
      <w:keepLines/>
      <w:spacing w:before="320" w:after="200"/>
      <w:outlineLvl w:val="7"/>
    </w:pPr>
    <w:rPr>
      <w:rFonts w:ascii="Arial" w:hAnsi="Arial" w:eastAsia="Arial" w:cs="Arial"/>
      <w:i/>
      <w:iCs/>
      <w:sz w:val="22"/>
      <w:szCs w:val="22"/>
    </w:rPr>
  </w:style>
  <w:style w:type="paragraph" w:customStyle="1" w:styleId="190">
    <w:name w:val="标题 91"/>
    <w:basedOn w:val="1"/>
    <w:next w:val="1"/>
    <w:link w:val="201"/>
    <w:qFormat/>
    <w:uiPriority w:val="9"/>
    <w:pPr>
      <w:keepNext/>
      <w:keepLines/>
      <w:spacing w:before="320" w:after="200"/>
      <w:outlineLvl w:val="8"/>
    </w:pPr>
    <w:rPr>
      <w:rFonts w:ascii="Arial" w:hAnsi="Arial" w:eastAsia="Arial" w:cs="Arial"/>
      <w:i/>
      <w:iCs/>
      <w:szCs w:val="21"/>
    </w:rPr>
  </w:style>
  <w:style w:type="character" w:customStyle="1" w:styleId="191">
    <w:name w:val="默认段落字体11"/>
    <w:link w:val="1"/>
    <w:semiHidden/>
    <w:uiPriority w:val="0"/>
  </w:style>
  <w:style w:type="table" w:customStyle="1" w:styleId="192">
    <w:name w:val="普通表格1"/>
    <w:semiHidden/>
    <w:uiPriority w:val="0"/>
  </w:style>
  <w:style w:type="character" w:customStyle="1" w:styleId="193">
    <w:name w:val="标题 1 Char"/>
    <w:basedOn w:val="191"/>
    <w:link w:val="182"/>
    <w:uiPriority w:val="9"/>
    <w:rPr>
      <w:rFonts w:ascii="Arial" w:hAnsi="Arial" w:eastAsia="Arial" w:cs="Arial"/>
      <w:sz w:val="40"/>
      <w:szCs w:val="40"/>
    </w:rPr>
  </w:style>
  <w:style w:type="character" w:customStyle="1" w:styleId="194">
    <w:name w:val="标题 2 Char"/>
    <w:basedOn w:val="191"/>
    <w:link w:val="183"/>
    <w:qFormat/>
    <w:uiPriority w:val="9"/>
    <w:rPr>
      <w:rFonts w:ascii="Arial" w:hAnsi="Arial" w:eastAsia="Arial" w:cs="Arial"/>
      <w:sz w:val="34"/>
    </w:rPr>
  </w:style>
  <w:style w:type="character" w:customStyle="1" w:styleId="195">
    <w:name w:val="标题 3 Char"/>
    <w:basedOn w:val="191"/>
    <w:link w:val="184"/>
    <w:uiPriority w:val="9"/>
    <w:rPr>
      <w:rFonts w:ascii="Arial" w:hAnsi="Arial" w:eastAsia="Arial" w:cs="Arial"/>
      <w:sz w:val="30"/>
      <w:szCs w:val="30"/>
    </w:rPr>
  </w:style>
  <w:style w:type="character" w:customStyle="1" w:styleId="196">
    <w:name w:val="标题 4 Char"/>
    <w:basedOn w:val="191"/>
    <w:link w:val="185"/>
    <w:qFormat/>
    <w:uiPriority w:val="9"/>
    <w:rPr>
      <w:rFonts w:ascii="Arial" w:hAnsi="Arial" w:eastAsia="Arial" w:cs="Arial"/>
      <w:b/>
      <w:bCs/>
      <w:sz w:val="26"/>
      <w:szCs w:val="26"/>
    </w:rPr>
  </w:style>
  <w:style w:type="character" w:customStyle="1" w:styleId="197">
    <w:name w:val="标题 5 Char"/>
    <w:basedOn w:val="191"/>
    <w:link w:val="186"/>
    <w:qFormat/>
    <w:uiPriority w:val="9"/>
    <w:rPr>
      <w:rFonts w:ascii="Arial" w:hAnsi="Arial" w:eastAsia="Arial" w:cs="Arial"/>
      <w:b/>
      <w:bCs/>
      <w:sz w:val="24"/>
      <w:szCs w:val="24"/>
    </w:rPr>
  </w:style>
  <w:style w:type="character" w:customStyle="1" w:styleId="198">
    <w:name w:val="标题 6 Char"/>
    <w:basedOn w:val="191"/>
    <w:link w:val="187"/>
    <w:qFormat/>
    <w:uiPriority w:val="9"/>
    <w:rPr>
      <w:rFonts w:ascii="Arial" w:hAnsi="Arial" w:eastAsia="Arial" w:cs="Arial"/>
      <w:b/>
      <w:bCs/>
      <w:sz w:val="22"/>
      <w:szCs w:val="22"/>
    </w:rPr>
  </w:style>
  <w:style w:type="character" w:customStyle="1" w:styleId="199">
    <w:name w:val="标题 7 Char"/>
    <w:basedOn w:val="191"/>
    <w:link w:val="188"/>
    <w:qFormat/>
    <w:uiPriority w:val="9"/>
    <w:rPr>
      <w:rFonts w:ascii="Arial" w:hAnsi="Arial" w:eastAsia="Arial" w:cs="Arial"/>
      <w:b/>
      <w:bCs/>
      <w:i/>
      <w:iCs/>
      <w:sz w:val="22"/>
      <w:szCs w:val="22"/>
    </w:rPr>
  </w:style>
  <w:style w:type="character" w:customStyle="1" w:styleId="200">
    <w:name w:val="标题 8 Char"/>
    <w:basedOn w:val="191"/>
    <w:link w:val="189"/>
    <w:qFormat/>
    <w:uiPriority w:val="9"/>
    <w:rPr>
      <w:rFonts w:ascii="Arial" w:hAnsi="Arial" w:eastAsia="Arial" w:cs="Arial"/>
      <w:i/>
      <w:iCs/>
      <w:sz w:val="22"/>
      <w:szCs w:val="22"/>
    </w:rPr>
  </w:style>
  <w:style w:type="character" w:customStyle="1" w:styleId="201">
    <w:name w:val="标题 9 Char"/>
    <w:basedOn w:val="191"/>
    <w:link w:val="190"/>
    <w:qFormat/>
    <w:uiPriority w:val="9"/>
    <w:rPr>
      <w:rFonts w:ascii="Arial" w:hAnsi="Arial" w:eastAsia="Arial" w:cs="Arial"/>
      <w:i/>
      <w:iCs/>
      <w:sz w:val="21"/>
      <w:szCs w:val="21"/>
    </w:rPr>
  </w:style>
  <w:style w:type="paragraph" w:customStyle="1" w:styleId="202">
    <w:name w:val="目录 71"/>
    <w:basedOn w:val="1"/>
    <w:next w:val="1"/>
    <w:unhideWhenUsed/>
    <w:qFormat/>
    <w:uiPriority w:val="39"/>
    <w:pPr>
      <w:spacing w:after="57"/>
      <w:ind w:left="1701"/>
    </w:pPr>
    <w:rPr>
      <w:szCs w:val="20"/>
    </w:rPr>
  </w:style>
  <w:style w:type="paragraph" w:customStyle="1" w:styleId="203">
    <w:name w:val="批注文字11"/>
    <w:basedOn w:val="1"/>
    <w:link w:val="204"/>
    <w:unhideWhenUsed/>
    <w:uiPriority w:val="99"/>
    <w:pPr>
      <w:jc w:val="left"/>
    </w:pPr>
    <w:rPr>
      <w:szCs w:val="20"/>
    </w:rPr>
  </w:style>
  <w:style w:type="character" w:customStyle="1" w:styleId="204">
    <w:name w:val="批注文字 Char"/>
    <w:basedOn w:val="191"/>
    <w:link w:val="203"/>
    <w:uiPriority w:val="99"/>
    <w:rPr>
      <w:sz w:val="21"/>
    </w:rPr>
  </w:style>
  <w:style w:type="paragraph" w:customStyle="1" w:styleId="205">
    <w:name w:val="正文文本缩进12"/>
    <w:basedOn w:val="1"/>
    <w:link w:val="206"/>
    <w:qFormat/>
    <w:uiPriority w:val="0"/>
    <w:pPr>
      <w:ind w:firstLine="840"/>
    </w:pPr>
    <w:rPr>
      <w:sz w:val="28"/>
    </w:rPr>
  </w:style>
  <w:style w:type="character" w:customStyle="1" w:styleId="206">
    <w:name w:val="正文文本缩进 Char"/>
    <w:basedOn w:val="191"/>
    <w:link w:val="205"/>
    <w:uiPriority w:val="0"/>
    <w:rPr>
      <w:sz w:val="28"/>
      <w:szCs w:val="24"/>
    </w:rPr>
  </w:style>
  <w:style w:type="paragraph" w:customStyle="1" w:styleId="207">
    <w:name w:val="目录 51"/>
    <w:basedOn w:val="1"/>
    <w:next w:val="1"/>
    <w:unhideWhenUsed/>
    <w:qFormat/>
    <w:uiPriority w:val="39"/>
    <w:pPr>
      <w:spacing w:after="57"/>
      <w:ind w:left="1134"/>
    </w:pPr>
    <w:rPr>
      <w:szCs w:val="20"/>
    </w:rPr>
  </w:style>
  <w:style w:type="paragraph" w:customStyle="1" w:styleId="208">
    <w:name w:val="目录 31"/>
    <w:basedOn w:val="1"/>
    <w:next w:val="1"/>
    <w:unhideWhenUsed/>
    <w:qFormat/>
    <w:uiPriority w:val="39"/>
    <w:pPr>
      <w:spacing w:after="57"/>
      <w:ind w:left="567"/>
    </w:pPr>
    <w:rPr>
      <w:szCs w:val="20"/>
    </w:rPr>
  </w:style>
  <w:style w:type="paragraph" w:customStyle="1" w:styleId="209">
    <w:name w:val="纯文本11"/>
    <w:basedOn w:val="1"/>
    <w:link w:val="210"/>
    <w:qFormat/>
    <w:uiPriority w:val="0"/>
    <w:rPr>
      <w:rFonts w:ascii="宋体" w:hAnsi="Courier New"/>
      <w:sz w:val="20"/>
      <w:szCs w:val="21"/>
    </w:rPr>
  </w:style>
  <w:style w:type="character" w:customStyle="1" w:styleId="210">
    <w:name w:val="纯文本 Char"/>
    <w:basedOn w:val="191"/>
    <w:link w:val="209"/>
    <w:qFormat/>
    <w:uiPriority w:val="0"/>
    <w:rPr>
      <w:rFonts w:ascii="宋体" w:hAnsi="Courier New"/>
      <w:szCs w:val="21"/>
    </w:rPr>
  </w:style>
  <w:style w:type="paragraph" w:customStyle="1" w:styleId="211">
    <w:name w:val="目录 81"/>
    <w:basedOn w:val="1"/>
    <w:next w:val="1"/>
    <w:unhideWhenUsed/>
    <w:qFormat/>
    <w:uiPriority w:val="39"/>
    <w:pPr>
      <w:spacing w:after="57"/>
      <w:ind w:left="1984"/>
    </w:pPr>
    <w:rPr>
      <w:szCs w:val="20"/>
    </w:rPr>
  </w:style>
  <w:style w:type="paragraph" w:customStyle="1" w:styleId="212">
    <w:name w:val="尾注文本1"/>
    <w:basedOn w:val="1"/>
    <w:link w:val="213"/>
    <w:unhideWhenUsed/>
    <w:qFormat/>
    <w:uiPriority w:val="99"/>
    <w:rPr>
      <w:sz w:val="20"/>
      <w:szCs w:val="20"/>
    </w:rPr>
  </w:style>
  <w:style w:type="character" w:customStyle="1" w:styleId="213">
    <w:name w:val="尾注文本 Char"/>
    <w:basedOn w:val="191"/>
    <w:link w:val="212"/>
    <w:qFormat/>
    <w:uiPriority w:val="99"/>
  </w:style>
  <w:style w:type="paragraph" w:customStyle="1" w:styleId="214">
    <w:name w:val="批注框文本11"/>
    <w:basedOn w:val="1"/>
    <w:link w:val="215"/>
    <w:unhideWhenUsed/>
    <w:uiPriority w:val="99"/>
    <w:rPr>
      <w:sz w:val="18"/>
      <w:szCs w:val="18"/>
    </w:rPr>
  </w:style>
  <w:style w:type="character" w:customStyle="1" w:styleId="215">
    <w:name w:val="批注框文本 Char"/>
    <w:basedOn w:val="191"/>
    <w:link w:val="214"/>
    <w:uiPriority w:val="99"/>
    <w:rPr>
      <w:sz w:val="18"/>
      <w:szCs w:val="18"/>
    </w:rPr>
  </w:style>
  <w:style w:type="paragraph" w:customStyle="1" w:styleId="216">
    <w:name w:val="页脚12"/>
    <w:basedOn w:val="1"/>
    <w:link w:val="217"/>
    <w:qFormat/>
    <w:uiPriority w:val="99"/>
    <w:pPr>
      <w:tabs>
        <w:tab w:val="center" w:pos="4153"/>
        <w:tab w:val="right" w:pos="8306"/>
      </w:tabs>
      <w:jc w:val="left"/>
    </w:pPr>
    <w:rPr>
      <w:sz w:val="18"/>
      <w:szCs w:val="18"/>
    </w:rPr>
  </w:style>
  <w:style w:type="character" w:customStyle="1" w:styleId="217">
    <w:name w:val="页脚 Char1"/>
    <w:link w:val="216"/>
    <w:qFormat/>
    <w:uiPriority w:val="99"/>
    <w:rPr>
      <w:sz w:val="18"/>
      <w:szCs w:val="18"/>
    </w:rPr>
  </w:style>
  <w:style w:type="paragraph" w:customStyle="1" w:styleId="218">
    <w:name w:val="页眉12"/>
    <w:basedOn w:val="1"/>
    <w:link w:val="219"/>
    <w:qFormat/>
    <w:uiPriority w:val="99"/>
    <w:pPr>
      <w:pBdr>
        <w:bottom w:val="single" w:color="000000" w:sz="6" w:space="1"/>
      </w:pBdr>
      <w:tabs>
        <w:tab w:val="center" w:pos="4153"/>
        <w:tab w:val="right" w:pos="8306"/>
      </w:tabs>
      <w:jc w:val="center"/>
    </w:pPr>
    <w:rPr>
      <w:sz w:val="18"/>
      <w:szCs w:val="18"/>
    </w:rPr>
  </w:style>
  <w:style w:type="character" w:customStyle="1" w:styleId="219">
    <w:name w:val="页眉 Char"/>
    <w:basedOn w:val="191"/>
    <w:link w:val="218"/>
    <w:qFormat/>
    <w:uiPriority w:val="99"/>
    <w:rPr>
      <w:sz w:val="18"/>
      <w:szCs w:val="18"/>
    </w:rPr>
  </w:style>
  <w:style w:type="paragraph" w:customStyle="1" w:styleId="220">
    <w:name w:val="目录 111"/>
    <w:basedOn w:val="1"/>
    <w:next w:val="1"/>
    <w:unhideWhenUsed/>
    <w:qFormat/>
    <w:uiPriority w:val="39"/>
    <w:pPr>
      <w:spacing w:after="57"/>
    </w:pPr>
    <w:rPr>
      <w:szCs w:val="20"/>
    </w:rPr>
  </w:style>
  <w:style w:type="paragraph" w:customStyle="1" w:styleId="221">
    <w:name w:val="目录 41"/>
    <w:basedOn w:val="1"/>
    <w:next w:val="1"/>
    <w:unhideWhenUsed/>
    <w:qFormat/>
    <w:uiPriority w:val="39"/>
    <w:pPr>
      <w:spacing w:after="57"/>
      <w:ind w:left="850"/>
    </w:pPr>
    <w:rPr>
      <w:szCs w:val="20"/>
    </w:rPr>
  </w:style>
  <w:style w:type="paragraph" w:customStyle="1" w:styleId="222">
    <w:name w:val="副标题1"/>
    <w:basedOn w:val="1"/>
    <w:next w:val="1"/>
    <w:link w:val="223"/>
    <w:qFormat/>
    <w:uiPriority w:val="11"/>
    <w:pPr>
      <w:spacing w:before="200" w:after="200"/>
    </w:pPr>
    <w:rPr>
      <w:sz w:val="24"/>
    </w:rPr>
  </w:style>
  <w:style w:type="character" w:customStyle="1" w:styleId="223">
    <w:name w:val="副标题 Char"/>
    <w:basedOn w:val="191"/>
    <w:link w:val="222"/>
    <w:qFormat/>
    <w:uiPriority w:val="11"/>
    <w:rPr>
      <w:sz w:val="24"/>
      <w:szCs w:val="24"/>
    </w:rPr>
  </w:style>
  <w:style w:type="paragraph" w:customStyle="1" w:styleId="224">
    <w:name w:val="脚注文本1"/>
    <w:basedOn w:val="1"/>
    <w:link w:val="225"/>
    <w:unhideWhenUsed/>
    <w:qFormat/>
    <w:uiPriority w:val="99"/>
    <w:pPr>
      <w:spacing w:after="40"/>
    </w:pPr>
    <w:rPr>
      <w:sz w:val="18"/>
      <w:szCs w:val="20"/>
    </w:rPr>
  </w:style>
  <w:style w:type="character" w:customStyle="1" w:styleId="225">
    <w:name w:val="脚注文本 Char"/>
    <w:basedOn w:val="191"/>
    <w:link w:val="224"/>
    <w:qFormat/>
    <w:uiPriority w:val="99"/>
    <w:rPr>
      <w:sz w:val="18"/>
    </w:rPr>
  </w:style>
  <w:style w:type="paragraph" w:customStyle="1" w:styleId="226">
    <w:name w:val="目录 61"/>
    <w:basedOn w:val="1"/>
    <w:next w:val="1"/>
    <w:unhideWhenUsed/>
    <w:qFormat/>
    <w:uiPriority w:val="39"/>
    <w:pPr>
      <w:spacing w:after="57"/>
      <w:ind w:left="1417"/>
    </w:pPr>
    <w:rPr>
      <w:szCs w:val="20"/>
    </w:rPr>
  </w:style>
  <w:style w:type="paragraph" w:customStyle="1" w:styleId="227">
    <w:name w:val="图表目录1"/>
    <w:basedOn w:val="1"/>
    <w:next w:val="1"/>
    <w:unhideWhenUsed/>
    <w:qFormat/>
    <w:uiPriority w:val="99"/>
    <w:rPr>
      <w:szCs w:val="20"/>
    </w:rPr>
  </w:style>
  <w:style w:type="paragraph" w:customStyle="1" w:styleId="228">
    <w:name w:val="目录 21"/>
    <w:basedOn w:val="1"/>
    <w:next w:val="1"/>
    <w:unhideWhenUsed/>
    <w:qFormat/>
    <w:uiPriority w:val="39"/>
    <w:pPr>
      <w:spacing w:after="57"/>
      <w:ind w:left="283"/>
    </w:pPr>
    <w:rPr>
      <w:szCs w:val="20"/>
    </w:rPr>
  </w:style>
  <w:style w:type="paragraph" w:customStyle="1" w:styleId="229">
    <w:name w:val="目录 91"/>
    <w:basedOn w:val="1"/>
    <w:next w:val="1"/>
    <w:unhideWhenUsed/>
    <w:qFormat/>
    <w:uiPriority w:val="39"/>
    <w:pPr>
      <w:spacing w:after="57"/>
      <w:ind w:left="2268"/>
    </w:pPr>
    <w:rPr>
      <w:szCs w:val="20"/>
    </w:rPr>
  </w:style>
  <w:style w:type="paragraph" w:customStyle="1" w:styleId="230">
    <w:name w:val="普通(网站)11"/>
    <w:basedOn w:val="1"/>
    <w:unhideWhenUsed/>
    <w:uiPriority w:val="99"/>
    <w:pPr>
      <w:widowControl/>
      <w:spacing w:before="100" w:beforeAutospacing="1" w:after="100" w:afterAutospacing="1"/>
      <w:jc w:val="left"/>
    </w:pPr>
    <w:rPr>
      <w:rFonts w:ascii="宋体" w:hAnsi="宋体" w:cs="宋体"/>
      <w:sz w:val="24"/>
    </w:rPr>
  </w:style>
  <w:style w:type="paragraph" w:customStyle="1" w:styleId="231">
    <w:name w:val="标题12"/>
    <w:basedOn w:val="1"/>
    <w:next w:val="1"/>
    <w:link w:val="232"/>
    <w:qFormat/>
    <w:uiPriority w:val="10"/>
    <w:pPr>
      <w:spacing w:before="300" w:after="200"/>
      <w:contextualSpacing/>
    </w:pPr>
    <w:rPr>
      <w:sz w:val="48"/>
      <w:szCs w:val="48"/>
    </w:rPr>
  </w:style>
  <w:style w:type="character" w:customStyle="1" w:styleId="232">
    <w:name w:val="标题 Char"/>
    <w:basedOn w:val="191"/>
    <w:link w:val="231"/>
    <w:qFormat/>
    <w:uiPriority w:val="10"/>
    <w:rPr>
      <w:sz w:val="48"/>
      <w:szCs w:val="48"/>
    </w:rPr>
  </w:style>
  <w:style w:type="table" w:customStyle="1" w:styleId="233">
    <w:name w:val="网格型1"/>
    <w:qFormat/>
    <w:uiPriority w:val="59"/>
    <w:rPr>
      <w:lang w:val="en-US" w:eastAsia="zh-CN" w:bidi="ar-SA"/>
    </w:rPr>
  </w:style>
  <w:style w:type="character" w:customStyle="1" w:styleId="234">
    <w:name w:val="尾注引用1"/>
    <w:link w:val="1"/>
    <w:unhideWhenUsed/>
    <w:qFormat/>
    <w:uiPriority w:val="99"/>
    <w:rPr>
      <w:vertAlign w:val="superscript"/>
    </w:rPr>
  </w:style>
  <w:style w:type="character" w:customStyle="1" w:styleId="235">
    <w:name w:val="页码11"/>
    <w:basedOn w:val="191"/>
    <w:link w:val="1"/>
    <w:uiPriority w:val="0"/>
  </w:style>
  <w:style w:type="character" w:customStyle="1" w:styleId="236">
    <w:name w:val="超链接11"/>
    <w:link w:val="1"/>
    <w:unhideWhenUsed/>
    <w:qFormat/>
    <w:uiPriority w:val="99"/>
    <w:rPr>
      <w:color w:val="0000FF"/>
      <w:u w:val="single"/>
    </w:rPr>
  </w:style>
  <w:style w:type="character" w:customStyle="1" w:styleId="237">
    <w:name w:val="批注引用11"/>
    <w:basedOn w:val="191"/>
    <w:link w:val="1"/>
    <w:unhideWhenUsed/>
    <w:uiPriority w:val="99"/>
    <w:rPr>
      <w:sz w:val="21"/>
      <w:szCs w:val="21"/>
    </w:rPr>
  </w:style>
  <w:style w:type="character" w:customStyle="1" w:styleId="238">
    <w:name w:val="脚注引用1"/>
    <w:link w:val="1"/>
    <w:unhideWhenUsed/>
    <w:qFormat/>
    <w:uiPriority w:val="99"/>
    <w:rPr>
      <w:vertAlign w:val="superscript"/>
    </w:rPr>
  </w:style>
  <w:style w:type="paragraph" w:customStyle="1" w:styleId="239">
    <w:name w:val="列出段落"/>
    <w:basedOn w:val="1"/>
    <w:link w:val="240"/>
    <w:qFormat/>
    <w:uiPriority w:val="34"/>
    <w:pPr>
      <w:ind w:firstLine="420"/>
      <w:jc w:val="left"/>
    </w:pPr>
    <w:rPr>
      <w:sz w:val="20"/>
      <w:szCs w:val="20"/>
    </w:rPr>
  </w:style>
  <w:style w:type="character" w:customStyle="1" w:styleId="240">
    <w:name w:val="列出段落 Char"/>
    <w:link w:val="239"/>
    <w:qFormat/>
    <w:uiPriority w:val="34"/>
  </w:style>
  <w:style w:type="paragraph" w:customStyle="1" w:styleId="241">
    <w:name w:val="无间隔"/>
    <w:qFormat/>
    <w:uiPriority w:val="1"/>
    <w:rPr>
      <w:rFonts w:hint="default" w:ascii="Times New Roman" w:hAnsi="Times New Roman" w:eastAsia="宋体" w:cs="Times New Roman"/>
      <w:lang w:val="en-US" w:eastAsia="zh-CN" w:bidi="ar-SA"/>
    </w:rPr>
  </w:style>
  <w:style w:type="paragraph" w:customStyle="1" w:styleId="242">
    <w:name w:val="引用"/>
    <w:basedOn w:val="1"/>
    <w:next w:val="1"/>
    <w:link w:val="243"/>
    <w:qFormat/>
    <w:uiPriority w:val="29"/>
    <w:pPr>
      <w:ind w:left="720" w:right="720"/>
    </w:pPr>
    <w:rPr>
      <w:i/>
      <w:szCs w:val="20"/>
    </w:rPr>
  </w:style>
  <w:style w:type="character" w:customStyle="1" w:styleId="243">
    <w:name w:val="引用 Char"/>
    <w:basedOn w:val="191"/>
    <w:link w:val="242"/>
    <w:qFormat/>
    <w:uiPriority w:val="29"/>
    <w:rPr>
      <w:i/>
      <w:sz w:val="21"/>
    </w:rPr>
  </w:style>
  <w:style w:type="paragraph" w:customStyle="1" w:styleId="244">
    <w:name w:val="明显引用"/>
    <w:basedOn w:val="1"/>
    <w:next w:val="1"/>
    <w:link w:val="24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Cs w:val="20"/>
    </w:rPr>
  </w:style>
  <w:style w:type="character" w:customStyle="1" w:styleId="245">
    <w:name w:val="明显引用 Char"/>
    <w:basedOn w:val="191"/>
    <w:link w:val="244"/>
    <w:qFormat/>
    <w:uiPriority w:val="30"/>
    <w:rPr>
      <w:i/>
      <w:sz w:val="21"/>
      <w:shd w:val="clear" w:color="auto" w:fill="F2F2F2"/>
    </w:rPr>
  </w:style>
  <w:style w:type="character" w:customStyle="1" w:styleId="246">
    <w:name w:val="页脚 Char"/>
    <w:link w:val="1"/>
    <w:qFormat/>
    <w:uiPriority w:val="99"/>
  </w:style>
  <w:style w:type="paragraph" w:customStyle="1" w:styleId="247">
    <w:name w:val="TOC 标题1"/>
    <w:unhideWhenUsed/>
    <w:qFormat/>
    <w:uiPriority w:val="39"/>
    <w:rPr>
      <w:rFonts w:hint="default" w:ascii="Times New Roman" w:hAnsi="Times New Roman" w:eastAsia="宋体" w:cs="Times New Roman"/>
      <w:lang w:val="en-US" w:eastAsia="zh-CN" w:bidi="ar-SA"/>
    </w:rPr>
  </w:style>
  <w:style w:type="paragraph" w:customStyle="1" w:styleId="248">
    <w:name w:val="标题 111"/>
    <w:basedOn w:val="1"/>
    <w:next w:val="1"/>
    <w:qFormat/>
    <w:uiPriority w:val="0"/>
    <w:pPr>
      <w:keepNext/>
      <w:keepLines/>
      <w:spacing w:before="340" w:after="330" w:line="576" w:lineRule="auto"/>
      <w:outlineLvl w:val="0"/>
    </w:pPr>
    <w:rPr>
      <w:b/>
      <w:sz w:val="44"/>
      <w:szCs w:val="20"/>
    </w:rPr>
  </w:style>
  <w:style w:type="paragraph" w:customStyle="1" w:styleId="249">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250">
    <w:name w:val="标题 31"/>
    <w:basedOn w:val="248"/>
    <w:next w:val="1"/>
    <w:qFormat/>
    <w:uiPriority w:val="0"/>
    <w:pPr>
      <w:spacing w:before="260" w:after="260" w:line="413" w:lineRule="auto"/>
      <w:outlineLvl w:val="2"/>
    </w:pPr>
    <w:rPr>
      <w:rFonts w:eastAsia="黑体"/>
      <w:b w:val="0"/>
      <w:sz w:val="32"/>
    </w:rPr>
  </w:style>
  <w:style w:type="paragraph" w:customStyle="1" w:styleId="251">
    <w:name w:val="标题 41"/>
    <w:basedOn w:val="1"/>
    <w:next w:val="252"/>
    <w:qFormat/>
    <w:uiPriority w:val="0"/>
    <w:pPr>
      <w:keepNext/>
      <w:keepLines/>
      <w:spacing w:before="280" w:after="290" w:line="372" w:lineRule="auto"/>
      <w:outlineLvl w:val="3"/>
    </w:pPr>
    <w:rPr>
      <w:rFonts w:ascii="Arial" w:hAnsi="Arial" w:eastAsia="黑体"/>
      <w:b/>
      <w:sz w:val="28"/>
      <w:szCs w:val="20"/>
    </w:rPr>
  </w:style>
  <w:style w:type="paragraph" w:customStyle="1" w:styleId="252">
    <w:name w:val="正文缩进1"/>
    <w:basedOn w:val="1"/>
    <w:qFormat/>
    <w:uiPriority w:val="0"/>
    <w:pPr>
      <w:spacing w:after="120"/>
      <w:ind w:firstLine="420"/>
    </w:pPr>
    <w:rPr>
      <w:szCs w:val="20"/>
    </w:rPr>
  </w:style>
  <w:style w:type="paragraph" w:customStyle="1" w:styleId="253">
    <w:name w:val="标题 51"/>
    <w:basedOn w:val="1"/>
    <w:next w:val="1"/>
    <w:qFormat/>
    <w:uiPriority w:val="0"/>
    <w:pPr>
      <w:keepNext/>
      <w:keepLines/>
      <w:spacing w:before="280" w:after="290" w:line="372" w:lineRule="auto"/>
      <w:outlineLvl w:val="4"/>
    </w:pPr>
    <w:rPr>
      <w:rFonts w:eastAsia="黑体"/>
      <w:b/>
      <w:sz w:val="28"/>
      <w:szCs w:val="20"/>
    </w:rPr>
  </w:style>
  <w:style w:type="paragraph" w:customStyle="1" w:styleId="254">
    <w:name w:val="标题 61"/>
    <w:basedOn w:val="1"/>
    <w:next w:val="1"/>
    <w:qFormat/>
    <w:uiPriority w:val="0"/>
    <w:pPr>
      <w:keepNext/>
      <w:keepLines/>
      <w:spacing w:before="240" w:after="64" w:line="317" w:lineRule="auto"/>
      <w:outlineLvl w:val="5"/>
    </w:pPr>
    <w:rPr>
      <w:rFonts w:ascii="Arial" w:hAnsi="Arial" w:eastAsia="黑体"/>
      <w:b/>
      <w:sz w:val="24"/>
      <w:szCs w:val="20"/>
    </w:rPr>
  </w:style>
  <w:style w:type="paragraph" w:customStyle="1" w:styleId="255">
    <w:name w:val="标题 71"/>
    <w:basedOn w:val="1"/>
    <w:next w:val="1"/>
    <w:qFormat/>
    <w:uiPriority w:val="0"/>
    <w:pPr>
      <w:keepNext/>
      <w:keepLines/>
      <w:spacing w:before="240" w:after="64" w:line="317" w:lineRule="auto"/>
      <w:outlineLvl w:val="6"/>
    </w:pPr>
    <w:rPr>
      <w:b/>
      <w:sz w:val="24"/>
      <w:szCs w:val="20"/>
    </w:rPr>
  </w:style>
  <w:style w:type="paragraph" w:customStyle="1" w:styleId="256">
    <w:name w:val="标题 81"/>
    <w:basedOn w:val="1"/>
    <w:next w:val="1"/>
    <w:qFormat/>
    <w:uiPriority w:val="0"/>
    <w:pPr>
      <w:keepNext/>
      <w:keepLines/>
      <w:spacing w:before="240" w:after="64" w:line="317" w:lineRule="auto"/>
      <w:outlineLvl w:val="7"/>
    </w:pPr>
    <w:rPr>
      <w:rFonts w:ascii="Arial" w:hAnsi="Arial" w:eastAsia="黑体"/>
      <w:sz w:val="24"/>
      <w:szCs w:val="20"/>
    </w:rPr>
  </w:style>
  <w:style w:type="character" w:customStyle="1" w:styleId="257">
    <w:name w:val="默认段落字体1"/>
    <w:link w:val="1"/>
    <w:qFormat/>
    <w:uiPriority w:val="0"/>
  </w:style>
  <w:style w:type="paragraph" w:customStyle="1" w:styleId="258">
    <w:name w:val="文档结构图1"/>
    <w:basedOn w:val="1"/>
    <w:qFormat/>
    <w:uiPriority w:val="0"/>
    <w:pPr>
      <w:shd w:val="clear" w:color="auto" w:fill="000080"/>
    </w:pPr>
    <w:rPr>
      <w:szCs w:val="20"/>
    </w:rPr>
  </w:style>
  <w:style w:type="paragraph" w:customStyle="1" w:styleId="259">
    <w:name w:val="批注文字1"/>
    <w:basedOn w:val="1"/>
    <w:qFormat/>
    <w:uiPriority w:val="0"/>
    <w:pPr>
      <w:jc w:val="left"/>
    </w:pPr>
    <w:rPr>
      <w:szCs w:val="20"/>
    </w:rPr>
  </w:style>
  <w:style w:type="paragraph" w:customStyle="1" w:styleId="260">
    <w:name w:val="正文文本1"/>
    <w:basedOn w:val="1"/>
    <w:qFormat/>
    <w:uiPriority w:val="0"/>
    <w:pPr>
      <w:spacing w:line="60" w:lineRule="auto"/>
    </w:pPr>
    <w:rPr>
      <w:rFonts w:ascii="仿宋_GB2312" w:eastAsia="仿宋_GB2312"/>
      <w:sz w:val="32"/>
      <w:szCs w:val="20"/>
    </w:rPr>
  </w:style>
  <w:style w:type="paragraph" w:customStyle="1" w:styleId="261">
    <w:name w:val="正文文本缩进11"/>
    <w:basedOn w:val="1"/>
    <w:next w:val="262"/>
    <w:qFormat/>
    <w:uiPriority w:val="0"/>
    <w:pPr>
      <w:ind w:firstLine="720"/>
    </w:pPr>
    <w:rPr>
      <w:rFonts w:ascii="仿宋_GB2312" w:eastAsia="仿宋_GB2312"/>
      <w:sz w:val="32"/>
      <w:szCs w:val="20"/>
    </w:rPr>
  </w:style>
  <w:style w:type="paragraph" w:customStyle="1" w:styleId="262">
    <w:name w:val="寄信人地址1"/>
    <w:basedOn w:val="1"/>
    <w:unhideWhenUsed/>
    <w:qFormat/>
    <w:uiPriority w:val="99"/>
    <w:rPr>
      <w:rFonts w:ascii="Arial" w:hAnsi="Arial" w:cs="Arial"/>
      <w:szCs w:val="20"/>
    </w:rPr>
  </w:style>
  <w:style w:type="paragraph" w:customStyle="1" w:styleId="263">
    <w:name w:val="纯文本1"/>
    <w:basedOn w:val="1"/>
    <w:qFormat/>
    <w:uiPriority w:val="0"/>
    <w:rPr>
      <w:rFonts w:ascii="宋体" w:hAnsi="Courier New"/>
      <w:szCs w:val="20"/>
    </w:rPr>
  </w:style>
  <w:style w:type="paragraph" w:customStyle="1" w:styleId="264">
    <w:name w:val="日期1"/>
    <w:basedOn w:val="1"/>
    <w:next w:val="1"/>
    <w:qFormat/>
    <w:uiPriority w:val="0"/>
    <w:pPr>
      <w:ind w:left="100"/>
    </w:pPr>
    <w:rPr>
      <w:szCs w:val="20"/>
    </w:rPr>
  </w:style>
  <w:style w:type="paragraph" w:customStyle="1" w:styleId="265">
    <w:name w:val="正文文本缩进 21"/>
    <w:basedOn w:val="1"/>
    <w:qFormat/>
    <w:uiPriority w:val="0"/>
    <w:pPr>
      <w:spacing w:line="540" w:lineRule="exact"/>
      <w:ind w:firstLine="720"/>
      <w:jc w:val="left"/>
    </w:pPr>
    <w:rPr>
      <w:rFonts w:ascii="仿宋_GB2312" w:eastAsia="仿宋_GB2312"/>
      <w:sz w:val="32"/>
      <w:szCs w:val="20"/>
    </w:rPr>
  </w:style>
  <w:style w:type="paragraph" w:customStyle="1" w:styleId="266">
    <w:name w:val="批注框文本1"/>
    <w:basedOn w:val="1"/>
    <w:qFormat/>
    <w:uiPriority w:val="0"/>
    <w:rPr>
      <w:sz w:val="18"/>
      <w:szCs w:val="20"/>
    </w:rPr>
  </w:style>
  <w:style w:type="paragraph" w:customStyle="1" w:styleId="267">
    <w:name w:val="页脚11"/>
    <w:basedOn w:val="1"/>
    <w:qFormat/>
    <w:uiPriority w:val="0"/>
    <w:pPr>
      <w:tabs>
        <w:tab w:val="center" w:pos="4153"/>
        <w:tab w:val="right" w:pos="8306"/>
      </w:tabs>
      <w:jc w:val="left"/>
    </w:pPr>
    <w:rPr>
      <w:sz w:val="18"/>
      <w:szCs w:val="20"/>
    </w:rPr>
  </w:style>
  <w:style w:type="paragraph" w:customStyle="1" w:styleId="268">
    <w:name w:val="页眉11"/>
    <w:basedOn w:val="1"/>
    <w:qFormat/>
    <w:uiPriority w:val="0"/>
    <w:pPr>
      <w:pBdr>
        <w:bottom w:val="single" w:color="000000" w:sz="6" w:space="1"/>
      </w:pBdr>
      <w:tabs>
        <w:tab w:val="center" w:pos="4153"/>
        <w:tab w:val="right" w:pos="8306"/>
      </w:tabs>
      <w:jc w:val="center"/>
    </w:pPr>
    <w:rPr>
      <w:sz w:val="18"/>
      <w:szCs w:val="20"/>
    </w:rPr>
  </w:style>
  <w:style w:type="paragraph" w:customStyle="1" w:styleId="269">
    <w:name w:val="目录 11"/>
    <w:basedOn w:val="1"/>
    <w:next w:val="1"/>
    <w:qFormat/>
    <w:uiPriority w:val="99"/>
    <w:rPr>
      <w:rFonts w:ascii="Calibri" w:hAnsi="Calibri" w:eastAsia="黑体"/>
      <w:b/>
      <w:sz w:val="24"/>
    </w:rPr>
  </w:style>
  <w:style w:type="paragraph" w:customStyle="1" w:styleId="270">
    <w:name w:val="正文文本缩进 31"/>
    <w:basedOn w:val="1"/>
    <w:qFormat/>
    <w:uiPriority w:val="0"/>
    <w:pPr>
      <w:ind w:firstLine="639"/>
    </w:pPr>
    <w:rPr>
      <w:rFonts w:ascii="仿宋_GB2312" w:eastAsia="仿宋_GB2312"/>
      <w:sz w:val="30"/>
      <w:szCs w:val="20"/>
    </w:rPr>
  </w:style>
  <w:style w:type="paragraph" w:customStyle="1" w:styleId="271">
    <w:name w:val="正文文本 21"/>
    <w:basedOn w:val="1"/>
    <w:qFormat/>
    <w:uiPriority w:val="0"/>
    <w:pPr>
      <w:spacing w:line="560" w:lineRule="exact"/>
    </w:pPr>
    <w:rPr>
      <w:rFonts w:ascii="仿宋_GB2312" w:eastAsia="仿宋_GB2312"/>
      <w:sz w:val="30"/>
      <w:szCs w:val="20"/>
    </w:rPr>
  </w:style>
  <w:style w:type="paragraph" w:customStyle="1" w:styleId="272">
    <w:name w:val="普通(网站)1"/>
    <w:basedOn w:val="1"/>
    <w:qFormat/>
    <w:uiPriority w:val="0"/>
    <w:pPr>
      <w:widowControl/>
      <w:spacing w:before="100" w:beforeAutospacing="1" w:after="100" w:afterAutospacing="1"/>
      <w:jc w:val="left"/>
    </w:pPr>
    <w:rPr>
      <w:rFonts w:ascii="宋体" w:hAnsi="宋体"/>
      <w:sz w:val="24"/>
      <w:szCs w:val="20"/>
    </w:rPr>
  </w:style>
  <w:style w:type="paragraph" w:customStyle="1" w:styleId="273">
    <w:name w:val="标题11"/>
    <w:basedOn w:val="1"/>
    <w:qFormat/>
    <w:uiPriority w:val="10"/>
    <w:pPr>
      <w:spacing w:before="240" w:after="60"/>
      <w:jc w:val="center"/>
      <w:outlineLvl w:val="0"/>
    </w:pPr>
    <w:rPr>
      <w:rFonts w:ascii="Arial" w:hAnsi="Arial" w:cs="Arial"/>
      <w:b/>
      <w:bCs/>
      <w:sz w:val="32"/>
      <w:szCs w:val="32"/>
    </w:rPr>
  </w:style>
  <w:style w:type="paragraph" w:customStyle="1" w:styleId="274">
    <w:name w:val="批注主题1"/>
    <w:basedOn w:val="259"/>
    <w:next w:val="259"/>
    <w:qFormat/>
    <w:uiPriority w:val="0"/>
    <w:rPr>
      <w:b/>
    </w:rPr>
  </w:style>
  <w:style w:type="paragraph" w:customStyle="1" w:styleId="275">
    <w:name w:val="正文首行缩进 21"/>
    <w:basedOn w:val="261"/>
    <w:next w:val="1"/>
    <w:unhideWhenUsed/>
    <w:qFormat/>
    <w:uiPriority w:val="99"/>
    <w:pPr>
      <w:ind w:firstLine="420"/>
    </w:pPr>
  </w:style>
  <w:style w:type="character" w:customStyle="1" w:styleId="276">
    <w:name w:val="要点1"/>
    <w:link w:val="1"/>
    <w:qFormat/>
    <w:uiPriority w:val="0"/>
    <w:rPr>
      <w:b/>
    </w:rPr>
  </w:style>
  <w:style w:type="character" w:customStyle="1" w:styleId="277">
    <w:name w:val="页码1"/>
    <w:link w:val="1"/>
    <w:qFormat/>
    <w:uiPriority w:val="0"/>
  </w:style>
  <w:style w:type="character" w:customStyle="1" w:styleId="278">
    <w:name w:val="已访问的超链接1"/>
    <w:link w:val="1"/>
    <w:qFormat/>
    <w:uiPriority w:val="0"/>
    <w:rPr>
      <w:color w:val="3F3F3F"/>
      <w:u w:val="none"/>
    </w:rPr>
  </w:style>
  <w:style w:type="character" w:customStyle="1" w:styleId="279">
    <w:name w:val="强调1"/>
    <w:link w:val="1"/>
    <w:qFormat/>
    <w:uiPriority w:val="20"/>
  </w:style>
  <w:style w:type="character" w:customStyle="1" w:styleId="280">
    <w:name w:val="HTML 定义1"/>
    <w:link w:val="1"/>
    <w:unhideWhenUsed/>
    <w:qFormat/>
    <w:uiPriority w:val="99"/>
  </w:style>
  <w:style w:type="character" w:customStyle="1" w:styleId="281">
    <w:name w:val="HTML 打字机1"/>
    <w:link w:val="1"/>
    <w:unhideWhenUsed/>
    <w:qFormat/>
    <w:uiPriority w:val="99"/>
    <w:rPr>
      <w:rFonts w:ascii="monospace" w:hAnsi="monospace" w:eastAsia="monospace" w:cs="monospace"/>
      <w:sz w:val="20"/>
    </w:rPr>
  </w:style>
  <w:style w:type="character" w:customStyle="1" w:styleId="282">
    <w:name w:val="HTML 缩写1"/>
    <w:basedOn w:val="257"/>
    <w:link w:val="1"/>
    <w:unhideWhenUsed/>
    <w:qFormat/>
    <w:uiPriority w:val="99"/>
  </w:style>
  <w:style w:type="character" w:customStyle="1" w:styleId="283">
    <w:name w:val="HTML 变量1"/>
    <w:link w:val="1"/>
    <w:unhideWhenUsed/>
    <w:qFormat/>
    <w:uiPriority w:val="99"/>
  </w:style>
  <w:style w:type="character" w:customStyle="1" w:styleId="284">
    <w:name w:val="超链接1"/>
    <w:link w:val="1"/>
    <w:qFormat/>
    <w:uiPriority w:val="0"/>
    <w:rPr>
      <w:color w:val="3F3F3F"/>
      <w:u w:val="none"/>
    </w:rPr>
  </w:style>
  <w:style w:type="character" w:customStyle="1" w:styleId="285">
    <w:name w:val="HTML 代码1"/>
    <w:link w:val="1"/>
    <w:unhideWhenUsed/>
    <w:qFormat/>
    <w:uiPriority w:val="99"/>
    <w:rPr>
      <w:rFonts w:ascii="Courier New" w:hAnsi="Courier New"/>
      <w:sz w:val="20"/>
    </w:rPr>
  </w:style>
  <w:style w:type="character" w:customStyle="1" w:styleId="286">
    <w:name w:val="批注引用1"/>
    <w:link w:val="1"/>
    <w:qFormat/>
    <w:uiPriority w:val="0"/>
    <w:rPr>
      <w:sz w:val="21"/>
    </w:rPr>
  </w:style>
  <w:style w:type="character" w:customStyle="1" w:styleId="287">
    <w:name w:val="HTML 引文1"/>
    <w:link w:val="1"/>
    <w:unhideWhenUsed/>
    <w:qFormat/>
    <w:uiPriority w:val="99"/>
  </w:style>
  <w:style w:type="character" w:customStyle="1" w:styleId="288">
    <w:name w:val="HTML 键盘1"/>
    <w:link w:val="1"/>
    <w:unhideWhenUsed/>
    <w:qFormat/>
    <w:uiPriority w:val="99"/>
    <w:rPr>
      <w:rFonts w:ascii="monospace" w:hAnsi="monospace" w:eastAsia="monospace" w:cs="monospace"/>
      <w:sz w:val="20"/>
    </w:rPr>
  </w:style>
  <w:style w:type="character" w:customStyle="1" w:styleId="289">
    <w:name w:val="HTML 样本1"/>
    <w:link w:val="1"/>
    <w:unhideWhenUsed/>
    <w:qFormat/>
    <w:uiPriority w:val="99"/>
    <w:rPr>
      <w:rFonts w:ascii="monospace" w:hAnsi="monospace" w:eastAsia="monospace" w:cs="monospace"/>
    </w:rPr>
  </w:style>
  <w:style w:type="paragraph" w:customStyle="1" w:styleId="290">
    <w:name w:val="标题 11"/>
    <w:basedOn w:val="1"/>
    <w:next w:val="1"/>
    <w:qFormat/>
    <w:uiPriority w:val="0"/>
    <w:pPr>
      <w:spacing w:before="19"/>
      <w:ind w:left="1398"/>
      <w:outlineLvl w:val="0"/>
    </w:pPr>
    <w:rPr>
      <w:rFonts w:ascii="华文中宋"/>
      <w:b/>
      <w:sz w:val="36"/>
      <w:szCs w:val="36"/>
    </w:rPr>
  </w:style>
  <w:style w:type="paragraph" w:customStyle="1" w:styleId="291">
    <w:name w:val="列表段落1"/>
    <w:qFormat/>
    <w:uiPriority w:val="34"/>
    <w:pPr>
      <w:widowControl w:val="0"/>
      <w:spacing w:line="360" w:lineRule="atLeast"/>
      <w:ind w:firstLine="420"/>
      <w:jc w:val="both"/>
    </w:pPr>
    <w:rPr>
      <w:rFonts w:hint="default" w:ascii="@时尚中黑简体" w:hAnsi="@时尚中黑简体" w:eastAsia="宋体" w:cs="@时尚中黑简体"/>
      <w:sz w:val="21"/>
      <w:szCs w:val="22"/>
      <w:lang w:val="en-US" w:eastAsia="zh-CN" w:bidi="ar-SA"/>
    </w:rPr>
  </w:style>
  <w:style w:type="character" w:customStyle="1" w:styleId="292">
    <w:name w:val="font01"/>
    <w:link w:val="1"/>
    <w:qFormat/>
    <w:uiPriority w:val="0"/>
    <w:rPr>
      <w:rFonts w:hint="eastAsia" w:ascii="宋体" w:hAnsi="宋体" w:eastAsia="宋体" w:cs="宋体"/>
      <w:color w:val="FF0000"/>
      <w:sz w:val="16"/>
      <w:szCs w:val="16"/>
      <w:u w:val="none"/>
    </w:rPr>
  </w:style>
  <w:style w:type="character" w:customStyle="1" w:styleId="293">
    <w:name w:val="first-child1"/>
    <w:link w:val="1"/>
    <w:qFormat/>
    <w:uiPriority w:val="0"/>
  </w:style>
  <w:style w:type="character" w:customStyle="1" w:styleId="294">
    <w:name w:val="disabled"/>
    <w:link w:val="1"/>
    <w:qFormat/>
    <w:uiPriority w:val="0"/>
    <w:rPr>
      <w:color w:val="DDDDDD"/>
    </w:rPr>
  </w:style>
  <w:style w:type="character" w:customStyle="1" w:styleId="295">
    <w:name w:val="hover"/>
    <w:link w:val="1"/>
    <w:qFormat/>
    <w:uiPriority w:val="0"/>
    <w:rPr>
      <w:color w:val="3C88FF"/>
    </w:rPr>
  </w:style>
  <w:style w:type="character" w:customStyle="1" w:styleId="296">
    <w:name w:val="index-name-935ff"/>
    <w:link w:val="1"/>
    <w:qFormat/>
    <w:uiPriority w:val="0"/>
    <w:rPr>
      <w:sz w:val="24"/>
      <w:szCs w:val="24"/>
    </w:rPr>
  </w:style>
  <w:style w:type="character" w:customStyle="1" w:styleId="297">
    <w:name w:val="text"/>
    <w:link w:val="1"/>
    <w:qFormat/>
    <w:uiPriority w:val="0"/>
    <w:rPr>
      <w:color w:val="FFFFFF"/>
    </w:rPr>
  </w:style>
  <w:style w:type="character" w:customStyle="1" w:styleId="298">
    <w:name w:val="back"/>
    <w:link w:val="1"/>
    <w:qFormat/>
    <w:uiPriority w:val="0"/>
    <w:rPr>
      <w:shd w:val="clear" w:color="auto" w:fill="111111"/>
    </w:rPr>
  </w:style>
  <w:style w:type="character" w:customStyle="1" w:styleId="299">
    <w:name w:val="current1"/>
    <w:link w:val="1"/>
    <w:qFormat/>
    <w:uiPriority w:val="0"/>
    <w:rPr>
      <w:b/>
      <w:color w:val="000000"/>
      <w:shd w:val="clear" w:color="auto" w:fill="FFFFFF"/>
    </w:rPr>
  </w:style>
  <w:style w:type="character" w:customStyle="1" w:styleId="300">
    <w:name w:val="apple-converted-space"/>
    <w:link w:val="1"/>
    <w:qFormat/>
    <w:uiPriority w:val="0"/>
  </w:style>
  <w:style w:type="character" w:customStyle="1" w:styleId="301">
    <w:name w:val="current"/>
    <w:link w:val="1"/>
    <w:qFormat/>
    <w:uiPriority w:val="0"/>
    <w:rPr>
      <w:b/>
      <w:color w:val="FFFFFF"/>
      <w:shd w:val="clear" w:color="auto" w:fill="000099"/>
    </w:rPr>
  </w:style>
  <w:style w:type="character" w:customStyle="1" w:styleId="302">
    <w:name w:val="font31"/>
    <w:link w:val="1"/>
    <w:qFormat/>
    <w:uiPriority w:val="0"/>
    <w:rPr>
      <w:rFonts w:ascii="Times New Roman" w:hAnsi="Times New Roman" w:cs="Times New Roman"/>
      <w:color w:val="000000"/>
      <w:sz w:val="22"/>
      <w:szCs w:val="22"/>
      <w:u w:val="none"/>
    </w:rPr>
  </w:style>
  <w:style w:type="character" w:customStyle="1" w:styleId="303">
    <w:name w:val="disabled1"/>
    <w:link w:val="1"/>
    <w:qFormat/>
    <w:uiPriority w:val="0"/>
    <w:rPr>
      <w:color w:val="DDDDDD"/>
    </w:rPr>
  </w:style>
  <w:style w:type="character" w:customStyle="1" w:styleId="304">
    <w:name w:val="first-child"/>
    <w:link w:val="1"/>
    <w:qFormat/>
    <w:uiPriority w:val="0"/>
  </w:style>
  <w:style w:type="character" w:customStyle="1" w:styleId="305">
    <w:name w:val="text1"/>
    <w:link w:val="1"/>
    <w:qFormat/>
    <w:uiPriority w:val="0"/>
    <w:rPr>
      <w:color w:val="FFFFFF"/>
      <w:shd w:val="clear" w:color="auto" w:fill="111111"/>
    </w:rPr>
  </w:style>
  <w:style w:type="character" w:customStyle="1" w:styleId="306">
    <w:name w:val="first-child2"/>
    <w:link w:val="1"/>
    <w:qFormat/>
    <w:uiPriority w:val="0"/>
    <w:rPr>
      <w:color w:val="FFA800"/>
    </w:rPr>
  </w:style>
  <w:style w:type="character" w:customStyle="1" w:styleId="307">
    <w:name w:val="hover1"/>
    <w:link w:val="1"/>
    <w:qFormat/>
    <w:uiPriority w:val="0"/>
    <w:rPr>
      <w:shd w:val="clear" w:color="auto" w:fill="F6F6F6"/>
    </w:rPr>
  </w:style>
  <w:style w:type="character" w:customStyle="1" w:styleId="308">
    <w:name w:val="font21"/>
    <w:link w:val="1"/>
    <w:qFormat/>
    <w:uiPriority w:val="0"/>
    <w:rPr>
      <w:rFonts w:hint="eastAsia" w:ascii="微软雅黑" w:hAnsi="微软雅黑" w:eastAsia="微软雅黑" w:cs="微软雅黑"/>
      <w:color w:val="000000"/>
      <w:sz w:val="21"/>
      <w:szCs w:val="21"/>
      <w:u w:val="none"/>
    </w:rPr>
  </w:style>
  <w:style w:type="paragraph" w:customStyle="1" w:styleId="309">
    <w:name w:val="Char Char Char Char Char Char Char Char Char Char"/>
    <w:basedOn w:val="1"/>
    <w:qFormat/>
    <w:uiPriority w:val="0"/>
    <w:rPr>
      <w:rFonts w:ascii="Tahoma" w:hAnsi="Tahoma"/>
      <w:sz w:val="24"/>
      <w:szCs w:val="20"/>
    </w:rPr>
  </w:style>
  <w:style w:type="paragraph" w:customStyle="1" w:styleId="310">
    <w:name w:val="p0"/>
    <w:qFormat/>
    <w:uiPriority w:val="0"/>
    <w:rPr>
      <w:rFonts w:hint="default" w:ascii="Times New Roman" w:hAnsi="Times New Roman" w:eastAsia="宋体" w:cs="Times New Roman"/>
      <w:szCs w:val="21"/>
      <w:lang w:val="en-US" w:eastAsia="zh-CN" w:bidi="ar-SA"/>
    </w:rPr>
  </w:style>
  <w:style w:type="paragraph" w:customStyle="1" w:styleId="311">
    <w:name w:val="列出段落1"/>
    <w:basedOn w:val="1"/>
    <w:qFormat/>
    <w:uiPriority w:val="34"/>
    <w:pPr>
      <w:ind w:firstLine="200"/>
    </w:pPr>
    <w:rPr>
      <w:rFonts w:ascii="Calibri" w:hAnsi="Calibri" w:cs="Arial"/>
      <w:szCs w:val="22"/>
    </w:rPr>
  </w:style>
  <w:style w:type="paragraph" w:customStyle="1" w:styleId="312">
    <w:name w:val="Table Paragraph"/>
    <w:basedOn w:val="1"/>
    <w:qFormat/>
    <w:uiPriority w:val="1"/>
    <w:rPr>
      <w:szCs w:val="20"/>
    </w:rPr>
  </w:style>
  <w:style w:type="paragraph" w:customStyle="1" w:styleId="313">
    <w:name w:val="WPSOffice手动目录 1"/>
    <w:qFormat/>
    <w:uiPriority w:val="0"/>
    <w:rPr>
      <w:rFonts w:hint="default" w:ascii="Times New Roman" w:hAnsi="Times New Roman" w:eastAsia="宋体" w:cs="Times New Roman"/>
      <w:lang w:val="en-US" w:eastAsia="zh-CN" w:bidi="ar-SA"/>
    </w:rPr>
  </w:style>
  <w:style w:type="paragraph" w:customStyle="1" w:styleId="314">
    <w:name w:val="Char"/>
    <w:basedOn w:val="1"/>
    <w:qFormat/>
    <w:uiPriority w:val="0"/>
    <w:rPr>
      <w:rFonts w:ascii="Tahoma" w:hAnsi="Tahoma"/>
      <w:sz w:val="24"/>
      <w:szCs w:val="20"/>
    </w:rPr>
  </w:style>
  <w:style w:type="paragraph" w:customStyle="1" w:styleId="315">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customStyle="1" w:styleId="316">
    <w:name w:val="普通正文"/>
    <w:basedOn w:val="1"/>
    <w:qFormat/>
    <w:uiPriority w:val="0"/>
    <w:pPr>
      <w:ind w:firstLine="425"/>
      <w:jc w:val="left"/>
    </w:pPr>
    <w:rPr>
      <w:rFonts w:ascii="宋体"/>
      <w:sz w:val="20"/>
      <w:szCs w:val="20"/>
    </w:rPr>
  </w:style>
  <w:style w:type="paragraph" w:customStyle="1" w:styleId="317">
    <w:name w:val="xl34"/>
    <w:basedOn w:val="1"/>
    <w:qFormat/>
    <w:uiPriority w:val="0"/>
    <w:pPr>
      <w:widowControl/>
      <w:spacing w:before="100" w:beforeAutospacing="1" w:after="100" w:afterAutospacing="1"/>
      <w:jc w:val="center"/>
    </w:pPr>
    <w:rPr>
      <w:rFonts w:ascii="Arial Unicode MS" w:hAnsi="Arial Unicode MS" w:eastAsia="Arial Unicode MS"/>
      <w:sz w:val="24"/>
      <w:szCs w:val="20"/>
    </w:rPr>
  </w:style>
  <w:style w:type="paragraph" w:customStyle="1" w:styleId="318">
    <w:name w:val="项目"/>
    <w:basedOn w:val="1"/>
    <w:qFormat/>
    <w:uiPriority w:val="0"/>
    <w:pPr>
      <w:numPr>
        <w:ilvl w:val="0"/>
        <w:numId w:val="1"/>
      </w:numPr>
      <w:spacing w:before="60" w:after="60" w:line="360" w:lineRule="auto"/>
    </w:pPr>
    <w:rPr>
      <w:rFonts w:ascii="宋体"/>
      <w:szCs w:val="20"/>
    </w:rPr>
  </w:style>
  <w:style w:type="paragraph" w:customStyle="1" w:styleId="319">
    <w:name w:val="文本"/>
    <w:basedOn w:val="263"/>
    <w:qFormat/>
    <w:uiPriority w:val="0"/>
    <w:pPr>
      <w:keepNext/>
      <w:keepLines/>
      <w:tabs>
        <w:tab w:val="left" w:pos="394"/>
      </w:tabs>
      <w:spacing w:line="360" w:lineRule="atLeast"/>
    </w:pPr>
    <w:rPr>
      <w:rFonts w:hAnsi="宋体"/>
      <w:color w:val="000000"/>
      <w:sz w:val="24"/>
      <w:szCs w:val="24"/>
    </w:rPr>
  </w:style>
  <w:style w:type="paragraph" w:customStyle="1" w:styleId="320">
    <w:name w:val="特点"/>
    <w:basedOn w:val="1"/>
    <w:next w:val="1"/>
    <w:qFormat/>
    <w:uiPriority w:val="0"/>
    <w:pPr>
      <w:spacing w:line="360" w:lineRule="auto"/>
      <w:jc w:val="center"/>
    </w:pPr>
    <w:rPr>
      <w:rFonts w:ascii="Arial" w:hAnsi="Arial"/>
      <w:sz w:val="24"/>
      <w:szCs w:val="20"/>
    </w:rPr>
  </w:style>
  <w:style w:type="paragraph" w:customStyle="1" w:styleId="321">
    <w:name w:val="_Style 2"/>
    <w:basedOn w:val="1"/>
    <w:qFormat/>
    <w:uiPriority w:val="34"/>
    <w:pPr>
      <w:widowControl/>
      <w:ind w:firstLine="420"/>
      <w:jc w:val="left"/>
    </w:pPr>
    <w:rPr>
      <w:sz w:val="20"/>
      <w:szCs w:val="20"/>
    </w:rPr>
  </w:style>
  <w:style w:type="paragraph" w:customStyle="1" w:styleId="322">
    <w:name w:val="首行缩进"/>
    <w:basedOn w:val="1"/>
    <w:qFormat/>
    <w:uiPriority w:val="0"/>
    <w:pPr>
      <w:ind w:firstLine="480"/>
    </w:pPr>
    <w:rPr>
      <w:szCs w:val="20"/>
      <w:lang w:val="zh-CN"/>
    </w:rPr>
  </w:style>
  <w:style w:type="paragraph" w:customStyle="1" w:styleId="323">
    <w:name w:val="Char Char Char"/>
    <w:basedOn w:val="1"/>
    <w:qFormat/>
    <w:uiPriority w:val="0"/>
    <w:rPr>
      <w:szCs w:val="20"/>
    </w:rPr>
  </w:style>
  <w:style w:type="paragraph" w:customStyle="1" w:styleId="324">
    <w:name w:val="p16"/>
    <w:basedOn w:val="1"/>
    <w:qFormat/>
    <w:uiPriority w:val="0"/>
    <w:pPr>
      <w:widowControl/>
      <w:spacing w:line="360" w:lineRule="auto"/>
    </w:pPr>
    <w:rPr>
      <w:sz w:val="30"/>
      <w:szCs w:val="30"/>
    </w:rPr>
  </w:style>
  <w:style w:type="paragraph" w:customStyle="1" w:styleId="325">
    <w:name w:val="正文文本缩进1"/>
    <w:basedOn w:val="1"/>
    <w:qFormat/>
    <w:uiPriority w:val="0"/>
    <w:pPr>
      <w:spacing w:after="120"/>
      <w:ind w:left="420"/>
    </w:pPr>
    <w:rPr>
      <w:szCs w:val="20"/>
    </w:rPr>
  </w:style>
  <w:style w:type="paragraph" w:customStyle="1" w:styleId="326">
    <w:name w:val="WPSOffice手动目录 2"/>
    <w:qFormat/>
    <w:uiPriority w:val="0"/>
    <w:rPr>
      <w:rFonts w:hint="default" w:ascii="Times New Roman" w:hAnsi="Times New Roman" w:eastAsia="宋体" w:cs="Times New Roman"/>
      <w:lang w:val="en-US" w:eastAsia="zh-CN" w:bidi="ar-SA"/>
    </w:rPr>
  </w:style>
  <w:style w:type="paragraph" w:customStyle="1" w:styleId="327">
    <w:name w:val="Body text|1"/>
    <w:basedOn w:val="1"/>
    <w:qFormat/>
    <w:uiPriority w:val="0"/>
    <w:pPr>
      <w:spacing w:line="480" w:lineRule="auto"/>
    </w:pPr>
    <w:rPr>
      <w:rFonts w:ascii="MS Gothic" w:hAnsi="MS Gothic" w:eastAsia="MS Gothic" w:cs="MS Gothic"/>
      <w:sz w:val="19"/>
      <w:szCs w:val="19"/>
      <w:lang w:val="zh-TW" w:eastAsia="zh-TW" w:bidi="zh-TW"/>
    </w:rPr>
  </w:style>
  <w:style w:type="paragraph" w:customStyle="1" w:styleId="328">
    <w:name w:val="标题1"/>
    <w:basedOn w:val="1"/>
    <w:next w:val="1"/>
    <w:qFormat/>
    <w:uiPriority w:val="0"/>
    <w:pPr>
      <w:widowControl/>
      <w:spacing w:line="420" w:lineRule="exact"/>
      <w:jc w:val="center"/>
    </w:pPr>
    <w:rPr>
      <w:rFonts w:ascii="华文中宋" w:hAnsi="华文中宋" w:eastAsia="Arial Unicode MS" w:cs="华文中宋"/>
      <w:b/>
      <w:sz w:val="28"/>
      <w:szCs w:val="20"/>
      <w:lang w:val="en-GB"/>
    </w:rPr>
  </w:style>
  <w:style w:type="paragraph" w:customStyle="1" w:styleId="329">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330">
    <w:name w:val="页脚1"/>
    <w:basedOn w:val="1"/>
    <w:qFormat/>
    <w:uiPriority w:val="99"/>
    <w:pPr>
      <w:tabs>
        <w:tab w:val="center" w:pos="4153"/>
        <w:tab w:val="right" w:pos="8306"/>
      </w:tabs>
      <w:jc w:val="left"/>
    </w:pPr>
    <w:rPr>
      <w:sz w:val="18"/>
      <w:szCs w:val="20"/>
    </w:rPr>
  </w:style>
  <w:style w:type="paragraph" w:customStyle="1" w:styleId="331">
    <w:name w:val="Default"/>
    <w:qFormat/>
    <w:uiPriority w:val="0"/>
    <w:pPr>
      <w:widowControl w:val="0"/>
    </w:pPr>
    <w:rPr>
      <w:rFonts w:hint="default" w:ascii="微软雅黑" w:hAnsi="Calibri" w:eastAsia="微软雅黑" w:cs="微软雅黑"/>
      <w:color w:val="000000"/>
      <w:sz w:val="24"/>
      <w:szCs w:val="24"/>
      <w:lang w:val="en-US" w:eastAsia="zh-CN" w:bidi="ar-SA"/>
    </w:rPr>
  </w:style>
  <w:style w:type="paragraph" w:customStyle="1" w:styleId="332">
    <w:name w:val="Table Text"/>
    <w:basedOn w:val="1"/>
    <w:semiHidden/>
    <w:qFormat/>
    <w:uiPriority w:val="0"/>
    <w:rPr>
      <w:rFonts w:ascii="宋体" w:hAnsi="宋体" w:cs="宋体"/>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60</Pages>
  <Words>2579</Words>
  <Characters>2932</Characters>
  <TotalTime>0</TotalTime>
  <ScaleCrop>false</ScaleCrop>
  <LinksUpToDate>false</LinksUpToDate>
  <CharactersWithSpaces>3086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2026-02-26T07:41:00Z</dcterms:created>
  <dc:creator>M</dc:creator>
  <cp:lastModifiedBy>Z.</cp:lastModifiedBy>
  <dcterms:modified xsi:type="dcterms:W3CDTF">2026-05-26T08:16:18Z</dcterms:modified>
  <dc:title>厕所</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eyJoZGlkIjoiYzliOTZjZjk2YzUzOGMyZDgyZDRmY2NjZjYzYjViNzYiLCJ1c2VySWQiOiI1MzU0NzA1NDcifQ==</vt:lpwstr>
  </property>
  <property fmtid="{D5CDD505-2E9C-101B-9397-08002B2CF9AE}" pid="3" name="KSOProductBuildVer">
    <vt:lpwstr>2052-12.1.0.26375</vt:lpwstr>
  </property>
  <property fmtid="{D5CDD505-2E9C-101B-9397-08002B2CF9AE}" pid="4" name="ICV">
    <vt:lpwstr>B62D8B499D7B46018C798A8058381146_12</vt:lpwstr>
  </property>
</Properties>
</file>